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ABD91E" w14:textId="79A1B1B3" w:rsidR="0032555E" w:rsidRPr="0032555E" w:rsidRDefault="0032555E" w:rsidP="0032555E">
      <w:pPr>
        <w:rPr>
          <w:rFonts w:ascii="Times New Roman" w:hAnsi="Times New Roman" w:cs="Times New Roman"/>
          <w:b/>
          <w:bCs/>
          <w:sz w:val="44"/>
          <w:szCs w:val="44"/>
        </w:rPr>
      </w:pPr>
      <w:r w:rsidRPr="00EA40B8">
        <w:rPr>
          <w:rFonts w:ascii="Times New Roman" w:hAnsi="Times New Roman" w:cs="Times New Roman"/>
          <w:sz w:val="44"/>
          <w:szCs w:val="44"/>
          <w:lang w:val="en-US"/>
        </w:rPr>
        <w:t>Student name: Bohdan Belmeha</w:t>
      </w:r>
      <w:r w:rsidRPr="00EA40B8">
        <w:rPr>
          <w:rFonts w:ascii="Times New Roman" w:hAnsi="Times New Roman" w:cs="Times New Roman"/>
          <w:sz w:val="44"/>
          <w:szCs w:val="44"/>
          <w:lang w:val="en-US"/>
        </w:rPr>
        <w:br/>
        <w:t>Student ID: 2414395</w:t>
      </w:r>
      <w:r w:rsidRPr="00EA40B8">
        <w:rPr>
          <w:rFonts w:ascii="Times New Roman" w:hAnsi="Times New Roman" w:cs="Times New Roman"/>
          <w:sz w:val="44"/>
          <w:szCs w:val="44"/>
          <w:lang w:val="en-US"/>
        </w:rPr>
        <w:br/>
        <w:t>Program: BA (Hons) Leadership and Management Skills for the Workplace</w:t>
      </w:r>
      <w:r w:rsidRPr="00EA40B8">
        <w:rPr>
          <w:rFonts w:ascii="Times New Roman" w:hAnsi="Times New Roman" w:cs="Times New Roman"/>
          <w:sz w:val="44"/>
          <w:szCs w:val="44"/>
          <w:lang w:val="en-US"/>
        </w:rPr>
        <w:br/>
        <w:t xml:space="preserve">Module: </w:t>
      </w:r>
      <w:r w:rsidRPr="0032555E">
        <w:rPr>
          <w:rFonts w:ascii="Times New Roman" w:hAnsi="Times New Roman" w:cs="Times New Roman"/>
          <w:sz w:val="44"/>
          <w:szCs w:val="44"/>
        </w:rPr>
        <w:t xml:space="preserve">Developing and Managing Individuals and Teams </w:t>
      </w:r>
    </w:p>
    <w:p w14:paraId="355F35AA" w14:textId="60172A36" w:rsidR="0032555E" w:rsidRPr="0032555E" w:rsidRDefault="0032555E" w:rsidP="0032555E">
      <w:pPr>
        <w:rPr>
          <w:rFonts w:ascii="Times New Roman" w:hAnsi="Times New Roman" w:cs="Times New Roman"/>
          <w:sz w:val="44"/>
          <w:szCs w:val="44"/>
          <w:lang w:val="en-US"/>
        </w:rPr>
      </w:pPr>
      <w:r w:rsidRPr="00EA40B8">
        <w:rPr>
          <w:rFonts w:ascii="Times New Roman" w:hAnsi="Times New Roman" w:cs="Times New Roman"/>
          <w:sz w:val="44"/>
          <w:szCs w:val="44"/>
          <w:lang w:val="en-US"/>
        </w:rPr>
        <w:t xml:space="preserve">Module code: </w:t>
      </w:r>
      <w:r w:rsidRPr="0032555E">
        <w:rPr>
          <w:rFonts w:ascii="Times New Roman" w:hAnsi="Times New Roman" w:cs="Times New Roman"/>
          <w:sz w:val="44"/>
          <w:szCs w:val="44"/>
        </w:rPr>
        <w:t>(LCLM5002_LON)</w:t>
      </w:r>
      <w:r w:rsidRPr="00EA40B8">
        <w:rPr>
          <w:rFonts w:ascii="Times New Roman" w:hAnsi="Times New Roman" w:cs="Times New Roman"/>
          <w:sz w:val="44"/>
          <w:szCs w:val="44"/>
          <w:lang w:val="en-US"/>
        </w:rPr>
        <w:br/>
        <w:t xml:space="preserve">Lecturer: </w:t>
      </w:r>
      <w:r w:rsidR="000D040F">
        <w:rPr>
          <w:rFonts w:ascii="Times New Roman" w:hAnsi="Times New Roman" w:cs="Times New Roman"/>
          <w:sz w:val="44"/>
          <w:szCs w:val="44"/>
        </w:rPr>
        <w:t>Faizu Edu</w:t>
      </w:r>
      <w:r w:rsidRPr="00EA40B8">
        <w:rPr>
          <w:rFonts w:ascii="Times New Roman" w:hAnsi="Times New Roman" w:cs="Times New Roman"/>
          <w:sz w:val="44"/>
          <w:szCs w:val="44"/>
          <w:lang w:val="en-US"/>
        </w:rPr>
        <w:br/>
        <w:t xml:space="preserve">Assignment Title: </w:t>
      </w:r>
      <w:r w:rsidRPr="0032555E">
        <w:rPr>
          <w:rFonts w:ascii="Times New Roman" w:hAnsi="Times New Roman" w:cs="Times New Roman"/>
          <w:sz w:val="44"/>
          <w:szCs w:val="44"/>
        </w:rPr>
        <w:t>Component 2- Individual Report</w:t>
      </w:r>
    </w:p>
    <w:p w14:paraId="0346875E" w14:textId="77777777" w:rsidR="007C02C0" w:rsidRDefault="007C02C0" w:rsidP="007C02C0">
      <w:pPr>
        <w:spacing w:line="360" w:lineRule="auto"/>
        <w:rPr>
          <w:rFonts w:ascii="Arial" w:hAnsi="Arial" w:cs="Arial"/>
          <w:b/>
          <w:bCs/>
        </w:rPr>
      </w:pPr>
    </w:p>
    <w:p w14:paraId="4A1A25AC" w14:textId="77777777" w:rsidR="007C02C0" w:rsidRDefault="007C02C0" w:rsidP="007C02C0">
      <w:pPr>
        <w:spacing w:line="360" w:lineRule="auto"/>
        <w:rPr>
          <w:rFonts w:ascii="Arial" w:hAnsi="Arial" w:cs="Arial"/>
          <w:b/>
          <w:bCs/>
        </w:rPr>
      </w:pPr>
    </w:p>
    <w:p w14:paraId="4B46487D" w14:textId="77777777" w:rsidR="007C02C0" w:rsidRDefault="007C02C0" w:rsidP="007C02C0">
      <w:pPr>
        <w:spacing w:line="360" w:lineRule="auto"/>
        <w:rPr>
          <w:rFonts w:ascii="Arial" w:hAnsi="Arial" w:cs="Arial"/>
          <w:b/>
          <w:bCs/>
        </w:rPr>
      </w:pPr>
    </w:p>
    <w:p w14:paraId="596EC428" w14:textId="77777777" w:rsidR="007C02C0" w:rsidRDefault="007C02C0" w:rsidP="007C02C0">
      <w:pPr>
        <w:spacing w:line="360" w:lineRule="auto"/>
        <w:rPr>
          <w:rFonts w:ascii="Arial" w:hAnsi="Arial" w:cs="Arial"/>
          <w:b/>
          <w:bCs/>
        </w:rPr>
      </w:pPr>
    </w:p>
    <w:p w14:paraId="7875C142" w14:textId="77777777" w:rsidR="007C02C0" w:rsidRDefault="007C02C0" w:rsidP="007C02C0">
      <w:pPr>
        <w:spacing w:line="360" w:lineRule="auto"/>
        <w:rPr>
          <w:rFonts w:ascii="Arial" w:hAnsi="Arial" w:cs="Arial"/>
          <w:b/>
          <w:bCs/>
        </w:rPr>
      </w:pPr>
    </w:p>
    <w:p w14:paraId="58BE4F98" w14:textId="77777777" w:rsidR="007C02C0" w:rsidRDefault="007C02C0" w:rsidP="007C02C0">
      <w:pPr>
        <w:spacing w:line="360" w:lineRule="auto"/>
        <w:rPr>
          <w:rFonts w:ascii="Arial" w:hAnsi="Arial" w:cs="Arial"/>
          <w:b/>
          <w:bCs/>
        </w:rPr>
      </w:pPr>
    </w:p>
    <w:p w14:paraId="11C491B5" w14:textId="77777777" w:rsidR="0032555E" w:rsidRDefault="0032555E" w:rsidP="007C02C0">
      <w:pPr>
        <w:spacing w:line="360" w:lineRule="auto"/>
        <w:rPr>
          <w:rFonts w:ascii="Arial" w:hAnsi="Arial" w:cs="Arial"/>
          <w:b/>
          <w:bCs/>
        </w:rPr>
      </w:pPr>
    </w:p>
    <w:p w14:paraId="2367876D" w14:textId="77777777" w:rsidR="0032555E" w:rsidRDefault="0032555E" w:rsidP="007C02C0">
      <w:pPr>
        <w:spacing w:line="360" w:lineRule="auto"/>
        <w:rPr>
          <w:rFonts w:ascii="Arial" w:hAnsi="Arial" w:cs="Arial"/>
          <w:b/>
          <w:bCs/>
        </w:rPr>
      </w:pPr>
    </w:p>
    <w:p w14:paraId="3B4CE764" w14:textId="77777777" w:rsidR="0032555E" w:rsidRDefault="0032555E" w:rsidP="007C02C0">
      <w:pPr>
        <w:spacing w:line="360" w:lineRule="auto"/>
        <w:rPr>
          <w:rFonts w:ascii="Arial" w:hAnsi="Arial" w:cs="Arial"/>
          <w:b/>
          <w:bCs/>
        </w:rPr>
      </w:pPr>
    </w:p>
    <w:p w14:paraId="41A76569" w14:textId="77777777" w:rsidR="0032555E" w:rsidRDefault="0032555E" w:rsidP="007C02C0">
      <w:pPr>
        <w:spacing w:line="360" w:lineRule="auto"/>
        <w:rPr>
          <w:rFonts w:ascii="Arial" w:hAnsi="Arial" w:cs="Arial"/>
          <w:b/>
          <w:bCs/>
        </w:rPr>
      </w:pPr>
    </w:p>
    <w:p w14:paraId="2EA6AF3F" w14:textId="77777777" w:rsidR="0032555E" w:rsidRDefault="0032555E" w:rsidP="007C02C0">
      <w:pPr>
        <w:spacing w:line="360" w:lineRule="auto"/>
        <w:rPr>
          <w:rFonts w:ascii="Arial" w:hAnsi="Arial" w:cs="Arial"/>
          <w:b/>
          <w:bCs/>
        </w:rPr>
      </w:pPr>
    </w:p>
    <w:p w14:paraId="02305BAB" w14:textId="77777777" w:rsidR="0032555E" w:rsidRDefault="0032555E" w:rsidP="007C02C0">
      <w:pPr>
        <w:spacing w:line="360" w:lineRule="auto"/>
        <w:rPr>
          <w:rFonts w:ascii="Arial" w:hAnsi="Arial" w:cs="Arial"/>
          <w:b/>
          <w:bCs/>
        </w:rPr>
      </w:pPr>
    </w:p>
    <w:p w14:paraId="79826E00" w14:textId="77777777" w:rsidR="0032555E" w:rsidRDefault="0032555E" w:rsidP="007C02C0">
      <w:pPr>
        <w:spacing w:line="360" w:lineRule="auto"/>
        <w:rPr>
          <w:rFonts w:ascii="Arial" w:hAnsi="Arial" w:cs="Arial"/>
          <w:b/>
          <w:bCs/>
        </w:rPr>
      </w:pPr>
    </w:p>
    <w:p w14:paraId="22D06A9A" w14:textId="77777777" w:rsidR="0032555E" w:rsidRDefault="0032555E" w:rsidP="007C02C0">
      <w:pPr>
        <w:spacing w:line="360" w:lineRule="auto"/>
        <w:rPr>
          <w:rFonts w:ascii="Arial" w:hAnsi="Arial" w:cs="Arial"/>
          <w:b/>
          <w:bCs/>
        </w:rPr>
      </w:pPr>
    </w:p>
    <w:p w14:paraId="156DEDA7" w14:textId="77777777" w:rsidR="0032555E" w:rsidRDefault="0032555E" w:rsidP="007C02C0">
      <w:pPr>
        <w:spacing w:line="360" w:lineRule="auto"/>
        <w:rPr>
          <w:rFonts w:ascii="Arial" w:hAnsi="Arial" w:cs="Arial"/>
          <w:b/>
          <w:bCs/>
        </w:rPr>
      </w:pPr>
    </w:p>
    <w:p w14:paraId="612952E9" w14:textId="68D7D718" w:rsidR="0032555E" w:rsidRDefault="0032555E" w:rsidP="007C02C0">
      <w:pPr>
        <w:spacing w:line="360" w:lineRule="auto"/>
        <w:rPr>
          <w:rFonts w:ascii="Arial" w:hAnsi="Arial" w:cs="Arial"/>
          <w:b/>
          <w:bCs/>
        </w:rPr>
      </w:pPr>
      <w:r>
        <w:rPr>
          <w:rFonts w:ascii="Arial" w:hAnsi="Arial" w:cs="Arial"/>
          <w:b/>
          <w:bCs/>
        </w:rPr>
        <w:lastRenderedPageBreak/>
        <w:t>Table of Contents</w:t>
      </w:r>
    </w:p>
    <w:p w14:paraId="29E0C9F3" w14:textId="70FBA2EA" w:rsidR="0032555E" w:rsidRPr="00E841B4" w:rsidRDefault="0032555E" w:rsidP="00E841B4">
      <w:pPr>
        <w:spacing w:line="360" w:lineRule="auto"/>
        <w:rPr>
          <w:rFonts w:ascii="Arial" w:hAnsi="Arial" w:cs="Arial"/>
          <w:b/>
          <w:bCs/>
        </w:rPr>
      </w:pPr>
      <w:r w:rsidRPr="00E841B4">
        <w:rPr>
          <w:rFonts w:ascii="Arial" w:hAnsi="Arial" w:cs="Arial"/>
          <w:b/>
          <w:bCs/>
        </w:rPr>
        <w:t>Introduction</w:t>
      </w:r>
      <w:r w:rsidR="00E841B4">
        <w:rPr>
          <w:rFonts w:ascii="Arial" w:hAnsi="Arial" w:cs="Arial"/>
          <w:b/>
          <w:bCs/>
        </w:rPr>
        <w:t xml:space="preserve">                                                                                                                3     </w:t>
      </w:r>
    </w:p>
    <w:p w14:paraId="56E32B10" w14:textId="2AE6B288" w:rsidR="0032555E" w:rsidRPr="00E841B4" w:rsidRDefault="0032555E" w:rsidP="0032555E">
      <w:pPr>
        <w:spacing w:line="360" w:lineRule="auto"/>
        <w:rPr>
          <w:rFonts w:ascii="Arial" w:hAnsi="Arial" w:cs="Arial"/>
        </w:rPr>
      </w:pPr>
      <w:r w:rsidRPr="00E841B4">
        <w:rPr>
          <w:rFonts w:ascii="Arial" w:hAnsi="Arial" w:cs="Arial"/>
        </w:rPr>
        <w:t xml:space="preserve">1.An explanation of the specific factors related to societal </w:t>
      </w:r>
      <w:r w:rsidR="00E841B4" w:rsidRPr="00E841B4">
        <w:rPr>
          <w:rFonts w:ascii="Arial" w:hAnsi="Arial" w:cs="Arial"/>
        </w:rPr>
        <w:t xml:space="preserve">changes, </w:t>
      </w:r>
      <w:r w:rsidRPr="00E841B4">
        <w:rPr>
          <w:rFonts w:ascii="Arial" w:hAnsi="Arial" w:cs="Arial"/>
        </w:rPr>
        <w:t>technology trends and flexible working arrangements within the organisation</w:t>
      </w:r>
      <w:r w:rsidR="00E841B4" w:rsidRPr="00E841B4">
        <w:rPr>
          <w:rFonts w:ascii="Arial" w:hAnsi="Arial" w:cs="Arial"/>
        </w:rPr>
        <w:t xml:space="preserve"> </w:t>
      </w:r>
      <w:r w:rsidR="00CD11C7">
        <w:rPr>
          <w:rFonts w:ascii="Arial" w:hAnsi="Arial" w:cs="Arial"/>
        </w:rPr>
        <w:t xml:space="preserve">                          4-6  </w:t>
      </w:r>
    </w:p>
    <w:p w14:paraId="141B8E91" w14:textId="10831073" w:rsidR="0032555E" w:rsidRPr="007C02C0" w:rsidRDefault="0032555E" w:rsidP="0032555E">
      <w:pPr>
        <w:pStyle w:val="ListParagraph"/>
        <w:numPr>
          <w:ilvl w:val="1"/>
          <w:numId w:val="2"/>
        </w:numPr>
        <w:tabs>
          <w:tab w:val="left" w:pos="1848"/>
        </w:tabs>
        <w:spacing w:line="360" w:lineRule="auto"/>
        <w:rPr>
          <w:rFonts w:ascii="Arial" w:hAnsi="Arial" w:cs="Arial"/>
        </w:rPr>
      </w:pPr>
      <w:r w:rsidRPr="007C02C0">
        <w:rPr>
          <w:rFonts w:ascii="Arial" w:hAnsi="Arial" w:cs="Arial"/>
        </w:rPr>
        <w:t xml:space="preserve">Societal Changes </w:t>
      </w:r>
      <w:r w:rsidR="00E841B4">
        <w:rPr>
          <w:rFonts w:ascii="Arial" w:hAnsi="Arial" w:cs="Arial"/>
        </w:rPr>
        <w:t xml:space="preserve">                                                                                                  4</w:t>
      </w:r>
    </w:p>
    <w:p w14:paraId="533D9995" w14:textId="65765B6C" w:rsidR="00E841B4" w:rsidRPr="00E841B4" w:rsidRDefault="00E841B4" w:rsidP="00E841B4">
      <w:pPr>
        <w:tabs>
          <w:tab w:val="left" w:pos="1848"/>
          <w:tab w:val="right" w:pos="9026"/>
        </w:tabs>
        <w:spacing w:line="360" w:lineRule="auto"/>
        <w:rPr>
          <w:rFonts w:ascii="Arial" w:hAnsi="Arial" w:cs="Arial"/>
        </w:rPr>
      </w:pPr>
      <w:r w:rsidRPr="00E841B4">
        <w:rPr>
          <w:rFonts w:ascii="Arial" w:hAnsi="Arial" w:cs="Arial"/>
        </w:rPr>
        <w:t xml:space="preserve">1.2 – Technological Trends </w:t>
      </w:r>
      <w:r>
        <w:rPr>
          <w:rFonts w:ascii="Arial" w:hAnsi="Arial" w:cs="Arial"/>
        </w:rPr>
        <w:t xml:space="preserve">                                                                                         5</w:t>
      </w:r>
    </w:p>
    <w:p w14:paraId="313145BA" w14:textId="02FF8A29" w:rsidR="00E841B4" w:rsidRDefault="00E841B4" w:rsidP="00E841B4">
      <w:pPr>
        <w:tabs>
          <w:tab w:val="left" w:pos="1848"/>
        </w:tabs>
        <w:spacing w:line="360" w:lineRule="auto"/>
        <w:rPr>
          <w:rFonts w:ascii="Arial" w:hAnsi="Arial" w:cs="Arial"/>
        </w:rPr>
      </w:pPr>
      <w:r w:rsidRPr="007C02C0">
        <w:rPr>
          <w:rFonts w:ascii="Arial" w:hAnsi="Arial" w:cs="Arial"/>
        </w:rPr>
        <w:t xml:space="preserve">1.3 Flexible Working Arrangements </w:t>
      </w:r>
      <w:r>
        <w:rPr>
          <w:rFonts w:ascii="Arial" w:hAnsi="Arial" w:cs="Arial"/>
        </w:rPr>
        <w:t xml:space="preserve">                                                                         5-6</w:t>
      </w:r>
    </w:p>
    <w:p w14:paraId="309E3B29" w14:textId="3B54AE6C" w:rsidR="00E841B4" w:rsidRPr="00E841B4" w:rsidRDefault="00E841B4" w:rsidP="00E841B4">
      <w:pPr>
        <w:tabs>
          <w:tab w:val="left" w:pos="1848"/>
        </w:tabs>
        <w:spacing w:line="360" w:lineRule="auto"/>
        <w:rPr>
          <w:rFonts w:ascii="Arial" w:hAnsi="Arial" w:cs="Arial"/>
        </w:rPr>
      </w:pPr>
      <w:r w:rsidRPr="00E841B4">
        <w:rPr>
          <w:rFonts w:ascii="Arial" w:hAnsi="Arial" w:cs="Arial"/>
        </w:rPr>
        <w:t>2.An evaluation of different contemporary HR practices to address each factor</w:t>
      </w:r>
      <w:r w:rsidR="00CD11C7">
        <w:rPr>
          <w:rFonts w:ascii="Arial" w:hAnsi="Arial" w:cs="Arial"/>
        </w:rPr>
        <w:t xml:space="preserve">      6-7</w:t>
      </w:r>
    </w:p>
    <w:p w14:paraId="4150687D" w14:textId="43814269" w:rsidR="00E841B4" w:rsidRPr="004714CC" w:rsidRDefault="00E841B4" w:rsidP="00E841B4">
      <w:pPr>
        <w:tabs>
          <w:tab w:val="left" w:pos="1848"/>
        </w:tabs>
        <w:spacing w:line="360" w:lineRule="auto"/>
        <w:rPr>
          <w:rFonts w:ascii="Arial" w:hAnsi="Arial" w:cs="Arial"/>
        </w:rPr>
      </w:pPr>
      <w:r w:rsidRPr="004714CC">
        <w:rPr>
          <w:rFonts w:ascii="Arial" w:hAnsi="Arial" w:cs="Arial"/>
        </w:rPr>
        <w:t>2.1 Employee Engagement (Kahn’s Engagement Theory)</w:t>
      </w:r>
      <w:r>
        <w:rPr>
          <w:rFonts w:ascii="Arial" w:hAnsi="Arial" w:cs="Arial"/>
        </w:rPr>
        <w:t xml:space="preserve">                                         6                               </w:t>
      </w:r>
    </w:p>
    <w:p w14:paraId="63018D23" w14:textId="7D0FEA42" w:rsidR="00E841B4" w:rsidRPr="004714CC" w:rsidRDefault="00E841B4" w:rsidP="00E841B4">
      <w:pPr>
        <w:tabs>
          <w:tab w:val="left" w:pos="1848"/>
        </w:tabs>
        <w:spacing w:line="360" w:lineRule="auto"/>
        <w:rPr>
          <w:rFonts w:ascii="Arial" w:hAnsi="Arial" w:cs="Arial"/>
        </w:rPr>
      </w:pPr>
      <w:r w:rsidRPr="004714CC">
        <w:rPr>
          <w:rFonts w:ascii="Arial" w:hAnsi="Arial" w:cs="Arial"/>
        </w:rPr>
        <w:t>2.2 Learning and Development (Maslow’s Hierarchy of Needs)</w:t>
      </w:r>
      <w:r>
        <w:rPr>
          <w:rFonts w:ascii="Arial" w:hAnsi="Arial" w:cs="Arial"/>
        </w:rPr>
        <w:t xml:space="preserve">                                  7</w:t>
      </w:r>
    </w:p>
    <w:p w14:paraId="34A9A55A" w14:textId="0404E96D" w:rsidR="00E841B4" w:rsidRPr="004714CC" w:rsidRDefault="00E841B4" w:rsidP="00E841B4">
      <w:pPr>
        <w:tabs>
          <w:tab w:val="left" w:pos="1848"/>
        </w:tabs>
        <w:spacing w:line="360" w:lineRule="auto"/>
        <w:rPr>
          <w:rFonts w:ascii="Arial" w:hAnsi="Arial" w:cs="Arial"/>
        </w:rPr>
      </w:pPr>
      <w:r w:rsidRPr="004714CC">
        <w:rPr>
          <w:rFonts w:ascii="Arial" w:hAnsi="Arial" w:cs="Arial"/>
        </w:rPr>
        <w:t>2.3 Remote and Hybrid Working (Herzberg’s Motivational Factors)</w:t>
      </w:r>
      <w:r>
        <w:rPr>
          <w:rFonts w:ascii="Arial" w:hAnsi="Arial" w:cs="Arial"/>
        </w:rPr>
        <w:t xml:space="preserve">                            7</w:t>
      </w:r>
    </w:p>
    <w:p w14:paraId="10D5F4CC" w14:textId="4B12AC0E" w:rsidR="00E841B4" w:rsidRDefault="00E841B4" w:rsidP="00E841B4">
      <w:pPr>
        <w:tabs>
          <w:tab w:val="left" w:pos="1848"/>
        </w:tabs>
        <w:spacing w:line="360" w:lineRule="auto"/>
        <w:rPr>
          <w:rFonts w:ascii="Arial" w:hAnsi="Arial" w:cs="Arial"/>
          <w:b/>
          <w:bCs/>
        </w:rPr>
      </w:pPr>
      <w:r w:rsidRPr="00E841B4">
        <w:rPr>
          <w:rFonts w:ascii="Arial" w:hAnsi="Arial" w:cs="Arial"/>
        </w:rPr>
        <w:t>3.A critical evaluation of how departmental managers can ensure these   contemporary practices are being implemented as a matter of urgency`</w:t>
      </w:r>
      <w:r w:rsidRPr="00E841B4">
        <w:rPr>
          <w:rFonts w:ascii="Arial" w:hAnsi="Arial" w:cs="Arial"/>
          <w:b/>
          <w:bCs/>
        </w:rPr>
        <w:t xml:space="preserve">       </w:t>
      </w:r>
      <w:r>
        <w:rPr>
          <w:rFonts w:ascii="Arial" w:hAnsi="Arial" w:cs="Arial"/>
          <w:b/>
          <w:bCs/>
        </w:rPr>
        <w:t xml:space="preserve">         </w:t>
      </w:r>
      <w:r w:rsidRPr="00E841B4">
        <w:rPr>
          <w:rFonts w:ascii="Arial" w:hAnsi="Arial" w:cs="Arial"/>
          <w:b/>
          <w:bCs/>
        </w:rPr>
        <w:t xml:space="preserve"> </w:t>
      </w:r>
      <w:r w:rsidRPr="00E841B4">
        <w:rPr>
          <w:rFonts w:ascii="Arial" w:hAnsi="Arial" w:cs="Arial"/>
        </w:rPr>
        <w:t>8-9</w:t>
      </w:r>
    </w:p>
    <w:p w14:paraId="443E5F73" w14:textId="5F6300AD" w:rsidR="00E841B4" w:rsidRPr="00CD11C7" w:rsidRDefault="00E841B4" w:rsidP="00E841B4">
      <w:pPr>
        <w:tabs>
          <w:tab w:val="left" w:pos="1848"/>
        </w:tabs>
        <w:spacing w:line="360" w:lineRule="auto"/>
        <w:rPr>
          <w:rFonts w:ascii="Arial" w:hAnsi="Arial" w:cs="Arial"/>
        </w:rPr>
      </w:pPr>
      <w:r w:rsidRPr="00CD11C7">
        <w:rPr>
          <w:rFonts w:ascii="Arial" w:hAnsi="Arial" w:cs="Arial"/>
        </w:rPr>
        <w:t xml:space="preserve">Conclusion </w:t>
      </w:r>
      <w:r w:rsidR="00CD11C7" w:rsidRPr="00CD11C7">
        <w:rPr>
          <w:rFonts w:ascii="Arial" w:hAnsi="Arial" w:cs="Arial"/>
        </w:rPr>
        <w:t xml:space="preserve">                                                                                                              </w:t>
      </w:r>
      <w:r w:rsidR="00CD11C7">
        <w:rPr>
          <w:rFonts w:ascii="Arial" w:hAnsi="Arial" w:cs="Arial"/>
        </w:rPr>
        <w:t xml:space="preserve">  </w:t>
      </w:r>
      <w:r w:rsidR="00CD11C7" w:rsidRPr="00CD11C7">
        <w:rPr>
          <w:rFonts w:ascii="Arial" w:hAnsi="Arial" w:cs="Arial"/>
        </w:rPr>
        <w:t>10</w:t>
      </w:r>
    </w:p>
    <w:p w14:paraId="609CB7BC" w14:textId="1394C81F" w:rsidR="00E841B4" w:rsidRPr="00886103" w:rsidRDefault="00E841B4" w:rsidP="00E841B4">
      <w:pPr>
        <w:tabs>
          <w:tab w:val="left" w:pos="1848"/>
        </w:tabs>
        <w:spacing w:line="360" w:lineRule="auto"/>
        <w:rPr>
          <w:rFonts w:ascii="Arial" w:hAnsi="Arial" w:cs="Arial"/>
        </w:rPr>
      </w:pPr>
      <w:r w:rsidRPr="00CD11C7">
        <w:rPr>
          <w:rFonts w:ascii="Arial" w:hAnsi="Arial" w:cs="Arial"/>
        </w:rPr>
        <w:t xml:space="preserve">Recommendations </w:t>
      </w:r>
      <w:r w:rsidR="00CD11C7">
        <w:rPr>
          <w:rFonts w:ascii="Arial" w:hAnsi="Arial" w:cs="Arial"/>
        </w:rPr>
        <w:t xml:space="preserve">                                                                                                    10</w:t>
      </w:r>
    </w:p>
    <w:p w14:paraId="56736EB4" w14:textId="5FB05C92" w:rsidR="00E841B4" w:rsidRPr="00CD11C7" w:rsidRDefault="00E841B4" w:rsidP="00E841B4">
      <w:pPr>
        <w:tabs>
          <w:tab w:val="left" w:pos="1848"/>
        </w:tabs>
        <w:spacing w:line="360" w:lineRule="auto"/>
        <w:rPr>
          <w:rFonts w:ascii="Arial" w:hAnsi="Arial" w:cs="Arial"/>
        </w:rPr>
      </w:pPr>
      <w:r w:rsidRPr="00CD11C7">
        <w:rPr>
          <w:rFonts w:ascii="Arial" w:hAnsi="Arial" w:cs="Arial"/>
        </w:rPr>
        <w:t xml:space="preserve">Reference list </w:t>
      </w:r>
      <w:r w:rsidR="00CD11C7">
        <w:rPr>
          <w:rFonts w:ascii="Arial" w:hAnsi="Arial" w:cs="Arial"/>
        </w:rPr>
        <w:t xml:space="preserve">                                                                                                       11-12</w:t>
      </w:r>
    </w:p>
    <w:p w14:paraId="2090731C" w14:textId="77777777" w:rsidR="00E841B4" w:rsidRPr="00886103" w:rsidRDefault="00E841B4" w:rsidP="00E841B4">
      <w:pPr>
        <w:tabs>
          <w:tab w:val="left" w:pos="1848"/>
        </w:tabs>
        <w:spacing w:line="360" w:lineRule="auto"/>
        <w:rPr>
          <w:rFonts w:ascii="Arial" w:hAnsi="Arial" w:cs="Arial"/>
          <w:b/>
          <w:bCs/>
        </w:rPr>
      </w:pPr>
    </w:p>
    <w:p w14:paraId="1F9BA1E3" w14:textId="77777777" w:rsidR="00E841B4" w:rsidRPr="007C02C0" w:rsidRDefault="00E841B4" w:rsidP="00E841B4">
      <w:pPr>
        <w:tabs>
          <w:tab w:val="left" w:pos="1848"/>
        </w:tabs>
        <w:spacing w:line="360" w:lineRule="auto"/>
        <w:rPr>
          <w:rFonts w:ascii="Arial" w:hAnsi="Arial" w:cs="Arial"/>
        </w:rPr>
      </w:pPr>
    </w:p>
    <w:p w14:paraId="16C70E88" w14:textId="77777777" w:rsidR="0032555E" w:rsidRDefault="0032555E" w:rsidP="007C02C0">
      <w:pPr>
        <w:spacing w:line="360" w:lineRule="auto"/>
        <w:rPr>
          <w:rFonts w:ascii="Arial" w:hAnsi="Arial" w:cs="Arial"/>
          <w:b/>
          <w:bCs/>
        </w:rPr>
      </w:pPr>
    </w:p>
    <w:p w14:paraId="2CEFA20E" w14:textId="77777777" w:rsidR="0032555E" w:rsidRDefault="0032555E" w:rsidP="007C02C0">
      <w:pPr>
        <w:spacing w:line="360" w:lineRule="auto"/>
        <w:rPr>
          <w:rFonts w:ascii="Arial" w:hAnsi="Arial" w:cs="Arial"/>
          <w:b/>
          <w:bCs/>
        </w:rPr>
      </w:pPr>
    </w:p>
    <w:p w14:paraId="34901CB5" w14:textId="77777777" w:rsidR="0032555E" w:rsidRDefault="0032555E" w:rsidP="007C02C0">
      <w:pPr>
        <w:spacing w:line="360" w:lineRule="auto"/>
        <w:rPr>
          <w:rFonts w:ascii="Arial" w:hAnsi="Arial" w:cs="Arial"/>
          <w:b/>
          <w:bCs/>
        </w:rPr>
      </w:pPr>
    </w:p>
    <w:p w14:paraId="73716F4B" w14:textId="77777777" w:rsidR="0032555E" w:rsidRDefault="0032555E" w:rsidP="007C02C0">
      <w:pPr>
        <w:spacing w:line="360" w:lineRule="auto"/>
        <w:rPr>
          <w:rFonts w:ascii="Arial" w:hAnsi="Arial" w:cs="Arial"/>
          <w:b/>
          <w:bCs/>
        </w:rPr>
      </w:pPr>
    </w:p>
    <w:p w14:paraId="3FE65E8F" w14:textId="77777777" w:rsidR="0032555E" w:rsidRDefault="0032555E" w:rsidP="007C02C0">
      <w:pPr>
        <w:spacing w:line="360" w:lineRule="auto"/>
        <w:rPr>
          <w:rFonts w:ascii="Arial" w:hAnsi="Arial" w:cs="Arial"/>
          <w:b/>
          <w:bCs/>
        </w:rPr>
      </w:pPr>
    </w:p>
    <w:p w14:paraId="6E99CE1D" w14:textId="77777777" w:rsidR="0032555E" w:rsidRDefault="0032555E" w:rsidP="007C02C0">
      <w:pPr>
        <w:spacing w:line="360" w:lineRule="auto"/>
        <w:rPr>
          <w:rFonts w:ascii="Arial" w:hAnsi="Arial" w:cs="Arial"/>
          <w:b/>
          <w:bCs/>
        </w:rPr>
      </w:pPr>
    </w:p>
    <w:p w14:paraId="52CDC0F8" w14:textId="77777777" w:rsidR="00E841B4" w:rsidRDefault="00E841B4" w:rsidP="007C02C0">
      <w:pPr>
        <w:spacing w:line="360" w:lineRule="auto"/>
        <w:rPr>
          <w:rFonts w:ascii="Arial" w:hAnsi="Arial" w:cs="Arial"/>
          <w:b/>
          <w:bCs/>
        </w:rPr>
      </w:pPr>
    </w:p>
    <w:p w14:paraId="1C65F342" w14:textId="4F1E2712" w:rsidR="001E192A" w:rsidRPr="006C0CD4" w:rsidRDefault="006542B0" w:rsidP="007C02C0">
      <w:pPr>
        <w:spacing w:line="360" w:lineRule="auto"/>
        <w:rPr>
          <w:rFonts w:ascii="Arial" w:hAnsi="Arial" w:cs="Arial"/>
          <w:b/>
          <w:bCs/>
        </w:rPr>
      </w:pPr>
      <w:r w:rsidRPr="006C0CD4">
        <w:rPr>
          <w:rFonts w:ascii="Arial" w:hAnsi="Arial" w:cs="Arial"/>
          <w:b/>
          <w:bCs/>
        </w:rPr>
        <w:lastRenderedPageBreak/>
        <w:t xml:space="preserve">Introduction </w:t>
      </w:r>
    </w:p>
    <w:p w14:paraId="2D7FD3AA" w14:textId="3C750237" w:rsidR="001E192A" w:rsidRDefault="001E192A" w:rsidP="007C02C0">
      <w:pPr>
        <w:spacing w:line="360" w:lineRule="auto"/>
        <w:rPr>
          <w:rFonts w:ascii="Arial" w:hAnsi="Arial" w:cs="Arial"/>
        </w:rPr>
      </w:pPr>
      <w:r>
        <w:rPr>
          <w:rFonts w:ascii="Arial" w:hAnsi="Arial" w:cs="Arial"/>
        </w:rPr>
        <w:t>Recently I have jointed the HR department in HSBC Holdings plc as an HR assistant.</w:t>
      </w:r>
      <w:r w:rsidR="00844E3D">
        <w:rPr>
          <w:rFonts w:ascii="Arial" w:hAnsi="Arial" w:cs="Arial"/>
        </w:rPr>
        <w:t xml:space="preserve"> With its headquarters in London, United Kingdom company provides banking and financial services. To smooth the process of trade between Asia and Europe i</w:t>
      </w:r>
      <w:r w:rsidR="00492482">
        <w:rPr>
          <w:rFonts w:ascii="Arial" w:hAnsi="Arial" w:cs="Arial"/>
        </w:rPr>
        <w:t xml:space="preserve">n 1865 The Hongkong and Shanghai Banking Corporation was established, that was the beginning of the organization. Company known as HSBC holding plc was founded later in 1991 and after </w:t>
      </w:r>
      <w:r w:rsidR="00492482" w:rsidRPr="001E192A">
        <w:rPr>
          <w:rFonts w:ascii="Arial" w:hAnsi="Arial" w:cs="Arial"/>
        </w:rPr>
        <w:t>acquiring</w:t>
      </w:r>
      <w:r w:rsidR="00492482">
        <w:rPr>
          <w:rFonts w:ascii="Arial" w:hAnsi="Arial" w:cs="Arial"/>
        </w:rPr>
        <w:t xml:space="preserve"> Midland Bank in 1992 had its headquarters located in London (HSBC, 2025). The organisation offers its services such as retail, commercial and global banking in more than 60 countries across the globe and is known as one of the biggest </w:t>
      </w:r>
      <w:r w:rsidR="00844E3D">
        <w:rPr>
          <w:rFonts w:ascii="Arial" w:hAnsi="Arial" w:cs="Arial"/>
        </w:rPr>
        <w:t>banking groups in the world (Britannica, 2025).</w:t>
      </w:r>
    </w:p>
    <w:p w14:paraId="6E6DA537" w14:textId="0874E598" w:rsidR="00844E3D" w:rsidRDefault="005374FC" w:rsidP="007C02C0">
      <w:pPr>
        <w:spacing w:line="360" w:lineRule="auto"/>
        <w:rPr>
          <w:rFonts w:ascii="Arial" w:hAnsi="Arial" w:cs="Arial"/>
        </w:rPr>
      </w:pPr>
      <w:r>
        <w:rPr>
          <w:rFonts w:ascii="Arial" w:hAnsi="Arial" w:cs="Arial"/>
        </w:rPr>
        <w:t>As b</w:t>
      </w:r>
      <w:r w:rsidRPr="005374FC">
        <w:rPr>
          <w:rFonts w:ascii="Arial" w:hAnsi="Arial" w:cs="Arial"/>
        </w:rPr>
        <w:t>usiness transformation using digital technological trends and flexible working arrangements have been identified as broad factors</w:t>
      </w:r>
      <w:r>
        <w:rPr>
          <w:rFonts w:ascii="Arial" w:hAnsi="Arial" w:cs="Arial"/>
        </w:rPr>
        <w:t xml:space="preserve"> i</w:t>
      </w:r>
      <w:r w:rsidR="00844E3D">
        <w:rPr>
          <w:rFonts w:ascii="Arial" w:hAnsi="Arial" w:cs="Arial"/>
        </w:rPr>
        <w:t xml:space="preserve">n this </w:t>
      </w:r>
      <w:r>
        <w:rPr>
          <w:rFonts w:ascii="Arial" w:hAnsi="Arial" w:cs="Arial"/>
        </w:rPr>
        <w:t>report,</w:t>
      </w:r>
      <w:r w:rsidR="00844E3D">
        <w:rPr>
          <w:rFonts w:ascii="Arial" w:hAnsi="Arial" w:cs="Arial"/>
        </w:rPr>
        <w:t xml:space="preserve"> I am going to discuss factors that related to business transformation, then evaluate on HR practices </w:t>
      </w:r>
      <w:r>
        <w:rPr>
          <w:rFonts w:ascii="Arial" w:hAnsi="Arial" w:cs="Arial"/>
        </w:rPr>
        <w:t xml:space="preserve">to deal with these factors, and after that I will discuss how managers can ensure implementation of these practises. </w:t>
      </w:r>
      <w:r w:rsidR="00304D39">
        <w:rPr>
          <w:rFonts w:ascii="Arial" w:hAnsi="Arial" w:cs="Arial"/>
        </w:rPr>
        <w:t>Also,</w:t>
      </w:r>
      <w:r>
        <w:rPr>
          <w:rFonts w:ascii="Arial" w:hAnsi="Arial" w:cs="Arial"/>
        </w:rPr>
        <w:t xml:space="preserve"> there will be a conclusion and some recommendations at the end.</w:t>
      </w:r>
    </w:p>
    <w:p w14:paraId="69AAF349" w14:textId="77777777" w:rsidR="00844E3D" w:rsidRDefault="00844E3D" w:rsidP="007C02C0">
      <w:pPr>
        <w:spacing w:line="360" w:lineRule="auto"/>
        <w:rPr>
          <w:rFonts w:ascii="Arial" w:hAnsi="Arial" w:cs="Arial"/>
        </w:rPr>
      </w:pPr>
    </w:p>
    <w:p w14:paraId="3943C8C7" w14:textId="77777777" w:rsidR="007C02C0" w:rsidRDefault="007C02C0" w:rsidP="007C02C0">
      <w:pPr>
        <w:spacing w:line="360" w:lineRule="auto"/>
        <w:rPr>
          <w:rFonts w:ascii="Arial" w:hAnsi="Arial" w:cs="Arial"/>
        </w:rPr>
      </w:pPr>
    </w:p>
    <w:p w14:paraId="08A6E644" w14:textId="77777777" w:rsidR="007C02C0" w:rsidRDefault="007C02C0" w:rsidP="007C02C0">
      <w:pPr>
        <w:spacing w:line="360" w:lineRule="auto"/>
        <w:rPr>
          <w:rFonts w:ascii="Arial" w:hAnsi="Arial" w:cs="Arial"/>
        </w:rPr>
      </w:pPr>
    </w:p>
    <w:p w14:paraId="7839FC2B" w14:textId="77777777" w:rsidR="007C02C0" w:rsidRDefault="007C02C0" w:rsidP="007C02C0">
      <w:pPr>
        <w:spacing w:line="360" w:lineRule="auto"/>
        <w:rPr>
          <w:rFonts w:ascii="Arial" w:hAnsi="Arial" w:cs="Arial"/>
        </w:rPr>
      </w:pPr>
    </w:p>
    <w:p w14:paraId="15AF094A" w14:textId="77777777" w:rsidR="007C02C0" w:rsidRDefault="007C02C0" w:rsidP="007C02C0">
      <w:pPr>
        <w:spacing w:line="360" w:lineRule="auto"/>
        <w:rPr>
          <w:rFonts w:ascii="Arial" w:hAnsi="Arial" w:cs="Arial"/>
        </w:rPr>
      </w:pPr>
    </w:p>
    <w:p w14:paraId="4FB9FB37" w14:textId="77777777" w:rsidR="0032555E" w:rsidRDefault="0032555E" w:rsidP="007C02C0">
      <w:pPr>
        <w:spacing w:line="360" w:lineRule="auto"/>
        <w:rPr>
          <w:rFonts w:ascii="Arial" w:hAnsi="Arial" w:cs="Arial"/>
          <w:b/>
          <w:bCs/>
        </w:rPr>
      </w:pPr>
    </w:p>
    <w:p w14:paraId="3DE86B3B" w14:textId="77777777" w:rsidR="0032555E" w:rsidRDefault="0032555E" w:rsidP="007C02C0">
      <w:pPr>
        <w:spacing w:line="360" w:lineRule="auto"/>
        <w:rPr>
          <w:rFonts w:ascii="Arial" w:hAnsi="Arial" w:cs="Arial"/>
          <w:b/>
          <w:bCs/>
        </w:rPr>
      </w:pPr>
    </w:p>
    <w:p w14:paraId="31B0FF7E" w14:textId="77777777" w:rsidR="0032555E" w:rsidRDefault="0032555E" w:rsidP="007C02C0">
      <w:pPr>
        <w:spacing w:line="360" w:lineRule="auto"/>
        <w:rPr>
          <w:rFonts w:ascii="Arial" w:hAnsi="Arial" w:cs="Arial"/>
          <w:b/>
          <w:bCs/>
        </w:rPr>
      </w:pPr>
    </w:p>
    <w:p w14:paraId="64A8661C" w14:textId="77777777" w:rsidR="00E841B4" w:rsidRDefault="00E841B4" w:rsidP="007C02C0">
      <w:pPr>
        <w:spacing w:line="360" w:lineRule="auto"/>
        <w:rPr>
          <w:rFonts w:ascii="Arial" w:hAnsi="Arial" w:cs="Arial"/>
          <w:b/>
          <w:bCs/>
        </w:rPr>
      </w:pPr>
    </w:p>
    <w:p w14:paraId="1350170B" w14:textId="77777777" w:rsidR="00E841B4" w:rsidRDefault="00E841B4" w:rsidP="007C02C0">
      <w:pPr>
        <w:spacing w:line="360" w:lineRule="auto"/>
        <w:rPr>
          <w:rFonts w:ascii="Arial" w:hAnsi="Arial" w:cs="Arial"/>
          <w:b/>
          <w:bCs/>
        </w:rPr>
      </w:pPr>
    </w:p>
    <w:p w14:paraId="041ABB20" w14:textId="77777777" w:rsidR="00E841B4" w:rsidRDefault="00E841B4" w:rsidP="007C02C0">
      <w:pPr>
        <w:spacing w:line="360" w:lineRule="auto"/>
        <w:rPr>
          <w:rFonts w:ascii="Arial" w:hAnsi="Arial" w:cs="Arial"/>
          <w:b/>
          <w:bCs/>
        </w:rPr>
      </w:pPr>
    </w:p>
    <w:p w14:paraId="63740947" w14:textId="0290B274" w:rsidR="007C02C0" w:rsidRDefault="007C02C0" w:rsidP="007C02C0">
      <w:pPr>
        <w:spacing w:line="360" w:lineRule="auto"/>
        <w:rPr>
          <w:rFonts w:ascii="Arial" w:hAnsi="Arial" w:cs="Arial"/>
        </w:rPr>
      </w:pPr>
      <w:r>
        <w:rPr>
          <w:rFonts w:ascii="Arial" w:hAnsi="Arial" w:cs="Arial"/>
          <w:b/>
          <w:bCs/>
        </w:rPr>
        <w:lastRenderedPageBreak/>
        <w:t>1.</w:t>
      </w:r>
      <w:r w:rsidRPr="007C02C0">
        <w:rPr>
          <w:rFonts w:ascii="Arial" w:hAnsi="Arial" w:cs="Arial"/>
          <w:b/>
          <w:bCs/>
        </w:rPr>
        <w:t>An explanation of the specific factors related to societal changes, technology trends and flexible working arrangements within the organisation</w:t>
      </w:r>
    </w:p>
    <w:p w14:paraId="34DF5692" w14:textId="62271671" w:rsidR="006542B0" w:rsidRDefault="006542B0" w:rsidP="007C02C0">
      <w:pPr>
        <w:spacing w:line="360" w:lineRule="auto"/>
        <w:rPr>
          <w:rFonts w:ascii="Arial" w:hAnsi="Arial" w:cs="Arial"/>
        </w:rPr>
      </w:pPr>
    </w:p>
    <w:p w14:paraId="7E0E6192" w14:textId="200B4C89" w:rsidR="00C11329" w:rsidRPr="00E841B4" w:rsidRDefault="00E841B4" w:rsidP="00E841B4">
      <w:pPr>
        <w:tabs>
          <w:tab w:val="left" w:pos="1848"/>
        </w:tabs>
        <w:spacing w:line="360" w:lineRule="auto"/>
        <w:rPr>
          <w:rFonts w:ascii="Arial" w:hAnsi="Arial" w:cs="Arial"/>
        </w:rPr>
      </w:pPr>
      <w:r>
        <w:rPr>
          <w:rFonts w:ascii="Arial" w:hAnsi="Arial" w:cs="Arial"/>
        </w:rPr>
        <w:t>1.1</w:t>
      </w:r>
      <w:r w:rsidR="00C11329" w:rsidRPr="00E841B4">
        <w:rPr>
          <w:rFonts w:ascii="Arial" w:hAnsi="Arial" w:cs="Arial"/>
        </w:rPr>
        <w:t xml:space="preserve">Societal Changes </w:t>
      </w:r>
    </w:p>
    <w:p w14:paraId="296B98D8" w14:textId="014247C2" w:rsidR="00C11329" w:rsidRDefault="00C11329" w:rsidP="007C02C0">
      <w:pPr>
        <w:tabs>
          <w:tab w:val="left" w:pos="1848"/>
        </w:tabs>
        <w:spacing w:line="360" w:lineRule="auto"/>
        <w:rPr>
          <w:rFonts w:ascii="Arial" w:hAnsi="Arial" w:cs="Arial"/>
        </w:rPr>
      </w:pPr>
      <w:r>
        <w:rPr>
          <w:rFonts w:ascii="Arial" w:hAnsi="Arial" w:cs="Arial"/>
        </w:rPr>
        <w:t>Changes in the society carry an important role in workforce management within HSBC. One of the key factors influencing this would be growing importance of workers mental health and wellbeing. In modern world workers are expecting companies to support their mental wellness, especially when it comes to high-pressure environments such as banking. In review done by Okman et al</w:t>
      </w:r>
      <w:r w:rsidR="00CE7FEC">
        <w:rPr>
          <w:rFonts w:ascii="Arial" w:hAnsi="Arial" w:cs="Arial"/>
        </w:rPr>
        <w:t>. ( 2020 ) is highlighted that combination of poor work conditions and high demand and work are associated with worsen employee performance, stress and burnout. In case of HSBC where positions often require performance targets and regulatory pressure, not addressing to wellbeing problems can lead to increased absence at work, complaints from employees and higher turnover. That is why HR plays critical role in implementing wellbeing initiatives, managing workload and organisational policies that support workers.</w:t>
      </w:r>
    </w:p>
    <w:p w14:paraId="5EFE2B60" w14:textId="47ACB571" w:rsidR="00CE7FEC" w:rsidRDefault="00CE7FEC" w:rsidP="007C02C0">
      <w:pPr>
        <w:tabs>
          <w:tab w:val="left" w:pos="1848"/>
        </w:tabs>
        <w:spacing w:line="360" w:lineRule="auto"/>
        <w:rPr>
          <w:rFonts w:ascii="Arial" w:hAnsi="Arial" w:cs="Arial"/>
        </w:rPr>
      </w:pPr>
      <w:r>
        <w:rPr>
          <w:rFonts w:ascii="Arial" w:hAnsi="Arial" w:cs="Arial"/>
        </w:rPr>
        <w:t xml:space="preserve">Other key societal change is globalisation and diversity. Because HSBC is a multinational organisation that operates in more than 60 countries, </w:t>
      </w:r>
      <w:r w:rsidR="00116596">
        <w:rPr>
          <w:rFonts w:ascii="Arial" w:hAnsi="Arial" w:cs="Arial"/>
        </w:rPr>
        <w:t>it</w:t>
      </w:r>
      <w:r>
        <w:rPr>
          <w:rFonts w:ascii="Arial" w:hAnsi="Arial" w:cs="Arial"/>
        </w:rPr>
        <w:t xml:space="preserve"> </w:t>
      </w:r>
      <w:r w:rsidR="00116596">
        <w:rPr>
          <w:rFonts w:ascii="Arial" w:hAnsi="Arial" w:cs="Arial"/>
        </w:rPr>
        <w:t>employees’</w:t>
      </w:r>
      <w:r>
        <w:rPr>
          <w:rFonts w:ascii="Arial" w:hAnsi="Arial" w:cs="Arial"/>
        </w:rPr>
        <w:t xml:space="preserve"> people from different educational and cultural backgrounds. </w:t>
      </w:r>
      <w:r w:rsidR="00116596">
        <w:rPr>
          <w:rFonts w:ascii="Arial" w:hAnsi="Arial" w:cs="Arial"/>
        </w:rPr>
        <w:t xml:space="preserve">Organisations that are globalised like that must make sure they manage cultural diversity properly to lower the possibility of conflicts and push collaboration. If it is not done properly through HR practises, workers may feel like miscommunication, disengagement or treated unfair. For HSBC, support of societal expectations for diversity and equality is critical to keep company work efficient and to maintain employee trust. </w:t>
      </w:r>
    </w:p>
    <w:p w14:paraId="6A86AA59" w14:textId="77777777" w:rsidR="007C02C0" w:rsidRDefault="007C02C0" w:rsidP="007C02C0">
      <w:pPr>
        <w:tabs>
          <w:tab w:val="left" w:pos="1848"/>
        </w:tabs>
        <w:spacing w:line="360" w:lineRule="auto"/>
        <w:rPr>
          <w:rFonts w:ascii="Arial" w:hAnsi="Arial" w:cs="Arial"/>
        </w:rPr>
      </w:pPr>
    </w:p>
    <w:p w14:paraId="1D6EA950" w14:textId="77777777" w:rsidR="00E841B4" w:rsidRDefault="00E841B4" w:rsidP="007C02C0">
      <w:pPr>
        <w:tabs>
          <w:tab w:val="left" w:pos="1848"/>
        </w:tabs>
        <w:spacing w:line="360" w:lineRule="auto"/>
        <w:rPr>
          <w:rFonts w:ascii="Arial" w:hAnsi="Arial" w:cs="Arial"/>
        </w:rPr>
      </w:pPr>
    </w:p>
    <w:p w14:paraId="064AF97E" w14:textId="77777777" w:rsidR="00E841B4" w:rsidRDefault="00E841B4" w:rsidP="007C02C0">
      <w:pPr>
        <w:tabs>
          <w:tab w:val="left" w:pos="1848"/>
        </w:tabs>
        <w:spacing w:line="360" w:lineRule="auto"/>
        <w:rPr>
          <w:rFonts w:ascii="Arial" w:hAnsi="Arial" w:cs="Arial"/>
        </w:rPr>
      </w:pPr>
    </w:p>
    <w:p w14:paraId="3948B4F0" w14:textId="77777777" w:rsidR="00E841B4" w:rsidRDefault="00E841B4" w:rsidP="007C02C0">
      <w:pPr>
        <w:tabs>
          <w:tab w:val="left" w:pos="1848"/>
        </w:tabs>
        <w:spacing w:line="360" w:lineRule="auto"/>
        <w:rPr>
          <w:rFonts w:ascii="Arial" w:hAnsi="Arial" w:cs="Arial"/>
        </w:rPr>
      </w:pPr>
    </w:p>
    <w:p w14:paraId="2C36B152" w14:textId="77777777" w:rsidR="00E841B4" w:rsidRDefault="00E841B4" w:rsidP="007C02C0">
      <w:pPr>
        <w:tabs>
          <w:tab w:val="left" w:pos="1848"/>
        </w:tabs>
        <w:spacing w:line="360" w:lineRule="auto"/>
        <w:rPr>
          <w:rFonts w:ascii="Arial" w:hAnsi="Arial" w:cs="Arial"/>
        </w:rPr>
      </w:pPr>
    </w:p>
    <w:p w14:paraId="553EE059" w14:textId="77777777" w:rsidR="00E841B4" w:rsidRDefault="00E841B4" w:rsidP="007C02C0">
      <w:pPr>
        <w:tabs>
          <w:tab w:val="left" w:pos="1848"/>
        </w:tabs>
        <w:spacing w:line="360" w:lineRule="auto"/>
        <w:rPr>
          <w:rFonts w:ascii="Arial" w:hAnsi="Arial" w:cs="Arial"/>
        </w:rPr>
      </w:pPr>
    </w:p>
    <w:p w14:paraId="73EC49DB" w14:textId="493D71AD" w:rsidR="00C11329" w:rsidRPr="007C02C0" w:rsidRDefault="00C11329" w:rsidP="007C02C0">
      <w:pPr>
        <w:tabs>
          <w:tab w:val="left" w:pos="1848"/>
        </w:tabs>
        <w:spacing w:line="360" w:lineRule="auto"/>
        <w:rPr>
          <w:rFonts w:ascii="Arial" w:hAnsi="Arial" w:cs="Arial"/>
        </w:rPr>
      </w:pPr>
      <w:r w:rsidRPr="007C02C0">
        <w:rPr>
          <w:rFonts w:ascii="Arial" w:hAnsi="Arial" w:cs="Arial"/>
        </w:rPr>
        <w:lastRenderedPageBreak/>
        <w:t xml:space="preserve">1.2 – Technological Trends </w:t>
      </w:r>
    </w:p>
    <w:p w14:paraId="03FB8431" w14:textId="00D4CAB3" w:rsidR="00116596" w:rsidRDefault="00116596" w:rsidP="007C02C0">
      <w:pPr>
        <w:tabs>
          <w:tab w:val="left" w:pos="1848"/>
        </w:tabs>
        <w:spacing w:line="360" w:lineRule="auto"/>
        <w:rPr>
          <w:rFonts w:ascii="Arial" w:hAnsi="Arial" w:cs="Arial"/>
        </w:rPr>
      </w:pPr>
      <w:r>
        <w:rPr>
          <w:rFonts w:ascii="Arial" w:hAnsi="Arial" w:cs="Arial"/>
        </w:rPr>
        <w:t xml:space="preserve">Trends in technology </w:t>
      </w:r>
      <w:r w:rsidR="00FC3D6B">
        <w:rPr>
          <w:rFonts w:ascii="Arial" w:hAnsi="Arial" w:cs="Arial"/>
        </w:rPr>
        <w:t>are central to business transformation in HSBC, especially because of mass adoption of AI and automation in banking operations. Artificial intelligence has been used to detect fraud, monitoring transactions, customer serves chatbots and to assess credit risks. Ai technology can improve efficiency massively however it also changes job roles and skill requirements. Bank for International Settlements ( BIS, 2020 ) reports that automation in banking improves productivity while putting pressure on workers by needing them to adapt to new technologies. In HSBC, lack of training on new AI implementations may lead to workers worrying, resistance to changes and bigger numbers of grievances.</w:t>
      </w:r>
    </w:p>
    <w:p w14:paraId="4EC7D530" w14:textId="2D666958" w:rsidR="00FC3D6B" w:rsidRDefault="009C0090" w:rsidP="007C02C0">
      <w:pPr>
        <w:tabs>
          <w:tab w:val="left" w:pos="1848"/>
        </w:tabs>
        <w:spacing w:line="360" w:lineRule="auto"/>
        <w:rPr>
          <w:rFonts w:ascii="Arial" w:hAnsi="Arial" w:cs="Arial"/>
        </w:rPr>
      </w:pPr>
      <w:r>
        <w:rPr>
          <w:rFonts w:ascii="Arial" w:hAnsi="Arial" w:cs="Arial"/>
        </w:rPr>
        <w:t xml:space="preserve">Increasing importance of cybersecurity and digital risk management is another major tech trend in the world. HSBC is heavily relying on digital tools and because of that stuff must operate under strict cybersecurity protocols for sensitive financial data protection. ( BIS, 2020) highlights that one of the weakest points in cybersecurity in financial services is a human behaviour. For HSBC, not enough employee preparation in cybersecurity protocols may lead to high operational risks, stress and increased workload. That is why Human Resources must help in digital trainings and awareness programmes </w:t>
      </w:r>
      <w:r w:rsidR="00B83999">
        <w:rPr>
          <w:rFonts w:ascii="Arial" w:hAnsi="Arial" w:cs="Arial"/>
        </w:rPr>
        <w:t>to keep the benefits of technologies and perform without negative impact on stuff.</w:t>
      </w:r>
    </w:p>
    <w:p w14:paraId="47DF2485" w14:textId="77777777" w:rsidR="007C02C0" w:rsidRDefault="007C02C0" w:rsidP="007C02C0">
      <w:pPr>
        <w:tabs>
          <w:tab w:val="left" w:pos="1848"/>
        </w:tabs>
        <w:spacing w:line="360" w:lineRule="auto"/>
        <w:rPr>
          <w:rFonts w:ascii="Arial" w:hAnsi="Arial" w:cs="Arial"/>
        </w:rPr>
      </w:pPr>
    </w:p>
    <w:p w14:paraId="07908E20" w14:textId="6C7BE0A8" w:rsidR="00C11329" w:rsidRPr="007C02C0" w:rsidRDefault="00C11329" w:rsidP="007C02C0">
      <w:pPr>
        <w:tabs>
          <w:tab w:val="left" w:pos="1848"/>
        </w:tabs>
        <w:spacing w:line="360" w:lineRule="auto"/>
        <w:rPr>
          <w:rFonts w:ascii="Arial" w:hAnsi="Arial" w:cs="Arial"/>
        </w:rPr>
      </w:pPr>
      <w:r w:rsidRPr="007C02C0">
        <w:rPr>
          <w:rFonts w:ascii="Arial" w:hAnsi="Arial" w:cs="Arial"/>
        </w:rPr>
        <w:t xml:space="preserve">1.3 Flexible Working Arrangements </w:t>
      </w:r>
    </w:p>
    <w:p w14:paraId="2B186EC7" w14:textId="4236DB7D" w:rsidR="00B83999" w:rsidRPr="00C11329" w:rsidRDefault="00B83999" w:rsidP="007C02C0">
      <w:pPr>
        <w:tabs>
          <w:tab w:val="left" w:pos="1848"/>
        </w:tabs>
        <w:spacing w:line="360" w:lineRule="auto"/>
        <w:rPr>
          <w:rFonts w:ascii="Arial" w:hAnsi="Arial" w:cs="Arial"/>
        </w:rPr>
      </w:pPr>
      <w:r>
        <w:rPr>
          <w:rFonts w:ascii="Arial" w:hAnsi="Arial" w:cs="Arial"/>
        </w:rPr>
        <w:t xml:space="preserve">Today flexible working practices and becoming significantly important within HSBC workforce strategy. Remote and hybrid working arrangements are one of the central practises, this lets employees to do the work outside usual office settings. A study done by Allen et al. ( 2015 ) find out that </w:t>
      </w:r>
      <w:r w:rsidR="00227541">
        <w:rPr>
          <w:rFonts w:ascii="Arial" w:hAnsi="Arial" w:cs="Arial"/>
        </w:rPr>
        <w:t>flexible work is positively linked to job satisfaction, work-life balance and employee retention. In case of HSBC, hybrid work helps with workers wellbeing while letting the company to keep up with competitors in hiring skilled professionals.</w:t>
      </w:r>
    </w:p>
    <w:p w14:paraId="3ACD46A3" w14:textId="5656369D" w:rsidR="00227541" w:rsidRDefault="00227541" w:rsidP="007C02C0">
      <w:pPr>
        <w:tabs>
          <w:tab w:val="left" w:pos="1848"/>
        </w:tabs>
        <w:spacing w:line="360" w:lineRule="auto"/>
        <w:rPr>
          <w:rFonts w:ascii="Arial" w:hAnsi="Arial" w:cs="Arial"/>
        </w:rPr>
      </w:pPr>
      <w:r>
        <w:rPr>
          <w:rFonts w:ascii="Arial" w:hAnsi="Arial" w:cs="Arial"/>
        </w:rPr>
        <w:t xml:space="preserve">Despite this, flexible working arrangements can create some challenges along the way, these challenges can be decreased communication, isolation and struggles in </w:t>
      </w:r>
      <w:r>
        <w:rPr>
          <w:rFonts w:ascii="Arial" w:hAnsi="Arial" w:cs="Arial"/>
        </w:rPr>
        <w:lastRenderedPageBreak/>
        <w:t xml:space="preserve">performance management. If there are no clear policies and proper leadership, workers that are remote can feel not connected to the rest of the teams. </w:t>
      </w:r>
    </w:p>
    <w:p w14:paraId="571DFCC1" w14:textId="5CC93E1E" w:rsidR="00227541" w:rsidRDefault="00227541" w:rsidP="007C02C0">
      <w:pPr>
        <w:tabs>
          <w:tab w:val="left" w:pos="1848"/>
        </w:tabs>
        <w:spacing w:line="360" w:lineRule="auto"/>
        <w:rPr>
          <w:rFonts w:ascii="Arial" w:hAnsi="Arial" w:cs="Arial"/>
        </w:rPr>
      </w:pPr>
      <w:r>
        <w:rPr>
          <w:rFonts w:ascii="Arial" w:hAnsi="Arial" w:cs="Arial"/>
        </w:rPr>
        <w:t>Compressed and shift-based working hours</w:t>
      </w:r>
      <w:r w:rsidR="00065EE1">
        <w:rPr>
          <w:rFonts w:ascii="Arial" w:hAnsi="Arial" w:cs="Arial"/>
        </w:rPr>
        <w:t xml:space="preserve">, that work with international operations through different time zones </w:t>
      </w:r>
      <w:r>
        <w:rPr>
          <w:rFonts w:ascii="Arial" w:hAnsi="Arial" w:cs="Arial"/>
        </w:rPr>
        <w:t>can be another form of flexibility</w:t>
      </w:r>
      <w:r w:rsidR="00065EE1">
        <w:rPr>
          <w:rFonts w:ascii="Arial" w:hAnsi="Arial" w:cs="Arial"/>
        </w:rPr>
        <w:t xml:space="preserve"> in HSBC. Study highlights that even though flexibility in schedules can improve autonomy, if the working hours are poorly managed it can cause negative impact on health and wellbeing ( Allen et al., 2015 ). That is why appropriate HR policies and oversight from managers are crucial to make sure flexible working arrangements are sustainable</w:t>
      </w:r>
      <w:r w:rsidR="00304D39">
        <w:rPr>
          <w:rFonts w:ascii="Arial" w:hAnsi="Arial" w:cs="Arial"/>
        </w:rPr>
        <w:t>, fair and support both organisational performance and employee wellbeing.</w:t>
      </w:r>
    </w:p>
    <w:p w14:paraId="7B313743" w14:textId="77777777" w:rsidR="007C02C0" w:rsidRDefault="007C02C0" w:rsidP="007C02C0">
      <w:pPr>
        <w:tabs>
          <w:tab w:val="left" w:pos="1848"/>
        </w:tabs>
        <w:spacing w:line="360" w:lineRule="auto"/>
        <w:rPr>
          <w:rFonts w:ascii="Arial" w:hAnsi="Arial" w:cs="Arial"/>
          <w:b/>
          <w:bCs/>
        </w:rPr>
      </w:pPr>
    </w:p>
    <w:p w14:paraId="60205857" w14:textId="0991D08C" w:rsidR="007C02C0" w:rsidRDefault="007C02C0" w:rsidP="007C02C0">
      <w:pPr>
        <w:tabs>
          <w:tab w:val="left" w:pos="1848"/>
        </w:tabs>
        <w:spacing w:line="360" w:lineRule="auto"/>
        <w:rPr>
          <w:rFonts w:ascii="Arial" w:hAnsi="Arial" w:cs="Arial"/>
          <w:b/>
          <w:bCs/>
        </w:rPr>
      </w:pPr>
      <w:r>
        <w:rPr>
          <w:rFonts w:ascii="Arial" w:hAnsi="Arial" w:cs="Arial"/>
          <w:b/>
          <w:bCs/>
        </w:rPr>
        <w:t>2.</w:t>
      </w:r>
      <w:r w:rsidRPr="007C02C0">
        <w:rPr>
          <w:rFonts w:ascii="Arial" w:hAnsi="Arial" w:cs="Arial"/>
          <w:b/>
          <w:bCs/>
        </w:rPr>
        <w:t>An evaluation of different contemporary HR practices to address each factor</w:t>
      </w:r>
    </w:p>
    <w:p w14:paraId="6483DEB4" w14:textId="67667195" w:rsidR="00AF11AD" w:rsidRPr="004714CC" w:rsidRDefault="00AF11AD" w:rsidP="007C02C0">
      <w:pPr>
        <w:tabs>
          <w:tab w:val="left" w:pos="1848"/>
        </w:tabs>
        <w:spacing w:line="360" w:lineRule="auto"/>
        <w:rPr>
          <w:rFonts w:ascii="Arial" w:hAnsi="Arial" w:cs="Arial"/>
        </w:rPr>
      </w:pPr>
      <w:r w:rsidRPr="004714CC">
        <w:rPr>
          <w:rFonts w:ascii="Arial" w:hAnsi="Arial" w:cs="Arial"/>
        </w:rPr>
        <w:t>2.1 Employee Engagement (Kahn’s Engagement Theory)</w:t>
      </w:r>
    </w:p>
    <w:p w14:paraId="5DF0F049" w14:textId="3BC24843" w:rsidR="00AF11AD" w:rsidRDefault="00AF11AD" w:rsidP="007C02C0">
      <w:pPr>
        <w:tabs>
          <w:tab w:val="left" w:pos="1848"/>
        </w:tabs>
        <w:spacing w:line="360" w:lineRule="auto"/>
        <w:rPr>
          <w:rFonts w:ascii="Arial" w:hAnsi="Arial" w:cs="Arial"/>
        </w:rPr>
      </w:pPr>
      <w:r>
        <w:rPr>
          <w:rFonts w:ascii="Arial" w:hAnsi="Arial" w:cs="Arial"/>
        </w:rPr>
        <w:t xml:space="preserve">In dealing with challenges caused by digital transformation and societal changes within HSBC, employee engagement plays crucial role. Kahn`s engagement theory ( 1990 ) has an idea that workers giving their intellectual, emotional and physical powers into the work they do when they experience psychological safety, meaningfulness of they work and when they feel available. As banking is a fast-paste environment, workers may feel uncertainty because of technological change, difficult processes and pressure caused by workload. To help stuff feel valuable and empowered HR practices like regular </w:t>
      </w:r>
      <w:r w:rsidR="00E07383">
        <w:rPr>
          <w:rFonts w:ascii="Arial" w:hAnsi="Arial" w:cs="Arial"/>
        </w:rPr>
        <w:t>feedback</w:t>
      </w:r>
      <w:r>
        <w:rPr>
          <w:rFonts w:ascii="Arial" w:hAnsi="Arial" w:cs="Arial"/>
        </w:rPr>
        <w:t>, open communication and recognition programs can be used</w:t>
      </w:r>
      <w:r w:rsidR="00E07383">
        <w:rPr>
          <w:rFonts w:ascii="Arial" w:hAnsi="Arial" w:cs="Arial"/>
        </w:rPr>
        <w:t xml:space="preserve"> and that will increase engagement and reduce grievances. In resent study it was highlighted the correlation between HR practices and workers engagement, showing that companies that use structured engagement approaches get better results on productivity and greater employee wellness </w:t>
      </w:r>
      <w:r w:rsidR="006A46DD">
        <w:rPr>
          <w:rFonts w:ascii="Arial" w:hAnsi="Arial" w:cs="Arial"/>
        </w:rPr>
        <w:t>( De Oliveira et al., 2022 ). In case of HSBC, support of engagement practices like team briefings, workers voice initiatives and pulse surveys lets stuff stay motivated, committed to work and resilient while organisational change.</w:t>
      </w:r>
    </w:p>
    <w:p w14:paraId="751EB5AB" w14:textId="77777777" w:rsidR="006A46DD" w:rsidRDefault="006A46DD" w:rsidP="007C02C0">
      <w:pPr>
        <w:tabs>
          <w:tab w:val="left" w:pos="1848"/>
        </w:tabs>
        <w:spacing w:line="360" w:lineRule="auto"/>
        <w:rPr>
          <w:rFonts w:ascii="Arial" w:hAnsi="Arial" w:cs="Arial"/>
        </w:rPr>
      </w:pPr>
    </w:p>
    <w:p w14:paraId="2B3B3C34" w14:textId="77777777" w:rsidR="00E841B4" w:rsidRDefault="00E841B4" w:rsidP="007C02C0">
      <w:pPr>
        <w:tabs>
          <w:tab w:val="left" w:pos="1848"/>
        </w:tabs>
        <w:spacing w:line="360" w:lineRule="auto"/>
        <w:rPr>
          <w:rFonts w:ascii="Arial" w:hAnsi="Arial" w:cs="Arial"/>
        </w:rPr>
      </w:pPr>
    </w:p>
    <w:p w14:paraId="0B3AB110" w14:textId="1F26B6B0" w:rsidR="006A46DD" w:rsidRPr="004714CC" w:rsidRDefault="006A46DD" w:rsidP="007C02C0">
      <w:pPr>
        <w:tabs>
          <w:tab w:val="left" w:pos="1848"/>
        </w:tabs>
        <w:spacing w:line="360" w:lineRule="auto"/>
        <w:rPr>
          <w:rFonts w:ascii="Arial" w:hAnsi="Arial" w:cs="Arial"/>
        </w:rPr>
      </w:pPr>
      <w:r w:rsidRPr="004714CC">
        <w:rPr>
          <w:rFonts w:ascii="Arial" w:hAnsi="Arial" w:cs="Arial"/>
        </w:rPr>
        <w:lastRenderedPageBreak/>
        <w:t>2.2 Learning and Development (Maslow’s Hierarchy of Needs)</w:t>
      </w:r>
    </w:p>
    <w:p w14:paraId="73FC911B" w14:textId="2D64B0CE" w:rsidR="007C02C0" w:rsidRDefault="006A46DD" w:rsidP="007C02C0">
      <w:pPr>
        <w:tabs>
          <w:tab w:val="left" w:pos="1848"/>
        </w:tabs>
        <w:spacing w:line="360" w:lineRule="auto"/>
        <w:rPr>
          <w:rFonts w:ascii="Arial" w:hAnsi="Arial" w:cs="Arial"/>
        </w:rPr>
      </w:pPr>
      <w:r>
        <w:rPr>
          <w:rFonts w:ascii="Arial" w:hAnsi="Arial" w:cs="Arial"/>
        </w:rPr>
        <w:t>Learning and development is key element when it comes to dealing with lack of skill and technical trends within HSBC. Believing Maslow`s hierarchy of needs ( 1943 ),</w:t>
      </w:r>
    </w:p>
    <w:p w14:paraId="00B430FE" w14:textId="0756E0A3" w:rsidR="00D4544C" w:rsidRDefault="00D4544C" w:rsidP="007C02C0">
      <w:pPr>
        <w:tabs>
          <w:tab w:val="left" w:pos="1848"/>
        </w:tabs>
        <w:spacing w:line="360" w:lineRule="auto"/>
        <w:rPr>
          <w:rFonts w:ascii="Arial" w:hAnsi="Arial" w:cs="Arial"/>
        </w:rPr>
      </w:pPr>
      <w:r>
        <w:rPr>
          <w:rFonts w:ascii="Arial" w:hAnsi="Arial" w:cs="Arial"/>
        </w:rPr>
        <w:t xml:space="preserve">people are motivated in achieving self-actualization and grows only once basic and psychological requirements are fulfilled. As banking industry now using more AI technologies, digital tools and automations, stuff demands constant upskilling to keep confident and competent in their positions. Correct learning and development programs improve workers feeling of being confident, help with organizational performance and makes employees less resistant to changes. Study on workplace in remote and hybrid conditions emphases that </w:t>
      </w:r>
      <w:r w:rsidR="006457A6">
        <w:rPr>
          <w:rFonts w:ascii="Arial" w:hAnsi="Arial" w:cs="Arial"/>
        </w:rPr>
        <w:t>targeted training programs strengthen competency development, employee motivation and ability to cope with change in digitalised workplace ( Capraro et al., 2024 ). For HSBC, implementation of formal training initiatives, digital literacy workshops and career growth initiatives makes sure that stuff can navigate through technological transformation efficiently while experiencing support in professional development.</w:t>
      </w:r>
    </w:p>
    <w:p w14:paraId="25F0185D" w14:textId="77777777" w:rsidR="00E64142" w:rsidRDefault="00E64142" w:rsidP="007C02C0">
      <w:pPr>
        <w:tabs>
          <w:tab w:val="left" w:pos="1848"/>
        </w:tabs>
        <w:spacing w:line="360" w:lineRule="auto"/>
        <w:rPr>
          <w:rFonts w:ascii="Arial" w:hAnsi="Arial" w:cs="Arial"/>
        </w:rPr>
      </w:pPr>
    </w:p>
    <w:p w14:paraId="0B6BD7F9" w14:textId="77777777" w:rsidR="00E64142" w:rsidRPr="004714CC" w:rsidRDefault="00E64142" w:rsidP="007C02C0">
      <w:pPr>
        <w:tabs>
          <w:tab w:val="left" w:pos="1848"/>
        </w:tabs>
        <w:spacing w:line="360" w:lineRule="auto"/>
        <w:rPr>
          <w:rFonts w:ascii="Arial" w:hAnsi="Arial" w:cs="Arial"/>
        </w:rPr>
      </w:pPr>
      <w:r w:rsidRPr="004714CC">
        <w:rPr>
          <w:rFonts w:ascii="Arial" w:hAnsi="Arial" w:cs="Arial"/>
        </w:rPr>
        <w:t>2.3 Remote and Hybrid Working (Herzberg’s Motivational Factors)</w:t>
      </w:r>
    </w:p>
    <w:p w14:paraId="77EB4E8A" w14:textId="4C44A005" w:rsidR="008C4C9C" w:rsidRDefault="00E64142" w:rsidP="007C02C0">
      <w:pPr>
        <w:tabs>
          <w:tab w:val="left" w:pos="1848"/>
        </w:tabs>
        <w:spacing w:line="360" w:lineRule="auto"/>
        <w:rPr>
          <w:rFonts w:ascii="Arial" w:hAnsi="Arial" w:cs="Arial"/>
        </w:rPr>
      </w:pPr>
      <w:r>
        <w:rPr>
          <w:rFonts w:ascii="Arial" w:hAnsi="Arial" w:cs="Arial"/>
        </w:rPr>
        <w:t xml:space="preserve">Hybrid and remote working are a one of the most important HR practices to ensure flexibility at HSBC. According to Herzberg`s motivational factors, stuff is motivated if they feel achievement, recognition, advancement, responsibility and growth. Flexible working arrangements let workers control their schedule independently, effectively complete tasks and get greater work-life balance and that increases internal motivation. If it is in a combination with specific objectives, constant recognition and possibilities for professional development, hybrid work can improve employee satisfaction, performance and engagement. </w:t>
      </w:r>
      <w:r w:rsidR="005446B1">
        <w:rPr>
          <w:rFonts w:ascii="Arial" w:hAnsi="Arial" w:cs="Arial"/>
        </w:rPr>
        <w:t xml:space="preserve">Research that was done before and after the COVID-19 pandemic states that hybrid and remote workers who experience meaningful work and autonomy report higher motivation and productivity </w:t>
      </w:r>
      <w:r w:rsidR="005446B1" w:rsidRPr="00E64142">
        <w:rPr>
          <w:rFonts w:ascii="Arial" w:hAnsi="Arial" w:cs="Arial"/>
        </w:rPr>
        <w:t>(</w:t>
      </w:r>
      <w:r w:rsidR="005446B1">
        <w:rPr>
          <w:rFonts w:ascii="Arial" w:hAnsi="Arial" w:cs="Arial"/>
        </w:rPr>
        <w:t xml:space="preserve"> </w:t>
      </w:r>
      <w:r w:rsidR="005446B1" w:rsidRPr="00E64142">
        <w:rPr>
          <w:rFonts w:ascii="Arial" w:hAnsi="Arial" w:cs="Arial"/>
        </w:rPr>
        <w:t>Steiner et al., 2024</w:t>
      </w:r>
      <w:r w:rsidR="005446B1">
        <w:rPr>
          <w:rFonts w:ascii="Arial" w:hAnsi="Arial" w:cs="Arial"/>
        </w:rPr>
        <w:t xml:space="preserve"> </w:t>
      </w:r>
      <w:r w:rsidR="005446B1" w:rsidRPr="00E64142">
        <w:rPr>
          <w:rFonts w:ascii="Arial" w:hAnsi="Arial" w:cs="Arial"/>
        </w:rPr>
        <w:t>).</w:t>
      </w:r>
      <w:r w:rsidR="005446B1">
        <w:rPr>
          <w:rFonts w:ascii="Arial" w:hAnsi="Arial" w:cs="Arial"/>
        </w:rPr>
        <w:t xml:space="preserve"> In our case (HSBC), designing remote work to include accountability, recognition for achievements and professional development makes sure that flexibility acts as a true motivator, rather than just improvements for work conditions.</w:t>
      </w:r>
    </w:p>
    <w:p w14:paraId="14FC902A" w14:textId="77777777" w:rsidR="004714CC" w:rsidRDefault="004714CC" w:rsidP="007C02C0">
      <w:pPr>
        <w:tabs>
          <w:tab w:val="left" w:pos="1848"/>
        </w:tabs>
        <w:spacing w:line="360" w:lineRule="auto"/>
        <w:rPr>
          <w:rFonts w:ascii="Arial" w:hAnsi="Arial" w:cs="Arial"/>
          <w:b/>
          <w:bCs/>
        </w:rPr>
      </w:pPr>
    </w:p>
    <w:p w14:paraId="2232818D" w14:textId="1C151FCE" w:rsidR="004714CC" w:rsidRDefault="004714CC" w:rsidP="007C02C0">
      <w:pPr>
        <w:tabs>
          <w:tab w:val="left" w:pos="1848"/>
        </w:tabs>
        <w:spacing w:line="360" w:lineRule="auto"/>
        <w:rPr>
          <w:rFonts w:ascii="Arial" w:hAnsi="Arial" w:cs="Arial"/>
          <w:b/>
          <w:bCs/>
        </w:rPr>
      </w:pPr>
      <w:r>
        <w:rPr>
          <w:rFonts w:ascii="Arial" w:hAnsi="Arial" w:cs="Arial"/>
          <w:b/>
          <w:bCs/>
        </w:rPr>
        <w:lastRenderedPageBreak/>
        <w:t>3.</w:t>
      </w:r>
      <w:r w:rsidRPr="004714CC">
        <w:rPr>
          <w:rFonts w:ascii="Arial" w:hAnsi="Arial" w:cs="Arial"/>
          <w:b/>
          <w:bCs/>
        </w:rPr>
        <w:t>A critical evaluation of how departmental managers can ensure these contemporary practices are being implemented as a matter of urgency</w:t>
      </w:r>
    </w:p>
    <w:p w14:paraId="566EAEB5" w14:textId="383346DE" w:rsidR="007C02C0" w:rsidRDefault="008C4C9C" w:rsidP="007C02C0">
      <w:pPr>
        <w:tabs>
          <w:tab w:val="left" w:pos="1848"/>
        </w:tabs>
        <w:spacing w:line="360" w:lineRule="auto"/>
        <w:rPr>
          <w:rFonts w:ascii="Arial" w:hAnsi="Arial" w:cs="Arial"/>
        </w:rPr>
      </w:pPr>
      <w:r>
        <w:rPr>
          <w:rFonts w:ascii="Arial" w:hAnsi="Arial" w:cs="Arial"/>
        </w:rPr>
        <w:t>Managers of different departments are playing key role in making sure that appropriate HR practices are not only talked about but also used effectively and urgently inside the company like HSBC. While HR working on policies and structure, managers must transfer these strategies into day-to-day operations. If failed to do so it explains why even great designed approaches do not deliver desired outcomes.</w:t>
      </w:r>
    </w:p>
    <w:p w14:paraId="6A305B3D" w14:textId="77777777" w:rsidR="007C02C0" w:rsidRDefault="007C02C0" w:rsidP="007C02C0">
      <w:pPr>
        <w:tabs>
          <w:tab w:val="left" w:pos="1848"/>
        </w:tabs>
        <w:spacing w:line="360" w:lineRule="auto"/>
        <w:rPr>
          <w:rFonts w:ascii="Arial" w:hAnsi="Arial" w:cs="Arial"/>
        </w:rPr>
      </w:pPr>
    </w:p>
    <w:p w14:paraId="4C6F77B7" w14:textId="6F923100" w:rsidR="005C21D8" w:rsidRDefault="008C4C9C" w:rsidP="007C02C0">
      <w:pPr>
        <w:tabs>
          <w:tab w:val="left" w:pos="1848"/>
        </w:tabs>
        <w:spacing w:line="360" w:lineRule="auto"/>
        <w:rPr>
          <w:rFonts w:ascii="Arial" w:hAnsi="Arial" w:cs="Arial"/>
        </w:rPr>
      </w:pPr>
      <w:r>
        <w:rPr>
          <w:rFonts w:ascii="Arial" w:hAnsi="Arial" w:cs="Arial"/>
        </w:rPr>
        <w:t xml:space="preserve">One of most </w:t>
      </w:r>
      <w:r w:rsidR="00BF34C1">
        <w:rPr>
          <w:rFonts w:ascii="Arial" w:hAnsi="Arial" w:cs="Arial"/>
        </w:rPr>
        <w:t xml:space="preserve">successful paths management can ensure urgent use is by leading example. Purcell et al. ( 2009 ) argues that mangers play the role of “central link” in linking HR ideas and workers experience. If managers showing full commitment to HR initiatives – like a workers engagement activities, employee performance monitoring or flexibility for workers – stuff will accept and follow them. On opposite side, if </w:t>
      </w:r>
      <w:r w:rsidR="005C21D8">
        <w:rPr>
          <w:rFonts w:ascii="Arial" w:hAnsi="Arial" w:cs="Arial"/>
        </w:rPr>
        <w:t>management provides slow delivery of implementation or treats HR practices not as main priority, urgency is lost and stuff trust can become less. But, to lead by example, it requires consistency and capability. Managers lacking confidence and understanding of HR strategies may unintentionally compromise implementation, emphasising the need for managerial growth while urgent action.</w:t>
      </w:r>
    </w:p>
    <w:p w14:paraId="289010AE" w14:textId="77777777" w:rsidR="008C4C9C" w:rsidRDefault="008C4C9C" w:rsidP="007C02C0">
      <w:pPr>
        <w:tabs>
          <w:tab w:val="left" w:pos="1848"/>
        </w:tabs>
        <w:spacing w:line="360" w:lineRule="auto"/>
        <w:rPr>
          <w:rFonts w:ascii="Arial" w:hAnsi="Arial" w:cs="Arial"/>
        </w:rPr>
      </w:pPr>
    </w:p>
    <w:p w14:paraId="5E6F526C" w14:textId="58459CFF" w:rsidR="00453653" w:rsidRDefault="005C21D8" w:rsidP="007C02C0">
      <w:pPr>
        <w:tabs>
          <w:tab w:val="left" w:pos="1848"/>
        </w:tabs>
        <w:spacing w:line="360" w:lineRule="auto"/>
        <w:rPr>
          <w:rFonts w:ascii="Arial" w:hAnsi="Arial" w:cs="Arial"/>
        </w:rPr>
      </w:pPr>
      <w:r>
        <w:rPr>
          <w:rFonts w:ascii="Arial" w:hAnsi="Arial" w:cs="Arial"/>
        </w:rPr>
        <w:t xml:space="preserve">Another key practice is alignment of specific departmental targets with HR priorities. </w:t>
      </w:r>
      <w:r w:rsidR="00453653">
        <w:rPr>
          <w:rFonts w:ascii="Arial" w:hAnsi="Arial" w:cs="Arial"/>
        </w:rPr>
        <w:t xml:space="preserve">Legge ( 2005 ) strongly highlighted that a lot of companies struggle from a gap between strategy and reality, where policies are on paper though not embedded in managerial goals. To deal with this, managers of departments must align HR priorities – like wellbeing of stuff, learning and development and performance monitoring into departmental goals. If measurable targets are linked to HR outcomes, managers are more likely to put implementation as a main objective rather that side </w:t>
      </w:r>
      <w:r w:rsidR="00B77AE1">
        <w:rPr>
          <w:rFonts w:ascii="Arial" w:hAnsi="Arial" w:cs="Arial"/>
        </w:rPr>
        <w:t xml:space="preserve">activity. This approach strengthen accountability and reinforces the consistent execution of HR strategies continuously throughout teams. </w:t>
      </w:r>
    </w:p>
    <w:p w14:paraId="2A188C63" w14:textId="108447A5" w:rsidR="00B77AE1" w:rsidRDefault="00B77AE1" w:rsidP="007C02C0">
      <w:pPr>
        <w:tabs>
          <w:tab w:val="left" w:pos="1848"/>
        </w:tabs>
        <w:spacing w:line="360" w:lineRule="auto"/>
        <w:rPr>
          <w:rFonts w:ascii="Arial" w:hAnsi="Arial" w:cs="Arial"/>
        </w:rPr>
      </w:pPr>
    </w:p>
    <w:p w14:paraId="212E2B55" w14:textId="4799E1CA" w:rsidR="00B77AE1" w:rsidRDefault="00B77AE1" w:rsidP="007C02C0">
      <w:pPr>
        <w:tabs>
          <w:tab w:val="left" w:pos="1848"/>
        </w:tabs>
        <w:spacing w:line="360" w:lineRule="auto"/>
        <w:rPr>
          <w:rFonts w:ascii="Arial" w:hAnsi="Arial" w:cs="Arial"/>
        </w:rPr>
      </w:pPr>
      <w:r>
        <w:rPr>
          <w:rFonts w:ascii="Arial" w:hAnsi="Arial" w:cs="Arial"/>
        </w:rPr>
        <w:t xml:space="preserve">A significant limitation of this approach in the possible tension between long-term HR goals and short-term business pressure. As banking is a very competitive </w:t>
      </w:r>
      <w:r>
        <w:rPr>
          <w:rFonts w:ascii="Arial" w:hAnsi="Arial" w:cs="Arial"/>
        </w:rPr>
        <w:lastRenderedPageBreak/>
        <w:t xml:space="preserve">environment, managers may put financial problems as a main priority rather than people management, especially while business transformation. Legge ( 2005 ) states that if there is no reinforcement from senior leaders, managers may switch to control over the operations rather </w:t>
      </w:r>
      <w:r w:rsidR="00626A6A">
        <w:rPr>
          <w:rFonts w:ascii="Arial" w:hAnsi="Arial" w:cs="Arial"/>
        </w:rPr>
        <w:t>than</w:t>
      </w:r>
      <w:r>
        <w:rPr>
          <w:rFonts w:ascii="Arial" w:hAnsi="Arial" w:cs="Arial"/>
        </w:rPr>
        <w:t xml:space="preserve"> </w:t>
      </w:r>
      <w:r w:rsidR="00626A6A">
        <w:rPr>
          <w:rFonts w:ascii="Arial" w:hAnsi="Arial" w:cs="Arial"/>
        </w:rPr>
        <w:t>focusing on people leadership. That is why urgency in implementation must be strengthen by a clear organisational signal that HR practises are central to performance, rather than side activities.</w:t>
      </w:r>
    </w:p>
    <w:p w14:paraId="3908F424" w14:textId="77777777" w:rsidR="00626A6A" w:rsidRDefault="00626A6A" w:rsidP="007C02C0">
      <w:pPr>
        <w:tabs>
          <w:tab w:val="left" w:pos="1848"/>
        </w:tabs>
        <w:spacing w:line="360" w:lineRule="auto"/>
        <w:rPr>
          <w:rFonts w:ascii="Arial" w:hAnsi="Arial" w:cs="Arial"/>
        </w:rPr>
      </w:pPr>
    </w:p>
    <w:p w14:paraId="1CAD8952" w14:textId="583A2022" w:rsidR="00C51DB2" w:rsidRDefault="00626A6A" w:rsidP="007C02C0">
      <w:pPr>
        <w:tabs>
          <w:tab w:val="left" w:pos="1848"/>
        </w:tabs>
        <w:spacing w:line="360" w:lineRule="auto"/>
        <w:rPr>
          <w:rFonts w:ascii="Arial" w:hAnsi="Arial" w:cs="Arial"/>
        </w:rPr>
      </w:pPr>
      <w:r w:rsidRPr="00626A6A">
        <w:rPr>
          <w:rFonts w:ascii="Arial" w:hAnsi="Arial" w:cs="Arial"/>
        </w:rPr>
        <w:t>Furthermore, Purcell et al. (</w:t>
      </w:r>
      <w:r>
        <w:rPr>
          <w:rFonts w:ascii="Arial" w:hAnsi="Arial" w:cs="Arial"/>
        </w:rPr>
        <w:t xml:space="preserve"> </w:t>
      </w:r>
      <w:r w:rsidRPr="00626A6A">
        <w:rPr>
          <w:rFonts w:ascii="Arial" w:hAnsi="Arial" w:cs="Arial"/>
        </w:rPr>
        <w:t>2009</w:t>
      </w:r>
      <w:r>
        <w:rPr>
          <w:rFonts w:ascii="Arial" w:hAnsi="Arial" w:cs="Arial"/>
        </w:rPr>
        <w:t xml:space="preserve"> </w:t>
      </w:r>
      <w:r w:rsidRPr="00626A6A">
        <w:rPr>
          <w:rFonts w:ascii="Arial" w:hAnsi="Arial" w:cs="Arial"/>
        </w:rPr>
        <w:t xml:space="preserve">) </w:t>
      </w:r>
      <w:r>
        <w:rPr>
          <w:rFonts w:ascii="Arial" w:hAnsi="Arial" w:cs="Arial"/>
        </w:rPr>
        <w:t xml:space="preserve">highlights </w:t>
      </w:r>
      <w:r w:rsidRPr="00626A6A">
        <w:rPr>
          <w:rFonts w:ascii="Arial" w:hAnsi="Arial" w:cs="Arial"/>
        </w:rPr>
        <w:t xml:space="preserve">the </w:t>
      </w:r>
      <w:r>
        <w:rPr>
          <w:rFonts w:ascii="Arial" w:hAnsi="Arial" w:cs="Arial"/>
        </w:rPr>
        <w:t>value</w:t>
      </w:r>
      <w:r w:rsidRPr="00626A6A">
        <w:rPr>
          <w:rFonts w:ascii="Arial" w:hAnsi="Arial" w:cs="Arial"/>
        </w:rPr>
        <w:t xml:space="preserve"> of</w:t>
      </w:r>
      <w:r>
        <w:rPr>
          <w:rFonts w:ascii="Arial" w:hAnsi="Arial" w:cs="Arial"/>
          <w:b/>
          <w:bCs/>
        </w:rPr>
        <w:t xml:space="preserve"> </w:t>
      </w:r>
      <w:r>
        <w:rPr>
          <w:rFonts w:ascii="Arial" w:hAnsi="Arial" w:cs="Arial"/>
        </w:rPr>
        <w:t>managerial discretion in implementation</w:t>
      </w:r>
      <w:r w:rsidRPr="00626A6A">
        <w:rPr>
          <w:rFonts w:ascii="Arial" w:hAnsi="Arial" w:cs="Arial"/>
        </w:rPr>
        <w:t>.</w:t>
      </w:r>
      <w:r>
        <w:rPr>
          <w:rFonts w:ascii="Arial" w:hAnsi="Arial" w:cs="Arial"/>
        </w:rPr>
        <w:t xml:space="preserve"> Although, this flexibility lets management adapt HR strategies to local circumstances, but also there is risk of inconsistency if not carefully </w:t>
      </w:r>
      <w:r w:rsidR="00C51DB2">
        <w:rPr>
          <w:rFonts w:ascii="Arial" w:hAnsi="Arial" w:cs="Arial"/>
        </w:rPr>
        <w:t>guided. To make sure urgency does not risk quality, managers must find a balance between speed, transparency and fairness. Regular performance discussions, employee feedback and HR support can support managers implementing practices fast while also keeping consistency throughout departments.</w:t>
      </w:r>
    </w:p>
    <w:p w14:paraId="0904630B" w14:textId="0AA3D233" w:rsidR="008C4C9C" w:rsidRDefault="008C4C9C" w:rsidP="007C02C0">
      <w:pPr>
        <w:tabs>
          <w:tab w:val="left" w:pos="1848"/>
        </w:tabs>
        <w:spacing w:line="360" w:lineRule="auto"/>
        <w:rPr>
          <w:rFonts w:ascii="Arial" w:hAnsi="Arial" w:cs="Arial"/>
        </w:rPr>
      </w:pPr>
    </w:p>
    <w:p w14:paraId="5A05AB4D" w14:textId="77777777" w:rsidR="00E841B4" w:rsidRDefault="00E841B4" w:rsidP="007C02C0">
      <w:pPr>
        <w:tabs>
          <w:tab w:val="left" w:pos="1848"/>
        </w:tabs>
        <w:spacing w:line="360" w:lineRule="auto"/>
        <w:rPr>
          <w:rFonts w:ascii="Arial" w:hAnsi="Arial" w:cs="Arial"/>
          <w:b/>
          <w:bCs/>
        </w:rPr>
      </w:pPr>
    </w:p>
    <w:p w14:paraId="065D80DD" w14:textId="77777777" w:rsidR="00E841B4" w:rsidRDefault="00E841B4" w:rsidP="007C02C0">
      <w:pPr>
        <w:tabs>
          <w:tab w:val="left" w:pos="1848"/>
        </w:tabs>
        <w:spacing w:line="360" w:lineRule="auto"/>
        <w:rPr>
          <w:rFonts w:ascii="Arial" w:hAnsi="Arial" w:cs="Arial"/>
          <w:b/>
          <w:bCs/>
        </w:rPr>
      </w:pPr>
    </w:p>
    <w:p w14:paraId="51117CBE" w14:textId="77777777" w:rsidR="00E841B4" w:rsidRDefault="00E841B4" w:rsidP="007C02C0">
      <w:pPr>
        <w:tabs>
          <w:tab w:val="left" w:pos="1848"/>
        </w:tabs>
        <w:spacing w:line="360" w:lineRule="auto"/>
        <w:rPr>
          <w:rFonts w:ascii="Arial" w:hAnsi="Arial" w:cs="Arial"/>
          <w:b/>
          <w:bCs/>
        </w:rPr>
      </w:pPr>
    </w:p>
    <w:p w14:paraId="2D360662" w14:textId="77777777" w:rsidR="00E841B4" w:rsidRDefault="00E841B4" w:rsidP="007C02C0">
      <w:pPr>
        <w:tabs>
          <w:tab w:val="left" w:pos="1848"/>
        </w:tabs>
        <w:spacing w:line="360" w:lineRule="auto"/>
        <w:rPr>
          <w:rFonts w:ascii="Arial" w:hAnsi="Arial" w:cs="Arial"/>
          <w:b/>
          <w:bCs/>
        </w:rPr>
      </w:pPr>
    </w:p>
    <w:p w14:paraId="642DF42A" w14:textId="77777777" w:rsidR="00E841B4" w:rsidRDefault="00E841B4" w:rsidP="007C02C0">
      <w:pPr>
        <w:tabs>
          <w:tab w:val="left" w:pos="1848"/>
        </w:tabs>
        <w:spacing w:line="360" w:lineRule="auto"/>
        <w:rPr>
          <w:rFonts w:ascii="Arial" w:hAnsi="Arial" w:cs="Arial"/>
          <w:b/>
          <w:bCs/>
        </w:rPr>
      </w:pPr>
    </w:p>
    <w:p w14:paraId="6B67E27B" w14:textId="77777777" w:rsidR="00E841B4" w:rsidRDefault="00E841B4" w:rsidP="007C02C0">
      <w:pPr>
        <w:tabs>
          <w:tab w:val="left" w:pos="1848"/>
        </w:tabs>
        <w:spacing w:line="360" w:lineRule="auto"/>
        <w:rPr>
          <w:rFonts w:ascii="Arial" w:hAnsi="Arial" w:cs="Arial"/>
          <w:b/>
          <w:bCs/>
        </w:rPr>
      </w:pPr>
    </w:p>
    <w:p w14:paraId="2E76D966" w14:textId="77777777" w:rsidR="00E841B4" w:rsidRDefault="00E841B4" w:rsidP="007C02C0">
      <w:pPr>
        <w:tabs>
          <w:tab w:val="left" w:pos="1848"/>
        </w:tabs>
        <w:spacing w:line="360" w:lineRule="auto"/>
        <w:rPr>
          <w:rFonts w:ascii="Arial" w:hAnsi="Arial" w:cs="Arial"/>
          <w:b/>
          <w:bCs/>
        </w:rPr>
      </w:pPr>
    </w:p>
    <w:p w14:paraId="417D436D" w14:textId="77777777" w:rsidR="00E841B4" w:rsidRDefault="00E841B4" w:rsidP="007C02C0">
      <w:pPr>
        <w:tabs>
          <w:tab w:val="left" w:pos="1848"/>
        </w:tabs>
        <w:spacing w:line="360" w:lineRule="auto"/>
        <w:rPr>
          <w:rFonts w:ascii="Arial" w:hAnsi="Arial" w:cs="Arial"/>
          <w:b/>
          <w:bCs/>
        </w:rPr>
      </w:pPr>
    </w:p>
    <w:p w14:paraId="2A40825B" w14:textId="77777777" w:rsidR="00E841B4" w:rsidRDefault="00E841B4" w:rsidP="007C02C0">
      <w:pPr>
        <w:tabs>
          <w:tab w:val="left" w:pos="1848"/>
        </w:tabs>
        <w:spacing w:line="360" w:lineRule="auto"/>
        <w:rPr>
          <w:rFonts w:ascii="Arial" w:hAnsi="Arial" w:cs="Arial"/>
          <w:b/>
          <w:bCs/>
        </w:rPr>
      </w:pPr>
    </w:p>
    <w:p w14:paraId="2A6F42E7" w14:textId="77777777" w:rsidR="00E841B4" w:rsidRDefault="00E841B4" w:rsidP="007C02C0">
      <w:pPr>
        <w:tabs>
          <w:tab w:val="left" w:pos="1848"/>
        </w:tabs>
        <w:spacing w:line="360" w:lineRule="auto"/>
        <w:rPr>
          <w:rFonts w:ascii="Arial" w:hAnsi="Arial" w:cs="Arial"/>
          <w:b/>
          <w:bCs/>
        </w:rPr>
      </w:pPr>
    </w:p>
    <w:p w14:paraId="3A0472B3" w14:textId="77777777" w:rsidR="00E841B4" w:rsidRDefault="00E841B4" w:rsidP="007C02C0">
      <w:pPr>
        <w:tabs>
          <w:tab w:val="left" w:pos="1848"/>
        </w:tabs>
        <w:spacing w:line="360" w:lineRule="auto"/>
        <w:rPr>
          <w:rFonts w:ascii="Arial" w:hAnsi="Arial" w:cs="Arial"/>
          <w:b/>
          <w:bCs/>
        </w:rPr>
      </w:pPr>
    </w:p>
    <w:p w14:paraId="415F41F5" w14:textId="77777777" w:rsidR="00E841B4" w:rsidRDefault="00E841B4" w:rsidP="007C02C0">
      <w:pPr>
        <w:tabs>
          <w:tab w:val="left" w:pos="1848"/>
        </w:tabs>
        <w:spacing w:line="360" w:lineRule="auto"/>
        <w:rPr>
          <w:rFonts w:ascii="Arial" w:hAnsi="Arial" w:cs="Arial"/>
          <w:b/>
          <w:bCs/>
        </w:rPr>
      </w:pPr>
    </w:p>
    <w:p w14:paraId="08685E9F" w14:textId="57B12181" w:rsidR="00886103" w:rsidRPr="00886103" w:rsidRDefault="00886103" w:rsidP="007C02C0">
      <w:pPr>
        <w:tabs>
          <w:tab w:val="left" w:pos="1848"/>
        </w:tabs>
        <w:spacing w:line="360" w:lineRule="auto"/>
        <w:rPr>
          <w:rFonts w:ascii="Arial" w:hAnsi="Arial" w:cs="Arial"/>
          <w:b/>
          <w:bCs/>
        </w:rPr>
      </w:pPr>
      <w:r>
        <w:rPr>
          <w:rFonts w:ascii="Arial" w:hAnsi="Arial" w:cs="Arial"/>
          <w:b/>
          <w:bCs/>
        </w:rPr>
        <w:lastRenderedPageBreak/>
        <w:t xml:space="preserve">Conclusion </w:t>
      </w:r>
    </w:p>
    <w:p w14:paraId="33C63EFE" w14:textId="0072B1C5" w:rsidR="00886103" w:rsidRDefault="00886103" w:rsidP="00886103">
      <w:pPr>
        <w:tabs>
          <w:tab w:val="left" w:pos="1848"/>
        </w:tabs>
        <w:spacing w:line="360" w:lineRule="auto"/>
        <w:rPr>
          <w:rFonts w:ascii="Arial" w:hAnsi="Arial" w:cs="Arial"/>
        </w:rPr>
      </w:pPr>
      <w:r>
        <w:rPr>
          <w:rFonts w:ascii="Arial" w:hAnsi="Arial" w:cs="Arial"/>
        </w:rPr>
        <w:t>In this report I have examined the impact of societal changes, technological trends and flexible working arrangements on HSBC. I evaluated certain contemporary HR strategies which include employee engagement, learning and development and hybrid working to respond to appeared challenges. Further in the report I have emphasised the key role of departmental management in providing urgent and effective implementation of HR strategies. Generally, it is linking stuff management and company goals that critical to maintain organizational performance, wellbeing of workers and long-term ability to compete in fast transforming finance sector.</w:t>
      </w:r>
    </w:p>
    <w:p w14:paraId="540260C1" w14:textId="77777777" w:rsidR="00AE4CF6" w:rsidRPr="00AE4CF6" w:rsidRDefault="00AE4CF6" w:rsidP="00886103">
      <w:pPr>
        <w:tabs>
          <w:tab w:val="left" w:pos="1848"/>
        </w:tabs>
        <w:spacing w:line="360" w:lineRule="auto"/>
        <w:rPr>
          <w:rFonts w:ascii="Arial" w:hAnsi="Arial" w:cs="Arial"/>
        </w:rPr>
      </w:pPr>
    </w:p>
    <w:p w14:paraId="0089488F" w14:textId="1584F0DF" w:rsidR="00886103" w:rsidRPr="00886103" w:rsidRDefault="00886103" w:rsidP="00886103">
      <w:pPr>
        <w:tabs>
          <w:tab w:val="left" w:pos="1848"/>
        </w:tabs>
        <w:spacing w:line="360" w:lineRule="auto"/>
        <w:rPr>
          <w:rFonts w:ascii="Arial" w:hAnsi="Arial" w:cs="Arial"/>
          <w:b/>
          <w:bCs/>
        </w:rPr>
      </w:pPr>
      <w:r>
        <w:rPr>
          <w:rFonts w:ascii="Arial" w:hAnsi="Arial" w:cs="Arial"/>
          <w:b/>
          <w:bCs/>
        </w:rPr>
        <w:t xml:space="preserve">Recommendations </w:t>
      </w:r>
    </w:p>
    <w:p w14:paraId="3D0CB025" w14:textId="6A357EBB" w:rsidR="00AE4CF6" w:rsidRDefault="0032555E" w:rsidP="00886103">
      <w:pPr>
        <w:tabs>
          <w:tab w:val="left" w:pos="1848"/>
        </w:tabs>
        <w:spacing w:line="360" w:lineRule="auto"/>
        <w:rPr>
          <w:rFonts w:ascii="Arial" w:hAnsi="Arial" w:cs="Arial"/>
        </w:rPr>
      </w:pPr>
      <w:r>
        <w:rPr>
          <w:rFonts w:ascii="Arial" w:hAnsi="Arial" w:cs="Arial"/>
        </w:rPr>
        <w:t>To keep stuff able to adapt to new technologies, while keeping organisational performance at the high level, HSBC should focus more on digital learning tools to enable current capability development. Senior</w:t>
      </w:r>
      <w:r w:rsidR="00AE4CF6">
        <w:rPr>
          <w:rFonts w:ascii="Arial" w:hAnsi="Arial" w:cs="Arial"/>
        </w:rPr>
        <w:t xml:space="preserve"> leaders need to rethink the value of HR strategies and add them into performance targets. In addition, they should improve monitoring and structure feedback processes if they want the implementation to keep fair and effective across the organisation.</w:t>
      </w:r>
    </w:p>
    <w:p w14:paraId="2F0CF431" w14:textId="77777777" w:rsidR="00886103" w:rsidRDefault="00886103" w:rsidP="007C02C0">
      <w:pPr>
        <w:tabs>
          <w:tab w:val="left" w:pos="1848"/>
        </w:tabs>
        <w:spacing w:line="360" w:lineRule="auto"/>
        <w:rPr>
          <w:rFonts w:ascii="Arial" w:hAnsi="Arial" w:cs="Arial"/>
        </w:rPr>
      </w:pPr>
    </w:p>
    <w:p w14:paraId="53CC0A3C" w14:textId="77777777" w:rsidR="00E841B4" w:rsidRDefault="00E841B4" w:rsidP="007C02C0">
      <w:pPr>
        <w:tabs>
          <w:tab w:val="left" w:pos="1848"/>
        </w:tabs>
        <w:spacing w:line="360" w:lineRule="auto"/>
        <w:rPr>
          <w:rFonts w:ascii="Arial" w:hAnsi="Arial" w:cs="Arial"/>
        </w:rPr>
      </w:pPr>
    </w:p>
    <w:p w14:paraId="14B3D278" w14:textId="77777777" w:rsidR="00E841B4" w:rsidRDefault="00E841B4" w:rsidP="007C02C0">
      <w:pPr>
        <w:tabs>
          <w:tab w:val="left" w:pos="1848"/>
        </w:tabs>
        <w:spacing w:line="360" w:lineRule="auto"/>
        <w:rPr>
          <w:rFonts w:ascii="Arial" w:hAnsi="Arial" w:cs="Arial"/>
        </w:rPr>
      </w:pPr>
    </w:p>
    <w:p w14:paraId="334C6604" w14:textId="77777777" w:rsidR="00E841B4" w:rsidRDefault="00E841B4" w:rsidP="007C02C0">
      <w:pPr>
        <w:tabs>
          <w:tab w:val="left" w:pos="1848"/>
        </w:tabs>
        <w:spacing w:line="360" w:lineRule="auto"/>
        <w:rPr>
          <w:rFonts w:ascii="Arial" w:hAnsi="Arial" w:cs="Arial"/>
        </w:rPr>
      </w:pPr>
    </w:p>
    <w:p w14:paraId="342C24E1" w14:textId="77777777" w:rsidR="00E841B4" w:rsidRDefault="00E841B4" w:rsidP="007C02C0">
      <w:pPr>
        <w:tabs>
          <w:tab w:val="left" w:pos="1848"/>
        </w:tabs>
        <w:spacing w:line="360" w:lineRule="auto"/>
        <w:rPr>
          <w:rFonts w:ascii="Arial" w:hAnsi="Arial" w:cs="Arial"/>
        </w:rPr>
      </w:pPr>
    </w:p>
    <w:p w14:paraId="4C34E2EE" w14:textId="77777777" w:rsidR="00E841B4" w:rsidRDefault="00E841B4" w:rsidP="007C02C0">
      <w:pPr>
        <w:tabs>
          <w:tab w:val="left" w:pos="1848"/>
        </w:tabs>
        <w:spacing w:line="360" w:lineRule="auto"/>
        <w:rPr>
          <w:rFonts w:ascii="Arial" w:hAnsi="Arial" w:cs="Arial"/>
        </w:rPr>
      </w:pPr>
    </w:p>
    <w:p w14:paraId="2ADDE108" w14:textId="77777777" w:rsidR="00E841B4" w:rsidRDefault="00E841B4" w:rsidP="007C02C0">
      <w:pPr>
        <w:tabs>
          <w:tab w:val="left" w:pos="1848"/>
        </w:tabs>
        <w:spacing w:line="360" w:lineRule="auto"/>
        <w:rPr>
          <w:rFonts w:ascii="Arial" w:hAnsi="Arial" w:cs="Arial"/>
        </w:rPr>
      </w:pPr>
    </w:p>
    <w:p w14:paraId="02ADEB7D" w14:textId="77777777" w:rsidR="00E841B4" w:rsidRDefault="00E841B4" w:rsidP="007C02C0">
      <w:pPr>
        <w:tabs>
          <w:tab w:val="left" w:pos="1848"/>
        </w:tabs>
        <w:spacing w:line="360" w:lineRule="auto"/>
        <w:rPr>
          <w:rFonts w:ascii="Arial" w:hAnsi="Arial" w:cs="Arial"/>
        </w:rPr>
      </w:pPr>
    </w:p>
    <w:p w14:paraId="727B2B5A" w14:textId="77777777" w:rsidR="00E841B4" w:rsidRDefault="00E841B4" w:rsidP="007C02C0">
      <w:pPr>
        <w:tabs>
          <w:tab w:val="left" w:pos="1848"/>
        </w:tabs>
        <w:spacing w:line="360" w:lineRule="auto"/>
        <w:rPr>
          <w:rFonts w:ascii="Arial" w:hAnsi="Arial" w:cs="Arial"/>
        </w:rPr>
      </w:pPr>
    </w:p>
    <w:p w14:paraId="4942715F" w14:textId="77777777" w:rsidR="00E841B4" w:rsidRDefault="00E841B4" w:rsidP="007C02C0">
      <w:pPr>
        <w:tabs>
          <w:tab w:val="left" w:pos="1848"/>
        </w:tabs>
        <w:spacing w:line="360" w:lineRule="auto"/>
        <w:rPr>
          <w:rFonts w:ascii="Arial" w:hAnsi="Arial" w:cs="Arial"/>
        </w:rPr>
      </w:pPr>
    </w:p>
    <w:p w14:paraId="5C81F1B5" w14:textId="77777777" w:rsidR="00E841B4" w:rsidRDefault="00E841B4" w:rsidP="007C02C0">
      <w:pPr>
        <w:tabs>
          <w:tab w:val="left" w:pos="1848"/>
        </w:tabs>
        <w:spacing w:line="360" w:lineRule="auto"/>
        <w:rPr>
          <w:rFonts w:ascii="Arial" w:hAnsi="Arial" w:cs="Arial"/>
        </w:rPr>
      </w:pPr>
    </w:p>
    <w:p w14:paraId="7DC39F40" w14:textId="15042EBE" w:rsidR="007C02C0" w:rsidRDefault="007C02C0" w:rsidP="007C02C0">
      <w:pPr>
        <w:tabs>
          <w:tab w:val="left" w:pos="1848"/>
        </w:tabs>
        <w:spacing w:line="360" w:lineRule="auto"/>
        <w:rPr>
          <w:rFonts w:ascii="Arial" w:hAnsi="Arial" w:cs="Arial"/>
        </w:rPr>
      </w:pPr>
      <w:r>
        <w:rPr>
          <w:rFonts w:ascii="Arial" w:hAnsi="Arial" w:cs="Arial"/>
        </w:rPr>
        <w:lastRenderedPageBreak/>
        <w:t xml:space="preserve">Reference list </w:t>
      </w:r>
    </w:p>
    <w:p w14:paraId="5466A975" w14:textId="77777777" w:rsidR="007C02C0" w:rsidRDefault="007C02C0" w:rsidP="007C02C0">
      <w:pPr>
        <w:tabs>
          <w:tab w:val="left" w:pos="1848"/>
        </w:tabs>
        <w:spacing w:line="360" w:lineRule="auto"/>
        <w:rPr>
          <w:rFonts w:ascii="Arial" w:hAnsi="Arial" w:cs="Arial"/>
        </w:rPr>
      </w:pPr>
    </w:p>
    <w:p w14:paraId="2808B2D1" w14:textId="7DDADA7F" w:rsidR="007C02C0" w:rsidRPr="007C02C0" w:rsidRDefault="007C02C0" w:rsidP="007C02C0">
      <w:pPr>
        <w:tabs>
          <w:tab w:val="left" w:pos="1848"/>
        </w:tabs>
        <w:spacing w:line="360" w:lineRule="auto"/>
        <w:rPr>
          <w:rFonts w:ascii="Arial" w:hAnsi="Arial" w:cs="Arial"/>
        </w:rPr>
      </w:pPr>
      <w:r w:rsidRPr="007C02C0">
        <w:rPr>
          <w:rFonts w:ascii="Arial" w:hAnsi="Arial" w:cs="Arial"/>
        </w:rPr>
        <w:t xml:space="preserve">Allen, T.D., Golden, T.D. and Shockley, K.M. (2015) </w:t>
      </w:r>
      <w:r w:rsidR="004714CC" w:rsidRPr="004714CC">
        <w:rPr>
          <w:rFonts w:ascii="Arial" w:hAnsi="Arial" w:cs="Arial"/>
          <w:i/>
          <w:iCs/>
        </w:rPr>
        <w:t>“</w:t>
      </w:r>
      <w:r w:rsidRPr="007C02C0">
        <w:rPr>
          <w:rFonts w:ascii="Arial" w:hAnsi="Arial" w:cs="Arial"/>
          <w:i/>
          <w:iCs/>
        </w:rPr>
        <w:t>How effective is telecommuting? Assessing the status of our scientific findings</w:t>
      </w:r>
      <w:r w:rsidR="004714CC">
        <w:rPr>
          <w:rFonts w:ascii="Arial" w:hAnsi="Arial" w:cs="Arial"/>
        </w:rPr>
        <w:t>”</w:t>
      </w:r>
      <w:r w:rsidRPr="007C02C0">
        <w:rPr>
          <w:rFonts w:ascii="Arial" w:hAnsi="Arial" w:cs="Arial"/>
        </w:rPr>
        <w:t xml:space="preserve">, </w:t>
      </w:r>
      <w:r w:rsidRPr="007C02C0">
        <w:rPr>
          <w:rFonts w:ascii="Arial" w:hAnsi="Arial" w:cs="Arial"/>
          <w:i/>
          <w:iCs/>
        </w:rPr>
        <w:t>Psychological Science in the Public Interest</w:t>
      </w:r>
      <w:r w:rsidRPr="007C02C0">
        <w:rPr>
          <w:rFonts w:ascii="Arial" w:hAnsi="Arial" w:cs="Arial"/>
        </w:rPr>
        <w:t xml:space="preserve">, 16(2), pp. 40–68. Available at: </w:t>
      </w:r>
      <w:hyperlink r:id="rId7" w:tgtFrame="_new" w:history="1">
        <w:r w:rsidRPr="007C02C0">
          <w:rPr>
            <w:rStyle w:val="Hyperlink"/>
            <w:rFonts w:ascii="Arial" w:hAnsi="Arial" w:cs="Arial"/>
          </w:rPr>
          <w:t>https://journals.sagepub.com/doi/full/10.1177/1529100615593273</w:t>
        </w:r>
      </w:hyperlink>
      <w:r w:rsidRPr="007C02C0">
        <w:rPr>
          <w:rFonts w:ascii="Arial" w:hAnsi="Arial" w:cs="Arial"/>
        </w:rPr>
        <w:t xml:space="preserve"> </w:t>
      </w:r>
      <w:r w:rsidR="004714CC">
        <w:rPr>
          <w:rFonts w:ascii="Arial" w:hAnsi="Arial" w:cs="Arial"/>
        </w:rPr>
        <w:t xml:space="preserve">[ </w:t>
      </w:r>
      <w:r w:rsidRPr="007C02C0">
        <w:rPr>
          <w:rFonts w:ascii="Arial" w:hAnsi="Arial" w:cs="Arial"/>
        </w:rPr>
        <w:t>Accessed: 1</w:t>
      </w:r>
      <w:r w:rsidR="004714CC">
        <w:rPr>
          <w:rFonts w:ascii="Arial" w:hAnsi="Arial" w:cs="Arial"/>
        </w:rPr>
        <w:t>3</w:t>
      </w:r>
      <w:r w:rsidRPr="007C02C0">
        <w:rPr>
          <w:rFonts w:ascii="Arial" w:hAnsi="Arial" w:cs="Arial"/>
        </w:rPr>
        <w:t xml:space="preserve"> December 2025</w:t>
      </w:r>
      <w:r w:rsidR="004714CC">
        <w:rPr>
          <w:rFonts w:ascii="Arial" w:hAnsi="Arial" w:cs="Arial"/>
        </w:rPr>
        <w:t xml:space="preserve"> ]</w:t>
      </w:r>
    </w:p>
    <w:p w14:paraId="70C0C7D3" w14:textId="03F216F1" w:rsidR="007C02C0" w:rsidRPr="007C02C0" w:rsidRDefault="007C02C0" w:rsidP="007C02C0">
      <w:pPr>
        <w:tabs>
          <w:tab w:val="left" w:pos="1848"/>
        </w:tabs>
        <w:spacing w:line="360" w:lineRule="auto"/>
        <w:rPr>
          <w:rFonts w:ascii="Arial" w:hAnsi="Arial" w:cs="Arial"/>
        </w:rPr>
      </w:pPr>
      <w:r w:rsidRPr="007C02C0">
        <w:rPr>
          <w:rFonts w:ascii="Arial" w:hAnsi="Arial" w:cs="Arial"/>
        </w:rPr>
        <w:t>Bank for International Settlements</w:t>
      </w:r>
      <w:r w:rsidR="004714CC">
        <w:rPr>
          <w:rFonts w:ascii="Arial" w:hAnsi="Arial" w:cs="Arial"/>
        </w:rPr>
        <w:t xml:space="preserve">. </w:t>
      </w:r>
      <w:r w:rsidRPr="007C02C0">
        <w:rPr>
          <w:rFonts w:ascii="Arial" w:hAnsi="Arial" w:cs="Arial"/>
        </w:rPr>
        <w:t xml:space="preserve">(2020) </w:t>
      </w:r>
      <w:r w:rsidR="004714CC">
        <w:rPr>
          <w:rFonts w:ascii="Arial" w:hAnsi="Arial" w:cs="Arial"/>
        </w:rPr>
        <w:t>“</w:t>
      </w:r>
      <w:r w:rsidRPr="007C02C0">
        <w:rPr>
          <w:rFonts w:ascii="Arial" w:hAnsi="Arial" w:cs="Arial"/>
          <w:i/>
          <w:iCs/>
        </w:rPr>
        <w:t>Sound practices: implications of fintech developments for banks and bank supervisors</w:t>
      </w:r>
      <w:r w:rsidR="004714CC">
        <w:rPr>
          <w:rFonts w:ascii="Arial" w:hAnsi="Arial" w:cs="Arial"/>
        </w:rPr>
        <w:t xml:space="preserve">”. </w:t>
      </w:r>
      <w:r w:rsidRPr="007C02C0">
        <w:rPr>
          <w:rFonts w:ascii="Arial" w:hAnsi="Arial" w:cs="Arial"/>
        </w:rPr>
        <w:t xml:space="preserve">Available at: </w:t>
      </w:r>
      <w:hyperlink r:id="rId8" w:tgtFrame="_new" w:history="1">
        <w:r w:rsidRPr="007C02C0">
          <w:rPr>
            <w:rStyle w:val="Hyperlink"/>
            <w:rFonts w:ascii="Arial" w:hAnsi="Arial" w:cs="Arial"/>
          </w:rPr>
          <w:t>https://www.bis.org/bcbs/publ/d431.pdf</w:t>
        </w:r>
      </w:hyperlink>
      <w:r w:rsidRPr="007C02C0">
        <w:rPr>
          <w:rFonts w:ascii="Arial" w:hAnsi="Arial" w:cs="Arial"/>
        </w:rPr>
        <w:t xml:space="preserve"> </w:t>
      </w:r>
      <w:r w:rsidR="004714CC">
        <w:rPr>
          <w:rFonts w:ascii="Arial" w:hAnsi="Arial" w:cs="Arial"/>
        </w:rPr>
        <w:t xml:space="preserve">[ </w:t>
      </w:r>
      <w:r w:rsidRPr="007C02C0">
        <w:rPr>
          <w:rFonts w:ascii="Arial" w:hAnsi="Arial" w:cs="Arial"/>
        </w:rPr>
        <w:t>Accessed: 13 December 2025</w:t>
      </w:r>
      <w:r w:rsidR="004714CC">
        <w:rPr>
          <w:rFonts w:ascii="Arial" w:hAnsi="Arial" w:cs="Arial"/>
        </w:rPr>
        <w:t xml:space="preserve"> ]</w:t>
      </w:r>
      <w:r w:rsidR="00D2197D">
        <w:rPr>
          <w:rFonts w:ascii="Arial" w:hAnsi="Arial" w:cs="Arial"/>
        </w:rPr>
        <w:t xml:space="preserve"> </w:t>
      </w:r>
    </w:p>
    <w:p w14:paraId="2EBEE9EE" w14:textId="011AAAAF" w:rsidR="007C02C0" w:rsidRPr="007C02C0" w:rsidRDefault="007C02C0" w:rsidP="007C02C0">
      <w:pPr>
        <w:tabs>
          <w:tab w:val="left" w:pos="1848"/>
        </w:tabs>
        <w:spacing w:line="360" w:lineRule="auto"/>
        <w:rPr>
          <w:rFonts w:ascii="Arial" w:hAnsi="Arial" w:cs="Arial"/>
        </w:rPr>
      </w:pPr>
      <w:r w:rsidRPr="007C02C0">
        <w:rPr>
          <w:rFonts w:ascii="Arial" w:hAnsi="Arial" w:cs="Arial"/>
        </w:rPr>
        <w:t>Britannica</w:t>
      </w:r>
      <w:r w:rsidR="004714CC">
        <w:rPr>
          <w:rFonts w:ascii="Arial" w:hAnsi="Arial" w:cs="Arial"/>
        </w:rPr>
        <w:t xml:space="preserve">. </w:t>
      </w:r>
      <w:r w:rsidRPr="007C02C0">
        <w:rPr>
          <w:rFonts w:ascii="Arial" w:hAnsi="Arial" w:cs="Arial"/>
        </w:rPr>
        <w:t xml:space="preserve">(2025) </w:t>
      </w:r>
      <w:r w:rsidR="004714CC">
        <w:rPr>
          <w:rFonts w:ascii="Arial" w:hAnsi="Arial" w:cs="Arial"/>
        </w:rPr>
        <w:t>“</w:t>
      </w:r>
      <w:r w:rsidRPr="007C02C0">
        <w:rPr>
          <w:rFonts w:ascii="Arial" w:hAnsi="Arial" w:cs="Arial"/>
          <w:i/>
          <w:iCs/>
        </w:rPr>
        <w:t>HSBC Holdings PLC</w:t>
      </w:r>
      <w:r w:rsidR="004714CC">
        <w:rPr>
          <w:rFonts w:ascii="Arial" w:hAnsi="Arial" w:cs="Arial"/>
          <w:i/>
          <w:iCs/>
        </w:rPr>
        <w:t>”</w:t>
      </w:r>
      <w:r w:rsidRPr="007C02C0">
        <w:rPr>
          <w:rFonts w:ascii="Arial" w:hAnsi="Arial" w:cs="Arial"/>
        </w:rPr>
        <w:t xml:space="preserve">. Available at: </w:t>
      </w:r>
      <w:hyperlink r:id="rId9" w:tgtFrame="_new" w:history="1">
        <w:r w:rsidRPr="007C02C0">
          <w:rPr>
            <w:rStyle w:val="Hyperlink"/>
            <w:rFonts w:ascii="Arial" w:hAnsi="Arial" w:cs="Arial"/>
          </w:rPr>
          <w:t>https://www.britannica.com/money/HSBC-Holdings-PLC</w:t>
        </w:r>
      </w:hyperlink>
      <w:r w:rsidRPr="007C02C0">
        <w:rPr>
          <w:rFonts w:ascii="Arial" w:hAnsi="Arial" w:cs="Arial"/>
        </w:rPr>
        <w:t xml:space="preserve"> </w:t>
      </w:r>
      <w:r w:rsidR="004714CC">
        <w:rPr>
          <w:rFonts w:ascii="Arial" w:hAnsi="Arial" w:cs="Arial"/>
        </w:rPr>
        <w:t xml:space="preserve">[ </w:t>
      </w:r>
      <w:r w:rsidRPr="007C02C0">
        <w:rPr>
          <w:rFonts w:ascii="Arial" w:hAnsi="Arial" w:cs="Arial"/>
        </w:rPr>
        <w:t>Accessed: 8 December 2025</w:t>
      </w:r>
      <w:r w:rsidR="004714CC">
        <w:rPr>
          <w:rFonts w:ascii="Arial" w:hAnsi="Arial" w:cs="Arial"/>
        </w:rPr>
        <w:t xml:space="preserve"> ]</w:t>
      </w:r>
      <w:r w:rsidRPr="007C02C0">
        <w:rPr>
          <w:rFonts w:ascii="Arial" w:hAnsi="Arial" w:cs="Arial"/>
        </w:rPr>
        <w:t>.</w:t>
      </w:r>
      <w:r w:rsidR="00D2197D">
        <w:rPr>
          <w:rFonts w:ascii="Arial" w:hAnsi="Arial" w:cs="Arial"/>
        </w:rPr>
        <w:t xml:space="preserve"> </w:t>
      </w:r>
    </w:p>
    <w:p w14:paraId="6D212819" w14:textId="13908878" w:rsidR="007C02C0" w:rsidRPr="007C02C0" w:rsidRDefault="007C02C0" w:rsidP="007C02C0">
      <w:pPr>
        <w:tabs>
          <w:tab w:val="left" w:pos="1848"/>
        </w:tabs>
        <w:spacing w:line="360" w:lineRule="auto"/>
        <w:rPr>
          <w:rFonts w:ascii="Arial" w:hAnsi="Arial" w:cs="Arial"/>
        </w:rPr>
      </w:pPr>
      <w:r w:rsidRPr="007C02C0">
        <w:rPr>
          <w:rFonts w:ascii="Arial" w:hAnsi="Arial" w:cs="Arial"/>
        </w:rPr>
        <w:t xml:space="preserve">Capraro, R., Oswald, A.J. and Mura, F. (2024) </w:t>
      </w:r>
      <w:r w:rsidR="004714CC">
        <w:rPr>
          <w:rFonts w:ascii="Arial" w:hAnsi="Arial" w:cs="Arial"/>
        </w:rPr>
        <w:t>“</w:t>
      </w:r>
      <w:r w:rsidRPr="007C02C0">
        <w:rPr>
          <w:rFonts w:ascii="Arial" w:hAnsi="Arial" w:cs="Arial"/>
        </w:rPr>
        <w:t>Working from home is here to stay, but how does it affect workplace learning?</w:t>
      </w:r>
      <w:r w:rsidR="004714CC">
        <w:rPr>
          <w:rFonts w:ascii="Arial" w:hAnsi="Arial" w:cs="Arial"/>
        </w:rPr>
        <w:t>”</w:t>
      </w:r>
      <w:r w:rsidRPr="007C02C0">
        <w:rPr>
          <w:rFonts w:ascii="Arial" w:hAnsi="Arial" w:cs="Arial"/>
        </w:rPr>
        <w:t xml:space="preserve">, </w:t>
      </w:r>
      <w:r w:rsidRPr="007C02C0">
        <w:rPr>
          <w:rFonts w:ascii="Arial" w:hAnsi="Arial" w:cs="Arial"/>
          <w:i/>
          <w:iCs/>
        </w:rPr>
        <w:t>Swiss Journal of Economics and Statistics</w:t>
      </w:r>
      <w:r w:rsidRPr="007C02C0">
        <w:rPr>
          <w:rFonts w:ascii="Arial" w:hAnsi="Arial" w:cs="Arial"/>
        </w:rPr>
        <w:t xml:space="preserve">, 160(1), pp. 1–20. Available at: </w:t>
      </w:r>
      <w:hyperlink r:id="rId10" w:tgtFrame="_new" w:history="1">
        <w:r w:rsidRPr="007C02C0">
          <w:rPr>
            <w:rStyle w:val="Hyperlink"/>
            <w:rFonts w:ascii="Arial" w:hAnsi="Arial" w:cs="Arial"/>
          </w:rPr>
          <w:t>https://link.springer.com/article/10.1186/s41937-024-00123-4</w:t>
        </w:r>
      </w:hyperlink>
      <w:r w:rsidRPr="007C02C0">
        <w:rPr>
          <w:rFonts w:ascii="Arial" w:hAnsi="Arial" w:cs="Arial"/>
        </w:rPr>
        <w:t xml:space="preserve"> </w:t>
      </w:r>
      <w:r w:rsidR="004714CC">
        <w:rPr>
          <w:rFonts w:ascii="Arial" w:hAnsi="Arial" w:cs="Arial"/>
        </w:rPr>
        <w:t xml:space="preserve">[ </w:t>
      </w:r>
      <w:r w:rsidRPr="007C02C0">
        <w:rPr>
          <w:rFonts w:ascii="Arial" w:hAnsi="Arial" w:cs="Arial"/>
        </w:rPr>
        <w:t>Accessed: 13 December 2025</w:t>
      </w:r>
      <w:r w:rsidR="004714CC">
        <w:rPr>
          <w:rFonts w:ascii="Arial" w:hAnsi="Arial" w:cs="Arial"/>
        </w:rPr>
        <w:t xml:space="preserve"> ]</w:t>
      </w:r>
      <w:r w:rsidRPr="007C02C0">
        <w:rPr>
          <w:rFonts w:ascii="Arial" w:hAnsi="Arial" w:cs="Arial"/>
        </w:rPr>
        <w:t>.</w:t>
      </w:r>
    </w:p>
    <w:p w14:paraId="2C0C42B7" w14:textId="0FAD827E" w:rsidR="007C02C0" w:rsidRPr="007C02C0" w:rsidRDefault="007C02C0" w:rsidP="007C02C0">
      <w:pPr>
        <w:tabs>
          <w:tab w:val="left" w:pos="1848"/>
        </w:tabs>
        <w:spacing w:line="360" w:lineRule="auto"/>
        <w:rPr>
          <w:rFonts w:ascii="Arial" w:hAnsi="Arial" w:cs="Arial"/>
        </w:rPr>
      </w:pPr>
      <w:r w:rsidRPr="007C02C0">
        <w:rPr>
          <w:rFonts w:ascii="Arial" w:hAnsi="Arial" w:cs="Arial"/>
        </w:rPr>
        <w:t xml:space="preserve">De Oliveira, M., Rodrigues, A. and Silva, P. (2022) </w:t>
      </w:r>
      <w:r w:rsidR="004714CC">
        <w:rPr>
          <w:rFonts w:ascii="Arial" w:hAnsi="Arial" w:cs="Arial"/>
        </w:rPr>
        <w:t>“</w:t>
      </w:r>
      <w:r w:rsidRPr="007C02C0">
        <w:rPr>
          <w:rFonts w:ascii="Arial" w:hAnsi="Arial" w:cs="Arial"/>
        </w:rPr>
        <w:t>Relationship between human resource management practices and employee engagement</w:t>
      </w:r>
      <w:r w:rsidR="004714CC">
        <w:rPr>
          <w:rFonts w:ascii="Arial" w:hAnsi="Arial" w:cs="Arial"/>
        </w:rPr>
        <w:t>”</w:t>
      </w:r>
      <w:r w:rsidRPr="007C02C0">
        <w:rPr>
          <w:rFonts w:ascii="Arial" w:hAnsi="Arial" w:cs="Arial"/>
        </w:rPr>
        <w:t xml:space="preserve">, </w:t>
      </w:r>
      <w:r w:rsidRPr="007C02C0">
        <w:rPr>
          <w:rFonts w:ascii="Arial" w:hAnsi="Arial" w:cs="Arial"/>
          <w:i/>
          <w:iCs/>
        </w:rPr>
        <w:t>Brazilian Journal of Operations &amp; Production Management</w:t>
      </w:r>
      <w:r w:rsidRPr="007C02C0">
        <w:rPr>
          <w:rFonts w:ascii="Arial" w:hAnsi="Arial" w:cs="Arial"/>
        </w:rPr>
        <w:t xml:space="preserve">, 19(4), pp. 650–667. Available at: </w:t>
      </w:r>
      <w:hyperlink r:id="rId11" w:tgtFrame="_new" w:history="1">
        <w:r w:rsidRPr="007C02C0">
          <w:rPr>
            <w:rStyle w:val="Hyperlink"/>
            <w:rFonts w:ascii="Arial" w:hAnsi="Arial" w:cs="Arial"/>
          </w:rPr>
          <w:t>https://bjopm.org.br/bjopm/article/download/1331/1030/11065</w:t>
        </w:r>
      </w:hyperlink>
      <w:r w:rsidRPr="007C02C0">
        <w:rPr>
          <w:rFonts w:ascii="Arial" w:hAnsi="Arial" w:cs="Arial"/>
        </w:rPr>
        <w:t xml:space="preserve"> </w:t>
      </w:r>
      <w:r w:rsidR="004714CC">
        <w:rPr>
          <w:rFonts w:ascii="Arial" w:hAnsi="Arial" w:cs="Arial"/>
        </w:rPr>
        <w:t xml:space="preserve">[ </w:t>
      </w:r>
      <w:r w:rsidRPr="007C02C0">
        <w:rPr>
          <w:rFonts w:ascii="Arial" w:hAnsi="Arial" w:cs="Arial"/>
        </w:rPr>
        <w:t>Accessed: 13 December 2025</w:t>
      </w:r>
      <w:r w:rsidR="004714CC">
        <w:rPr>
          <w:rFonts w:ascii="Arial" w:hAnsi="Arial" w:cs="Arial"/>
        </w:rPr>
        <w:t xml:space="preserve"> ]</w:t>
      </w:r>
      <w:r w:rsidRPr="007C02C0">
        <w:rPr>
          <w:rFonts w:ascii="Arial" w:hAnsi="Arial" w:cs="Arial"/>
        </w:rPr>
        <w:t>.</w:t>
      </w:r>
    </w:p>
    <w:p w14:paraId="0AAD074E" w14:textId="1D425429" w:rsidR="007C02C0" w:rsidRPr="007C02C0" w:rsidRDefault="007C02C0" w:rsidP="007C02C0">
      <w:pPr>
        <w:tabs>
          <w:tab w:val="left" w:pos="1848"/>
        </w:tabs>
        <w:spacing w:line="360" w:lineRule="auto"/>
        <w:rPr>
          <w:rFonts w:ascii="Arial" w:hAnsi="Arial" w:cs="Arial"/>
        </w:rPr>
      </w:pPr>
      <w:r w:rsidRPr="007C02C0">
        <w:rPr>
          <w:rFonts w:ascii="Arial" w:hAnsi="Arial" w:cs="Arial"/>
        </w:rPr>
        <w:t>HSBC</w:t>
      </w:r>
      <w:r w:rsidR="004714CC">
        <w:rPr>
          <w:rFonts w:ascii="Arial" w:hAnsi="Arial" w:cs="Arial"/>
        </w:rPr>
        <w:t xml:space="preserve">. </w:t>
      </w:r>
      <w:r w:rsidRPr="007C02C0">
        <w:rPr>
          <w:rFonts w:ascii="Arial" w:hAnsi="Arial" w:cs="Arial"/>
        </w:rPr>
        <w:t xml:space="preserve">(2025) </w:t>
      </w:r>
      <w:r w:rsidR="004714CC">
        <w:rPr>
          <w:rFonts w:ascii="Arial" w:hAnsi="Arial" w:cs="Arial"/>
        </w:rPr>
        <w:t>“</w:t>
      </w:r>
      <w:r w:rsidRPr="007C02C0">
        <w:rPr>
          <w:rFonts w:ascii="Arial" w:hAnsi="Arial" w:cs="Arial"/>
          <w:i/>
          <w:iCs/>
        </w:rPr>
        <w:t>Our history</w:t>
      </w:r>
      <w:r w:rsidR="004714CC">
        <w:rPr>
          <w:rFonts w:ascii="Arial" w:hAnsi="Arial" w:cs="Arial"/>
          <w:i/>
          <w:iCs/>
        </w:rPr>
        <w:t>”</w:t>
      </w:r>
      <w:r w:rsidRPr="007C02C0">
        <w:rPr>
          <w:rFonts w:ascii="Arial" w:hAnsi="Arial" w:cs="Arial"/>
        </w:rPr>
        <w:t xml:space="preserve">. Available at: </w:t>
      </w:r>
      <w:hyperlink r:id="rId12" w:tgtFrame="_new" w:history="1">
        <w:r w:rsidRPr="007C02C0">
          <w:rPr>
            <w:rStyle w:val="Hyperlink"/>
            <w:rFonts w:ascii="Arial" w:hAnsi="Arial" w:cs="Arial"/>
          </w:rPr>
          <w:t>https://www.hsbc.com/who-we-are/our-strategy-and-values/our-history</w:t>
        </w:r>
      </w:hyperlink>
      <w:r w:rsidRPr="007C02C0">
        <w:rPr>
          <w:rFonts w:ascii="Arial" w:hAnsi="Arial" w:cs="Arial"/>
        </w:rPr>
        <w:t xml:space="preserve"> </w:t>
      </w:r>
      <w:r w:rsidR="004714CC">
        <w:rPr>
          <w:rFonts w:ascii="Arial" w:hAnsi="Arial" w:cs="Arial"/>
        </w:rPr>
        <w:t xml:space="preserve">[ </w:t>
      </w:r>
      <w:r w:rsidRPr="007C02C0">
        <w:rPr>
          <w:rFonts w:ascii="Arial" w:hAnsi="Arial" w:cs="Arial"/>
        </w:rPr>
        <w:t>Accessed: 8 December 2025</w:t>
      </w:r>
      <w:r w:rsidR="004714CC">
        <w:rPr>
          <w:rFonts w:ascii="Arial" w:hAnsi="Arial" w:cs="Arial"/>
        </w:rPr>
        <w:t xml:space="preserve"> ]</w:t>
      </w:r>
      <w:r w:rsidRPr="007C02C0">
        <w:rPr>
          <w:rFonts w:ascii="Arial" w:hAnsi="Arial" w:cs="Arial"/>
        </w:rPr>
        <w:t>.</w:t>
      </w:r>
      <w:r w:rsidR="00D2197D">
        <w:rPr>
          <w:rFonts w:ascii="Arial" w:hAnsi="Arial" w:cs="Arial"/>
        </w:rPr>
        <w:t xml:space="preserve"> </w:t>
      </w:r>
    </w:p>
    <w:p w14:paraId="2AFDFE53" w14:textId="0AA96590" w:rsidR="007C02C0" w:rsidRPr="007C02C0" w:rsidRDefault="007C02C0" w:rsidP="007C02C0">
      <w:pPr>
        <w:tabs>
          <w:tab w:val="left" w:pos="1848"/>
        </w:tabs>
        <w:spacing w:line="360" w:lineRule="auto"/>
        <w:rPr>
          <w:rFonts w:ascii="Arial" w:hAnsi="Arial" w:cs="Arial"/>
        </w:rPr>
      </w:pPr>
      <w:r w:rsidRPr="007C02C0">
        <w:rPr>
          <w:rFonts w:ascii="Arial" w:hAnsi="Arial" w:cs="Arial"/>
        </w:rPr>
        <w:t xml:space="preserve">Kahn, W.A. (1990) </w:t>
      </w:r>
      <w:r w:rsidR="004714CC">
        <w:rPr>
          <w:rFonts w:ascii="Arial" w:hAnsi="Arial" w:cs="Arial"/>
        </w:rPr>
        <w:t>“</w:t>
      </w:r>
      <w:r w:rsidRPr="007C02C0">
        <w:rPr>
          <w:rFonts w:ascii="Arial" w:hAnsi="Arial" w:cs="Arial"/>
        </w:rPr>
        <w:t>Psychological conditions of personal engagement and disengagement at work</w:t>
      </w:r>
      <w:r w:rsidR="004714CC">
        <w:rPr>
          <w:rFonts w:ascii="Arial" w:hAnsi="Arial" w:cs="Arial"/>
        </w:rPr>
        <w:t>”</w:t>
      </w:r>
      <w:r w:rsidRPr="007C02C0">
        <w:rPr>
          <w:rFonts w:ascii="Arial" w:hAnsi="Arial" w:cs="Arial"/>
        </w:rPr>
        <w:t xml:space="preserve">, </w:t>
      </w:r>
      <w:r w:rsidRPr="007C02C0">
        <w:rPr>
          <w:rFonts w:ascii="Arial" w:hAnsi="Arial" w:cs="Arial"/>
          <w:i/>
          <w:iCs/>
        </w:rPr>
        <w:t>Academy of Management Journal</w:t>
      </w:r>
      <w:r w:rsidRPr="007C02C0">
        <w:rPr>
          <w:rFonts w:ascii="Arial" w:hAnsi="Arial" w:cs="Arial"/>
        </w:rPr>
        <w:t>, 33(4), pp. 692–724.</w:t>
      </w:r>
    </w:p>
    <w:p w14:paraId="6D127876" w14:textId="34906650" w:rsidR="007C02C0" w:rsidRPr="007C02C0" w:rsidRDefault="007C02C0" w:rsidP="007C02C0">
      <w:pPr>
        <w:tabs>
          <w:tab w:val="left" w:pos="1848"/>
        </w:tabs>
        <w:spacing w:line="360" w:lineRule="auto"/>
        <w:rPr>
          <w:rFonts w:ascii="Arial" w:hAnsi="Arial" w:cs="Arial"/>
        </w:rPr>
      </w:pPr>
      <w:r w:rsidRPr="007C02C0">
        <w:rPr>
          <w:rFonts w:ascii="Arial" w:hAnsi="Arial" w:cs="Arial"/>
        </w:rPr>
        <w:t xml:space="preserve">Legge, K. (2005) </w:t>
      </w:r>
      <w:r w:rsidR="004714CC">
        <w:rPr>
          <w:rFonts w:ascii="Arial" w:hAnsi="Arial" w:cs="Arial"/>
        </w:rPr>
        <w:t>“</w:t>
      </w:r>
      <w:r w:rsidRPr="007C02C0">
        <w:rPr>
          <w:rFonts w:ascii="Arial" w:hAnsi="Arial" w:cs="Arial"/>
          <w:i/>
          <w:iCs/>
        </w:rPr>
        <w:t>Human Resource Management: Rhetorics and Realities</w:t>
      </w:r>
      <w:r w:rsidRPr="007C02C0">
        <w:rPr>
          <w:rFonts w:ascii="Arial" w:hAnsi="Arial" w:cs="Arial"/>
        </w:rPr>
        <w:t>.</w:t>
      </w:r>
      <w:r w:rsidR="004714CC">
        <w:rPr>
          <w:rFonts w:ascii="Arial" w:hAnsi="Arial" w:cs="Arial"/>
        </w:rPr>
        <w:t>”</w:t>
      </w:r>
      <w:r w:rsidRPr="007C02C0">
        <w:rPr>
          <w:rFonts w:ascii="Arial" w:hAnsi="Arial" w:cs="Arial"/>
        </w:rPr>
        <w:t xml:space="preserve"> Anniversary edn. Basingstoke: Palgrave Macmillan.</w:t>
      </w:r>
    </w:p>
    <w:p w14:paraId="78A43D8D" w14:textId="06200C4F" w:rsidR="007C02C0" w:rsidRPr="007C02C0" w:rsidRDefault="007C02C0" w:rsidP="007C02C0">
      <w:pPr>
        <w:tabs>
          <w:tab w:val="left" w:pos="1848"/>
        </w:tabs>
        <w:spacing w:line="360" w:lineRule="auto"/>
        <w:rPr>
          <w:rFonts w:ascii="Arial" w:hAnsi="Arial" w:cs="Arial"/>
        </w:rPr>
      </w:pPr>
      <w:r w:rsidRPr="007C02C0">
        <w:rPr>
          <w:rFonts w:ascii="Arial" w:hAnsi="Arial" w:cs="Arial"/>
        </w:rPr>
        <w:lastRenderedPageBreak/>
        <w:t xml:space="preserve">Maslow, A.H. (1943) </w:t>
      </w:r>
      <w:r w:rsidR="004714CC">
        <w:rPr>
          <w:rFonts w:ascii="Arial" w:hAnsi="Arial" w:cs="Arial"/>
        </w:rPr>
        <w:t>“</w:t>
      </w:r>
      <w:r w:rsidRPr="007C02C0">
        <w:rPr>
          <w:rFonts w:ascii="Arial" w:hAnsi="Arial" w:cs="Arial"/>
        </w:rPr>
        <w:t>A theory of human motivation</w:t>
      </w:r>
      <w:r w:rsidR="004714CC">
        <w:rPr>
          <w:rFonts w:ascii="Arial" w:hAnsi="Arial" w:cs="Arial"/>
        </w:rPr>
        <w:t>”</w:t>
      </w:r>
      <w:r w:rsidRPr="007C02C0">
        <w:rPr>
          <w:rFonts w:ascii="Arial" w:hAnsi="Arial" w:cs="Arial"/>
        </w:rPr>
        <w:t xml:space="preserve">, </w:t>
      </w:r>
      <w:r w:rsidRPr="007C02C0">
        <w:rPr>
          <w:rFonts w:ascii="Arial" w:hAnsi="Arial" w:cs="Arial"/>
          <w:i/>
          <w:iCs/>
        </w:rPr>
        <w:t>Psychological Review</w:t>
      </w:r>
      <w:r w:rsidRPr="007C02C0">
        <w:rPr>
          <w:rFonts w:ascii="Arial" w:hAnsi="Arial" w:cs="Arial"/>
        </w:rPr>
        <w:t>, 50(4), pp. 370–396.</w:t>
      </w:r>
    </w:p>
    <w:p w14:paraId="4FDA3FA2" w14:textId="72242020" w:rsidR="007C02C0" w:rsidRPr="007C02C0" w:rsidRDefault="007C02C0" w:rsidP="007C02C0">
      <w:pPr>
        <w:tabs>
          <w:tab w:val="left" w:pos="1848"/>
        </w:tabs>
        <w:spacing w:line="360" w:lineRule="auto"/>
        <w:rPr>
          <w:rFonts w:ascii="Arial" w:hAnsi="Arial" w:cs="Arial"/>
        </w:rPr>
      </w:pPr>
      <w:r w:rsidRPr="007C02C0">
        <w:rPr>
          <w:rFonts w:ascii="Arial" w:hAnsi="Arial" w:cs="Arial"/>
        </w:rPr>
        <w:t xml:space="preserve">Oakman, J., Kinsman, N., Stuckey, R., Graham, M. and Weale, V. (2020) </w:t>
      </w:r>
      <w:r w:rsidR="004714CC">
        <w:rPr>
          <w:rFonts w:ascii="Arial" w:hAnsi="Arial" w:cs="Arial"/>
        </w:rPr>
        <w:t>“</w:t>
      </w:r>
      <w:r w:rsidRPr="007C02C0">
        <w:rPr>
          <w:rFonts w:ascii="Arial" w:hAnsi="Arial" w:cs="Arial"/>
        </w:rPr>
        <w:t>A systematic review of mental health outcomes resulting from the interaction between work demands, job control and social support</w:t>
      </w:r>
      <w:r w:rsidR="004714CC">
        <w:rPr>
          <w:rFonts w:ascii="Arial" w:hAnsi="Arial" w:cs="Arial"/>
        </w:rPr>
        <w:t>”</w:t>
      </w:r>
      <w:r w:rsidRPr="007C02C0">
        <w:rPr>
          <w:rFonts w:ascii="Arial" w:hAnsi="Arial" w:cs="Arial"/>
        </w:rPr>
        <w:t xml:space="preserve">, </w:t>
      </w:r>
      <w:r w:rsidRPr="007C02C0">
        <w:rPr>
          <w:rFonts w:ascii="Arial" w:hAnsi="Arial" w:cs="Arial"/>
          <w:i/>
          <w:iCs/>
        </w:rPr>
        <w:t>International Journal of Environmental Research and Public Health</w:t>
      </w:r>
      <w:r w:rsidRPr="007C02C0">
        <w:rPr>
          <w:rFonts w:ascii="Arial" w:hAnsi="Arial" w:cs="Arial"/>
        </w:rPr>
        <w:t xml:space="preserve">, 17(18), pp. 1–24. Available at: </w:t>
      </w:r>
      <w:hyperlink r:id="rId13" w:tgtFrame="_new" w:history="1">
        <w:r w:rsidRPr="007C02C0">
          <w:rPr>
            <w:rStyle w:val="Hyperlink"/>
            <w:rFonts w:ascii="Arial" w:hAnsi="Arial" w:cs="Arial"/>
          </w:rPr>
          <w:t>https://www.mdpi.com/1660-4601/17/18/6462</w:t>
        </w:r>
      </w:hyperlink>
      <w:r w:rsidRPr="007C02C0">
        <w:rPr>
          <w:rFonts w:ascii="Arial" w:hAnsi="Arial" w:cs="Arial"/>
        </w:rPr>
        <w:t xml:space="preserve"> </w:t>
      </w:r>
      <w:r w:rsidR="004714CC">
        <w:rPr>
          <w:rFonts w:ascii="Arial" w:hAnsi="Arial" w:cs="Arial"/>
        </w:rPr>
        <w:t xml:space="preserve">[ </w:t>
      </w:r>
      <w:r w:rsidRPr="007C02C0">
        <w:rPr>
          <w:rFonts w:ascii="Arial" w:hAnsi="Arial" w:cs="Arial"/>
        </w:rPr>
        <w:t>Accessed: 13 December 2025</w:t>
      </w:r>
      <w:r w:rsidR="004714CC">
        <w:rPr>
          <w:rFonts w:ascii="Arial" w:hAnsi="Arial" w:cs="Arial"/>
        </w:rPr>
        <w:t xml:space="preserve"> ]</w:t>
      </w:r>
      <w:r w:rsidRPr="007C02C0">
        <w:rPr>
          <w:rFonts w:ascii="Arial" w:hAnsi="Arial" w:cs="Arial"/>
        </w:rPr>
        <w:t>.</w:t>
      </w:r>
      <w:r w:rsidR="00D2197D">
        <w:rPr>
          <w:rFonts w:ascii="Arial" w:hAnsi="Arial" w:cs="Arial"/>
        </w:rPr>
        <w:t xml:space="preserve"> </w:t>
      </w:r>
    </w:p>
    <w:p w14:paraId="02C81BF9" w14:textId="091CF166" w:rsidR="007C02C0" w:rsidRPr="007C02C0" w:rsidRDefault="007C02C0" w:rsidP="007C02C0">
      <w:pPr>
        <w:tabs>
          <w:tab w:val="left" w:pos="1848"/>
        </w:tabs>
        <w:spacing w:line="360" w:lineRule="auto"/>
        <w:rPr>
          <w:rFonts w:ascii="Arial" w:hAnsi="Arial" w:cs="Arial"/>
        </w:rPr>
      </w:pPr>
      <w:r w:rsidRPr="007C02C0">
        <w:rPr>
          <w:rFonts w:ascii="Arial" w:hAnsi="Arial" w:cs="Arial"/>
        </w:rPr>
        <w:t xml:space="preserve">Purcell, J., Kinnie, N., Hutchinson, S., Rayton, B. and Swart, J. (2009) </w:t>
      </w:r>
      <w:r w:rsidR="004714CC">
        <w:rPr>
          <w:rFonts w:ascii="Arial" w:hAnsi="Arial" w:cs="Arial"/>
        </w:rPr>
        <w:t>“</w:t>
      </w:r>
      <w:r w:rsidRPr="007C02C0">
        <w:rPr>
          <w:rFonts w:ascii="Arial" w:hAnsi="Arial" w:cs="Arial"/>
          <w:i/>
          <w:iCs/>
        </w:rPr>
        <w:t>People Management and Performance</w:t>
      </w:r>
      <w:r w:rsidR="004714CC">
        <w:rPr>
          <w:rFonts w:ascii="Arial" w:hAnsi="Arial" w:cs="Arial"/>
          <w:i/>
          <w:iCs/>
        </w:rPr>
        <w:t>”</w:t>
      </w:r>
      <w:r w:rsidRPr="007C02C0">
        <w:rPr>
          <w:rFonts w:ascii="Arial" w:hAnsi="Arial" w:cs="Arial"/>
        </w:rPr>
        <w:t>. London: Routledge.</w:t>
      </w:r>
    </w:p>
    <w:p w14:paraId="51E5C512" w14:textId="4B91D249" w:rsidR="007C02C0" w:rsidRPr="007C02C0" w:rsidRDefault="007C02C0" w:rsidP="007C02C0">
      <w:pPr>
        <w:tabs>
          <w:tab w:val="left" w:pos="1848"/>
        </w:tabs>
        <w:spacing w:line="360" w:lineRule="auto"/>
        <w:rPr>
          <w:rFonts w:ascii="Arial" w:hAnsi="Arial" w:cs="Arial"/>
        </w:rPr>
      </w:pPr>
      <w:r w:rsidRPr="007C02C0">
        <w:rPr>
          <w:rFonts w:ascii="Arial" w:hAnsi="Arial" w:cs="Arial"/>
        </w:rPr>
        <w:t xml:space="preserve">Steiner, N., Hornung, S. and Moser, K. (2024) </w:t>
      </w:r>
      <w:r w:rsidR="004714CC">
        <w:rPr>
          <w:rFonts w:ascii="Arial" w:hAnsi="Arial" w:cs="Arial"/>
        </w:rPr>
        <w:t>“</w:t>
      </w:r>
      <w:r w:rsidRPr="007C02C0">
        <w:rPr>
          <w:rFonts w:ascii="Arial" w:hAnsi="Arial" w:cs="Arial"/>
        </w:rPr>
        <w:t>Preferences for remote and hybrid work: Evidence from the COVID-19 pandemic</w:t>
      </w:r>
      <w:r w:rsidR="004714CC">
        <w:rPr>
          <w:rFonts w:ascii="Arial" w:hAnsi="Arial" w:cs="Arial"/>
        </w:rPr>
        <w:t>”</w:t>
      </w:r>
      <w:r w:rsidRPr="007C02C0">
        <w:rPr>
          <w:rFonts w:ascii="Arial" w:hAnsi="Arial" w:cs="Arial"/>
        </w:rPr>
        <w:t xml:space="preserve">, </w:t>
      </w:r>
      <w:r w:rsidRPr="007C02C0">
        <w:rPr>
          <w:rFonts w:ascii="Arial" w:hAnsi="Arial" w:cs="Arial"/>
          <w:i/>
          <w:iCs/>
        </w:rPr>
        <w:t>Social Sciences</w:t>
      </w:r>
      <w:r w:rsidRPr="007C02C0">
        <w:rPr>
          <w:rFonts w:ascii="Arial" w:hAnsi="Arial" w:cs="Arial"/>
        </w:rPr>
        <w:t xml:space="preserve">, 13(6), p. 303. Available at: </w:t>
      </w:r>
      <w:hyperlink r:id="rId14" w:tgtFrame="_new" w:history="1">
        <w:r w:rsidRPr="007C02C0">
          <w:rPr>
            <w:rStyle w:val="Hyperlink"/>
            <w:rFonts w:ascii="Arial" w:hAnsi="Arial" w:cs="Arial"/>
          </w:rPr>
          <w:t>https://www.mdpi.com/2076-0760/13/6/303/pdf</w:t>
        </w:r>
      </w:hyperlink>
      <w:r w:rsidRPr="007C02C0">
        <w:rPr>
          <w:rFonts w:ascii="Arial" w:hAnsi="Arial" w:cs="Arial"/>
        </w:rPr>
        <w:t xml:space="preserve"> </w:t>
      </w:r>
      <w:r w:rsidR="004714CC">
        <w:rPr>
          <w:rFonts w:ascii="Arial" w:hAnsi="Arial" w:cs="Arial"/>
        </w:rPr>
        <w:t xml:space="preserve">[ </w:t>
      </w:r>
      <w:r w:rsidRPr="007C02C0">
        <w:rPr>
          <w:rFonts w:ascii="Arial" w:hAnsi="Arial" w:cs="Arial"/>
        </w:rPr>
        <w:t>Accessed: 13 December 2025</w:t>
      </w:r>
      <w:r w:rsidR="004714CC">
        <w:rPr>
          <w:rFonts w:ascii="Arial" w:hAnsi="Arial" w:cs="Arial"/>
        </w:rPr>
        <w:t xml:space="preserve"> ]</w:t>
      </w:r>
      <w:r w:rsidRPr="007C02C0">
        <w:rPr>
          <w:rFonts w:ascii="Arial" w:hAnsi="Arial" w:cs="Arial"/>
        </w:rPr>
        <w:t>.</w:t>
      </w:r>
    </w:p>
    <w:p w14:paraId="572F7DB0" w14:textId="77777777" w:rsidR="007C02C0" w:rsidRPr="005F2973" w:rsidRDefault="007C02C0" w:rsidP="007C02C0">
      <w:pPr>
        <w:tabs>
          <w:tab w:val="left" w:pos="1848"/>
        </w:tabs>
        <w:spacing w:line="360" w:lineRule="auto"/>
        <w:rPr>
          <w:rFonts w:ascii="Arial" w:hAnsi="Arial" w:cs="Arial"/>
        </w:rPr>
      </w:pPr>
    </w:p>
    <w:sectPr w:rsidR="007C02C0" w:rsidRPr="005F2973">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4C3007" w14:textId="77777777" w:rsidR="003D24F0" w:rsidRDefault="003D24F0" w:rsidP="0032555E">
      <w:pPr>
        <w:spacing w:after="0" w:line="240" w:lineRule="auto"/>
      </w:pPr>
      <w:r>
        <w:separator/>
      </w:r>
    </w:p>
  </w:endnote>
  <w:endnote w:type="continuationSeparator" w:id="0">
    <w:p w14:paraId="54E06D7B" w14:textId="77777777" w:rsidR="003D24F0" w:rsidRDefault="003D24F0" w:rsidP="003255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00040726"/>
      <w:docPartObj>
        <w:docPartGallery w:val="Page Numbers (Bottom of Page)"/>
        <w:docPartUnique/>
      </w:docPartObj>
    </w:sdtPr>
    <w:sdtEndPr>
      <w:rPr>
        <w:noProof/>
      </w:rPr>
    </w:sdtEndPr>
    <w:sdtContent>
      <w:p w14:paraId="30C4E1EE" w14:textId="79370936" w:rsidR="0032555E" w:rsidRDefault="0032555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D262B45" w14:textId="77777777" w:rsidR="0032555E" w:rsidRDefault="003255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DA6677" w14:textId="77777777" w:rsidR="003D24F0" w:rsidRDefault="003D24F0" w:rsidP="0032555E">
      <w:pPr>
        <w:spacing w:after="0" w:line="240" w:lineRule="auto"/>
      </w:pPr>
      <w:r>
        <w:separator/>
      </w:r>
    </w:p>
  </w:footnote>
  <w:footnote w:type="continuationSeparator" w:id="0">
    <w:p w14:paraId="57E876D6" w14:textId="77777777" w:rsidR="003D24F0" w:rsidRDefault="003D24F0" w:rsidP="003255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5611B4"/>
    <w:multiLevelType w:val="multilevel"/>
    <w:tmpl w:val="B5704088"/>
    <w:lvl w:ilvl="0">
      <w:start w:val="1"/>
      <w:numFmt w:val="decimal"/>
      <w:lvlText w:val="%1"/>
      <w:lvlJc w:val="left"/>
      <w:pPr>
        <w:ind w:left="396" w:hanging="396"/>
      </w:pPr>
      <w:rPr>
        <w:rFonts w:hint="default"/>
      </w:rPr>
    </w:lvl>
    <w:lvl w:ilvl="1">
      <w:start w:val="1"/>
      <w:numFmt w:val="decimal"/>
      <w:lvlText w:val="%1.%2"/>
      <w:lvlJc w:val="left"/>
      <w:pPr>
        <w:ind w:left="396" w:hanging="39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2A901010"/>
    <w:multiLevelType w:val="multilevel"/>
    <w:tmpl w:val="0284ED72"/>
    <w:lvl w:ilvl="0">
      <w:start w:val="1"/>
      <w:numFmt w:val="decimal"/>
      <w:lvlText w:val="%1"/>
      <w:lvlJc w:val="left"/>
      <w:pPr>
        <w:ind w:left="360" w:hanging="360"/>
      </w:pPr>
      <w:rPr>
        <w:rFonts w:hint="default"/>
        <w:b w:val="0"/>
      </w:rPr>
    </w:lvl>
    <w:lvl w:ilvl="1">
      <w:start w:val="1"/>
      <w:numFmt w:val="decimal"/>
      <w:lvlText w:val="%1.%2"/>
      <w:lvlJc w:val="left"/>
      <w:pPr>
        <w:ind w:left="360" w:hanging="360"/>
      </w:pPr>
      <w:rPr>
        <w:rFonts w:hint="default"/>
        <w:b w:val="0"/>
      </w:rPr>
    </w:lvl>
    <w:lvl w:ilvl="2">
      <w:start w:val="1"/>
      <w:numFmt w:val="decimal"/>
      <w:lvlText w:val="%1.%2.%3"/>
      <w:lvlJc w:val="left"/>
      <w:pPr>
        <w:ind w:left="720" w:hanging="720"/>
      </w:pPr>
      <w:rPr>
        <w:rFonts w:hint="default"/>
        <w:b w:val="0"/>
      </w:rPr>
    </w:lvl>
    <w:lvl w:ilvl="3">
      <w:start w:val="1"/>
      <w:numFmt w:val="decimal"/>
      <w:lvlText w:val="%1.%2.%3.%4"/>
      <w:lvlJc w:val="left"/>
      <w:pPr>
        <w:ind w:left="1080" w:hanging="1080"/>
      </w:pPr>
      <w:rPr>
        <w:rFonts w:hint="default"/>
        <w:b w:val="0"/>
      </w:rPr>
    </w:lvl>
    <w:lvl w:ilvl="4">
      <w:start w:val="1"/>
      <w:numFmt w:val="decimal"/>
      <w:lvlText w:val="%1.%2.%3.%4.%5"/>
      <w:lvlJc w:val="left"/>
      <w:pPr>
        <w:ind w:left="1080" w:hanging="1080"/>
      </w:pPr>
      <w:rPr>
        <w:rFonts w:hint="default"/>
        <w:b w:val="0"/>
      </w:rPr>
    </w:lvl>
    <w:lvl w:ilvl="5">
      <w:start w:val="1"/>
      <w:numFmt w:val="decimal"/>
      <w:lvlText w:val="%1.%2.%3.%4.%5.%6"/>
      <w:lvlJc w:val="left"/>
      <w:pPr>
        <w:ind w:left="1440" w:hanging="1440"/>
      </w:pPr>
      <w:rPr>
        <w:rFonts w:hint="default"/>
        <w:b w:val="0"/>
      </w:rPr>
    </w:lvl>
    <w:lvl w:ilvl="6">
      <w:start w:val="1"/>
      <w:numFmt w:val="decimal"/>
      <w:lvlText w:val="%1.%2.%3.%4.%5.%6.%7"/>
      <w:lvlJc w:val="left"/>
      <w:pPr>
        <w:ind w:left="1440" w:hanging="1440"/>
      </w:pPr>
      <w:rPr>
        <w:rFonts w:hint="default"/>
        <w:b w:val="0"/>
      </w:rPr>
    </w:lvl>
    <w:lvl w:ilvl="7">
      <w:start w:val="1"/>
      <w:numFmt w:val="decimal"/>
      <w:lvlText w:val="%1.%2.%3.%4.%5.%6.%7.%8"/>
      <w:lvlJc w:val="left"/>
      <w:pPr>
        <w:ind w:left="1800" w:hanging="1800"/>
      </w:pPr>
      <w:rPr>
        <w:rFonts w:hint="default"/>
        <w:b w:val="0"/>
      </w:rPr>
    </w:lvl>
    <w:lvl w:ilvl="8">
      <w:start w:val="1"/>
      <w:numFmt w:val="decimal"/>
      <w:lvlText w:val="%1.%2.%3.%4.%5.%6.%7.%8.%9"/>
      <w:lvlJc w:val="left"/>
      <w:pPr>
        <w:ind w:left="1800" w:hanging="1800"/>
      </w:pPr>
      <w:rPr>
        <w:rFonts w:hint="default"/>
        <w:b w:val="0"/>
      </w:rPr>
    </w:lvl>
  </w:abstractNum>
  <w:abstractNum w:abstractNumId="2" w15:restartNumberingAfterBreak="0">
    <w:nsid w:val="4E8D3A62"/>
    <w:multiLevelType w:val="multilevel"/>
    <w:tmpl w:val="0284ED72"/>
    <w:lvl w:ilvl="0">
      <w:start w:val="1"/>
      <w:numFmt w:val="decimal"/>
      <w:lvlText w:val="%1"/>
      <w:lvlJc w:val="left"/>
      <w:pPr>
        <w:ind w:left="360" w:hanging="360"/>
      </w:pPr>
      <w:rPr>
        <w:rFonts w:hint="default"/>
        <w:b w:val="0"/>
      </w:rPr>
    </w:lvl>
    <w:lvl w:ilvl="1">
      <w:start w:val="1"/>
      <w:numFmt w:val="decimal"/>
      <w:lvlText w:val="%1.%2"/>
      <w:lvlJc w:val="left"/>
      <w:pPr>
        <w:ind w:left="360" w:hanging="360"/>
      </w:pPr>
      <w:rPr>
        <w:rFonts w:hint="default"/>
        <w:b w:val="0"/>
      </w:rPr>
    </w:lvl>
    <w:lvl w:ilvl="2">
      <w:start w:val="1"/>
      <w:numFmt w:val="decimal"/>
      <w:lvlText w:val="%1.%2.%3"/>
      <w:lvlJc w:val="left"/>
      <w:pPr>
        <w:ind w:left="720" w:hanging="720"/>
      </w:pPr>
      <w:rPr>
        <w:rFonts w:hint="default"/>
        <w:b w:val="0"/>
      </w:rPr>
    </w:lvl>
    <w:lvl w:ilvl="3">
      <w:start w:val="1"/>
      <w:numFmt w:val="decimal"/>
      <w:lvlText w:val="%1.%2.%3.%4"/>
      <w:lvlJc w:val="left"/>
      <w:pPr>
        <w:ind w:left="1080" w:hanging="1080"/>
      </w:pPr>
      <w:rPr>
        <w:rFonts w:hint="default"/>
        <w:b w:val="0"/>
      </w:rPr>
    </w:lvl>
    <w:lvl w:ilvl="4">
      <w:start w:val="1"/>
      <w:numFmt w:val="decimal"/>
      <w:lvlText w:val="%1.%2.%3.%4.%5"/>
      <w:lvlJc w:val="left"/>
      <w:pPr>
        <w:ind w:left="1080" w:hanging="1080"/>
      </w:pPr>
      <w:rPr>
        <w:rFonts w:hint="default"/>
        <w:b w:val="0"/>
      </w:rPr>
    </w:lvl>
    <w:lvl w:ilvl="5">
      <w:start w:val="1"/>
      <w:numFmt w:val="decimal"/>
      <w:lvlText w:val="%1.%2.%3.%4.%5.%6"/>
      <w:lvlJc w:val="left"/>
      <w:pPr>
        <w:ind w:left="1440" w:hanging="1440"/>
      </w:pPr>
      <w:rPr>
        <w:rFonts w:hint="default"/>
        <w:b w:val="0"/>
      </w:rPr>
    </w:lvl>
    <w:lvl w:ilvl="6">
      <w:start w:val="1"/>
      <w:numFmt w:val="decimal"/>
      <w:lvlText w:val="%1.%2.%3.%4.%5.%6.%7"/>
      <w:lvlJc w:val="left"/>
      <w:pPr>
        <w:ind w:left="1440" w:hanging="1440"/>
      </w:pPr>
      <w:rPr>
        <w:rFonts w:hint="default"/>
        <w:b w:val="0"/>
      </w:rPr>
    </w:lvl>
    <w:lvl w:ilvl="7">
      <w:start w:val="1"/>
      <w:numFmt w:val="decimal"/>
      <w:lvlText w:val="%1.%2.%3.%4.%5.%6.%7.%8"/>
      <w:lvlJc w:val="left"/>
      <w:pPr>
        <w:ind w:left="1800" w:hanging="1800"/>
      </w:pPr>
      <w:rPr>
        <w:rFonts w:hint="default"/>
        <w:b w:val="0"/>
      </w:rPr>
    </w:lvl>
    <w:lvl w:ilvl="8">
      <w:start w:val="1"/>
      <w:numFmt w:val="decimal"/>
      <w:lvlText w:val="%1.%2.%3.%4.%5.%6.%7.%8.%9"/>
      <w:lvlJc w:val="left"/>
      <w:pPr>
        <w:ind w:left="1800" w:hanging="1800"/>
      </w:pPr>
      <w:rPr>
        <w:rFonts w:hint="default"/>
        <w:b w:val="0"/>
      </w:rPr>
    </w:lvl>
  </w:abstractNum>
  <w:abstractNum w:abstractNumId="3" w15:restartNumberingAfterBreak="0">
    <w:nsid w:val="7C3E31E2"/>
    <w:multiLevelType w:val="hybridMultilevel"/>
    <w:tmpl w:val="C854BD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147401">
    <w:abstractNumId w:val="0"/>
  </w:num>
  <w:num w:numId="2" w16cid:durableId="1476800844">
    <w:abstractNumId w:val="2"/>
  </w:num>
  <w:num w:numId="3" w16cid:durableId="968239314">
    <w:abstractNumId w:val="1"/>
  </w:num>
  <w:num w:numId="4" w16cid:durableId="35195398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4DE9"/>
    <w:rsid w:val="000132B5"/>
    <w:rsid w:val="00065EE1"/>
    <w:rsid w:val="00077A9B"/>
    <w:rsid w:val="000D040F"/>
    <w:rsid w:val="0011441A"/>
    <w:rsid w:val="00116596"/>
    <w:rsid w:val="00150DE6"/>
    <w:rsid w:val="001C03ED"/>
    <w:rsid w:val="001C4DE9"/>
    <w:rsid w:val="001E192A"/>
    <w:rsid w:val="00227541"/>
    <w:rsid w:val="002302C2"/>
    <w:rsid w:val="002506F8"/>
    <w:rsid w:val="002514DE"/>
    <w:rsid w:val="00304D39"/>
    <w:rsid w:val="0032555E"/>
    <w:rsid w:val="00326152"/>
    <w:rsid w:val="00351333"/>
    <w:rsid w:val="003D24F0"/>
    <w:rsid w:val="003E082A"/>
    <w:rsid w:val="003F12D1"/>
    <w:rsid w:val="00453653"/>
    <w:rsid w:val="004541F6"/>
    <w:rsid w:val="004714CC"/>
    <w:rsid w:val="00492482"/>
    <w:rsid w:val="00523312"/>
    <w:rsid w:val="0052683E"/>
    <w:rsid w:val="005374FC"/>
    <w:rsid w:val="005446B1"/>
    <w:rsid w:val="005C21D8"/>
    <w:rsid w:val="005F2973"/>
    <w:rsid w:val="00626A6A"/>
    <w:rsid w:val="006457A6"/>
    <w:rsid w:val="006542B0"/>
    <w:rsid w:val="006A46DD"/>
    <w:rsid w:val="006C0CD4"/>
    <w:rsid w:val="006D2A8C"/>
    <w:rsid w:val="007C02C0"/>
    <w:rsid w:val="00844E3D"/>
    <w:rsid w:val="00846B80"/>
    <w:rsid w:val="00886103"/>
    <w:rsid w:val="008B7791"/>
    <w:rsid w:val="008C4C9C"/>
    <w:rsid w:val="009B2D2C"/>
    <w:rsid w:val="009C0090"/>
    <w:rsid w:val="009D3B3E"/>
    <w:rsid w:val="00A16C61"/>
    <w:rsid w:val="00AB0566"/>
    <w:rsid w:val="00AB3F97"/>
    <w:rsid w:val="00AE4CF6"/>
    <w:rsid w:val="00AF11AD"/>
    <w:rsid w:val="00AF1FEB"/>
    <w:rsid w:val="00B56D96"/>
    <w:rsid w:val="00B77AE1"/>
    <w:rsid w:val="00B83999"/>
    <w:rsid w:val="00BF34C1"/>
    <w:rsid w:val="00C07567"/>
    <w:rsid w:val="00C11329"/>
    <w:rsid w:val="00C51DB2"/>
    <w:rsid w:val="00CD11C7"/>
    <w:rsid w:val="00CE7FEC"/>
    <w:rsid w:val="00D2197D"/>
    <w:rsid w:val="00D4544C"/>
    <w:rsid w:val="00DF5341"/>
    <w:rsid w:val="00E07383"/>
    <w:rsid w:val="00E32392"/>
    <w:rsid w:val="00E64142"/>
    <w:rsid w:val="00E841B4"/>
    <w:rsid w:val="00F65BF5"/>
    <w:rsid w:val="00FC3D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6A9B80"/>
  <w15:chartTrackingRefBased/>
  <w15:docId w15:val="{2E7585F4-2393-4247-856B-55D7132D1C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4DE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C4DE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C4DE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C4DE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C4DE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C4D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C4D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C4D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C4DE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4DE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C4DE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C4DE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C4DE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C4D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C4D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C4D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C4D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C4DE9"/>
    <w:rPr>
      <w:rFonts w:eastAsiaTheme="majorEastAsia" w:cstheme="majorBidi"/>
      <w:color w:val="272727" w:themeColor="text1" w:themeTint="D8"/>
    </w:rPr>
  </w:style>
  <w:style w:type="paragraph" w:styleId="Title">
    <w:name w:val="Title"/>
    <w:basedOn w:val="Normal"/>
    <w:next w:val="Normal"/>
    <w:link w:val="TitleChar"/>
    <w:uiPriority w:val="10"/>
    <w:qFormat/>
    <w:rsid w:val="001C4D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C4D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C4D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C4D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C4DE9"/>
    <w:pPr>
      <w:spacing w:before="160"/>
      <w:jc w:val="center"/>
    </w:pPr>
    <w:rPr>
      <w:i/>
      <w:iCs/>
      <w:color w:val="404040" w:themeColor="text1" w:themeTint="BF"/>
    </w:rPr>
  </w:style>
  <w:style w:type="character" w:customStyle="1" w:styleId="QuoteChar">
    <w:name w:val="Quote Char"/>
    <w:basedOn w:val="DefaultParagraphFont"/>
    <w:link w:val="Quote"/>
    <w:uiPriority w:val="29"/>
    <w:rsid w:val="001C4DE9"/>
    <w:rPr>
      <w:i/>
      <w:iCs/>
      <w:color w:val="404040" w:themeColor="text1" w:themeTint="BF"/>
    </w:rPr>
  </w:style>
  <w:style w:type="paragraph" w:styleId="ListParagraph">
    <w:name w:val="List Paragraph"/>
    <w:basedOn w:val="Normal"/>
    <w:uiPriority w:val="34"/>
    <w:qFormat/>
    <w:rsid w:val="001C4DE9"/>
    <w:pPr>
      <w:ind w:left="720"/>
      <w:contextualSpacing/>
    </w:pPr>
  </w:style>
  <w:style w:type="character" w:styleId="IntenseEmphasis">
    <w:name w:val="Intense Emphasis"/>
    <w:basedOn w:val="DefaultParagraphFont"/>
    <w:uiPriority w:val="21"/>
    <w:qFormat/>
    <w:rsid w:val="001C4DE9"/>
    <w:rPr>
      <w:i/>
      <w:iCs/>
      <w:color w:val="0F4761" w:themeColor="accent1" w:themeShade="BF"/>
    </w:rPr>
  </w:style>
  <w:style w:type="paragraph" w:styleId="IntenseQuote">
    <w:name w:val="Intense Quote"/>
    <w:basedOn w:val="Normal"/>
    <w:next w:val="Normal"/>
    <w:link w:val="IntenseQuoteChar"/>
    <w:uiPriority w:val="30"/>
    <w:qFormat/>
    <w:rsid w:val="001C4D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C4DE9"/>
    <w:rPr>
      <w:i/>
      <w:iCs/>
      <w:color w:val="0F4761" w:themeColor="accent1" w:themeShade="BF"/>
    </w:rPr>
  </w:style>
  <w:style w:type="character" w:styleId="IntenseReference">
    <w:name w:val="Intense Reference"/>
    <w:basedOn w:val="DefaultParagraphFont"/>
    <w:uiPriority w:val="32"/>
    <w:qFormat/>
    <w:rsid w:val="001C4DE9"/>
    <w:rPr>
      <w:b/>
      <w:bCs/>
      <w:smallCaps/>
      <w:color w:val="0F4761" w:themeColor="accent1" w:themeShade="BF"/>
      <w:spacing w:val="5"/>
    </w:rPr>
  </w:style>
  <w:style w:type="character" w:styleId="Hyperlink">
    <w:name w:val="Hyperlink"/>
    <w:basedOn w:val="DefaultParagraphFont"/>
    <w:uiPriority w:val="99"/>
    <w:unhideWhenUsed/>
    <w:rsid w:val="00844E3D"/>
    <w:rPr>
      <w:color w:val="467886" w:themeColor="hyperlink"/>
      <w:u w:val="single"/>
    </w:rPr>
  </w:style>
  <w:style w:type="character" w:styleId="UnresolvedMention">
    <w:name w:val="Unresolved Mention"/>
    <w:basedOn w:val="DefaultParagraphFont"/>
    <w:uiPriority w:val="99"/>
    <w:semiHidden/>
    <w:unhideWhenUsed/>
    <w:rsid w:val="00844E3D"/>
    <w:rPr>
      <w:color w:val="605E5C"/>
      <w:shd w:val="clear" w:color="auto" w:fill="E1DFDD"/>
    </w:rPr>
  </w:style>
  <w:style w:type="paragraph" w:styleId="Header">
    <w:name w:val="header"/>
    <w:basedOn w:val="Normal"/>
    <w:link w:val="HeaderChar"/>
    <w:uiPriority w:val="99"/>
    <w:unhideWhenUsed/>
    <w:rsid w:val="003255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555E"/>
  </w:style>
  <w:style w:type="paragraph" w:styleId="Footer">
    <w:name w:val="footer"/>
    <w:basedOn w:val="Normal"/>
    <w:link w:val="FooterChar"/>
    <w:uiPriority w:val="99"/>
    <w:unhideWhenUsed/>
    <w:rsid w:val="003255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55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s.org/bcbs/publ/d431.pdf" TargetMode="External"/><Relationship Id="rId13" Type="http://schemas.openxmlformats.org/officeDocument/2006/relationships/hyperlink" Target="https://www.mdpi.com/1660-4601/17/18/6462" TargetMode="External"/><Relationship Id="rId3" Type="http://schemas.openxmlformats.org/officeDocument/2006/relationships/settings" Target="settings.xml"/><Relationship Id="rId7" Type="http://schemas.openxmlformats.org/officeDocument/2006/relationships/hyperlink" Target="https://journals.sagepub.com/doi/full/10.1177/1529100615593273" TargetMode="External"/><Relationship Id="rId12" Type="http://schemas.openxmlformats.org/officeDocument/2006/relationships/hyperlink" Target="https://www.hsbc.com/who-we-are/our-strategy-and-values/our-history"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bjopm.org.br/bjopm/article/download/1331/1030/11065?utm_source=chatgpt.com"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link.springer.com/article/10.1186/s41937-024-00123-4?utm_source=chatgpt.com" TargetMode="External"/><Relationship Id="rId4" Type="http://schemas.openxmlformats.org/officeDocument/2006/relationships/webSettings" Target="webSettings.xml"/><Relationship Id="rId9" Type="http://schemas.openxmlformats.org/officeDocument/2006/relationships/hyperlink" Target="https://www.britannica.com/money/HSBC-Holdings-PLC" TargetMode="External"/><Relationship Id="rId14" Type="http://schemas.openxmlformats.org/officeDocument/2006/relationships/hyperlink" Target="https://www.mdpi.com/2076-0760/13/6/303/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2272</TotalTime>
  <Pages>12</Pages>
  <Words>2818</Words>
  <Characters>16064</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Bohdan Belmeha (2414395)</dc:creator>
  <cp:keywords/>
  <dc:description/>
  <cp:lastModifiedBy>Bohdan Belmeha (2414395)</cp:lastModifiedBy>
  <cp:revision>8</cp:revision>
  <dcterms:created xsi:type="dcterms:W3CDTF">2025-12-08T20:45:00Z</dcterms:created>
  <dcterms:modified xsi:type="dcterms:W3CDTF">2025-12-14T14:17:00Z</dcterms:modified>
</cp:coreProperties>
</file>