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D22D4" w14:textId="77777777" w:rsidR="008B5F91" w:rsidRDefault="00000000">
      <w:pPr>
        <w:jc w:val="center"/>
        <w:rPr>
          <w:b/>
          <w:bCs/>
        </w:rPr>
      </w:pPr>
      <w:r>
        <w:rPr>
          <w:noProof/>
        </w:rPr>
        <w:drawing>
          <wp:anchor distT="0" distB="0" distL="114300" distR="114300" simplePos="0" relativeHeight="251658240" behindDoc="0" locked="0" layoutInCell="1" hidden="0" allowOverlap="1" wp14:anchorId="6B1CD5D2" wp14:editId="4C43B886">
            <wp:simplePos x="0" y="0"/>
            <wp:positionH relativeFrom="column">
              <wp:posOffset>1855470</wp:posOffset>
            </wp:positionH>
            <wp:positionV relativeFrom="paragraph">
              <wp:posOffset>0</wp:posOffset>
            </wp:positionV>
            <wp:extent cx="2232660" cy="800100"/>
            <wp:effectExtent l="0" t="0" r="0" b="0"/>
            <wp:wrapSquare wrapText="bothSides" distT="0" distB="0" distL="114300" distR="114300"/>
            <wp:docPr id="1" name="image2.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2.png" descr="Discover University of Wales Trinity Saint David"/>
                    <pic:cNvPicPr preferRelativeResize="0"/>
                  </pic:nvPicPr>
                  <pic:blipFill>
                    <a:blip r:embed="rId7"/>
                    <a:srcRect/>
                    <a:stretch>
                      <a:fillRect/>
                    </a:stretch>
                  </pic:blipFill>
                  <pic:spPr>
                    <a:xfrm>
                      <a:off x="0" y="0"/>
                      <a:ext cx="2232660" cy="800100"/>
                    </a:xfrm>
                    <a:prstGeom prst="rect">
                      <a:avLst/>
                    </a:prstGeom>
                    <a:ln/>
                  </pic:spPr>
                </pic:pic>
              </a:graphicData>
            </a:graphic>
          </wp:anchor>
        </w:drawing>
      </w:r>
    </w:p>
    <w:p w14:paraId="410E0093" w14:textId="77777777" w:rsidR="008B5F91" w:rsidRDefault="008B5F91">
      <w:pPr>
        <w:jc w:val="center"/>
        <w:rPr>
          <w:b/>
          <w:bCs/>
        </w:rPr>
      </w:pPr>
    </w:p>
    <w:p w14:paraId="5138CDE9" w14:textId="77777777" w:rsidR="008B5F91" w:rsidRDefault="008B5F91">
      <w:pPr>
        <w:rPr>
          <w:b/>
          <w:bCs/>
          <w:sz w:val="28"/>
          <w:szCs w:val="28"/>
        </w:rPr>
      </w:pPr>
    </w:p>
    <w:p w14:paraId="0B403A91" w14:textId="77777777" w:rsidR="008B5F91" w:rsidRDefault="008B5F91">
      <w:pPr>
        <w:jc w:val="center"/>
        <w:rPr>
          <w:b/>
          <w:bCs/>
          <w:sz w:val="28"/>
          <w:szCs w:val="28"/>
        </w:rPr>
      </w:pPr>
    </w:p>
    <w:p w14:paraId="3A1374C3" w14:textId="77777777" w:rsidR="008B5F91" w:rsidRDefault="00000000">
      <w:pPr>
        <w:spacing w:before="240"/>
        <w:jc w:val="center"/>
        <w:rPr>
          <w:b/>
          <w:bCs/>
          <w:sz w:val="28"/>
          <w:szCs w:val="28"/>
        </w:rPr>
      </w:pPr>
      <w:r>
        <w:rPr>
          <w:b/>
          <w:bCs/>
          <w:sz w:val="28"/>
          <w:szCs w:val="28"/>
        </w:rPr>
        <w:t xml:space="preserve">Module Code: BMHP5023 </w:t>
      </w:r>
    </w:p>
    <w:p w14:paraId="17733D80" w14:textId="77777777" w:rsidR="008B5F91" w:rsidRDefault="00000000">
      <w:pPr>
        <w:spacing w:before="240"/>
        <w:jc w:val="center"/>
        <w:rPr>
          <w:b/>
          <w:bCs/>
          <w:sz w:val="28"/>
          <w:szCs w:val="28"/>
        </w:rPr>
      </w:pPr>
      <w:r>
        <w:rPr>
          <w:b/>
          <w:bCs/>
          <w:sz w:val="28"/>
          <w:szCs w:val="28"/>
        </w:rPr>
        <w:t>Module Title: Introduction to Physiology</w:t>
      </w:r>
    </w:p>
    <w:p w14:paraId="3B0B171D" w14:textId="77777777" w:rsidR="008B5F91" w:rsidRDefault="008B5F91">
      <w:pPr>
        <w:spacing w:before="240"/>
        <w:jc w:val="center"/>
        <w:rPr>
          <w:b/>
          <w:bCs/>
          <w:sz w:val="28"/>
          <w:szCs w:val="28"/>
        </w:rPr>
      </w:pPr>
    </w:p>
    <w:p w14:paraId="3382958B" w14:textId="77777777" w:rsidR="008B5F91" w:rsidRDefault="00000000">
      <w:pPr>
        <w:spacing w:before="240"/>
        <w:jc w:val="center"/>
        <w:rPr>
          <w:b/>
          <w:bCs/>
          <w:sz w:val="28"/>
          <w:szCs w:val="28"/>
        </w:rPr>
      </w:pPr>
      <w:r>
        <w:rPr>
          <w:b/>
          <w:bCs/>
          <w:sz w:val="28"/>
          <w:szCs w:val="28"/>
        </w:rPr>
        <w:t>Assignment Title: Component 1: Written Assignment (Case Study Report)</w:t>
      </w:r>
    </w:p>
    <w:p w14:paraId="33AFBF74" w14:textId="77777777" w:rsidR="008B5F91" w:rsidRDefault="008B5F91">
      <w:pPr>
        <w:spacing w:before="240"/>
        <w:jc w:val="center"/>
        <w:rPr>
          <w:b/>
          <w:bCs/>
          <w:sz w:val="28"/>
          <w:szCs w:val="28"/>
        </w:rPr>
      </w:pPr>
    </w:p>
    <w:p w14:paraId="78508354" w14:textId="77777777" w:rsidR="008B5F91" w:rsidRDefault="00000000">
      <w:pPr>
        <w:spacing w:before="240"/>
        <w:jc w:val="center"/>
        <w:rPr>
          <w:b/>
          <w:bCs/>
          <w:sz w:val="28"/>
          <w:szCs w:val="28"/>
        </w:rPr>
      </w:pPr>
      <w:r>
        <w:rPr>
          <w:b/>
          <w:bCs/>
          <w:sz w:val="28"/>
          <w:szCs w:val="28"/>
        </w:rPr>
        <w:t xml:space="preserve">Student Name: </w:t>
      </w:r>
      <w:proofErr w:type="spellStart"/>
      <w:r>
        <w:rPr>
          <w:b/>
          <w:bCs/>
          <w:sz w:val="28"/>
          <w:szCs w:val="28"/>
        </w:rPr>
        <w:t>Zubeda</w:t>
      </w:r>
      <w:proofErr w:type="spellEnd"/>
      <w:r>
        <w:rPr>
          <w:b/>
          <w:bCs/>
          <w:sz w:val="28"/>
          <w:szCs w:val="28"/>
        </w:rPr>
        <w:t xml:space="preserve"> </w:t>
      </w:r>
      <w:proofErr w:type="spellStart"/>
      <w:r>
        <w:rPr>
          <w:b/>
          <w:bCs/>
          <w:sz w:val="28"/>
          <w:szCs w:val="28"/>
        </w:rPr>
        <w:t>Sembagare</w:t>
      </w:r>
      <w:proofErr w:type="spellEnd"/>
      <w:r>
        <w:rPr>
          <w:b/>
          <w:bCs/>
          <w:sz w:val="28"/>
          <w:szCs w:val="28"/>
        </w:rPr>
        <w:t xml:space="preserve"> </w:t>
      </w:r>
      <w:proofErr w:type="spellStart"/>
      <w:r>
        <w:rPr>
          <w:b/>
          <w:bCs/>
          <w:sz w:val="28"/>
          <w:szCs w:val="28"/>
        </w:rPr>
        <w:t>Umurerwa</w:t>
      </w:r>
      <w:proofErr w:type="spellEnd"/>
    </w:p>
    <w:p w14:paraId="43CB2494" w14:textId="77777777" w:rsidR="008B5F91" w:rsidRDefault="00000000">
      <w:pPr>
        <w:spacing w:before="240"/>
        <w:jc w:val="center"/>
        <w:rPr>
          <w:b/>
          <w:bCs/>
          <w:sz w:val="28"/>
          <w:szCs w:val="28"/>
        </w:rPr>
      </w:pPr>
      <w:r>
        <w:rPr>
          <w:b/>
          <w:bCs/>
          <w:sz w:val="28"/>
          <w:szCs w:val="28"/>
        </w:rPr>
        <w:t>Student Number:2423193</w:t>
      </w:r>
    </w:p>
    <w:p w14:paraId="63470D5E" w14:textId="77777777" w:rsidR="008B5F91" w:rsidRDefault="008B5F91">
      <w:pPr>
        <w:spacing w:before="240"/>
        <w:jc w:val="center"/>
        <w:rPr>
          <w:b/>
          <w:bCs/>
          <w:sz w:val="28"/>
          <w:szCs w:val="28"/>
        </w:rPr>
      </w:pPr>
    </w:p>
    <w:p w14:paraId="37D8B38E" w14:textId="77777777" w:rsidR="008B5F91" w:rsidRDefault="00000000">
      <w:pPr>
        <w:spacing w:before="240"/>
        <w:jc w:val="center"/>
        <w:rPr>
          <w:b/>
          <w:bCs/>
          <w:sz w:val="28"/>
          <w:szCs w:val="28"/>
        </w:rPr>
      </w:pPr>
      <w:r>
        <w:rPr>
          <w:b/>
          <w:bCs/>
          <w:sz w:val="28"/>
          <w:szCs w:val="28"/>
        </w:rPr>
        <w:t>Word count: 2000 words</w:t>
      </w:r>
    </w:p>
    <w:p w14:paraId="0F6D115A" w14:textId="77777777" w:rsidR="008B5F91" w:rsidRDefault="00000000">
      <w:pPr>
        <w:spacing w:before="240"/>
        <w:jc w:val="left"/>
        <w:rPr>
          <w:b/>
          <w:bCs/>
          <w:sz w:val="28"/>
          <w:szCs w:val="28"/>
        </w:rPr>
      </w:pPr>
      <w:r>
        <w:br w:type="page"/>
      </w:r>
    </w:p>
    <w:p w14:paraId="663F571A" w14:textId="77777777" w:rsidR="008B5F91" w:rsidRDefault="00000000">
      <w:pPr>
        <w:keepNext/>
        <w:keepLines/>
        <w:pBdr>
          <w:top w:val="nil"/>
          <w:left w:val="nil"/>
          <w:bottom w:val="nil"/>
          <w:right w:val="nil"/>
          <w:between w:val="nil"/>
        </w:pBdr>
        <w:jc w:val="center"/>
        <w:rPr>
          <w:b/>
          <w:bCs/>
          <w:color w:val="000000"/>
          <w:sz w:val="28"/>
          <w:szCs w:val="28"/>
        </w:rPr>
      </w:pPr>
      <w:r>
        <w:rPr>
          <w:b/>
          <w:bCs/>
          <w:color w:val="000000"/>
          <w:sz w:val="28"/>
          <w:szCs w:val="28"/>
        </w:rPr>
        <w:lastRenderedPageBreak/>
        <w:t>Table of Contents</w:t>
      </w:r>
    </w:p>
    <w:sdt>
      <w:sdtPr>
        <w:id w:val="-1637706677"/>
        <w:docPartObj>
          <w:docPartGallery w:val="Table of Contents"/>
          <w:docPartUnique/>
        </w:docPartObj>
      </w:sdtPr>
      <w:sdtContent>
        <w:p w14:paraId="26FD5D22" w14:textId="77777777" w:rsidR="008B5F91" w:rsidRDefault="00000000">
          <w:pPr>
            <w:pBdr>
              <w:top w:val="nil"/>
              <w:left w:val="nil"/>
              <w:bottom w:val="nil"/>
              <w:right w:val="nil"/>
              <w:between w:val="nil"/>
            </w:pBdr>
            <w:tabs>
              <w:tab w:val="right" w:leader="dot" w:pos="9350"/>
            </w:tabs>
            <w:spacing w:after="100"/>
            <w:rPr>
              <w:color w:val="000000"/>
              <w:sz w:val="24"/>
              <w:szCs w:val="24"/>
            </w:rPr>
          </w:pPr>
          <w:r>
            <w:fldChar w:fldCharType="begin"/>
          </w:r>
          <w:r>
            <w:instrText xml:space="preserve"> TOC \h \u \z \t "Heading 1,1,Heading 2,2,Heading 3,3,"</w:instrText>
          </w:r>
          <w:r>
            <w:fldChar w:fldCharType="separate"/>
          </w:r>
          <w:hyperlink w:anchor="_eizj8anzxmxo">
            <w:r>
              <w:rPr>
                <w:color w:val="000000"/>
                <w:sz w:val="24"/>
                <w:szCs w:val="24"/>
              </w:rPr>
              <w:t>Introduction</w:t>
            </w:r>
            <w:r>
              <w:rPr>
                <w:color w:val="000000"/>
                <w:sz w:val="24"/>
                <w:szCs w:val="24"/>
              </w:rPr>
              <w:tab/>
              <w:t>3</w:t>
            </w:r>
          </w:hyperlink>
        </w:p>
        <w:p w14:paraId="60EAAF46" w14:textId="77777777" w:rsidR="008B5F91" w:rsidRDefault="00000000">
          <w:pPr>
            <w:pBdr>
              <w:top w:val="nil"/>
              <w:left w:val="nil"/>
              <w:bottom w:val="nil"/>
              <w:right w:val="nil"/>
              <w:between w:val="nil"/>
            </w:pBdr>
            <w:tabs>
              <w:tab w:val="right" w:leader="dot" w:pos="9350"/>
            </w:tabs>
            <w:spacing w:after="100"/>
            <w:rPr>
              <w:color w:val="000000"/>
              <w:sz w:val="24"/>
              <w:szCs w:val="24"/>
            </w:rPr>
          </w:pPr>
          <w:hyperlink w:anchor="_6ev0dyj1abo5">
            <w:r>
              <w:rPr>
                <w:color w:val="000000"/>
                <w:sz w:val="24"/>
                <w:szCs w:val="24"/>
              </w:rPr>
              <w:t>Section 1 - Anatomy &amp; Physiology</w:t>
            </w:r>
            <w:r>
              <w:rPr>
                <w:color w:val="000000"/>
                <w:sz w:val="24"/>
                <w:szCs w:val="24"/>
              </w:rPr>
              <w:tab/>
              <w:t>4</w:t>
            </w:r>
          </w:hyperlink>
        </w:p>
        <w:p w14:paraId="26530D0A" w14:textId="77777777" w:rsidR="008B5F91" w:rsidRDefault="00000000">
          <w:pPr>
            <w:pBdr>
              <w:top w:val="nil"/>
              <w:left w:val="nil"/>
              <w:bottom w:val="nil"/>
              <w:right w:val="nil"/>
              <w:between w:val="nil"/>
            </w:pBdr>
            <w:tabs>
              <w:tab w:val="right" w:leader="dot" w:pos="9350"/>
            </w:tabs>
            <w:spacing w:after="100"/>
            <w:ind w:left="220"/>
            <w:rPr>
              <w:color w:val="000000"/>
              <w:sz w:val="24"/>
              <w:szCs w:val="24"/>
            </w:rPr>
          </w:pPr>
          <w:hyperlink w:anchor="_fa1slentb50l">
            <w:r>
              <w:rPr>
                <w:color w:val="000000"/>
                <w:sz w:val="24"/>
                <w:szCs w:val="24"/>
              </w:rPr>
              <w:t>1.1 Regulation of blood sugar</w:t>
            </w:r>
            <w:r>
              <w:rPr>
                <w:color w:val="000000"/>
                <w:sz w:val="24"/>
                <w:szCs w:val="24"/>
              </w:rPr>
              <w:tab/>
              <w:t>4</w:t>
            </w:r>
          </w:hyperlink>
        </w:p>
        <w:p w14:paraId="5B27EEBB" w14:textId="77777777" w:rsidR="008B5F91" w:rsidRDefault="00000000">
          <w:pPr>
            <w:pBdr>
              <w:top w:val="nil"/>
              <w:left w:val="nil"/>
              <w:bottom w:val="nil"/>
              <w:right w:val="nil"/>
              <w:between w:val="nil"/>
            </w:pBdr>
            <w:tabs>
              <w:tab w:val="right" w:leader="dot" w:pos="9350"/>
            </w:tabs>
            <w:spacing w:after="100"/>
            <w:ind w:left="220"/>
            <w:rPr>
              <w:color w:val="000000"/>
              <w:sz w:val="24"/>
              <w:szCs w:val="24"/>
            </w:rPr>
          </w:pPr>
          <w:hyperlink w:anchor="_n3cv2dzcj9zv">
            <w:r>
              <w:rPr>
                <w:color w:val="000000"/>
                <w:sz w:val="24"/>
                <w:szCs w:val="24"/>
              </w:rPr>
              <w:t>1.2 Cell metabolism</w:t>
            </w:r>
            <w:r>
              <w:rPr>
                <w:color w:val="000000"/>
                <w:sz w:val="24"/>
                <w:szCs w:val="24"/>
              </w:rPr>
              <w:tab/>
              <w:t>4</w:t>
            </w:r>
          </w:hyperlink>
        </w:p>
        <w:p w14:paraId="25FE5B52" w14:textId="77777777" w:rsidR="008B5F91" w:rsidRDefault="00000000">
          <w:pPr>
            <w:pBdr>
              <w:top w:val="nil"/>
              <w:left w:val="nil"/>
              <w:bottom w:val="nil"/>
              <w:right w:val="nil"/>
              <w:between w:val="nil"/>
            </w:pBdr>
            <w:tabs>
              <w:tab w:val="right" w:leader="dot" w:pos="9350"/>
            </w:tabs>
            <w:spacing w:after="100"/>
            <w:rPr>
              <w:color w:val="000000"/>
              <w:sz w:val="24"/>
              <w:szCs w:val="24"/>
            </w:rPr>
          </w:pPr>
          <w:hyperlink w:anchor="_6s6gyusdibep">
            <w:r>
              <w:rPr>
                <w:color w:val="000000"/>
                <w:sz w:val="24"/>
                <w:szCs w:val="24"/>
              </w:rPr>
              <w:t>Section 2 - Pathophysiology &amp; Impact</w:t>
            </w:r>
            <w:r>
              <w:rPr>
                <w:color w:val="000000"/>
                <w:sz w:val="24"/>
                <w:szCs w:val="24"/>
              </w:rPr>
              <w:tab/>
              <w:t>6</w:t>
            </w:r>
          </w:hyperlink>
        </w:p>
        <w:p w14:paraId="2A021508" w14:textId="77777777" w:rsidR="008B5F91" w:rsidRDefault="00000000">
          <w:pPr>
            <w:pBdr>
              <w:top w:val="nil"/>
              <w:left w:val="nil"/>
              <w:bottom w:val="nil"/>
              <w:right w:val="nil"/>
              <w:between w:val="nil"/>
            </w:pBdr>
            <w:tabs>
              <w:tab w:val="right" w:leader="dot" w:pos="9350"/>
            </w:tabs>
            <w:spacing w:after="100"/>
            <w:ind w:left="220"/>
            <w:rPr>
              <w:color w:val="000000"/>
              <w:sz w:val="24"/>
              <w:szCs w:val="24"/>
            </w:rPr>
          </w:pPr>
          <w:hyperlink w:anchor="_hyzyxiwzwbml">
            <w:r>
              <w:rPr>
                <w:color w:val="000000"/>
                <w:sz w:val="24"/>
                <w:szCs w:val="24"/>
              </w:rPr>
              <w:t>2.1 Impact of failure in blood sugar regulations</w:t>
            </w:r>
            <w:r>
              <w:rPr>
                <w:color w:val="000000"/>
                <w:sz w:val="24"/>
                <w:szCs w:val="24"/>
              </w:rPr>
              <w:tab/>
              <w:t>6</w:t>
            </w:r>
          </w:hyperlink>
        </w:p>
        <w:p w14:paraId="2CEDAF3F" w14:textId="77777777" w:rsidR="008B5F91" w:rsidRDefault="00000000">
          <w:pPr>
            <w:pBdr>
              <w:top w:val="nil"/>
              <w:left w:val="nil"/>
              <w:bottom w:val="nil"/>
              <w:right w:val="nil"/>
              <w:between w:val="nil"/>
            </w:pBdr>
            <w:tabs>
              <w:tab w:val="right" w:leader="dot" w:pos="9350"/>
            </w:tabs>
            <w:spacing w:after="100"/>
            <w:ind w:left="220"/>
            <w:rPr>
              <w:color w:val="000000"/>
              <w:sz w:val="24"/>
              <w:szCs w:val="24"/>
            </w:rPr>
          </w:pPr>
          <w:hyperlink w:anchor="_j7q6xf5cto5z">
            <w:r>
              <w:rPr>
                <w:color w:val="000000"/>
                <w:sz w:val="24"/>
                <w:szCs w:val="24"/>
              </w:rPr>
              <w:t>2.2 Effect of lifestyle factors on glucose control</w:t>
            </w:r>
            <w:r>
              <w:rPr>
                <w:color w:val="000000"/>
                <w:sz w:val="24"/>
                <w:szCs w:val="24"/>
              </w:rPr>
              <w:tab/>
              <w:t>6</w:t>
            </w:r>
          </w:hyperlink>
        </w:p>
        <w:p w14:paraId="3568C779" w14:textId="77777777" w:rsidR="008B5F91" w:rsidRDefault="00000000">
          <w:pPr>
            <w:pBdr>
              <w:top w:val="nil"/>
              <w:left w:val="nil"/>
              <w:bottom w:val="nil"/>
              <w:right w:val="nil"/>
              <w:between w:val="nil"/>
            </w:pBdr>
            <w:tabs>
              <w:tab w:val="right" w:leader="dot" w:pos="9350"/>
            </w:tabs>
            <w:spacing w:after="100"/>
            <w:rPr>
              <w:color w:val="000000"/>
              <w:sz w:val="24"/>
              <w:szCs w:val="24"/>
            </w:rPr>
          </w:pPr>
          <w:hyperlink w:anchor="_yjcp8askphpx">
            <w:r>
              <w:rPr>
                <w:color w:val="000000"/>
                <w:sz w:val="24"/>
                <w:szCs w:val="24"/>
              </w:rPr>
              <w:t>Section 3 - Monitoring &amp; Data Use</w:t>
            </w:r>
            <w:r>
              <w:rPr>
                <w:color w:val="000000"/>
                <w:sz w:val="24"/>
                <w:szCs w:val="24"/>
              </w:rPr>
              <w:tab/>
              <w:t>8</w:t>
            </w:r>
          </w:hyperlink>
        </w:p>
        <w:p w14:paraId="0FB940A8" w14:textId="77777777" w:rsidR="008B5F91" w:rsidRDefault="00000000">
          <w:pPr>
            <w:pBdr>
              <w:top w:val="nil"/>
              <w:left w:val="nil"/>
              <w:bottom w:val="nil"/>
              <w:right w:val="nil"/>
              <w:between w:val="nil"/>
            </w:pBdr>
            <w:tabs>
              <w:tab w:val="right" w:leader="dot" w:pos="9350"/>
            </w:tabs>
            <w:spacing w:after="100"/>
            <w:ind w:left="220"/>
            <w:rPr>
              <w:color w:val="000000"/>
              <w:sz w:val="24"/>
              <w:szCs w:val="24"/>
            </w:rPr>
          </w:pPr>
          <w:hyperlink w:anchor="_5un9i32db7rk">
            <w:r>
              <w:rPr>
                <w:color w:val="000000"/>
                <w:sz w:val="24"/>
                <w:szCs w:val="24"/>
              </w:rPr>
              <w:t>3.1 Importance of tracking health data</w:t>
            </w:r>
            <w:r>
              <w:rPr>
                <w:color w:val="000000"/>
                <w:sz w:val="24"/>
                <w:szCs w:val="24"/>
              </w:rPr>
              <w:tab/>
              <w:t>8</w:t>
            </w:r>
          </w:hyperlink>
        </w:p>
        <w:p w14:paraId="50F21C63" w14:textId="77777777" w:rsidR="008B5F91" w:rsidRDefault="00000000">
          <w:pPr>
            <w:pBdr>
              <w:top w:val="nil"/>
              <w:left w:val="nil"/>
              <w:bottom w:val="nil"/>
              <w:right w:val="nil"/>
              <w:between w:val="nil"/>
            </w:pBdr>
            <w:tabs>
              <w:tab w:val="right" w:leader="dot" w:pos="9350"/>
            </w:tabs>
            <w:spacing w:after="100"/>
            <w:ind w:left="220"/>
            <w:rPr>
              <w:color w:val="000000"/>
              <w:sz w:val="24"/>
              <w:szCs w:val="24"/>
            </w:rPr>
          </w:pPr>
          <w:hyperlink w:anchor="_jizu2kirkdmx">
            <w:r>
              <w:rPr>
                <w:color w:val="000000"/>
                <w:sz w:val="24"/>
                <w:szCs w:val="24"/>
              </w:rPr>
              <w:t>3.2 Importance of routine data in managing the condition</w:t>
            </w:r>
            <w:r>
              <w:rPr>
                <w:color w:val="000000"/>
                <w:sz w:val="24"/>
                <w:szCs w:val="24"/>
              </w:rPr>
              <w:tab/>
              <w:t>8</w:t>
            </w:r>
          </w:hyperlink>
        </w:p>
        <w:p w14:paraId="7337D402" w14:textId="77777777" w:rsidR="008B5F91" w:rsidRDefault="00000000">
          <w:pPr>
            <w:pBdr>
              <w:top w:val="nil"/>
              <w:left w:val="nil"/>
              <w:bottom w:val="nil"/>
              <w:right w:val="nil"/>
              <w:between w:val="nil"/>
            </w:pBdr>
            <w:tabs>
              <w:tab w:val="right" w:leader="dot" w:pos="9350"/>
            </w:tabs>
            <w:spacing w:after="100"/>
            <w:rPr>
              <w:color w:val="000000"/>
              <w:sz w:val="24"/>
              <w:szCs w:val="24"/>
            </w:rPr>
          </w:pPr>
          <w:hyperlink w:anchor="_49ecust8mp4j">
            <w:r>
              <w:rPr>
                <w:color w:val="000000"/>
                <w:sz w:val="24"/>
                <w:szCs w:val="24"/>
              </w:rPr>
              <w:t>Section 4 - Evidence-based Lifestyle Recommendations</w:t>
            </w:r>
            <w:r>
              <w:rPr>
                <w:color w:val="000000"/>
                <w:sz w:val="24"/>
                <w:szCs w:val="24"/>
              </w:rPr>
              <w:tab/>
              <w:t>10</w:t>
            </w:r>
          </w:hyperlink>
        </w:p>
        <w:p w14:paraId="3FCD4CF5" w14:textId="77777777" w:rsidR="008B5F91" w:rsidRDefault="00000000">
          <w:pPr>
            <w:pBdr>
              <w:top w:val="nil"/>
              <w:left w:val="nil"/>
              <w:bottom w:val="nil"/>
              <w:right w:val="nil"/>
              <w:between w:val="nil"/>
            </w:pBdr>
            <w:tabs>
              <w:tab w:val="right" w:leader="dot" w:pos="9350"/>
            </w:tabs>
            <w:spacing w:after="100"/>
            <w:ind w:left="220"/>
            <w:rPr>
              <w:color w:val="000000"/>
              <w:sz w:val="24"/>
              <w:szCs w:val="24"/>
            </w:rPr>
          </w:pPr>
          <w:hyperlink w:anchor="_nfj6tf5bywb0">
            <w:r>
              <w:rPr>
                <w:color w:val="000000"/>
                <w:sz w:val="24"/>
                <w:szCs w:val="24"/>
              </w:rPr>
              <w:t>4.1 Realistic lifestyle changes</w:t>
            </w:r>
            <w:r>
              <w:rPr>
                <w:color w:val="000000"/>
                <w:sz w:val="24"/>
                <w:szCs w:val="24"/>
              </w:rPr>
              <w:tab/>
              <w:t>10</w:t>
            </w:r>
          </w:hyperlink>
        </w:p>
        <w:p w14:paraId="420E3323" w14:textId="77777777" w:rsidR="008B5F91" w:rsidRDefault="00000000">
          <w:pPr>
            <w:pBdr>
              <w:top w:val="nil"/>
              <w:left w:val="nil"/>
              <w:bottom w:val="nil"/>
              <w:right w:val="nil"/>
              <w:between w:val="nil"/>
            </w:pBdr>
            <w:tabs>
              <w:tab w:val="right" w:leader="dot" w:pos="9350"/>
            </w:tabs>
            <w:spacing w:after="100"/>
            <w:ind w:left="220"/>
            <w:rPr>
              <w:color w:val="000000"/>
              <w:sz w:val="24"/>
              <w:szCs w:val="24"/>
            </w:rPr>
          </w:pPr>
          <w:hyperlink w:anchor="_lnryhv1lfin6">
            <w:r>
              <w:rPr>
                <w:color w:val="000000"/>
                <w:sz w:val="24"/>
                <w:szCs w:val="24"/>
              </w:rPr>
              <w:t>4.2 Research-based Evidence</w:t>
            </w:r>
            <w:r>
              <w:rPr>
                <w:color w:val="000000"/>
                <w:sz w:val="24"/>
                <w:szCs w:val="24"/>
              </w:rPr>
              <w:tab/>
              <w:t>10</w:t>
            </w:r>
          </w:hyperlink>
        </w:p>
        <w:p w14:paraId="35CCA147" w14:textId="77777777" w:rsidR="008B5F91" w:rsidRDefault="00000000">
          <w:pPr>
            <w:pBdr>
              <w:top w:val="nil"/>
              <w:left w:val="nil"/>
              <w:bottom w:val="nil"/>
              <w:right w:val="nil"/>
              <w:between w:val="nil"/>
            </w:pBdr>
            <w:tabs>
              <w:tab w:val="right" w:leader="dot" w:pos="9350"/>
            </w:tabs>
            <w:spacing w:after="100"/>
            <w:ind w:left="220"/>
            <w:rPr>
              <w:color w:val="000000"/>
              <w:sz w:val="24"/>
              <w:szCs w:val="24"/>
            </w:rPr>
          </w:pPr>
          <w:hyperlink w:anchor="_98u4uqlutr27">
            <w:r>
              <w:rPr>
                <w:color w:val="000000"/>
                <w:sz w:val="24"/>
                <w:szCs w:val="24"/>
              </w:rPr>
              <w:t>4.3 Impact of changes on physiological outcomes</w:t>
            </w:r>
            <w:r>
              <w:rPr>
                <w:color w:val="000000"/>
                <w:sz w:val="24"/>
                <w:szCs w:val="24"/>
              </w:rPr>
              <w:tab/>
              <w:t>10</w:t>
            </w:r>
          </w:hyperlink>
        </w:p>
        <w:p w14:paraId="0653F94A" w14:textId="77777777" w:rsidR="008B5F91" w:rsidRDefault="00000000">
          <w:pPr>
            <w:pBdr>
              <w:top w:val="nil"/>
              <w:left w:val="nil"/>
              <w:bottom w:val="nil"/>
              <w:right w:val="nil"/>
              <w:between w:val="nil"/>
            </w:pBdr>
            <w:tabs>
              <w:tab w:val="right" w:leader="dot" w:pos="9350"/>
            </w:tabs>
            <w:spacing w:after="100"/>
            <w:rPr>
              <w:color w:val="000000"/>
              <w:sz w:val="24"/>
              <w:szCs w:val="24"/>
            </w:rPr>
          </w:pPr>
          <w:hyperlink w:anchor="_la2e9nrjl6w">
            <w:r>
              <w:rPr>
                <w:color w:val="000000"/>
                <w:sz w:val="24"/>
                <w:szCs w:val="24"/>
              </w:rPr>
              <w:t>Conclusion</w:t>
            </w:r>
            <w:r>
              <w:rPr>
                <w:color w:val="000000"/>
                <w:sz w:val="24"/>
                <w:szCs w:val="24"/>
              </w:rPr>
              <w:tab/>
              <w:t>12</w:t>
            </w:r>
          </w:hyperlink>
        </w:p>
        <w:p w14:paraId="5E8F2CDA" w14:textId="77777777" w:rsidR="008B5F91" w:rsidRDefault="00000000">
          <w:pPr>
            <w:pBdr>
              <w:top w:val="nil"/>
              <w:left w:val="nil"/>
              <w:bottom w:val="nil"/>
              <w:right w:val="nil"/>
              <w:between w:val="nil"/>
            </w:pBdr>
            <w:tabs>
              <w:tab w:val="right" w:leader="dot" w:pos="9350"/>
            </w:tabs>
            <w:spacing w:after="100"/>
            <w:rPr>
              <w:color w:val="000000"/>
              <w:sz w:val="24"/>
              <w:szCs w:val="24"/>
            </w:rPr>
          </w:pPr>
          <w:hyperlink w:anchor="_7jdqg7jmt415">
            <w:r>
              <w:rPr>
                <w:color w:val="000000"/>
                <w:sz w:val="24"/>
                <w:szCs w:val="24"/>
              </w:rPr>
              <w:t>Reference list</w:t>
            </w:r>
            <w:r>
              <w:rPr>
                <w:color w:val="000000"/>
                <w:sz w:val="24"/>
                <w:szCs w:val="24"/>
              </w:rPr>
              <w:tab/>
              <w:t>13</w:t>
            </w:r>
          </w:hyperlink>
        </w:p>
        <w:p w14:paraId="35B87E0A" w14:textId="77777777" w:rsidR="008B5F91" w:rsidRDefault="00000000">
          <w:r>
            <w:fldChar w:fldCharType="end"/>
          </w:r>
        </w:p>
      </w:sdtContent>
    </w:sdt>
    <w:p w14:paraId="01C80D1E" w14:textId="77777777" w:rsidR="008B5F91" w:rsidRDefault="008B5F91">
      <w:pPr>
        <w:rPr>
          <w:b/>
          <w:bCs/>
          <w:sz w:val="24"/>
          <w:szCs w:val="24"/>
        </w:rPr>
      </w:pPr>
    </w:p>
    <w:p w14:paraId="72ABF650" w14:textId="77777777" w:rsidR="008B5F91" w:rsidRDefault="00000000">
      <w:pPr>
        <w:rPr>
          <w:b/>
          <w:bCs/>
        </w:rPr>
      </w:pPr>
      <w:r>
        <w:br w:type="page"/>
      </w:r>
    </w:p>
    <w:p w14:paraId="4A1540AB" w14:textId="77777777" w:rsidR="008B5F91" w:rsidRDefault="00000000">
      <w:pPr>
        <w:pStyle w:val="Heading1"/>
      </w:pPr>
      <w:bookmarkStart w:id="0" w:name="_eizj8anzxmxo" w:colFirst="0" w:colLast="0"/>
      <w:bookmarkEnd w:id="0"/>
      <w:r>
        <w:lastRenderedPageBreak/>
        <w:t>Introduction</w:t>
      </w:r>
    </w:p>
    <w:p w14:paraId="2C5EB65D" w14:textId="77777777" w:rsidR="008B5F91" w:rsidRDefault="00000000">
      <w:pPr>
        <w:spacing w:before="200"/>
      </w:pPr>
      <w:r>
        <w:t xml:space="preserve">Diabetes mellitus (Diabetes) is a metabolic condition (chronic) that develops when the body fails to regulate the blood sugar level. In </w:t>
      </w:r>
      <w:r>
        <w:rPr>
          <w:b/>
          <w:bCs/>
        </w:rPr>
        <w:t>Type 1 diabetes</w:t>
      </w:r>
      <w:r>
        <w:t xml:space="preserve">, as stated by </w:t>
      </w:r>
      <w:proofErr w:type="spellStart"/>
      <w:r>
        <w:t>Lucier</w:t>
      </w:r>
      <w:proofErr w:type="spellEnd"/>
      <w:r>
        <w:t xml:space="preserve"> and Weinstock (2024), the immune system typically attacks the insulin-producing cells (beta cells) in the pancreas, causing complete insulin deficiency. The body becomes resistant to insulin, or it produces inadequate quantities. On the other hand, in </w:t>
      </w:r>
      <w:r>
        <w:rPr>
          <w:b/>
          <w:bCs/>
        </w:rPr>
        <w:t>Type 2 diabetes</w:t>
      </w:r>
      <w:r>
        <w:t>, the condition is usually associated with lifestyle and environmental factors (</w:t>
      </w:r>
      <w:proofErr w:type="spellStart"/>
      <w:r>
        <w:t>Lalpathlabs</w:t>
      </w:r>
      <w:proofErr w:type="spellEnd"/>
      <w:r>
        <w:t xml:space="preserve">, 2024). </w:t>
      </w:r>
      <w:proofErr w:type="gramStart"/>
      <w:r>
        <w:t>Both of these</w:t>
      </w:r>
      <w:proofErr w:type="gramEnd"/>
      <w:r>
        <w:t xml:space="preserve"> lead to hyperglycaemia, which, in the absence of control, causes damage to organs and tissues in the long run.</w:t>
      </w:r>
    </w:p>
    <w:p w14:paraId="4886EA3F" w14:textId="77777777" w:rsidR="008B5F91" w:rsidRDefault="00000000">
      <w:pPr>
        <w:spacing w:before="200"/>
      </w:pPr>
      <w:r>
        <w:t>There are two types of risk factors of diabetes, namely: non-modifiable and modifiable:</w:t>
      </w:r>
    </w:p>
    <w:p w14:paraId="7AD55244" w14:textId="77777777" w:rsidR="008B5F91" w:rsidRDefault="00000000">
      <w:pPr>
        <w:numPr>
          <w:ilvl w:val="0"/>
          <w:numId w:val="3"/>
        </w:numPr>
        <w:spacing w:before="200"/>
      </w:pPr>
      <w:r>
        <w:rPr>
          <w:b/>
          <w:bCs/>
        </w:rPr>
        <w:t xml:space="preserve">Non-modifiable </w:t>
      </w:r>
      <w:r>
        <w:t>- Family history, age (after 45 years), ethnicity and genetic predisposition.</w:t>
      </w:r>
    </w:p>
    <w:p w14:paraId="64C203AC" w14:textId="77777777" w:rsidR="008B5F91" w:rsidRDefault="00000000">
      <w:pPr>
        <w:numPr>
          <w:ilvl w:val="0"/>
          <w:numId w:val="3"/>
        </w:numPr>
      </w:pPr>
      <w:r>
        <w:rPr>
          <w:b/>
          <w:bCs/>
        </w:rPr>
        <w:t xml:space="preserve">Modifiable </w:t>
      </w:r>
      <w:r>
        <w:t>- Obesity, physical inactivity, unhealthy food (rich in refined sugar and saturated fats), cigarette smoking, and overconsumption of alcohol. Type 2 diabetes is also predisposed by pre-diabetes and gestational diabetes (CDC, 2024).</w:t>
      </w:r>
    </w:p>
    <w:p w14:paraId="0213B8D3" w14:textId="77777777" w:rsidR="008B5F91" w:rsidRDefault="00000000">
      <w:pPr>
        <w:spacing w:before="200"/>
      </w:pPr>
      <w:r>
        <w:t xml:space="preserve">The report aims to inform the patient with a clear understanding of diabetes and its physiological background, and the need to monitor the level of the blood sugar concentration. It will shed light on how lifestyle changes, including a balanced diet, regular exercise, and smoking cessation, can lead to better glycaemic regulation and help to decrease complications. The report will provide patients with evidence-based information to enable them </w:t>
      </w:r>
      <w:proofErr w:type="gramStart"/>
      <w:r>
        <w:t>become</w:t>
      </w:r>
      <w:proofErr w:type="gramEnd"/>
      <w:r>
        <w:t xml:space="preserve"> more empowered to participate in their care plans better and have a safer and long-term management of the condition.</w:t>
      </w:r>
    </w:p>
    <w:p w14:paraId="49A63A3D" w14:textId="77777777" w:rsidR="008B5F91" w:rsidRDefault="00000000">
      <w:pPr>
        <w:rPr>
          <w:b/>
          <w:bCs/>
        </w:rPr>
      </w:pPr>
      <w:r>
        <w:br w:type="page"/>
      </w:r>
    </w:p>
    <w:p w14:paraId="091509DC" w14:textId="77777777" w:rsidR="008B5F91" w:rsidRDefault="00000000">
      <w:pPr>
        <w:pStyle w:val="Heading1"/>
      </w:pPr>
      <w:bookmarkStart w:id="1" w:name="_6ev0dyj1abo5" w:colFirst="0" w:colLast="0"/>
      <w:bookmarkEnd w:id="1"/>
      <w:r>
        <w:lastRenderedPageBreak/>
        <w:t>Section 1 - Anatomy &amp; Physiology</w:t>
      </w:r>
    </w:p>
    <w:p w14:paraId="07280349" w14:textId="77777777" w:rsidR="008B5F91" w:rsidRDefault="00000000">
      <w:pPr>
        <w:pStyle w:val="Heading2"/>
      </w:pPr>
      <w:bookmarkStart w:id="2" w:name="_fa1slentb50l" w:colFirst="0" w:colLast="0"/>
      <w:bookmarkEnd w:id="2"/>
      <w:r>
        <w:t>1.1 Regulation of blood sugar</w:t>
      </w:r>
    </w:p>
    <w:p w14:paraId="2512AA23" w14:textId="77777777" w:rsidR="008B5F91" w:rsidRDefault="00000000">
      <w:pPr>
        <w:spacing w:before="200"/>
      </w:pPr>
      <w:r>
        <w:t xml:space="preserve">Pancreatic secretion of </w:t>
      </w:r>
      <w:r>
        <w:rPr>
          <w:b/>
          <w:bCs/>
        </w:rPr>
        <w:t xml:space="preserve">insulin </w:t>
      </w:r>
      <w:r>
        <w:t xml:space="preserve">(through beta cells) and </w:t>
      </w:r>
      <w:r>
        <w:rPr>
          <w:b/>
          <w:bCs/>
        </w:rPr>
        <w:t xml:space="preserve">glucagon </w:t>
      </w:r>
      <w:r>
        <w:t>(through alpha cells) are crucial process in blood glucose regulation (</w:t>
      </w:r>
      <w:proofErr w:type="spellStart"/>
      <w:r>
        <w:t>Rorsman</w:t>
      </w:r>
      <w:proofErr w:type="spellEnd"/>
      <w:r>
        <w:t xml:space="preserve"> and Ashcroft, 2020). As stated by </w:t>
      </w:r>
      <w:proofErr w:type="spellStart"/>
      <w:r>
        <w:t>Lucier</w:t>
      </w:r>
      <w:proofErr w:type="spellEnd"/>
      <w:r>
        <w:t xml:space="preserve"> and Weinstock (2024), following the oral intake of food, an increasing glucose level activates insulin secretion from the beta cells of Langerhans islets. Insulin aids glucose intake by muscle and adipose tissue through </w:t>
      </w:r>
      <w:r>
        <w:rPr>
          <w:b/>
          <w:bCs/>
        </w:rPr>
        <w:t>GLUT4 transport systems</w:t>
      </w:r>
      <w:r>
        <w:t xml:space="preserve">, promoting hepatic glycogen production, and suppressing </w:t>
      </w:r>
      <w:r>
        <w:rPr>
          <w:b/>
          <w:bCs/>
        </w:rPr>
        <w:t xml:space="preserve">gluconeogenesis </w:t>
      </w:r>
      <w:r>
        <w:t xml:space="preserve">(Nithya </w:t>
      </w:r>
      <w:r>
        <w:rPr>
          <w:i/>
          <w:iCs/>
        </w:rPr>
        <w:t>et al.,</w:t>
      </w:r>
      <w:r>
        <w:t xml:space="preserve"> 2025). On the other hand, a drop in blood glucose triggers the release of glucagon by the alpha cells, which increases glucose metabolism and hepatic glucose release.</w:t>
      </w:r>
    </w:p>
    <w:p w14:paraId="5815D768" w14:textId="77777777" w:rsidR="008B5F91" w:rsidRDefault="00000000">
      <w:pPr>
        <w:spacing w:before="200"/>
      </w:pPr>
      <w:r>
        <w:t xml:space="preserve">A detailed understanding of the regulation of blood glucose identifies how strict controlling of endocrine feedback balance insulin (secreted by beta-cells) and glucagon (secreted by alpha cells) levels. Insulin, amid its secretion by Langerhans </w:t>
      </w:r>
      <w:proofErr w:type="spellStart"/>
      <w:r>
        <w:t>cels</w:t>
      </w:r>
      <w:proofErr w:type="spellEnd"/>
      <w:r>
        <w:t xml:space="preserve"> bind to specific muscle receptors as well as adipose tissues to activate the </w:t>
      </w:r>
      <w:r>
        <w:rPr>
          <w:b/>
          <w:bCs/>
        </w:rPr>
        <w:t>“PI3K-Akt signalling pathway” (</w:t>
      </w:r>
      <w:proofErr w:type="spellStart"/>
      <w:r>
        <w:t>Lucier</w:t>
      </w:r>
      <w:proofErr w:type="spellEnd"/>
      <w:r>
        <w:t xml:space="preserve"> and Weinstock 2024)</w:t>
      </w:r>
      <w:r>
        <w:rPr>
          <w:b/>
          <w:bCs/>
        </w:rPr>
        <w:t>.</w:t>
      </w:r>
      <w:r>
        <w:t xml:space="preserve"> The cascade strategy, thereby promote the translocation of </w:t>
      </w:r>
      <w:r>
        <w:rPr>
          <w:b/>
          <w:bCs/>
        </w:rPr>
        <w:t>GLUT4</w:t>
      </w:r>
      <w:r>
        <w:t xml:space="preserve"> across the cell membrane, thus enabling the glucose uptake. At the same time, insulin stimulate the synthesis of glycogen in the liver, while supressing gluconeogenesis (as stated above). Distinctly, this overall process directs the </w:t>
      </w:r>
      <w:r>
        <w:rPr>
          <w:b/>
          <w:bCs/>
        </w:rPr>
        <w:t>“post-prandial glucose homeostasis”.</w:t>
      </w:r>
    </w:p>
    <w:p w14:paraId="58F590B0" w14:textId="77777777" w:rsidR="008B5F91" w:rsidRDefault="00000000">
      <w:pPr>
        <w:spacing w:before="200"/>
      </w:pPr>
      <w:r>
        <w:t xml:space="preserve">In diabetes, this meticulously regulated system is disrupted. Beta cells are </w:t>
      </w:r>
      <w:proofErr w:type="spellStart"/>
      <w:r>
        <w:t>autoimmunely</w:t>
      </w:r>
      <w:proofErr w:type="spellEnd"/>
      <w:r>
        <w:t xml:space="preserve"> destroyed in Type 1 diabetes, resulting in complete insulin deficiency. Type 2 diabetes leads to insulin resistance in the peripheral tissues, which decreases glucose uptake within the system (Freeman and </w:t>
      </w:r>
      <w:proofErr w:type="spellStart"/>
      <w:r>
        <w:t>Pennings</w:t>
      </w:r>
      <w:proofErr w:type="spellEnd"/>
      <w:r>
        <w:t xml:space="preserve">, 2023). Norris </w:t>
      </w:r>
      <w:r>
        <w:rPr>
          <w:i/>
          <w:iCs/>
        </w:rPr>
        <w:t>et al.,</w:t>
      </w:r>
      <w:r>
        <w:t xml:space="preserve"> (2025) explained that pancreatic beta cells fail to produce insulin in the proper amounts. The outcome is </w:t>
      </w:r>
      <w:r>
        <w:rPr>
          <w:b/>
          <w:bCs/>
        </w:rPr>
        <w:t>chronic hyperglycaemia</w:t>
      </w:r>
      <w:r>
        <w:t>, which is destructive to blood vessels and organs under poor treatment and regulation. Hence, to ensure sufficient regulation, it is necessary to promote endogenous control of the hormone and patient-led control of the blood sugar level to detour unwanted fluctuations.</w:t>
      </w:r>
    </w:p>
    <w:p w14:paraId="5FBC9CF5" w14:textId="77777777" w:rsidR="008B5F91" w:rsidRDefault="00000000">
      <w:pPr>
        <w:pStyle w:val="Heading2"/>
      </w:pPr>
      <w:bookmarkStart w:id="3" w:name="_n3cv2dzcj9zv" w:colFirst="0" w:colLast="0"/>
      <w:bookmarkEnd w:id="3"/>
      <w:r>
        <w:t>1.2 Cell metabolism</w:t>
      </w:r>
    </w:p>
    <w:p w14:paraId="61DE47DB" w14:textId="77777777" w:rsidR="008B5F91" w:rsidRDefault="00000000">
      <w:pPr>
        <w:spacing w:before="200"/>
      </w:pPr>
      <w:r>
        <w:t xml:space="preserve">According to the evidence by EBSCO (2024), the body derives its main source of energy from glucose, which is metabolised by cellular respiration. Within the cytoplasm, as explained by Chaudhry and </w:t>
      </w:r>
      <w:proofErr w:type="spellStart"/>
      <w:r>
        <w:t>Varacallo</w:t>
      </w:r>
      <w:proofErr w:type="spellEnd"/>
      <w:r>
        <w:t xml:space="preserve"> (2023), glucose goes through glycolysis, which is converted into pyruvate </w:t>
      </w:r>
      <w:r>
        <w:lastRenderedPageBreak/>
        <w:t xml:space="preserve">and ATP (in smaller quantities). The pyruvate is then transported to the mitochondria, where it is transformed to </w:t>
      </w:r>
      <w:r>
        <w:rPr>
          <w:b/>
          <w:bCs/>
        </w:rPr>
        <w:t>acetyl-CoA</w:t>
      </w:r>
      <w:r>
        <w:t xml:space="preserve">, thus performing the </w:t>
      </w:r>
      <w:r>
        <w:rPr>
          <w:b/>
          <w:bCs/>
        </w:rPr>
        <w:t>Krebs cycle</w:t>
      </w:r>
      <w:r>
        <w:t xml:space="preserve"> (also known as the </w:t>
      </w:r>
      <w:r>
        <w:rPr>
          <w:b/>
          <w:bCs/>
        </w:rPr>
        <w:t>citric acid cycle</w:t>
      </w:r>
      <w:r>
        <w:t>) (</w:t>
      </w:r>
      <w:proofErr w:type="spellStart"/>
      <w:r>
        <w:t>Alabduladhem</w:t>
      </w:r>
      <w:proofErr w:type="spellEnd"/>
      <w:r>
        <w:t xml:space="preserve"> and </w:t>
      </w:r>
      <w:proofErr w:type="spellStart"/>
      <w:r>
        <w:t>Bordoni</w:t>
      </w:r>
      <w:proofErr w:type="spellEnd"/>
      <w:r>
        <w:t xml:space="preserve">, 2022). The result of this cycle is the generation of electron carriers (such as </w:t>
      </w:r>
      <w:r>
        <w:rPr>
          <w:b/>
          <w:bCs/>
        </w:rPr>
        <w:t>NADH, FADH2</w:t>
      </w:r>
      <w:r>
        <w:t>), which enter the electron transport chain, resulting in the production of large amounts of ATP by oxidative phosphorylation. Here, oxygen is needed, which is the last electron acceptor to produce water.</w:t>
      </w:r>
    </w:p>
    <w:p w14:paraId="27778922" w14:textId="77777777" w:rsidR="008B5F91" w:rsidRDefault="00000000">
      <w:pPr>
        <w:spacing w:before="200"/>
      </w:pPr>
      <w:r>
        <w:t>When focusing on diabetes, the glucose uptake is impaired, and hence the cells do not obtain sufficient energy even when there is increased glucose in the system (</w:t>
      </w:r>
      <w:proofErr w:type="spellStart"/>
      <w:r>
        <w:t>Lucier</w:t>
      </w:r>
      <w:proofErr w:type="spellEnd"/>
      <w:r>
        <w:t xml:space="preserve"> and Weinstock, 2024). Consequently, the body intends to use more fat metabolism, which causes an excess formation of ketone bodies. Amid the disease concern, the excess formation of ketone bodies leads to </w:t>
      </w:r>
      <w:r>
        <w:rPr>
          <w:b/>
          <w:bCs/>
        </w:rPr>
        <w:t>diabetic ketoacidosis</w:t>
      </w:r>
      <w:r>
        <w:t>, which is a life-threatening condition (Mayo Clinic, 2025). It is therefore vital to ensure that normal glucose metabolism is maintained as a source of energy while averting the development of metabolic complications.</w:t>
      </w:r>
    </w:p>
    <w:p w14:paraId="2FD49865" w14:textId="77777777" w:rsidR="008B5F91" w:rsidRDefault="00000000">
      <w:pPr>
        <w:rPr>
          <w:b/>
          <w:bCs/>
        </w:rPr>
      </w:pPr>
      <w:r>
        <w:br w:type="page"/>
      </w:r>
    </w:p>
    <w:p w14:paraId="09E739A1" w14:textId="77777777" w:rsidR="008B5F91" w:rsidRDefault="00000000">
      <w:pPr>
        <w:pStyle w:val="Heading1"/>
      </w:pPr>
      <w:bookmarkStart w:id="4" w:name="_6s6gyusdibep" w:colFirst="0" w:colLast="0"/>
      <w:bookmarkEnd w:id="4"/>
      <w:r>
        <w:lastRenderedPageBreak/>
        <w:t>Section 2 - Pathophysiology &amp; Impact</w:t>
      </w:r>
    </w:p>
    <w:p w14:paraId="069A8E4A" w14:textId="77777777" w:rsidR="008B5F91" w:rsidRDefault="00000000">
      <w:pPr>
        <w:pStyle w:val="Heading2"/>
      </w:pPr>
      <w:bookmarkStart w:id="5" w:name="_hyzyxiwzwbml" w:colFirst="0" w:colLast="0"/>
      <w:bookmarkEnd w:id="5"/>
      <w:r>
        <w:t>2.1 Impact of failure in blood sugar regulations</w:t>
      </w:r>
    </w:p>
    <w:p w14:paraId="72515438" w14:textId="77777777" w:rsidR="008B5F91" w:rsidRDefault="00000000">
      <w:pPr>
        <w:spacing w:before="200"/>
      </w:pPr>
      <w:r>
        <w:rPr>
          <w:b/>
          <w:bCs/>
        </w:rPr>
        <w:t>Hyperglycaemia</w:t>
      </w:r>
      <w:r>
        <w:t xml:space="preserve">, as suggested by the Cleveland Clinic (2023), occurs in the body due to failure in blood sugar regulation. Chronic hyperglycaemia, as Mohammed </w:t>
      </w:r>
      <w:r>
        <w:rPr>
          <w:i/>
          <w:iCs/>
        </w:rPr>
        <w:t>et al.,</w:t>
      </w:r>
      <w:r>
        <w:t xml:space="preserve"> (2025) explained, leads to macrovascular (coronary artery disease, stroke, peripheral vascular disease) and microvascular (retinopathy, nephropathy, neuropathy) complications. With an in-depth focus on the pathophysiological condition, it has been observed that elevated glucose level or glucose variability increase the chances of “advanced glycation of end products” (AGEPs). As implied by Mohammed </w:t>
      </w:r>
      <w:r>
        <w:rPr>
          <w:i/>
          <w:iCs/>
        </w:rPr>
        <w:t>et al.,</w:t>
      </w:r>
      <w:r>
        <w:t xml:space="preserve"> (2025), this alters the protein function, thus triggering oxidative stress. In series, the anomaly led to endothelial dysfunction, impairment in vascular integrity and finally causes microvascular complications. </w:t>
      </w:r>
    </w:p>
    <w:p w14:paraId="3518D00C" w14:textId="77777777" w:rsidR="008B5F91" w:rsidRDefault="00000000">
      <w:pPr>
        <w:spacing w:before="200"/>
      </w:pPr>
      <w:r>
        <w:t xml:space="preserve">Understandably, In Type 1 diabetes, the lack of insulin prevents the uptake of glucose, making cells depend on the metabolism of fats. As stated by </w:t>
      </w:r>
      <w:proofErr w:type="spellStart"/>
      <w:r>
        <w:t>Tegegne</w:t>
      </w:r>
      <w:proofErr w:type="spellEnd"/>
      <w:r>
        <w:t xml:space="preserve"> </w:t>
      </w:r>
      <w:r>
        <w:rPr>
          <w:i/>
          <w:iCs/>
        </w:rPr>
        <w:t>et al.,</w:t>
      </w:r>
      <w:r>
        <w:t xml:space="preserve"> (2024), Type-I diabetes is an autoimmune condition, typically caused due to the damage of beta-cells (in pancreas). Herein, genetic predisposition such as HLA variants, followed by environmental factors like viral infections are triggering the disease. The onset of Type-I diabetes is typically observed during childhood and adolescent period when specific symptoms like polyuria and weight loss are strongly evident among patients. A clinical review by Kang (2024) reported that the abrupt onset of the disease is occurred under complete insulin deficits, thus mandating insulin therapy. This shows that Type-1 diabetes needs effective management plans to ensure on-time treatment.</w:t>
      </w:r>
    </w:p>
    <w:p w14:paraId="13F21ED3" w14:textId="77777777" w:rsidR="008B5F91" w:rsidRDefault="00000000">
      <w:pPr>
        <w:spacing w:before="200"/>
      </w:pPr>
      <w:r>
        <w:t xml:space="preserve">Type 2 diabetes, on the other hand, has insulin resistance and dysfunction in the beta-cells, which cause a gradual loss of glucose control and can progressively develop complications (Freeman and </w:t>
      </w:r>
      <w:proofErr w:type="spellStart"/>
      <w:r>
        <w:t>Pennings</w:t>
      </w:r>
      <w:proofErr w:type="spellEnd"/>
      <w:r>
        <w:t xml:space="preserve">, 2023). The evidence provided by </w:t>
      </w:r>
      <w:proofErr w:type="spellStart"/>
      <w:r>
        <w:t>DeClue</w:t>
      </w:r>
      <w:proofErr w:type="spellEnd"/>
      <w:r>
        <w:t xml:space="preserve"> </w:t>
      </w:r>
      <w:r>
        <w:rPr>
          <w:i/>
          <w:iCs/>
        </w:rPr>
        <w:t>et al.,</w:t>
      </w:r>
      <w:r>
        <w:t xml:space="preserve"> (2024) identifies that while Type-1 diabetes is genetically or environmentally triggered, type-2 diabetes is influenced by chronic exposure to metabolic conditions like unhealthy diets, which typically impair the insulin production process. When focusing on the onset of the disease, it has been identified that the metabolic disorder typically occurred during adulthood and is strongly linked to overweight/obese conditions. () mentioned that the onset of Type-2 diabetes is gradual (primarily asymptomatic), therefore, complications occurred amid diagnosis.</w:t>
      </w:r>
    </w:p>
    <w:p w14:paraId="4A953C8C" w14:textId="77777777" w:rsidR="008B5F91" w:rsidRDefault="00000000">
      <w:pPr>
        <w:pStyle w:val="Heading2"/>
      </w:pPr>
      <w:bookmarkStart w:id="6" w:name="_j7q6xf5cto5z" w:colFirst="0" w:colLast="0"/>
      <w:bookmarkEnd w:id="6"/>
      <w:r>
        <w:lastRenderedPageBreak/>
        <w:t>2.2 Effect of lifestyle factors on glucose control</w:t>
      </w:r>
    </w:p>
    <w:p w14:paraId="5A40B407" w14:textId="77777777" w:rsidR="008B5F91" w:rsidRDefault="00000000">
      <w:pPr>
        <w:spacing w:before="200"/>
      </w:pPr>
      <w:r>
        <w:t xml:space="preserve">The lifestyle factors have a very important role in either deteriorating glucose regulation or enhancing it. </w:t>
      </w:r>
      <w:r>
        <w:rPr>
          <w:b/>
          <w:bCs/>
        </w:rPr>
        <w:t xml:space="preserve">Foods </w:t>
      </w:r>
      <w:r>
        <w:t xml:space="preserve">that are rich in </w:t>
      </w:r>
      <w:r>
        <w:rPr>
          <w:b/>
          <w:bCs/>
        </w:rPr>
        <w:t>carbohydrates</w:t>
      </w:r>
      <w:r>
        <w:t>,</w:t>
      </w:r>
      <w:r>
        <w:rPr>
          <w:b/>
          <w:bCs/>
        </w:rPr>
        <w:t xml:space="preserve"> saturated fats</w:t>
      </w:r>
      <w:r>
        <w:t xml:space="preserve">, and </w:t>
      </w:r>
      <w:r>
        <w:rPr>
          <w:b/>
          <w:bCs/>
        </w:rPr>
        <w:t>sweetened beverages</w:t>
      </w:r>
      <w:r>
        <w:t xml:space="preserve"> lead to obesity, as well as insulin resistance. On the other hand, </w:t>
      </w:r>
      <w:r>
        <w:rPr>
          <w:b/>
          <w:bCs/>
        </w:rPr>
        <w:t>balanced diets</w:t>
      </w:r>
      <w:r>
        <w:t xml:space="preserve"> with high amounts of fibre, low amounts of saturated fats, and low amounts of unsaturated fats lead to a better glycaemic index (Marsh </w:t>
      </w:r>
      <w:r>
        <w:rPr>
          <w:i/>
          <w:iCs/>
        </w:rPr>
        <w:t xml:space="preserve">et al., </w:t>
      </w:r>
      <w:r>
        <w:t xml:space="preserve">2020). Further information provided by </w:t>
      </w:r>
      <w:proofErr w:type="spellStart"/>
      <w:r>
        <w:t>Borhade</w:t>
      </w:r>
      <w:proofErr w:type="spellEnd"/>
      <w:r>
        <w:t xml:space="preserve"> and Singh (2025), explained that </w:t>
      </w:r>
      <w:r>
        <w:rPr>
          <w:b/>
          <w:bCs/>
        </w:rPr>
        <w:t xml:space="preserve">exercise </w:t>
      </w:r>
      <w:r>
        <w:t>improves the body’s glucose uptake by muscles without the necessity of insulin, but physical inactivity increases insulin insensitivity, thus raising the level of sugar in the blood.</w:t>
      </w:r>
    </w:p>
    <w:p w14:paraId="7F476354" w14:textId="77777777" w:rsidR="008B5F91" w:rsidRDefault="00000000">
      <w:pPr>
        <w:spacing w:before="200"/>
      </w:pPr>
      <w:r>
        <w:rPr>
          <w:b/>
          <w:bCs/>
        </w:rPr>
        <w:t xml:space="preserve">Smoking </w:t>
      </w:r>
      <w:r>
        <w:t xml:space="preserve">further increases vascular damage and insulin desensitisation, thus speeding up complications. Based on the evidence by Oba-Yamamoto </w:t>
      </w:r>
      <w:r>
        <w:rPr>
          <w:i/>
          <w:iCs/>
        </w:rPr>
        <w:t>et al.,</w:t>
      </w:r>
      <w:r>
        <w:t xml:space="preserve"> (2021) due to excessive alcohol consumption, glucose levels become destabilised, exposing a patient to both hypoglycaemia and hyperglycaemia based on the patterns of intake. On the other hand, overall lifestyle modifications such as quitting smoking, limited alcohol consumption, and maintaining a healthy body weight ensure a positive long-term outcome.</w:t>
      </w:r>
    </w:p>
    <w:p w14:paraId="70BA9835" w14:textId="77777777" w:rsidR="008B5F91" w:rsidRDefault="00000000">
      <w:pPr>
        <w:spacing w:before="200"/>
      </w:pPr>
      <w:r>
        <w:t>Apart from the above understanding, poor stress management and sleep affect glucose regulation through the high concentration of cortisol that stimulates hyperglycaemia (</w:t>
      </w:r>
      <w:proofErr w:type="spellStart"/>
      <w:r>
        <w:t>Vedantam</w:t>
      </w:r>
      <w:proofErr w:type="spellEnd"/>
      <w:r>
        <w:t xml:space="preserve"> </w:t>
      </w:r>
      <w:r>
        <w:rPr>
          <w:i/>
          <w:iCs/>
        </w:rPr>
        <w:t>et al.,</w:t>
      </w:r>
      <w:r>
        <w:t xml:space="preserve"> 2022). Thus, the most effective way of managing diabetes should include a set of holistic lifestyle changes that comprise diet, physical activity, quitting smoking, and coping with stress.</w:t>
      </w:r>
    </w:p>
    <w:p w14:paraId="416E0B7C" w14:textId="77777777" w:rsidR="008B5F91" w:rsidRDefault="00000000">
      <w:pPr>
        <w:rPr>
          <w:b/>
          <w:bCs/>
        </w:rPr>
      </w:pPr>
      <w:r>
        <w:br w:type="page"/>
      </w:r>
    </w:p>
    <w:p w14:paraId="35BB72FB" w14:textId="77777777" w:rsidR="008B5F91" w:rsidRDefault="00000000">
      <w:pPr>
        <w:pStyle w:val="Heading1"/>
      </w:pPr>
      <w:bookmarkStart w:id="7" w:name="_yjcp8askphpx" w:colFirst="0" w:colLast="0"/>
      <w:bookmarkEnd w:id="7"/>
      <w:r>
        <w:lastRenderedPageBreak/>
        <w:t>Section 3 - Monitoring &amp; Data Use</w:t>
      </w:r>
    </w:p>
    <w:p w14:paraId="7336E657" w14:textId="77777777" w:rsidR="008B5F91" w:rsidRDefault="00000000">
      <w:pPr>
        <w:pStyle w:val="Heading2"/>
      </w:pPr>
      <w:bookmarkStart w:id="8" w:name="_5un9i32db7rk" w:colFirst="0" w:colLast="0"/>
      <w:bookmarkEnd w:id="8"/>
      <w:r>
        <w:t>3.1 Importance of tracking health data</w:t>
      </w:r>
    </w:p>
    <w:p w14:paraId="1C2F8BAC" w14:textId="77777777" w:rsidR="008B5F91" w:rsidRDefault="00000000">
      <w:pPr>
        <w:spacing w:before="200"/>
      </w:pPr>
      <w:r>
        <w:t xml:space="preserve">As per the information established above, it has been understood that Type 1 diabetes is an unavoidable condition, amid the damage in the immune system. Comparatively, the Type-2 condition is often preventable, given an effective lifestyle intervention is clinical management practice. According to Renard (2025), </w:t>
      </w:r>
      <w:r>
        <w:rPr>
          <w:b/>
          <w:bCs/>
        </w:rPr>
        <w:t>Self-monitoring of Blood Glucose</w:t>
      </w:r>
      <w:r>
        <w:t xml:space="preserve"> (SMBG) is essential to keeping levels of blood sugar within safe ranges and avoiding both hyperglycaemic and hypoglycaemic risks in diabetes patients. Frequent monitoring enables the patient to know how the diet, exercise, stress, and medication are impacting their blood sugar. It also helps them make sound daily choices, such as a change of meal or physical activity, as appropriate. While the follow-up with SMBG shows a real-time monitoring of the blood glucose level, notable heterogeneity within study results distinctly indicates inconsistent implications of the outcomes across populations. </w:t>
      </w:r>
    </w:p>
    <w:p w14:paraId="670E06E5" w14:textId="77777777" w:rsidR="008B5F91" w:rsidRDefault="00000000">
      <w:pPr>
        <w:spacing w:before="200"/>
      </w:pPr>
      <w:r>
        <w:t xml:space="preserve">NHS suggests that patients with Type 1 diabetes and those with Type 2 diabetes treat themselves with blood glucose devices [also known as </w:t>
      </w:r>
      <w:r>
        <w:rPr>
          <w:b/>
          <w:bCs/>
        </w:rPr>
        <w:t>"Continuous Glucose Monitoring"</w:t>
      </w:r>
      <w:r>
        <w:t xml:space="preserve"> (CGM)]. As stated by the NHS (2025), the records give a longitudinal view of glycaemic control, allowing clinicians to design treatment. It has been demonstrated that patients with a stable HbA1c after consistent self-monitoring provide better results, which lowers the chances of involvement in cardiovascular disease and renal dysfunction (Huang </w:t>
      </w:r>
      <w:r>
        <w:rPr>
          <w:i/>
          <w:iCs/>
        </w:rPr>
        <w:t>et al.,</w:t>
      </w:r>
      <w:r>
        <w:t xml:space="preserve"> 2024). The umbrella review provided by systematic studies performed between 2011 and 2024 identifies that CGM ensure better management of HbA1c levels, while lowering hypoglycaemic index in Type-2 condition (Tan </w:t>
      </w:r>
      <w:r>
        <w:rPr>
          <w:i/>
          <w:iCs/>
        </w:rPr>
        <w:t>et al.,</w:t>
      </w:r>
      <w:r>
        <w:t xml:space="preserve"> 2024). While this is true, cost burden, patient adherence to medications as well as data overload are reducing the reliance of using CGM. </w:t>
      </w:r>
    </w:p>
    <w:p w14:paraId="202B6EFD" w14:textId="77777777" w:rsidR="008B5F91" w:rsidRDefault="00000000">
      <w:pPr>
        <w:spacing w:before="200"/>
      </w:pPr>
      <w:r>
        <w:t xml:space="preserve">The implications of this evidence on care to manage both types of diabetes explains that CGM is indeed an effective clinical tool for improving management outcomes. Nevertheless, the success is focused on proper structured health education for patients as well as the integration with care pathways. Based on the evidence gathered, it has been well-understood that adequate training, </w:t>
      </w:r>
      <w:proofErr w:type="gramStart"/>
      <w:r>
        <w:t>support</w:t>
      </w:r>
      <w:proofErr w:type="gramEnd"/>
      <w:r>
        <w:t xml:space="preserve"> and patient empowerment can offer appropriate benefits in managing diabetes. Moreover, this shows an alignment with the NHS standards and NICE guidelines, thus emphasising a structured care as well as patient-centred care in long-term management.</w:t>
      </w:r>
    </w:p>
    <w:p w14:paraId="3D4D93B0" w14:textId="77777777" w:rsidR="008B5F91" w:rsidRDefault="00000000">
      <w:pPr>
        <w:pStyle w:val="Heading2"/>
      </w:pPr>
      <w:bookmarkStart w:id="9" w:name="_jizu2kirkdmx" w:colFirst="0" w:colLast="0"/>
      <w:bookmarkEnd w:id="9"/>
      <w:r>
        <w:lastRenderedPageBreak/>
        <w:t>3.2 Importance of routine data in managing the condition</w:t>
      </w:r>
    </w:p>
    <w:p w14:paraId="64278E1E" w14:textId="77777777" w:rsidR="008B5F91" w:rsidRDefault="00000000">
      <w:pPr>
        <w:spacing w:before="200"/>
      </w:pPr>
      <w:r>
        <w:t xml:space="preserve">Regular data gathering is also crucial on the systemic level. The indicators tracked in the </w:t>
      </w:r>
      <w:r>
        <w:rPr>
          <w:b/>
          <w:bCs/>
        </w:rPr>
        <w:t>"National Diabetes Audit"</w:t>
      </w:r>
      <w:r>
        <w:t xml:space="preserve"> (NDA) in England include HbA1c, cholesterol, blood pressure, retinal screening, and foot checks (Gov.uk, 2025). According to the 2025 NDA update, structured monitoring of nine processes of care leads to significant results in terms of timely detection of complications in patients, as well as provision of timely interventions.</w:t>
      </w:r>
    </w:p>
    <w:p w14:paraId="5C84042A" w14:textId="77777777" w:rsidR="008B5F91" w:rsidRDefault="00000000">
      <w:pPr>
        <w:spacing w:before="200"/>
        <w:jc w:val="center"/>
      </w:pPr>
      <w:r>
        <w:rPr>
          <w:noProof/>
        </w:rPr>
        <w:drawing>
          <wp:inline distT="114300" distB="114300" distL="114300" distR="114300" wp14:anchorId="5D0AC16C" wp14:editId="00AB36C9">
            <wp:extent cx="4624388" cy="3149623"/>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624388" cy="3149623"/>
                    </a:xfrm>
                    <a:prstGeom prst="rect">
                      <a:avLst/>
                    </a:prstGeom>
                    <a:ln w="12700">
                      <a:solidFill>
                        <a:srgbClr val="000000"/>
                      </a:solidFill>
                      <a:prstDash val="solid"/>
                    </a:ln>
                  </pic:spPr>
                </pic:pic>
              </a:graphicData>
            </a:graphic>
          </wp:inline>
        </w:drawing>
      </w:r>
    </w:p>
    <w:p w14:paraId="4FA0B558" w14:textId="77777777" w:rsidR="008B5F91" w:rsidRDefault="00000000">
      <w:pPr>
        <w:spacing w:before="200"/>
        <w:jc w:val="center"/>
        <w:rPr>
          <w:b/>
          <w:bCs/>
        </w:rPr>
      </w:pPr>
      <w:r>
        <w:rPr>
          <w:b/>
          <w:bCs/>
        </w:rPr>
        <w:t>Figure 1: Prevalence rate of diabetes in the UK</w:t>
      </w:r>
    </w:p>
    <w:p w14:paraId="6359D4FF" w14:textId="77777777" w:rsidR="008B5F91" w:rsidRDefault="00000000">
      <w:pPr>
        <w:spacing w:before="200"/>
        <w:jc w:val="center"/>
      </w:pPr>
      <w:r>
        <w:t>(Source: Gov.uk 2025)</w:t>
      </w:r>
    </w:p>
    <w:p w14:paraId="084D2749" w14:textId="77777777" w:rsidR="008B5F91" w:rsidRDefault="00000000">
      <w:pPr>
        <w:spacing w:before="200"/>
      </w:pPr>
      <w:r>
        <w:t>This check-up encompasses the HbA1c (average blood sugar in three months), cholesterol level, kidney functioning tests, and foot examination during the NHS annual diabetes health checks. These are routine checks aimed at preventing the escalation of risks through proactive measures.</w:t>
      </w:r>
    </w:p>
    <w:p w14:paraId="12E8DD89" w14:textId="77777777" w:rsidR="008B5F91" w:rsidRDefault="00000000">
      <w:pPr>
        <w:spacing w:before="200"/>
        <w:rPr>
          <w:b/>
          <w:bCs/>
        </w:rPr>
      </w:pPr>
      <w:r>
        <w:t xml:space="preserve">Patient-led monitoring coupled with NHS routine monitoring of diabetes makes the practice more efficient. As explained by </w:t>
      </w:r>
      <w:proofErr w:type="spellStart"/>
      <w:r>
        <w:t>Kawu</w:t>
      </w:r>
      <w:proofErr w:type="spellEnd"/>
      <w:r>
        <w:t xml:space="preserve"> </w:t>
      </w:r>
      <w:r>
        <w:rPr>
          <w:i/>
          <w:iCs/>
        </w:rPr>
        <w:t>et al.,</w:t>
      </w:r>
      <w:r>
        <w:t xml:space="preserve"> (2022) patients, HCPs and families obtain a real-time understanding of health status, and clinicians can receive aggregated data to determine the success of treatment, as well as the trends within a population. This two-fold strategy in the UK decreases the number of patients admitted to hospitals, enhances their quality of life, and conforms to the priorities of the NHS in preventive care.</w:t>
      </w:r>
      <w:r>
        <w:br w:type="page"/>
      </w:r>
    </w:p>
    <w:p w14:paraId="0A878539" w14:textId="77777777" w:rsidR="008B5F91" w:rsidRDefault="00000000">
      <w:pPr>
        <w:pStyle w:val="Heading1"/>
      </w:pPr>
      <w:bookmarkStart w:id="10" w:name="_49ecust8mp4j" w:colFirst="0" w:colLast="0"/>
      <w:bookmarkEnd w:id="10"/>
      <w:r>
        <w:lastRenderedPageBreak/>
        <w:t>Section 4 - Evidence-based Lifestyle Recommendations</w:t>
      </w:r>
    </w:p>
    <w:p w14:paraId="0C0E94E1" w14:textId="77777777" w:rsidR="008B5F91" w:rsidRDefault="00000000">
      <w:pPr>
        <w:pStyle w:val="Heading2"/>
      </w:pPr>
      <w:bookmarkStart w:id="11" w:name="_nfj6tf5bywb0" w:colFirst="0" w:colLast="0"/>
      <w:bookmarkEnd w:id="11"/>
      <w:r>
        <w:t>4.1 Realistic lifestyle changes</w:t>
      </w:r>
    </w:p>
    <w:p w14:paraId="267245EB" w14:textId="77777777" w:rsidR="008B5F91" w:rsidRDefault="00000000">
      <w:pPr>
        <w:spacing w:before="200"/>
      </w:pPr>
      <w:r>
        <w:t>Sustainable modifications instead of drastic changes are crucial to benefit patients with diabetes. Notably, measurable recommendations are introduced below:</w:t>
      </w:r>
    </w:p>
    <w:p w14:paraId="08F11B78" w14:textId="77777777" w:rsidR="008B5F91" w:rsidRDefault="00000000">
      <w:pPr>
        <w:numPr>
          <w:ilvl w:val="0"/>
          <w:numId w:val="2"/>
        </w:numPr>
        <w:spacing w:before="200"/>
      </w:pPr>
      <w:r>
        <w:rPr>
          <w:b/>
          <w:bCs/>
        </w:rPr>
        <w:t>Eating habits</w:t>
      </w:r>
      <w:r>
        <w:t xml:space="preserve"> - Diabetes patients should consider refined carbohydrates with wholegrains, increased fruit intake, </w:t>
      </w:r>
      <w:proofErr w:type="gramStart"/>
      <w:r>
        <w:t>vegetables</w:t>
      </w:r>
      <w:proofErr w:type="gramEnd"/>
      <w:r>
        <w:t xml:space="preserve"> and fibre (Reynolds </w:t>
      </w:r>
      <w:r>
        <w:rPr>
          <w:i/>
          <w:iCs/>
        </w:rPr>
        <w:t>et al.,</w:t>
      </w:r>
      <w:r>
        <w:t xml:space="preserve"> 2020).</w:t>
      </w:r>
    </w:p>
    <w:p w14:paraId="24B78EEE" w14:textId="77777777" w:rsidR="008B5F91" w:rsidRDefault="00000000">
      <w:pPr>
        <w:numPr>
          <w:ilvl w:val="0"/>
          <w:numId w:val="2"/>
        </w:numPr>
      </w:pPr>
      <w:r>
        <w:rPr>
          <w:b/>
          <w:bCs/>
        </w:rPr>
        <w:t>Physical exercise</w:t>
      </w:r>
      <w:r>
        <w:t xml:space="preserve"> - It is necessary to exercise </w:t>
      </w:r>
      <w:proofErr w:type="spellStart"/>
      <w:r>
        <w:t>atleast</w:t>
      </w:r>
      <w:proofErr w:type="spellEnd"/>
      <w:r>
        <w:t xml:space="preserve"> 90-150 minutes of medium intensity exercise (for example, brisk walking, biking, swimming) or 75 minutes of vigorous exercise.</w:t>
      </w:r>
    </w:p>
    <w:p w14:paraId="30F30D1D" w14:textId="77777777" w:rsidR="008B5F91" w:rsidRDefault="00000000">
      <w:pPr>
        <w:numPr>
          <w:ilvl w:val="0"/>
          <w:numId w:val="2"/>
        </w:numPr>
      </w:pPr>
      <w:r>
        <w:rPr>
          <w:b/>
          <w:bCs/>
        </w:rPr>
        <w:t xml:space="preserve">Weight control </w:t>
      </w:r>
      <w:r>
        <w:t>- Having a healthy BMI by doing portion control and balanced eating is an efficient approach (Rolls, 2024).</w:t>
      </w:r>
    </w:p>
    <w:p w14:paraId="774AE467" w14:textId="77777777" w:rsidR="008B5F91" w:rsidRDefault="00000000">
      <w:pPr>
        <w:numPr>
          <w:ilvl w:val="0"/>
          <w:numId w:val="2"/>
        </w:numPr>
      </w:pPr>
      <w:r>
        <w:rPr>
          <w:b/>
          <w:bCs/>
        </w:rPr>
        <w:t>Smoking cessation</w:t>
      </w:r>
      <w:r>
        <w:t xml:space="preserve"> - This is a strategy aimed at eliminating tobacco intake to minimise vascular damage, besides insulin resistance.</w:t>
      </w:r>
    </w:p>
    <w:p w14:paraId="0F293F94" w14:textId="77777777" w:rsidR="008B5F91" w:rsidRDefault="00000000">
      <w:pPr>
        <w:numPr>
          <w:ilvl w:val="0"/>
          <w:numId w:val="2"/>
        </w:numPr>
      </w:pPr>
      <w:r>
        <w:rPr>
          <w:b/>
          <w:bCs/>
        </w:rPr>
        <w:t>Moderate alcohol consumption</w:t>
      </w:r>
      <w:r>
        <w:t xml:space="preserve"> - A balance in the amount of alcohol consumed, as recommended by the NHS, can minimise destabilisation of blood sugar (NHS, 2024).</w:t>
      </w:r>
    </w:p>
    <w:p w14:paraId="3C78C37E" w14:textId="77777777" w:rsidR="008B5F91" w:rsidRDefault="00000000">
      <w:pPr>
        <w:pStyle w:val="Heading2"/>
      </w:pPr>
      <w:bookmarkStart w:id="12" w:name="_lnryhv1lfin6" w:colFirst="0" w:colLast="0"/>
      <w:bookmarkEnd w:id="12"/>
      <w:r>
        <w:t>4.2 Research-based Evidence</w:t>
      </w:r>
    </w:p>
    <w:p w14:paraId="7FF0917C" w14:textId="77777777" w:rsidR="008B5F91" w:rsidRDefault="00000000">
      <w:pPr>
        <w:spacing w:before="200"/>
      </w:pPr>
      <w:r>
        <w:t xml:space="preserve">The NICE guideline on Type 2 diabetes, </w:t>
      </w:r>
      <w:r>
        <w:rPr>
          <w:b/>
          <w:bCs/>
        </w:rPr>
        <w:t>NG28</w:t>
      </w:r>
      <w:r>
        <w:t xml:space="preserve">, proposes lifestyle interventions, which </w:t>
      </w:r>
      <w:proofErr w:type="gramStart"/>
      <w:r>
        <w:t>are considered to be</w:t>
      </w:r>
      <w:proofErr w:type="gramEnd"/>
      <w:r>
        <w:t xml:space="preserve"> the first line of treatment (NICE, 2022). This usually minimises the necessity of medication. Apart from this, clinical studies like the </w:t>
      </w:r>
      <w:r>
        <w:rPr>
          <w:b/>
          <w:bCs/>
        </w:rPr>
        <w:t>"Diabetes Prevention Program"</w:t>
      </w:r>
      <w:r>
        <w:t xml:space="preserve"> (DPP) and </w:t>
      </w:r>
      <w:r>
        <w:rPr>
          <w:b/>
          <w:bCs/>
        </w:rPr>
        <w:t>"</w:t>
      </w:r>
      <w:proofErr w:type="spellStart"/>
      <w:r>
        <w:rPr>
          <w:b/>
          <w:bCs/>
        </w:rPr>
        <w:t>DiRECT</w:t>
      </w:r>
      <w:proofErr w:type="spellEnd"/>
      <w:r>
        <w:rPr>
          <w:b/>
          <w:bCs/>
        </w:rPr>
        <w:t xml:space="preserve"> trial"</w:t>
      </w:r>
      <w:r>
        <w:t xml:space="preserve"> conducted in the UK showed that a structured diet and exercise regimen could remit some patients (NIH, 2021; </w:t>
      </w:r>
      <w:proofErr w:type="spellStart"/>
      <w:r>
        <w:t>Trenell</w:t>
      </w:r>
      <w:proofErr w:type="spellEnd"/>
      <w:r>
        <w:t xml:space="preserve"> and Welsh, 2020). Besides, it has been further emphasised by NIC that personalised support, such as referring to dietitians and organised education programmes such as </w:t>
      </w:r>
      <w:r>
        <w:rPr>
          <w:b/>
          <w:bCs/>
        </w:rPr>
        <w:t xml:space="preserve">DESMOND </w:t>
      </w:r>
      <w:r>
        <w:t>(Diabetes Education and Self-Management for Ongoing and Newly Diagnosed), is necessary for diabetes patients (Watts 2020).</w:t>
      </w:r>
    </w:p>
    <w:p w14:paraId="4B0A44A6" w14:textId="77777777" w:rsidR="008B5F91" w:rsidRDefault="00000000">
      <w:pPr>
        <w:pStyle w:val="Heading2"/>
      </w:pPr>
      <w:bookmarkStart w:id="13" w:name="_98u4uqlutr27" w:colFirst="0" w:colLast="0"/>
      <w:bookmarkEnd w:id="13"/>
      <w:r>
        <w:t>4.3 Impact of changes on physiological outcomes</w:t>
      </w:r>
    </w:p>
    <w:p w14:paraId="63F85EDB" w14:textId="77777777" w:rsidR="008B5F91" w:rsidRDefault="00000000">
      <w:pPr>
        <w:spacing w:before="200"/>
      </w:pPr>
      <w:r>
        <w:t xml:space="preserve">Lifestyle changes directly affect the insulin sensitivity, the uptake of glucose in the muscle and hepatic glucose production. </w:t>
      </w:r>
    </w:p>
    <w:p w14:paraId="4A5BED7F" w14:textId="77777777" w:rsidR="008B5F91" w:rsidRDefault="00000000">
      <w:pPr>
        <w:numPr>
          <w:ilvl w:val="0"/>
          <w:numId w:val="1"/>
        </w:numPr>
        <w:spacing w:before="200"/>
      </w:pPr>
      <w:r>
        <w:rPr>
          <w:b/>
          <w:bCs/>
        </w:rPr>
        <w:lastRenderedPageBreak/>
        <w:t>Reduction in weight</w:t>
      </w:r>
      <w:r>
        <w:t xml:space="preserve"> reduces the visceral fat, which reduces inflammatory factors and enhances the cardiovascular status. </w:t>
      </w:r>
    </w:p>
    <w:p w14:paraId="43B2F73B" w14:textId="77777777" w:rsidR="008B5F91" w:rsidRDefault="00000000">
      <w:pPr>
        <w:numPr>
          <w:ilvl w:val="0"/>
          <w:numId w:val="1"/>
        </w:numPr>
      </w:pPr>
      <w:r>
        <w:rPr>
          <w:b/>
          <w:bCs/>
        </w:rPr>
        <w:t xml:space="preserve">Exercising regularly </w:t>
      </w:r>
      <w:r>
        <w:t xml:space="preserve">enhances the performance of the mitochondria to aid in appropriate energy metabolism. </w:t>
      </w:r>
    </w:p>
    <w:p w14:paraId="43C360F5" w14:textId="77777777" w:rsidR="008B5F91" w:rsidRDefault="00000000">
      <w:pPr>
        <w:numPr>
          <w:ilvl w:val="0"/>
          <w:numId w:val="1"/>
        </w:numPr>
      </w:pPr>
      <w:r>
        <w:rPr>
          <w:b/>
          <w:bCs/>
        </w:rPr>
        <w:t>Smoking cessation</w:t>
      </w:r>
      <w:r>
        <w:t xml:space="preserve"> decreases oxidative stress and vascular </w:t>
      </w:r>
      <w:proofErr w:type="gramStart"/>
      <w:r>
        <w:t>injury</w:t>
      </w:r>
      <w:proofErr w:type="gramEnd"/>
      <w:r>
        <w:t xml:space="preserve"> </w:t>
      </w:r>
    </w:p>
    <w:p w14:paraId="396B7EA1" w14:textId="77777777" w:rsidR="008B5F91" w:rsidRDefault="00000000">
      <w:pPr>
        <w:numPr>
          <w:ilvl w:val="0"/>
          <w:numId w:val="1"/>
        </w:numPr>
      </w:pPr>
      <w:r>
        <w:t xml:space="preserve">Additionally, </w:t>
      </w:r>
      <w:r>
        <w:rPr>
          <w:b/>
          <w:bCs/>
        </w:rPr>
        <w:t>dietary improvements</w:t>
      </w:r>
      <w:r>
        <w:t xml:space="preserve"> normalise postprandial glucose levels. </w:t>
      </w:r>
    </w:p>
    <w:p w14:paraId="6BE5C858" w14:textId="77777777" w:rsidR="008B5F91" w:rsidRDefault="00000000">
      <w:pPr>
        <w:spacing w:before="200"/>
      </w:pPr>
      <w:r>
        <w:t xml:space="preserve">In essence, these changes together lower HbA1c, decrease blood pressure and cholesterol. Moreover, it reduces the chance of complications regarding neuropathy, </w:t>
      </w:r>
      <w:proofErr w:type="gramStart"/>
      <w:r>
        <w:t>nephropathy</w:t>
      </w:r>
      <w:proofErr w:type="gramEnd"/>
      <w:r>
        <w:t xml:space="preserve"> and cardiovascular disease.</w:t>
      </w:r>
    </w:p>
    <w:p w14:paraId="6943BA59" w14:textId="77777777" w:rsidR="008B5F91" w:rsidRDefault="00000000">
      <w:pPr>
        <w:rPr>
          <w:b/>
          <w:bCs/>
        </w:rPr>
      </w:pPr>
      <w:r>
        <w:br w:type="page"/>
      </w:r>
    </w:p>
    <w:p w14:paraId="6650D533" w14:textId="77777777" w:rsidR="008B5F91" w:rsidRDefault="00000000">
      <w:pPr>
        <w:pStyle w:val="Heading1"/>
      </w:pPr>
      <w:bookmarkStart w:id="14" w:name="_la2e9nrjl6w" w:colFirst="0" w:colLast="0"/>
      <w:bookmarkEnd w:id="14"/>
      <w:r>
        <w:lastRenderedPageBreak/>
        <w:t>Conclusion</w:t>
      </w:r>
    </w:p>
    <w:p w14:paraId="461002CF" w14:textId="77777777" w:rsidR="008B5F91" w:rsidRDefault="00000000">
      <w:pPr>
        <w:spacing w:before="200"/>
      </w:pPr>
      <w:r>
        <w:t xml:space="preserve">Overall, diabetes is a multifaceted metabolic disorder. The report has identified the physiological processes of blood sugar regulation, the functions of insulin and glucagon, as well as the significance of cellular processes to the balancing of energy. The evidence has provided insights into the failure of managing blood glucose levels, which increases complications like cardiovascular disease, </w:t>
      </w:r>
      <w:proofErr w:type="gramStart"/>
      <w:r>
        <w:t>neuropathy</w:t>
      </w:r>
      <w:proofErr w:type="gramEnd"/>
      <w:r>
        <w:t xml:space="preserve"> and kidney damage. Besides, lifestyle factors are key to aggravating or relieving the condition of diet, physical activity, smoking, and alcohol. UK-based sources of evidence, including NHS and NICE guidelines, suggest that to manage the condition of blood glucose and periodic health checks, it is imperative to monitor the </w:t>
      </w:r>
      <w:proofErr w:type="gramStart"/>
      <w:r>
        <w:t>aforementioned parameters</w:t>
      </w:r>
      <w:proofErr w:type="gramEnd"/>
      <w:r>
        <w:t>.</w:t>
      </w:r>
    </w:p>
    <w:p w14:paraId="6F488DA6" w14:textId="77777777" w:rsidR="008B5F91" w:rsidRDefault="00000000">
      <w:pPr>
        <w:spacing w:before="200"/>
      </w:pPr>
      <w:r>
        <w:t xml:space="preserve">Diabetes awareness has been identified as a crucial practice not only to the patient, but also to the health and social care system. According to the evidence gathered, the management of diabetes (both Type 1 and Type II) depend on a combined pathway, which integrates a structure care system, patient empowerment as well as nationalised health strategies. Patient education identifies individuals with the ability to be responsible for their own health, participating in care plans, and making informed lifestyle choices that enhance health-related outcomes. In line with the patient education, patient empowerment also recognises the educational priority for effectively using CGM. This can positively ensure adherence, manage glycaemic </w:t>
      </w:r>
      <w:proofErr w:type="gramStart"/>
      <w:r>
        <w:t>variability</w:t>
      </w:r>
      <w:proofErr w:type="gramEnd"/>
      <w:r>
        <w:t xml:space="preserve"> and lower long-term complications. Nurses and other health professionals are the centre of this intervention as they help to make complex physiological concepts more feasible to understand, guide behavioural changes, and establish long-term engagement. Hence, it can be concluded that appropriate health education and cooperation between patients and professionals are mandatory to help lower complication rates and enhance the quality of life.</w:t>
      </w:r>
    </w:p>
    <w:p w14:paraId="4D6EF9F6" w14:textId="77777777" w:rsidR="008B5F91" w:rsidRDefault="00000000">
      <w:pPr>
        <w:rPr>
          <w:rFonts w:ascii="Times New Roman" w:eastAsia="Times New Roman" w:hAnsi="Times New Roman" w:cs="Times New Roman"/>
          <w:sz w:val="24"/>
          <w:szCs w:val="24"/>
        </w:rPr>
      </w:pPr>
      <w:r>
        <w:br w:type="page"/>
      </w:r>
    </w:p>
    <w:p w14:paraId="3578387F" w14:textId="77777777" w:rsidR="008B5F91" w:rsidRDefault="00000000">
      <w:pPr>
        <w:pStyle w:val="Heading1"/>
      </w:pPr>
      <w:bookmarkStart w:id="15" w:name="_7jdqg7jmt415" w:colFirst="0" w:colLast="0"/>
      <w:bookmarkEnd w:id="15"/>
      <w:r>
        <w:lastRenderedPageBreak/>
        <w:t>Reference list</w:t>
      </w:r>
    </w:p>
    <w:p w14:paraId="601C29B7" w14:textId="77777777" w:rsidR="008B5F91" w:rsidRDefault="00000000">
      <w:pPr>
        <w:spacing w:before="240"/>
      </w:pPr>
      <w:proofErr w:type="spellStart"/>
      <w:r>
        <w:t>Alabduladhem</w:t>
      </w:r>
      <w:proofErr w:type="spellEnd"/>
      <w:r>
        <w:t xml:space="preserve">, T.O. and </w:t>
      </w:r>
      <w:proofErr w:type="spellStart"/>
      <w:r>
        <w:t>Bordoni</w:t>
      </w:r>
      <w:proofErr w:type="spellEnd"/>
      <w:r>
        <w:t xml:space="preserve">, B. (2022) </w:t>
      </w:r>
      <w:r>
        <w:rPr>
          <w:i/>
          <w:iCs/>
        </w:rPr>
        <w:t>Physiology, Krebs Cycle</w:t>
      </w:r>
      <w:r>
        <w:t xml:space="preserve">. [online] PubMed. Available at: </w:t>
      </w:r>
      <w:hyperlink r:id="rId9">
        <w:r>
          <w:rPr>
            <w:color w:val="0000FF"/>
            <w:u w:val="single"/>
          </w:rPr>
          <w:t>https://www.ncbi.nlm.nih.gov/books/NBK556032/</w:t>
        </w:r>
      </w:hyperlink>
      <w:r>
        <w:t xml:space="preserve"> [Accessed 5 February 2026]</w:t>
      </w:r>
    </w:p>
    <w:p w14:paraId="3379398F" w14:textId="77777777" w:rsidR="008B5F91" w:rsidRDefault="00000000">
      <w:pPr>
        <w:spacing w:before="240"/>
      </w:pPr>
      <w:proofErr w:type="spellStart"/>
      <w:r>
        <w:t>Borhade</w:t>
      </w:r>
      <w:proofErr w:type="spellEnd"/>
      <w:r>
        <w:t xml:space="preserve">, M.B. and Singh, S. (2025) </w:t>
      </w:r>
      <w:r>
        <w:rPr>
          <w:i/>
          <w:iCs/>
        </w:rPr>
        <w:t xml:space="preserve">Diabetes Mellitus </w:t>
      </w:r>
      <w:proofErr w:type="gramStart"/>
      <w:r>
        <w:rPr>
          <w:i/>
          <w:iCs/>
        </w:rPr>
        <w:t>And</w:t>
      </w:r>
      <w:proofErr w:type="gramEnd"/>
      <w:r>
        <w:rPr>
          <w:i/>
          <w:iCs/>
        </w:rPr>
        <w:t xml:space="preserve"> Exercise</w:t>
      </w:r>
      <w:r>
        <w:t xml:space="preserve">. [online] PubMed. Available at: </w:t>
      </w:r>
      <w:hyperlink r:id="rId10">
        <w:r>
          <w:rPr>
            <w:color w:val="0000FF"/>
            <w:u w:val="single"/>
          </w:rPr>
          <w:t>https://www.ncbi.nlm.nih.gov/books/NBK526095/</w:t>
        </w:r>
      </w:hyperlink>
      <w:r>
        <w:t xml:space="preserve"> [Accessed 5 February 2026]</w:t>
      </w:r>
    </w:p>
    <w:p w14:paraId="4CA1E1E3" w14:textId="77777777" w:rsidR="008B5F91" w:rsidRDefault="00000000">
      <w:pPr>
        <w:spacing w:before="240"/>
      </w:pPr>
      <w:r>
        <w:t xml:space="preserve">CDC (2024) </w:t>
      </w:r>
      <w:r>
        <w:rPr>
          <w:i/>
          <w:iCs/>
        </w:rPr>
        <w:t>Diabetes Risk Factors</w:t>
      </w:r>
      <w:r>
        <w:t xml:space="preserve">. [online] Diabetes. Available at: </w:t>
      </w:r>
      <w:hyperlink r:id="rId11">
        <w:r>
          <w:rPr>
            <w:color w:val="0000FF"/>
            <w:u w:val="single"/>
          </w:rPr>
          <w:t>https://www.cdc.gov/diabetes/risk-factors/index.html</w:t>
        </w:r>
      </w:hyperlink>
      <w:r>
        <w:t xml:space="preserve"> [Accessed 5 February 2026]</w:t>
      </w:r>
    </w:p>
    <w:p w14:paraId="7963B17B" w14:textId="77777777" w:rsidR="008B5F91" w:rsidRDefault="00000000">
      <w:pPr>
        <w:spacing w:before="240"/>
      </w:pPr>
      <w:r>
        <w:t xml:space="preserve">Chaudhry, R. and </w:t>
      </w:r>
      <w:proofErr w:type="spellStart"/>
      <w:r>
        <w:t>Varacallo</w:t>
      </w:r>
      <w:proofErr w:type="spellEnd"/>
      <w:r>
        <w:t xml:space="preserve">, M. (2023) </w:t>
      </w:r>
      <w:r>
        <w:rPr>
          <w:i/>
          <w:iCs/>
        </w:rPr>
        <w:t>Biochemistry, glycolysis</w:t>
      </w:r>
      <w:r>
        <w:t xml:space="preserve">. [online] National Library of Medicine. Available at: </w:t>
      </w:r>
      <w:hyperlink r:id="rId12">
        <w:r>
          <w:rPr>
            <w:color w:val="0000FF"/>
            <w:u w:val="single"/>
          </w:rPr>
          <w:t>https://www.ncbi.nlm.nih.gov/books/NBK482303/</w:t>
        </w:r>
      </w:hyperlink>
      <w:r>
        <w:t xml:space="preserve"> [Accessed 5 February 2026]</w:t>
      </w:r>
    </w:p>
    <w:p w14:paraId="009CAABB" w14:textId="77777777" w:rsidR="008B5F91" w:rsidRDefault="00000000">
      <w:pPr>
        <w:spacing w:before="240"/>
      </w:pPr>
      <w:r>
        <w:t xml:space="preserve">Cleveland Clinic (2023) </w:t>
      </w:r>
      <w:proofErr w:type="spellStart"/>
      <w:r>
        <w:rPr>
          <w:i/>
          <w:iCs/>
        </w:rPr>
        <w:t>Hyperglycemia</w:t>
      </w:r>
      <w:proofErr w:type="spellEnd"/>
      <w:r>
        <w:rPr>
          <w:i/>
          <w:iCs/>
        </w:rPr>
        <w:t xml:space="preserve"> (High Blood Sugar)</w:t>
      </w:r>
      <w:r>
        <w:t xml:space="preserve">. [online] Cleveland Clinic. Available at: </w:t>
      </w:r>
      <w:hyperlink r:id="rId13">
        <w:r>
          <w:rPr>
            <w:color w:val="0000FF"/>
            <w:u w:val="single"/>
          </w:rPr>
          <w:t>https://my.clevelandclinic.org/health/diseases/9815-hyperglycemia-high-blood-sugar</w:t>
        </w:r>
      </w:hyperlink>
      <w:r>
        <w:t xml:space="preserve"> [Accessed 5 February 2026]</w:t>
      </w:r>
    </w:p>
    <w:p w14:paraId="154E82E8" w14:textId="77777777" w:rsidR="008B5F91" w:rsidRDefault="00000000">
      <w:pPr>
        <w:spacing w:before="240"/>
      </w:pPr>
      <w:proofErr w:type="spellStart"/>
      <w:r>
        <w:t>DeClue</w:t>
      </w:r>
      <w:proofErr w:type="spellEnd"/>
      <w:r>
        <w:t xml:space="preserve">, C., Gonzalez, M., Bradley, A.B., Carranza-Leon, B.G. and Srivastava, G. (2024) ‘The Latest Trends in the Management of Type 1 and Type 2 Diabetes Mellitus.’ </w:t>
      </w:r>
      <w:r>
        <w:rPr>
          <w:i/>
          <w:iCs/>
        </w:rPr>
        <w:t>Endocrines</w:t>
      </w:r>
      <w:r>
        <w:t xml:space="preserve">, 5(4), pp.566–584. Available at: </w:t>
      </w:r>
      <w:hyperlink r:id="rId14">
        <w:r>
          <w:rPr>
            <w:color w:val="0000FF"/>
            <w:u w:val="single"/>
          </w:rPr>
          <w:t>https://doi.org/10.3390/endocrines5040041</w:t>
        </w:r>
      </w:hyperlink>
      <w:r>
        <w:t xml:space="preserve"> </w:t>
      </w:r>
    </w:p>
    <w:p w14:paraId="0000AFE4" w14:textId="77777777" w:rsidR="008B5F91" w:rsidRDefault="00000000">
      <w:pPr>
        <w:spacing w:before="240"/>
      </w:pPr>
      <w:r>
        <w:t xml:space="preserve">EBSCO (2024) </w:t>
      </w:r>
      <w:r>
        <w:rPr>
          <w:i/>
          <w:iCs/>
        </w:rPr>
        <w:t>Cellular respiration | EBSCO</w:t>
      </w:r>
      <w:r>
        <w:t xml:space="preserve">. [online] EBSCO Information Services, Inc. | www.ebsco.com. Available at: </w:t>
      </w:r>
      <w:hyperlink r:id="rId15">
        <w:r>
          <w:rPr>
            <w:color w:val="0000FF"/>
            <w:u w:val="single"/>
          </w:rPr>
          <w:t>https://www.ebsco.com/research-starters/chemistry/cellular-respiration</w:t>
        </w:r>
      </w:hyperlink>
      <w:r>
        <w:t xml:space="preserve"> [Accessed 5 February 2026]</w:t>
      </w:r>
    </w:p>
    <w:p w14:paraId="35685FE2" w14:textId="77777777" w:rsidR="008B5F91" w:rsidRDefault="00000000">
      <w:pPr>
        <w:spacing w:before="240"/>
      </w:pPr>
      <w:r>
        <w:t xml:space="preserve">Freeman, A.M. and </w:t>
      </w:r>
      <w:proofErr w:type="spellStart"/>
      <w:r>
        <w:t>Pennings</w:t>
      </w:r>
      <w:proofErr w:type="spellEnd"/>
      <w:r>
        <w:t xml:space="preserve">, N. (2023) </w:t>
      </w:r>
      <w:r>
        <w:rPr>
          <w:i/>
          <w:iCs/>
        </w:rPr>
        <w:t>Insulin Resistance</w:t>
      </w:r>
      <w:r>
        <w:t xml:space="preserve">. [online] nih.gov. Available at: </w:t>
      </w:r>
      <w:hyperlink r:id="rId16">
        <w:r>
          <w:rPr>
            <w:color w:val="0000FF"/>
            <w:u w:val="single"/>
          </w:rPr>
          <w:t>https://www.ncbi.nlm.nih.gov/books/NBK507839/</w:t>
        </w:r>
      </w:hyperlink>
      <w:r>
        <w:t xml:space="preserve"> [Accessed 5 February 2026]</w:t>
      </w:r>
    </w:p>
    <w:p w14:paraId="00333D15" w14:textId="77777777" w:rsidR="008B5F91" w:rsidRDefault="00000000">
      <w:pPr>
        <w:spacing w:before="240"/>
      </w:pPr>
      <w:r>
        <w:t xml:space="preserve">Gov.uk (2025) </w:t>
      </w:r>
      <w:r>
        <w:rPr>
          <w:i/>
          <w:iCs/>
        </w:rPr>
        <w:t>Diabetes profile: statistical commentary, March 2025</w:t>
      </w:r>
      <w:r>
        <w:t xml:space="preserve">. [online] GOV.UK. Available at: </w:t>
      </w:r>
      <w:hyperlink r:id="rId17">
        <w:r>
          <w:rPr>
            <w:color w:val="0000FF"/>
            <w:u w:val="single"/>
          </w:rPr>
          <w:t>https://www.gov.uk/government/statistics/diabetes-profile-update-march-2025/diabetes-profile-statistical-commentary-march-2025?utm_source=copilot.com</w:t>
        </w:r>
      </w:hyperlink>
      <w:r>
        <w:t xml:space="preserve"> [Accessed 5 February 2026]</w:t>
      </w:r>
    </w:p>
    <w:p w14:paraId="48BAFB5C" w14:textId="77777777" w:rsidR="008B5F91" w:rsidRDefault="00000000">
      <w:pPr>
        <w:spacing w:before="240"/>
      </w:pPr>
      <w:r>
        <w:t xml:space="preserve">Huang, L., He, L., Luo, X. and Zhou, X. (2024) ‘Association of haemoglobin glycation index with all-cause and cardiovascular disease mortality in diabetic kidney disease: a cohort study.’ </w:t>
      </w:r>
      <w:r>
        <w:rPr>
          <w:i/>
          <w:iCs/>
        </w:rPr>
        <w:lastRenderedPageBreak/>
        <w:t>Diabetology &amp; Metabolic Syndrome</w:t>
      </w:r>
      <w:r>
        <w:t xml:space="preserve">, 16(1). Available at: </w:t>
      </w:r>
      <w:hyperlink r:id="rId18">
        <w:r>
          <w:rPr>
            <w:color w:val="0000FF"/>
            <w:u w:val="single"/>
          </w:rPr>
          <w:t>https://doi.org/10.1186/s13098-024-01462-1</w:t>
        </w:r>
      </w:hyperlink>
      <w:r>
        <w:t xml:space="preserve"> </w:t>
      </w:r>
    </w:p>
    <w:p w14:paraId="4849E31F" w14:textId="77777777" w:rsidR="008B5F91" w:rsidRDefault="00000000">
      <w:pPr>
        <w:spacing w:before="240"/>
      </w:pPr>
      <w:r>
        <w:t xml:space="preserve">Kang, H. (2024) ‘Understanding the Contrast: Type 1 Diabetes vs. Type 2 Diabetes.’ </w:t>
      </w:r>
      <w:r>
        <w:rPr>
          <w:i/>
          <w:iCs/>
        </w:rPr>
        <w:t>African Journal of Diabetes Medicine</w:t>
      </w:r>
      <w:r>
        <w:t xml:space="preserve">, [online] 32. Available at: </w:t>
      </w:r>
      <w:hyperlink r:id="rId19">
        <w:r>
          <w:rPr>
            <w:color w:val="0000FF"/>
            <w:u w:val="single"/>
          </w:rPr>
          <w:t>https://doi.org/10.54931/AJDM-32.2.18</w:t>
        </w:r>
      </w:hyperlink>
      <w:r>
        <w:t xml:space="preserve"> </w:t>
      </w:r>
    </w:p>
    <w:p w14:paraId="559AF74C" w14:textId="77777777" w:rsidR="008B5F91" w:rsidRDefault="00000000">
      <w:pPr>
        <w:spacing w:before="240"/>
      </w:pPr>
      <w:proofErr w:type="spellStart"/>
      <w:r>
        <w:t>Kawu</w:t>
      </w:r>
      <w:proofErr w:type="spellEnd"/>
      <w:r>
        <w:t xml:space="preserve">, A.A., </w:t>
      </w:r>
      <w:proofErr w:type="spellStart"/>
      <w:r>
        <w:t>Hederman</w:t>
      </w:r>
      <w:proofErr w:type="spellEnd"/>
      <w:r>
        <w:t xml:space="preserve">, L., O’Sullivan, D. and Doyle, J. (2022) ‘Patient generated health data and electronic health record integration, governance and socio-technical issues: A narrative review.’ </w:t>
      </w:r>
      <w:r>
        <w:rPr>
          <w:i/>
          <w:iCs/>
        </w:rPr>
        <w:t>Informatics in Medicine Unlocked</w:t>
      </w:r>
      <w:r>
        <w:t xml:space="preserve">, [online] 37, p.101153. Available at: </w:t>
      </w:r>
      <w:hyperlink r:id="rId20">
        <w:r>
          <w:rPr>
            <w:color w:val="0000FF"/>
            <w:u w:val="single"/>
          </w:rPr>
          <w:t>https://doi.org/10.1016/j.imu.2022.101153</w:t>
        </w:r>
      </w:hyperlink>
      <w:r>
        <w:t xml:space="preserve"> </w:t>
      </w:r>
    </w:p>
    <w:p w14:paraId="350E130D" w14:textId="77777777" w:rsidR="008B5F91" w:rsidRDefault="00000000">
      <w:pPr>
        <w:spacing w:before="240"/>
      </w:pPr>
      <w:proofErr w:type="spellStart"/>
      <w:r>
        <w:t>Lalpathlabs</w:t>
      </w:r>
      <w:proofErr w:type="spellEnd"/>
      <w:r>
        <w:t xml:space="preserve"> (2024) </w:t>
      </w:r>
      <w:r>
        <w:rPr>
          <w:i/>
          <w:iCs/>
        </w:rPr>
        <w:t xml:space="preserve">Type 2 Diabetes: Symptoms, Causes &amp; Diagnosis | Dr Lal </w:t>
      </w:r>
      <w:proofErr w:type="spellStart"/>
      <w:r>
        <w:rPr>
          <w:i/>
          <w:iCs/>
        </w:rPr>
        <w:t>PathLabs</w:t>
      </w:r>
      <w:proofErr w:type="spellEnd"/>
      <w:r>
        <w:rPr>
          <w:i/>
          <w:iCs/>
        </w:rPr>
        <w:t xml:space="preserve"> Blogs</w:t>
      </w:r>
      <w:r>
        <w:t xml:space="preserve">. [online] Dr Lal </w:t>
      </w:r>
      <w:proofErr w:type="spellStart"/>
      <w:r>
        <w:t>PathLabs</w:t>
      </w:r>
      <w:proofErr w:type="spellEnd"/>
      <w:r>
        <w:t xml:space="preserve">. Available at: </w:t>
      </w:r>
      <w:hyperlink r:id="rId21">
        <w:r>
          <w:rPr>
            <w:color w:val="0000FF"/>
            <w:u w:val="single"/>
          </w:rPr>
          <w:t>https://www.lalpathlabs.com/blog/type-2-diabetes/</w:t>
        </w:r>
      </w:hyperlink>
      <w:r>
        <w:t xml:space="preserve"> [Accessed 5 February 2026]</w:t>
      </w:r>
    </w:p>
    <w:p w14:paraId="77FD9789" w14:textId="77777777" w:rsidR="008B5F91" w:rsidRDefault="00000000">
      <w:pPr>
        <w:spacing w:before="240"/>
      </w:pPr>
      <w:r>
        <w:t xml:space="preserve">Lean, M.E., Leslie, W.S., Barnes, A.C., </w:t>
      </w:r>
      <w:proofErr w:type="spellStart"/>
      <w:r>
        <w:t>Brosnahan</w:t>
      </w:r>
      <w:proofErr w:type="spellEnd"/>
      <w:r>
        <w:t xml:space="preserve">, N., Thom, G., McCombie, L., Peters, C., </w:t>
      </w:r>
      <w:proofErr w:type="spellStart"/>
      <w:r>
        <w:t>Zhyzhneuskaya</w:t>
      </w:r>
      <w:proofErr w:type="spellEnd"/>
      <w:r>
        <w:t>, S., Al-</w:t>
      </w:r>
      <w:proofErr w:type="spellStart"/>
      <w:r>
        <w:t>Mrabeh</w:t>
      </w:r>
      <w:proofErr w:type="spellEnd"/>
      <w:r>
        <w:t xml:space="preserve">, A., Hollingsworth, K.G., Rodrigues, A.M., </w:t>
      </w:r>
      <w:proofErr w:type="spellStart"/>
      <w:r>
        <w:t>Rehackova</w:t>
      </w:r>
      <w:proofErr w:type="spellEnd"/>
      <w:r>
        <w:t xml:space="preserve">, L., Adamson, A.J., </w:t>
      </w:r>
      <w:proofErr w:type="spellStart"/>
      <w:r>
        <w:t>Sniehotta</w:t>
      </w:r>
      <w:proofErr w:type="spellEnd"/>
      <w:r>
        <w:t xml:space="preserve">, F.F., Mathers, J.C., Ross, H.M., McIlvenna, Y., </w:t>
      </w:r>
      <w:proofErr w:type="spellStart"/>
      <w:r>
        <w:t>Stefanetti</w:t>
      </w:r>
      <w:proofErr w:type="spellEnd"/>
      <w:r>
        <w:t xml:space="preserve">, R., </w:t>
      </w:r>
      <w:proofErr w:type="spellStart"/>
      <w:r>
        <w:t>Trenell</w:t>
      </w:r>
      <w:proofErr w:type="spellEnd"/>
      <w:r>
        <w:t>, M. and Welsh, P. (2020) ‘Primary care-led Weight Management for Remission of Type 2 Diabetes (</w:t>
      </w:r>
      <w:proofErr w:type="spellStart"/>
      <w:r>
        <w:t>DiRECT</w:t>
      </w:r>
      <w:proofErr w:type="spellEnd"/>
      <w:r>
        <w:t xml:space="preserve">): an open-label, cluster-randomised Trial.’ </w:t>
      </w:r>
      <w:r>
        <w:rPr>
          <w:i/>
          <w:iCs/>
        </w:rPr>
        <w:t>The Lancet</w:t>
      </w:r>
      <w:r>
        <w:t xml:space="preserve">, 391(10120), pp.541–551. Available at: </w:t>
      </w:r>
      <w:hyperlink r:id="rId22">
        <w:r>
          <w:rPr>
            <w:color w:val="0000FF"/>
            <w:u w:val="single"/>
          </w:rPr>
          <w:t>https://www.thelancet.com/journals/lancet/article/PIIS0140-6736(17)33102-1/abstract</w:t>
        </w:r>
      </w:hyperlink>
      <w:r>
        <w:t xml:space="preserve"> [Accessed 5 February 2026]</w:t>
      </w:r>
    </w:p>
    <w:p w14:paraId="56AB5D5A" w14:textId="77777777" w:rsidR="008B5F91" w:rsidRDefault="00000000">
      <w:pPr>
        <w:spacing w:before="240"/>
      </w:pPr>
      <w:proofErr w:type="spellStart"/>
      <w:r>
        <w:t>Lucier</w:t>
      </w:r>
      <w:proofErr w:type="spellEnd"/>
      <w:r>
        <w:t xml:space="preserve">, J. and Weinstock, R.S. (2024) </w:t>
      </w:r>
      <w:r>
        <w:rPr>
          <w:i/>
          <w:iCs/>
        </w:rPr>
        <w:t>Diabetes Mellitus Type 1</w:t>
      </w:r>
      <w:r>
        <w:t xml:space="preserve">. [online] Nih.gov. Available at: </w:t>
      </w:r>
      <w:hyperlink r:id="rId23">
        <w:r>
          <w:rPr>
            <w:color w:val="0000FF"/>
            <w:u w:val="single"/>
          </w:rPr>
          <w:t>https://www.ncbi.nlm.nih.gov/books/NBK507713/</w:t>
        </w:r>
      </w:hyperlink>
      <w:r>
        <w:t xml:space="preserve"> [Accessed 5 February 2026]</w:t>
      </w:r>
    </w:p>
    <w:p w14:paraId="072925D5" w14:textId="77777777" w:rsidR="008B5F91" w:rsidRDefault="00000000">
      <w:pPr>
        <w:spacing w:before="240"/>
      </w:pPr>
      <w:r>
        <w:t xml:space="preserve">Marsh, K.A., Steinbeck, K.S., Atkinson, F.S., </w:t>
      </w:r>
      <w:proofErr w:type="spellStart"/>
      <w:r>
        <w:t>Petocz</w:t>
      </w:r>
      <w:proofErr w:type="spellEnd"/>
      <w:r>
        <w:t xml:space="preserve">, P. and Brand-Miller, J.C. (2020) ‘Effect of a low </w:t>
      </w:r>
      <w:proofErr w:type="spellStart"/>
      <w:r>
        <w:t>glycemic</w:t>
      </w:r>
      <w:proofErr w:type="spellEnd"/>
      <w:r>
        <w:t xml:space="preserve"> index compared with a conventional healthy diet on polycystic ovary syndrome.’ </w:t>
      </w:r>
      <w:r>
        <w:rPr>
          <w:i/>
          <w:iCs/>
        </w:rPr>
        <w:t>The American Journal of Clinical Nutrition</w:t>
      </w:r>
      <w:r>
        <w:t xml:space="preserve">, [online] 92(1), pp.83–92. Available at: </w:t>
      </w:r>
      <w:hyperlink r:id="rId24">
        <w:r>
          <w:rPr>
            <w:color w:val="0000FF"/>
            <w:u w:val="single"/>
          </w:rPr>
          <w:t>https://doi.org/10.3945/ajcn.2010.29261</w:t>
        </w:r>
      </w:hyperlink>
      <w:r>
        <w:t xml:space="preserve"> </w:t>
      </w:r>
    </w:p>
    <w:p w14:paraId="509D1194" w14:textId="77777777" w:rsidR="008B5F91" w:rsidRDefault="00000000">
      <w:pPr>
        <w:spacing w:before="240"/>
      </w:pPr>
      <w:r>
        <w:t xml:space="preserve">Mayo Clinic (2025) </w:t>
      </w:r>
      <w:r>
        <w:rPr>
          <w:i/>
          <w:iCs/>
        </w:rPr>
        <w:t>Diabetic Ketoacidosis</w:t>
      </w:r>
      <w:r>
        <w:t xml:space="preserve">. [online] Mayo Clinic. Available at: </w:t>
      </w:r>
      <w:hyperlink r:id="rId25">
        <w:r>
          <w:rPr>
            <w:color w:val="0000FF"/>
            <w:u w:val="single"/>
          </w:rPr>
          <w:t>https://www.mayoclinic.org/diseases-conditions/diabetic-ketoacidosis/symptoms-causes/syc-20371551</w:t>
        </w:r>
      </w:hyperlink>
      <w:r>
        <w:t xml:space="preserve"> [Accessed 5 February 2026]</w:t>
      </w:r>
    </w:p>
    <w:p w14:paraId="34B83342" w14:textId="77777777" w:rsidR="008B5F91" w:rsidRDefault="00000000">
      <w:pPr>
        <w:spacing w:before="240"/>
      </w:pPr>
      <w:r>
        <w:lastRenderedPageBreak/>
        <w:t xml:space="preserve">Mohammed, S., Muhammed, H., Shetty, T.V. and </w:t>
      </w:r>
      <w:proofErr w:type="spellStart"/>
      <w:r>
        <w:t>Shadiya</w:t>
      </w:r>
      <w:proofErr w:type="spellEnd"/>
      <w:r>
        <w:t xml:space="preserve"> </w:t>
      </w:r>
      <w:proofErr w:type="spellStart"/>
      <w:r>
        <w:t>Shanavas</w:t>
      </w:r>
      <w:proofErr w:type="spellEnd"/>
      <w:r>
        <w:t xml:space="preserve"> (2025) ‘Micro and Macrovascular Complications in Diabetes Mellitus.’ </w:t>
      </w:r>
      <w:r>
        <w:rPr>
          <w:i/>
          <w:iCs/>
        </w:rPr>
        <w:t>Yangtze Medicine</w:t>
      </w:r>
      <w:r>
        <w:t xml:space="preserve">, 09(01), pp.96–123. Available at: </w:t>
      </w:r>
      <w:hyperlink r:id="rId26">
        <w:r>
          <w:rPr>
            <w:color w:val="0000FF"/>
            <w:u w:val="single"/>
          </w:rPr>
          <w:t>https://doi.org/10.4236/ym.2025.91009</w:t>
        </w:r>
      </w:hyperlink>
      <w:r>
        <w:t xml:space="preserve"> </w:t>
      </w:r>
    </w:p>
    <w:p w14:paraId="19933250" w14:textId="77777777" w:rsidR="008B5F91" w:rsidRDefault="00000000">
      <w:pPr>
        <w:spacing w:before="240"/>
      </w:pPr>
      <w:r>
        <w:t xml:space="preserve">NHS (2024) </w:t>
      </w:r>
      <w:r>
        <w:rPr>
          <w:i/>
          <w:iCs/>
        </w:rPr>
        <w:t>Diabetes and Alcohol - University Hospitals Sussex NHS Foundation Trust</w:t>
      </w:r>
      <w:r>
        <w:t xml:space="preserve">. [online] University Hospitals Sussex NHS Foundation Trust. Available at: </w:t>
      </w:r>
      <w:hyperlink r:id="rId27">
        <w:r>
          <w:rPr>
            <w:color w:val="0000FF"/>
            <w:u w:val="single"/>
          </w:rPr>
          <w:t>https://www.uhsussex.nhs.uk/resources/diabetes-and-alcohol/</w:t>
        </w:r>
      </w:hyperlink>
      <w:r>
        <w:t xml:space="preserve"> [Accessed 5 Feb. 2026]</w:t>
      </w:r>
    </w:p>
    <w:p w14:paraId="3EFDD78B" w14:textId="77777777" w:rsidR="008B5F91" w:rsidRDefault="00000000">
      <w:pPr>
        <w:spacing w:before="240"/>
      </w:pPr>
      <w:r>
        <w:t xml:space="preserve">NHS (2025) </w:t>
      </w:r>
      <w:r>
        <w:rPr>
          <w:i/>
          <w:iCs/>
        </w:rPr>
        <w:t>Guidelines: Self-Monitoring of Blood Glucose and Ketones in Diabetes</w:t>
      </w:r>
      <w:r>
        <w:t xml:space="preserve">. [online] Available at: </w:t>
      </w:r>
      <w:hyperlink r:id="rId28">
        <w:r>
          <w:rPr>
            <w:color w:val="0000FF"/>
            <w:u w:val="single"/>
          </w:rPr>
          <w:t>https://ntag.nhs.uk/wp-content/uploads/2025/12/NENC-Guidelines-Self-Monitoring-of-Blood-Glucose-and-Ketones-in-Diabetes-approved-Dec-2025.pdf?utm_source=copilot.com</w:t>
        </w:r>
      </w:hyperlink>
      <w:r>
        <w:t xml:space="preserve"> [Accessed 5 February 2026]</w:t>
      </w:r>
    </w:p>
    <w:p w14:paraId="2B42B6FB" w14:textId="77777777" w:rsidR="008B5F91" w:rsidRDefault="00000000">
      <w:pPr>
        <w:spacing w:before="240"/>
      </w:pPr>
      <w:r>
        <w:t xml:space="preserve">NICE (2022) </w:t>
      </w:r>
      <w:r>
        <w:rPr>
          <w:i/>
          <w:iCs/>
        </w:rPr>
        <w:t>Type 2 Diabetes in adults: Management</w:t>
      </w:r>
      <w:r>
        <w:t xml:space="preserve">. [online] Nice.org.uk. Available at: </w:t>
      </w:r>
      <w:hyperlink r:id="rId29">
        <w:r>
          <w:rPr>
            <w:color w:val="0000FF"/>
            <w:u w:val="single"/>
          </w:rPr>
          <w:t>https://www.nice.org.uk/guidance/ng28</w:t>
        </w:r>
      </w:hyperlink>
      <w:r>
        <w:t xml:space="preserve"> [Accessed 5 February 2026]</w:t>
      </w:r>
    </w:p>
    <w:p w14:paraId="39727999" w14:textId="77777777" w:rsidR="008B5F91" w:rsidRDefault="00000000">
      <w:pPr>
        <w:spacing w:before="240"/>
      </w:pPr>
      <w:r>
        <w:t xml:space="preserve">NIH (2021) </w:t>
      </w:r>
      <w:r>
        <w:rPr>
          <w:i/>
          <w:iCs/>
        </w:rPr>
        <w:t>Diabetes Prevention Program (DPP)</w:t>
      </w:r>
      <w:r>
        <w:t xml:space="preserve">. [online] National Institute of Diabetes and Digestive and Kidney Diseases. Available at: </w:t>
      </w:r>
      <w:hyperlink r:id="rId30">
        <w:r>
          <w:rPr>
            <w:color w:val="0000FF"/>
            <w:u w:val="single"/>
          </w:rPr>
          <w:t>https://www.niddk.nih.gov/about-niddk/research-areas/diabetes/diabetes-prevention-program-dpp</w:t>
        </w:r>
      </w:hyperlink>
      <w:r>
        <w:t xml:space="preserve"> [Accessed 5 February 2026]</w:t>
      </w:r>
    </w:p>
    <w:p w14:paraId="77AFC82F" w14:textId="77777777" w:rsidR="008B5F91" w:rsidRDefault="00000000">
      <w:pPr>
        <w:spacing w:before="240"/>
      </w:pPr>
      <w:r>
        <w:t xml:space="preserve">Nithya, U., </w:t>
      </w:r>
      <w:proofErr w:type="spellStart"/>
      <w:r>
        <w:t>Theijeswini</w:t>
      </w:r>
      <w:proofErr w:type="spellEnd"/>
      <w:r>
        <w:t>, R.C. and Karthick Raja, R. (2025) ‘Glucose transporters and their energy homeostasis function in various organs.’ </w:t>
      </w:r>
      <w:r>
        <w:rPr>
          <w:i/>
          <w:iCs/>
        </w:rPr>
        <w:t>Vitamins and Hormones</w:t>
      </w:r>
      <w:r>
        <w:t>, </w:t>
      </w:r>
      <w:r>
        <w:rPr>
          <w:i/>
          <w:iCs/>
        </w:rPr>
        <w:t>128</w:t>
      </w:r>
      <w:r>
        <w:t xml:space="preserve">, pp.1-47. Available at: </w:t>
      </w:r>
      <w:hyperlink r:id="rId31">
        <w:r>
          <w:rPr>
            <w:color w:val="0000FF"/>
            <w:u w:val="single"/>
          </w:rPr>
          <w:t>https://doi.org/10.1016/bs.vh.2024.08.001</w:t>
        </w:r>
      </w:hyperlink>
      <w:r>
        <w:t xml:space="preserve"> </w:t>
      </w:r>
    </w:p>
    <w:p w14:paraId="2D9F989A" w14:textId="77777777" w:rsidR="008B5F91" w:rsidRDefault="00000000">
      <w:pPr>
        <w:spacing w:before="240"/>
      </w:pPr>
      <w:r>
        <w:t xml:space="preserve">Norris, N., Kebede, M.A., D. Ross </w:t>
      </w:r>
      <w:proofErr w:type="spellStart"/>
      <w:r>
        <w:t>Laybutt</w:t>
      </w:r>
      <w:proofErr w:type="spellEnd"/>
      <w:r>
        <w:t xml:space="preserve"> and </w:t>
      </w:r>
      <w:proofErr w:type="spellStart"/>
      <w:r>
        <w:t>Gunton</w:t>
      </w:r>
      <w:proofErr w:type="spellEnd"/>
      <w:r>
        <w:t xml:space="preserve">, J.E. (2025) ‘β-Cells: So Sensitive.’ </w:t>
      </w:r>
      <w:r>
        <w:rPr>
          <w:i/>
          <w:iCs/>
        </w:rPr>
        <w:t>Diabetes</w:t>
      </w:r>
      <w:r>
        <w:t xml:space="preserve">, 74(6), pp.863–866. Available at: </w:t>
      </w:r>
      <w:hyperlink r:id="rId32">
        <w:r>
          <w:rPr>
            <w:color w:val="0000FF"/>
            <w:u w:val="single"/>
          </w:rPr>
          <w:t>https://doi.org/10.2337/dbi24-0047</w:t>
        </w:r>
      </w:hyperlink>
      <w:r>
        <w:t xml:space="preserve"> </w:t>
      </w:r>
    </w:p>
    <w:p w14:paraId="5EAE2A94" w14:textId="77777777" w:rsidR="008B5F91" w:rsidRDefault="00000000">
      <w:pPr>
        <w:spacing w:before="240"/>
      </w:pPr>
      <w:r>
        <w:t xml:space="preserve">Oba-Yamamoto, C., Takeuchi, J., Nakamura, A., </w:t>
      </w:r>
      <w:proofErr w:type="spellStart"/>
      <w:r>
        <w:t>Takikawa</w:t>
      </w:r>
      <w:proofErr w:type="spellEnd"/>
      <w:r>
        <w:t xml:space="preserve">, R., Ozaki, A., </w:t>
      </w:r>
      <w:proofErr w:type="spellStart"/>
      <w:r>
        <w:t>Nomoto</w:t>
      </w:r>
      <w:proofErr w:type="spellEnd"/>
      <w:r>
        <w:t xml:space="preserve">, H., Kameda, H., Cho, K.Y., </w:t>
      </w:r>
      <w:proofErr w:type="spellStart"/>
      <w:r>
        <w:t>Atsumi</w:t>
      </w:r>
      <w:proofErr w:type="spellEnd"/>
      <w:r>
        <w:t xml:space="preserve">, T. and Miyoshi, H. (2021) ‘Combination of alcohol and glucose consumption as a risk to induce reactive </w:t>
      </w:r>
      <w:proofErr w:type="spellStart"/>
      <w:r>
        <w:t>hypoglycemia</w:t>
      </w:r>
      <w:proofErr w:type="spellEnd"/>
      <w:r>
        <w:t xml:space="preserve">.’ </w:t>
      </w:r>
      <w:r>
        <w:rPr>
          <w:i/>
          <w:iCs/>
        </w:rPr>
        <w:t>Journal of Diabetes Investigation</w:t>
      </w:r>
      <w:r>
        <w:t xml:space="preserve">, [online] 12(4), pp.651–657. Available at: </w:t>
      </w:r>
      <w:hyperlink r:id="rId33">
        <w:r>
          <w:rPr>
            <w:color w:val="0000FF"/>
            <w:u w:val="single"/>
          </w:rPr>
          <w:t>https://doi.org/10.1111/jdi.13375</w:t>
        </w:r>
      </w:hyperlink>
      <w:r>
        <w:t xml:space="preserve"> </w:t>
      </w:r>
    </w:p>
    <w:p w14:paraId="5AA4596A" w14:textId="77777777" w:rsidR="008B5F91" w:rsidRDefault="00000000">
      <w:pPr>
        <w:spacing w:before="240"/>
      </w:pPr>
      <w:r>
        <w:t xml:space="preserve">Renard, E. (2025) ‘Monitoring </w:t>
      </w:r>
      <w:proofErr w:type="spellStart"/>
      <w:r>
        <w:t>glycemic</w:t>
      </w:r>
      <w:proofErr w:type="spellEnd"/>
      <w:r>
        <w:t xml:space="preserve"> control: the importance of self-monitoring of blood glucose.’ </w:t>
      </w:r>
      <w:r>
        <w:rPr>
          <w:i/>
          <w:iCs/>
        </w:rPr>
        <w:t>The American Journal of Medicine</w:t>
      </w:r>
      <w:r>
        <w:t xml:space="preserve">, 118(9), pp.12–19. Available at: </w:t>
      </w:r>
      <w:hyperlink r:id="rId34">
        <w:r>
          <w:rPr>
            <w:color w:val="0000FF"/>
            <w:u w:val="single"/>
          </w:rPr>
          <w:t>https://doi.org/10.1016/j.amjmed.2005.07.052</w:t>
        </w:r>
      </w:hyperlink>
      <w:r>
        <w:t xml:space="preserve"> </w:t>
      </w:r>
    </w:p>
    <w:p w14:paraId="6E0715B1" w14:textId="77777777" w:rsidR="008B5F91" w:rsidRDefault="00000000">
      <w:pPr>
        <w:spacing w:before="240"/>
      </w:pPr>
      <w:r>
        <w:lastRenderedPageBreak/>
        <w:t xml:space="preserve">Reynolds, A.N., Akerman, A.P. and Mann, J. (2020) ‘Dietary fibre and whole grains in diabetes management: Systematic review and meta-analyses.’ </w:t>
      </w:r>
      <w:r>
        <w:rPr>
          <w:i/>
          <w:iCs/>
        </w:rPr>
        <w:t>PLOS Medicine</w:t>
      </w:r>
      <w:r>
        <w:t xml:space="preserve">, 17(3), p.e1003053. Available at: </w:t>
      </w:r>
      <w:hyperlink r:id="rId35">
        <w:r>
          <w:rPr>
            <w:color w:val="0000FF"/>
            <w:u w:val="single"/>
          </w:rPr>
          <w:t>https://doi.org/10.1371/journal.pmed.1003053</w:t>
        </w:r>
      </w:hyperlink>
      <w:r>
        <w:t xml:space="preserve"> </w:t>
      </w:r>
    </w:p>
    <w:p w14:paraId="20D80D81" w14:textId="77777777" w:rsidR="008B5F91" w:rsidRDefault="00000000">
      <w:pPr>
        <w:spacing w:before="240"/>
      </w:pPr>
      <w:r>
        <w:t xml:space="preserve">Rolls, B.J. (2024) ‘What is the role of portion control in weight management?’ </w:t>
      </w:r>
      <w:r>
        <w:rPr>
          <w:i/>
          <w:iCs/>
        </w:rPr>
        <w:t>International Journal of Obesity</w:t>
      </w:r>
      <w:r>
        <w:t xml:space="preserve">, [online] 38(S1), </w:t>
      </w:r>
      <w:proofErr w:type="gramStart"/>
      <w:r>
        <w:t>pp.S</w:t>
      </w:r>
      <w:proofErr w:type="gramEnd"/>
      <w:r>
        <w:t xml:space="preserve">1–S8. Available at: </w:t>
      </w:r>
      <w:hyperlink r:id="rId36">
        <w:r>
          <w:rPr>
            <w:color w:val="0000FF"/>
            <w:u w:val="single"/>
          </w:rPr>
          <w:t>https://doi.org/10.1038/ijo.2014.82</w:t>
        </w:r>
      </w:hyperlink>
      <w:r>
        <w:t xml:space="preserve"> </w:t>
      </w:r>
    </w:p>
    <w:p w14:paraId="1B8ADE6A" w14:textId="77777777" w:rsidR="008B5F91" w:rsidRDefault="00000000">
      <w:pPr>
        <w:spacing w:before="240"/>
      </w:pPr>
      <w:proofErr w:type="spellStart"/>
      <w:r>
        <w:t>Rorsman</w:t>
      </w:r>
      <w:proofErr w:type="spellEnd"/>
      <w:r>
        <w:t xml:space="preserve">, P. and Ashcroft, F.M. (2020) ‘Pancreatic β-Cell Electrical Activity and Insulin Secretion: Of Mice and Men.’ </w:t>
      </w:r>
      <w:r>
        <w:rPr>
          <w:i/>
          <w:iCs/>
        </w:rPr>
        <w:t>Physiological Reviews</w:t>
      </w:r>
      <w:r>
        <w:t xml:space="preserve">, [online] 98(1), pp.117–214. Available at: </w:t>
      </w:r>
      <w:hyperlink r:id="rId37">
        <w:r>
          <w:rPr>
            <w:color w:val="0000FF"/>
            <w:u w:val="single"/>
          </w:rPr>
          <w:t>https://doi.org/10.1152/physrev.00008.2017</w:t>
        </w:r>
      </w:hyperlink>
      <w:r>
        <w:t xml:space="preserve"> </w:t>
      </w:r>
    </w:p>
    <w:p w14:paraId="39834619" w14:textId="77777777" w:rsidR="008B5F91" w:rsidRDefault="00000000">
      <w:pPr>
        <w:spacing w:before="240"/>
      </w:pPr>
      <w:r>
        <w:t xml:space="preserve">Tan, Y.Y., </w:t>
      </w:r>
      <w:proofErr w:type="spellStart"/>
      <w:r>
        <w:t>Suan</w:t>
      </w:r>
      <w:proofErr w:type="spellEnd"/>
      <w:r>
        <w:t xml:space="preserve">, E., Koh, G.C.H., </w:t>
      </w:r>
      <w:proofErr w:type="spellStart"/>
      <w:r>
        <w:t>Suhairi</w:t>
      </w:r>
      <w:proofErr w:type="spellEnd"/>
      <w:r>
        <w:t xml:space="preserve">, S.B. and Tyagi, S. (2024) ‘Effectiveness of continuous glucose monitoring in patient management of Type 2 Diabetes Mellitus: an umbrella review of systematic reviews from 2011 to 2024.’ </w:t>
      </w:r>
      <w:r>
        <w:rPr>
          <w:i/>
          <w:iCs/>
        </w:rPr>
        <w:t>Archives of Public Health</w:t>
      </w:r>
      <w:r>
        <w:t xml:space="preserve">, 82(1). Available at: </w:t>
      </w:r>
      <w:hyperlink r:id="rId38">
        <w:r>
          <w:rPr>
            <w:color w:val="0000FF"/>
            <w:u w:val="single"/>
          </w:rPr>
          <w:t>https://doi.org/10.1186/s13690-024-01459-2</w:t>
        </w:r>
      </w:hyperlink>
      <w:r>
        <w:t xml:space="preserve"> </w:t>
      </w:r>
    </w:p>
    <w:p w14:paraId="7C2512C2" w14:textId="77777777" w:rsidR="008B5F91" w:rsidRDefault="00000000">
      <w:pPr>
        <w:spacing w:before="240"/>
      </w:pPr>
      <w:proofErr w:type="spellStart"/>
      <w:r>
        <w:t>Tegegne</w:t>
      </w:r>
      <w:proofErr w:type="spellEnd"/>
      <w:r>
        <w:t xml:space="preserve">, B.A., </w:t>
      </w:r>
      <w:proofErr w:type="spellStart"/>
      <w:r>
        <w:t>Adugna</w:t>
      </w:r>
      <w:proofErr w:type="spellEnd"/>
      <w:r>
        <w:t xml:space="preserve">, A., </w:t>
      </w:r>
      <w:proofErr w:type="spellStart"/>
      <w:r>
        <w:t>Yenet</w:t>
      </w:r>
      <w:proofErr w:type="spellEnd"/>
      <w:r>
        <w:t xml:space="preserve">, A., </w:t>
      </w:r>
      <w:proofErr w:type="spellStart"/>
      <w:r>
        <w:t>Yihunie</w:t>
      </w:r>
      <w:proofErr w:type="spellEnd"/>
      <w:r>
        <w:t xml:space="preserve"> Belay, W., </w:t>
      </w:r>
      <w:proofErr w:type="spellStart"/>
      <w:r>
        <w:t>Yibeltal</w:t>
      </w:r>
      <w:proofErr w:type="spellEnd"/>
      <w:r>
        <w:t xml:space="preserve">, Y., </w:t>
      </w:r>
      <w:proofErr w:type="spellStart"/>
      <w:r>
        <w:t>Dagne</w:t>
      </w:r>
      <w:proofErr w:type="spellEnd"/>
      <w:r>
        <w:t xml:space="preserve">, A., </w:t>
      </w:r>
      <w:proofErr w:type="spellStart"/>
      <w:r>
        <w:t>Hibstu</w:t>
      </w:r>
      <w:proofErr w:type="spellEnd"/>
      <w:r>
        <w:t xml:space="preserve"> </w:t>
      </w:r>
      <w:proofErr w:type="spellStart"/>
      <w:r>
        <w:t>Teffera</w:t>
      </w:r>
      <w:proofErr w:type="spellEnd"/>
      <w:r>
        <w:t xml:space="preserve">, Z., Amare, G.A., </w:t>
      </w:r>
      <w:proofErr w:type="spellStart"/>
      <w:r>
        <w:t>Abebaw</w:t>
      </w:r>
      <w:proofErr w:type="spellEnd"/>
      <w:r>
        <w:t xml:space="preserve">, D., </w:t>
      </w:r>
      <w:proofErr w:type="spellStart"/>
      <w:r>
        <w:t>Tewabe</w:t>
      </w:r>
      <w:proofErr w:type="spellEnd"/>
      <w:r>
        <w:t xml:space="preserve">, H., Abebe, R.B. and </w:t>
      </w:r>
      <w:proofErr w:type="spellStart"/>
      <w:r>
        <w:t>Zeleke</w:t>
      </w:r>
      <w:proofErr w:type="spellEnd"/>
      <w:r>
        <w:t xml:space="preserve">, T.K. (2024) ‘A critical review on diabetes mellitus type 1 and type 2 management approaches: from lifestyle modification to current and novel targets and therapeutic agents.’ </w:t>
      </w:r>
      <w:r>
        <w:rPr>
          <w:i/>
          <w:iCs/>
        </w:rPr>
        <w:t>Frontiers in Endocrinology</w:t>
      </w:r>
      <w:r>
        <w:t xml:space="preserve">, 15. Available at: </w:t>
      </w:r>
      <w:hyperlink r:id="rId39">
        <w:r>
          <w:rPr>
            <w:color w:val="0000FF"/>
            <w:u w:val="single"/>
          </w:rPr>
          <w:t>https://doi.org/10.3389/fendo.2024.1440456</w:t>
        </w:r>
      </w:hyperlink>
      <w:r>
        <w:t xml:space="preserve"> </w:t>
      </w:r>
    </w:p>
    <w:p w14:paraId="354D88F9" w14:textId="77777777" w:rsidR="008B5F91" w:rsidRDefault="00000000">
      <w:pPr>
        <w:spacing w:before="240"/>
      </w:pPr>
      <w:proofErr w:type="spellStart"/>
      <w:r>
        <w:t>Vedantam</w:t>
      </w:r>
      <w:proofErr w:type="spellEnd"/>
      <w:r>
        <w:t xml:space="preserve">, D., </w:t>
      </w:r>
      <w:proofErr w:type="spellStart"/>
      <w:r>
        <w:t>Poman</w:t>
      </w:r>
      <w:proofErr w:type="spellEnd"/>
      <w:r>
        <w:t xml:space="preserve">, D.S., Motwani, L., Asif, N., Patel, A. and Anne, K.K. (2022) ‘Stress-Induced </w:t>
      </w:r>
      <w:proofErr w:type="spellStart"/>
      <w:r>
        <w:t>hyperglycemia</w:t>
      </w:r>
      <w:proofErr w:type="spellEnd"/>
      <w:r>
        <w:t xml:space="preserve">: Consequences and management.’ </w:t>
      </w:r>
      <w:proofErr w:type="spellStart"/>
      <w:r>
        <w:rPr>
          <w:i/>
          <w:iCs/>
        </w:rPr>
        <w:t>Cureus</w:t>
      </w:r>
      <w:proofErr w:type="spellEnd"/>
      <w:r>
        <w:t xml:space="preserve">, [online] 14(7). Available at: </w:t>
      </w:r>
      <w:hyperlink r:id="rId40">
        <w:r>
          <w:rPr>
            <w:color w:val="0000FF"/>
            <w:u w:val="single"/>
          </w:rPr>
          <w:t>https://doi.org/10.7759/cureus.26714</w:t>
        </w:r>
      </w:hyperlink>
      <w:r>
        <w:t xml:space="preserve"> </w:t>
      </w:r>
    </w:p>
    <w:p w14:paraId="7A8C92E4" w14:textId="77777777" w:rsidR="008B5F91" w:rsidRDefault="00000000">
      <w:pPr>
        <w:spacing w:before="240"/>
        <w:rPr>
          <w:rFonts w:ascii="Times New Roman" w:eastAsia="Times New Roman" w:hAnsi="Times New Roman" w:cs="Times New Roman"/>
          <w:sz w:val="24"/>
          <w:szCs w:val="24"/>
        </w:rPr>
      </w:pPr>
      <w:r>
        <w:t xml:space="preserve">Watts M. (2020) </w:t>
      </w:r>
      <w:r>
        <w:rPr>
          <w:i/>
          <w:iCs/>
        </w:rPr>
        <w:t xml:space="preserve">DESMOND - Diabetes Education and </w:t>
      </w:r>
      <w:proofErr w:type="spellStart"/>
      <w:r>
        <w:rPr>
          <w:i/>
          <w:iCs/>
        </w:rPr>
        <w:t>Self Management</w:t>
      </w:r>
      <w:proofErr w:type="spellEnd"/>
      <w:r>
        <w:rPr>
          <w:i/>
          <w:iCs/>
        </w:rPr>
        <w:t xml:space="preserve"> for Ongoing and Newly Diagnosed</w:t>
      </w:r>
      <w:r>
        <w:t xml:space="preserve">. [online] Diabetes.co.uk. Available at: </w:t>
      </w:r>
      <w:hyperlink r:id="rId41">
        <w:r>
          <w:rPr>
            <w:color w:val="0000FF"/>
            <w:u w:val="single"/>
          </w:rPr>
          <w:t>https://www.diabetes.co.uk/education/desmond.html</w:t>
        </w:r>
      </w:hyperlink>
      <w:r>
        <w:t xml:space="preserve"> [Accessed 5 February 2026]</w:t>
      </w:r>
    </w:p>
    <w:p w14:paraId="7DEC3E3E" w14:textId="77777777" w:rsidR="008B5F91" w:rsidRDefault="008B5F91">
      <w:pPr>
        <w:rPr>
          <w:rFonts w:ascii="Times New Roman" w:eastAsia="Times New Roman" w:hAnsi="Times New Roman" w:cs="Times New Roman"/>
          <w:b/>
          <w:bCs/>
          <w:sz w:val="24"/>
          <w:szCs w:val="24"/>
        </w:rPr>
      </w:pPr>
    </w:p>
    <w:sectPr w:rsidR="008B5F91">
      <w:footerReference w:type="default" r:id="rId4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DF13E" w14:textId="77777777" w:rsidR="00134306" w:rsidRDefault="00134306">
      <w:pPr>
        <w:spacing w:line="240" w:lineRule="auto"/>
      </w:pPr>
      <w:r>
        <w:separator/>
      </w:r>
    </w:p>
  </w:endnote>
  <w:endnote w:type="continuationSeparator" w:id="0">
    <w:p w14:paraId="4ACD63BA" w14:textId="77777777" w:rsidR="00134306" w:rsidRDefault="001343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embedRegular r:id="rId1" w:fontKey="{E8D7D0AE-E5AF-AF41-BCE5-B4358C0526F1}"/>
    <w:embedBold r:id="rId2" w:fontKey="{D483ECAA-D9FF-EC49-9A2C-7517A25B7A66}"/>
  </w:font>
  <w:font w:name="Arial">
    <w:panose1 w:val="020B0604020202020204"/>
    <w:charset w:val="00"/>
    <w:family w:val="swiss"/>
    <w:pitch w:val="variable"/>
    <w:sig w:usb0="E0002AFF" w:usb1="C0007843" w:usb2="00000009" w:usb3="00000000" w:csb0="000001FF" w:csb1="00000000"/>
    <w:embedRegular r:id="rId3" w:fontKey="{BE16919A-72CA-6040-85A4-249613D37C93}"/>
    <w:embedBold r:id="rId4" w:fontKey="{287B5F11-ECE3-1D41-B1AE-2D4E1079F1C1}"/>
    <w:embedItalic r:id="rId5" w:fontKey="{BFC76385-F813-8C4C-A9D3-DFC3FD034EA9}"/>
  </w:font>
  <w:font w:name="Calibri">
    <w:panose1 w:val="020F0502020204030204"/>
    <w:charset w:val="00"/>
    <w:family w:val="swiss"/>
    <w:pitch w:val="variable"/>
    <w:sig w:usb0="E0002AFF" w:usb1="C000ACFF" w:usb2="00000009" w:usb3="00000000" w:csb0="000001FF" w:csb1="00000000"/>
    <w:embedRegular r:id="rId6" w:fontKey="{144CC426-2B18-E340-9B97-8BC28C3503C9}"/>
  </w:font>
  <w:font w:name="Cambria">
    <w:panose1 w:val="02040503050406030204"/>
    <w:charset w:val="00"/>
    <w:family w:val="roman"/>
    <w:notTrueType/>
    <w:pitch w:val="default"/>
    <w:embedRegular r:id="rId7" w:fontKey="{61B35243-817F-FB4F-8F9C-6763A394ED4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AD33C" w14:textId="77777777" w:rsidR="008B5F91"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sidR="00A36081">
      <w:rPr>
        <w:noProof/>
        <w:color w:val="000000"/>
      </w:rPr>
      <w:t>2</w:t>
    </w:r>
    <w:r>
      <w:rPr>
        <w:color w:val="000000"/>
      </w:rPr>
      <w:fldChar w:fldCharType="end"/>
    </w:r>
    <w:r>
      <w:rPr>
        <w:color w:val="000000"/>
      </w:rPr>
      <w:t xml:space="preserve"> </w:t>
    </w:r>
  </w:p>
  <w:p w14:paraId="196679EB" w14:textId="77777777" w:rsidR="008B5F91" w:rsidRDefault="008B5F91">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019D2" w14:textId="77777777" w:rsidR="00134306" w:rsidRDefault="00134306">
      <w:pPr>
        <w:spacing w:line="240" w:lineRule="auto"/>
      </w:pPr>
      <w:r>
        <w:separator/>
      </w:r>
    </w:p>
  </w:footnote>
  <w:footnote w:type="continuationSeparator" w:id="0">
    <w:p w14:paraId="1F92B170" w14:textId="77777777" w:rsidR="00134306" w:rsidRDefault="0013430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4B1392"/>
    <w:multiLevelType w:val="multilevel"/>
    <w:tmpl w:val="E3F834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A75475F"/>
    <w:multiLevelType w:val="multilevel"/>
    <w:tmpl w:val="73A889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CF938C8"/>
    <w:multiLevelType w:val="multilevel"/>
    <w:tmpl w:val="FB325A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59321629">
    <w:abstractNumId w:val="2"/>
  </w:num>
  <w:num w:numId="2" w16cid:durableId="2046101886">
    <w:abstractNumId w:val="0"/>
  </w:num>
  <w:num w:numId="3" w16cid:durableId="17911265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F91"/>
    <w:rsid w:val="00134306"/>
    <w:rsid w:val="006826CF"/>
    <w:rsid w:val="008B5F91"/>
    <w:rsid w:val="00A360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404699"/>
  <w15:docId w15:val="{26C7243F-3D32-364D-A995-06BA26A92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bCs/>
      <w:sz w:val="28"/>
      <w:szCs w:val="28"/>
    </w:rPr>
  </w:style>
  <w:style w:type="paragraph" w:styleId="Heading2">
    <w:name w:val="heading 2"/>
    <w:basedOn w:val="Normal"/>
    <w:next w:val="Normal"/>
    <w:uiPriority w:val="9"/>
    <w:unhideWhenUsed/>
    <w:qFormat/>
    <w:pPr>
      <w:keepNext/>
      <w:keepLines/>
      <w:spacing w:before="360" w:after="120"/>
      <w:outlineLvl w:val="1"/>
    </w:pPr>
    <w:rPr>
      <w:b/>
      <w:b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my.clevelandclinic.org/health/diseases/9815-hyperglycemia-high-blood-sugar" TargetMode="External"/><Relationship Id="rId18" Type="http://schemas.openxmlformats.org/officeDocument/2006/relationships/hyperlink" Target="https://doi.org/10.1186/s13098-024-01462-1" TargetMode="External"/><Relationship Id="rId26" Type="http://schemas.openxmlformats.org/officeDocument/2006/relationships/hyperlink" Target="https://doi.org/10.4236/ym.2025.91009" TargetMode="External"/><Relationship Id="rId39" Type="http://schemas.openxmlformats.org/officeDocument/2006/relationships/hyperlink" Target="https://doi.org/10.3389/fendo.2024.1440456" TargetMode="External"/><Relationship Id="rId21" Type="http://schemas.openxmlformats.org/officeDocument/2006/relationships/hyperlink" Target="https://www.lalpathlabs.com/blog/type-2-diabetes/" TargetMode="External"/><Relationship Id="rId34" Type="http://schemas.openxmlformats.org/officeDocument/2006/relationships/hyperlink" Target="https://doi.org/10.1016/j.amjmed.2005.07.052" TargetMode="External"/><Relationship Id="rId42"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ncbi.nlm.nih.gov/books/NBK507839/" TargetMode="External"/><Relationship Id="rId20" Type="http://schemas.openxmlformats.org/officeDocument/2006/relationships/hyperlink" Target="https://doi.org/10.1016/j.imu.2022.101153" TargetMode="External"/><Relationship Id="rId29" Type="http://schemas.openxmlformats.org/officeDocument/2006/relationships/hyperlink" Target="https://www.nice.org.uk/guidance/ng28" TargetMode="External"/><Relationship Id="rId41" Type="http://schemas.openxmlformats.org/officeDocument/2006/relationships/hyperlink" Target="https://www.diabetes.co.uk/education/desmond.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dc.gov/diabetes/risk-factors/index.html" TargetMode="External"/><Relationship Id="rId24" Type="http://schemas.openxmlformats.org/officeDocument/2006/relationships/hyperlink" Target="https://doi.org/10.3945/ajcn.2010.29261" TargetMode="External"/><Relationship Id="rId32" Type="http://schemas.openxmlformats.org/officeDocument/2006/relationships/hyperlink" Target="https://doi.org/10.2337/dbi24-0047" TargetMode="External"/><Relationship Id="rId37" Type="http://schemas.openxmlformats.org/officeDocument/2006/relationships/hyperlink" Target="https://doi.org/10.1152/physrev.00008.2017" TargetMode="External"/><Relationship Id="rId40" Type="http://schemas.openxmlformats.org/officeDocument/2006/relationships/hyperlink" Target="https://doi.org/10.7759/cureus.26714" TargetMode="External"/><Relationship Id="rId5" Type="http://schemas.openxmlformats.org/officeDocument/2006/relationships/footnotes" Target="footnotes.xml"/><Relationship Id="rId15" Type="http://schemas.openxmlformats.org/officeDocument/2006/relationships/hyperlink" Target="https://www.ebsco.com/research-starters/chemistry/cellular-respiration" TargetMode="External"/><Relationship Id="rId23" Type="http://schemas.openxmlformats.org/officeDocument/2006/relationships/hyperlink" Target="https://www.ncbi.nlm.nih.gov/books/NBK507713/" TargetMode="External"/><Relationship Id="rId28" Type="http://schemas.openxmlformats.org/officeDocument/2006/relationships/hyperlink" Target="https://ntag.nhs.uk/wp-content/uploads/2025/12/NENC-Guidelines-Self-Monitoring-of-Blood-Glucose-and-Ketones-in-Diabetes-approved-Dec-2025.pdf?utm_source=copilot.com" TargetMode="External"/><Relationship Id="rId36" Type="http://schemas.openxmlformats.org/officeDocument/2006/relationships/hyperlink" Target="https://doi.org/10.1038/ijo.2014.82" TargetMode="External"/><Relationship Id="rId10" Type="http://schemas.openxmlformats.org/officeDocument/2006/relationships/hyperlink" Target="https://www.ncbi.nlm.nih.gov/books/NBK526095/" TargetMode="External"/><Relationship Id="rId19" Type="http://schemas.openxmlformats.org/officeDocument/2006/relationships/hyperlink" Target="https://doi.org/10.54931/AJDM-32.2.18" TargetMode="External"/><Relationship Id="rId31" Type="http://schemas.openxmlformats.org/officeDocument/2006/relationships/hyperlink" Target="https://doi.org/10.1016/bs.vh.2024.08.001"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ncbi.nlm.nih.gov/books/NBK556032/" TargetMode="External"/><Relationship Id="rId14" Type="http://schemas.openxmlformats.org/officeDocument/2006/relationships/hyperlink" Target="https://doi.org/10.3390/endocrines5040041" TargetMode="External"/><Relationship Id="rId22" Type="http://schemas.openxmlformats.org/officeDocument/2006/relationships/hyperlink" Target="https://www.thelancet.com/journals/lancet/article/PIIS0140-6736(17)33102-1/abstract" TargetMode="External"/><Relationship Id="rId27" Type="http://schemas.openxmlformats.org/officeDocument/2006/relationships/hyperlink" Target="https://www.uhsussex.nhs.uk/resources/diabetes-and-alcohol/" TargetMode="External"/><Relationship Id="rId30" Type="http://schemas.openxmlformats.org/officeDocument/2006/relationships/hyperlink" Target="https://www.niddk.nih.gov/about-niddk/research-areas/diabetes/diabetes-prevention-program-dpp" TargetMode="External"/><Relationship Id="rId35" Type="http://schemas.openxmlformats.org/officeDocument/2006/relationships/hyperlink" Target="https://doi.org/10.1371/journal.pmed.1003053" TargetMode="External"/><Relationship Id="rId43"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ncbi.nlm.nih.gov/books/NBK482303/" TargetMode="External"/><Relationship Id="rId17" Type="http://schemas.openxmlformats.org/officeDocument/2006/relationships/hyperlink" Target="https://www.gov.uk/government/statistics/diabetes-profile-update-march-2025/diabetes-profile-statistical-commentary-march-2025?utm_source=copilot.com" TargetMode="External"/><Relationship Id="rId25" Type="http://schemas.openxmlformats.org/officeDocument/2006/relationships/hyperlink" Target="https://www.mayoclinic.org/diseases-conditions/diabetic-ketoacidosis/symptoms-causes/syc-20371551" TargetMode="External"/><Relationship Id="rId33" Type="http://schemas.openxmlformats.org/officeDocument/2006/relationships/hyperlink" Target="https://doi.org/10.1111/jdi.13375" TargetMode="External"/><Relationship Id="rId38" Type="http://schemas.openxmlformats.org/officeDocument/2006/relationships/hyperlink" Target="https://doi.org/10.1186/s13690-024-01459-2"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4450</Words>
  <Characters>25366</Characters>
  <Application>Microsoft Office Word</Application>
  <DocSecurity>0</DocSecurity>
  <Lines>211</Lines>
  <Paragraphs>59</Paragraphs>
  <ScaleCrop>false</ScaleCrop>
  <Company/>
  <LinksUpToDate>false</LinksUpToDate>
  <CharactersWithSpaces>29757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Destiny Bishweka</cp:lastModifiedBy>
  <cp:revision>2</cp:revision>
  <dcterms:created xsi:type="dcterms:W3CDTF">2026-02-22T19:16:00Z</dcterms:created>
  <dcterms:modified xsi:type="dcterms:W3CDTF">2026-02-22T19:16:00Z</dcterms:modified>
</cp:coreProperties>
</file>