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color w:val="auto"/>
          <w:spacing w:val="-10"/>
          <w:position w:val="0"/>
          <w:sz w:val="48"/>
          <w:shd w:fill="auto" w:val="clear"/>
        </w:rPr>
      </w:pPr>
    </w:p>
    <w:p>
      <w:pPr>
        <w:spacing w:before="0" w:after="0" w:line="480"/>
        <w:ind w:right="0" w:left="0" w:firstLine="0"/>
        <w:jc w:val="center"/>
        <w:rPr>
          <w:rFonts w:ascii="Times New Roman" w:hAnsi="Times New Roman" w:cs="Times New Roman" w:eastAsia="Times New Roman"/>
          <w:color w:val="auto"/>
          <w:spacing w:val="-10"/>
          <w:position w:val="0"/>
          <w:sz w:val="48"/>
          <w:shd w:fill="auto" w:val="clear"/>
        </w:rPr>
      </w:pPr>
    </w:p>
    <w:p>
      <w:pPr>
        <w:spacing w:before="0" w:after="0" w:line="480"/>
        <w:ind w:right="0" w:left="0" w:firstLine="0"/>
        <w:jc w:val="center"/>
        <w:rPr>
          <w:rFonts w:ascii="Times New Roman" w:hAnsi="Times New Roman" w:cs="Times New Roman" w:eastAsia="Times New Roman"/>
          <w:color w:val="auto"/>
          <w:spacing w:val="-10"/>
          <w:position w:val="0"/>
          <w:sz w:val="48"/>
          <w:shd w:fill="auto" w:val="clear"/>
        </w:rPr>
      </w:pPr>
    </w:p>
    <w:p>
      <w:pPr>
        <w:spacing w:before="0" w:after="0" w:line="480"/>
        <w:ind w:right="0" w:left="0" w:firstLine="0"/>
        <w:jc w:val="center"/>
        <w:rPr>
          <w:rFonts w:ascii="Times New Roman" w:hAnsi="Times New Roman" w:cs="Times New Roman" w:eastAsia="Times New Roman"/>
          <w:color w:val="auto"/>
          <w:spacing w:val="-10"/>
          <w:position w:val="0"/>
          <w:sz w:val="48"/>
          <w:shd w:fill="auto" w:val="clear"/>
        </w:rPr>
      </w:pPr>
    </w:p>
    <w:p>
      <w:pPr>
        <w:spacing w:before="0" w:after="0" w:line="480"/>
        <w:ind w:right="0" w:left="0" w:firstLine="0"/>
        <w:jc w:val="center"/>
        <w:rPr>
          <w:rFonts w:ascii="Arial" w:hAnsi="Arial" w:cs="Arial" w:eastAsia="Arial"/>
          <w:color w:val="auto"/>
          <w:spacing w:val="-10"/>
          <w:position w:val="0"/>
          <w:sz w:val="48"/>
          <w:shd w:fill="auto" w:val="clear"/>
        </w:rPr>
      </w:pPr>
    </w:p>
    <w:p>
      <w:pPr>
        <w:spacing w:before="0" w:after="0" w:line="480"/>
        <w:ind w:right="0" w:left="0" w:firstLine="0"/>
        <w:jc w:val="center"/>
        <w:rPr>
          <w:rFonts w:ascii="Arial" w:hAnsi="Arial" w:cs="Arial" w:eastAsia="Arial"/>
          <w:color w:val="auto"/>
          <w:spacing w:val="-10"/>
          <w:position w:val="0"/>
          <w:sz w:val="48"/>
          <w:shd w:fill="auto" w:val="clear"/>
        </w:rPr>
      </w:pPr>
    </w:p>
    <w:p>
      <w:pPr>
        <w:spacing w:before="0" w:after="0" w:line="480"/>
        <w:ind w:right="0" w:left="0" w:firstLine="0"/>
        <w:jc w:val="center"/>
        <w:rPr>
          <w:rFonts w:ascii="Arial" w:hAnsi="Arial" w:cs="Arial" w:eastAsia="Arial"/>
          <w:color w:val="auto"/>
          <w:spacing w:val="-10"/>
          <w:position w:val="0"/>
          <w:sz w:val="48"/>
          <w:shd w:fill="auto" w:val="clear"/>
        </w:rPr>
      </w:pPr>
    </w:p>
    <w:p>
      <w:pPr>
        <w:spacing w:before="0" w:after="0" w:line="480"/>
        <w:ind w:right="0" w:left="0" w:firstLine="0"/>
        <w:jc w:val="center"/>
        <w:rPr>
          <w:rFonts w:ascii="Arial" w:hAnsi="Arial" w:cs="Arial" w:eastAsia="Arial"/>
          <w:b/>
          <w:color w:val="auto"/>
          <w:spacing w:val="0"/>
          <w:position w:val="0"/>
          <w:sz w:val="28"/>
          <w:shd w:fill="auto" w:val="clear"/>
        </w:rPr>
      </w:pPr>
      <w:r>
        <w:rPr>
          <w:rFonts w:ascii="Arial" w:hAnsi="Arial" w:cs="Arial" w:eastAsia="Arial"/>
          <w:color w:val="auto"/>
          <w:spacing w:val="-10"/>
          <w:position w:val="0"/>
          <w:sz w:val="48"/>
          <w:shd w:fill="auto" w:val="clear"/>
        </w:rPr>
        <w:t xml:space="preserve">RAPORT CASE STUDY: THE SEAVIEW RESORT</w:t>
      </w:r>
    </w:p>
    <w:p>
      <w:pPr>
        <w:spacing w:before="0" w:after="160" w:line="48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Dan Andreea-Monica</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ID NUMBER: 2127612</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Prof.: Jaliya de Silva</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center"/>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TABLE OF FIGURES</w:t>
      </w:r>
    </w:p>
    <w:p>
      <w:pPr>
        <w:tabs>
          <w:tab w:val="right" w:pos="9016" w:leader="dot"/>
        </w:tabs>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0563C1"/>
          <w:spacing w:val="0"/>
          <w:position w:val="0"/>
          <w:sz w:val="24"/>
          <w:u w:val="single"/>
          <w:shd w:fill="auto" w:val="clear"/>
        </w:rPr>
        <w:t xml:space="preserve">Figure 1 - Mandarin Oriental Hotel Group</w:t>
      </w:r>
      <w:r>
        <w:rPr>
          <w:rFonts w:ascii="Arial" w:hAnsi="Arial" w:cs="Arial" w:eastAsia="Arial"/>
          <w:color w:val="auto"/>
          <w:spacing w:val="0"/>
          <w:position w:val="0"/>
          <w:sz w:val="24"/>
          <w:shd w:fill="auto" w:val="clear"/>
        </w:rPr>
        <w:tab/>
        <w:t xml:space="preserve">3</w:t>
      </w:r>
    </w:p>
    <w:p>
      <w:pPr>
        <w:tabs>
          <w:tab w:val="right" w:pos="9016" w:leader="dot"/>
        </w:tabs>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0563C1"/>
          <w:spacing w:val="0"/>
          <w:position w:val="0"/>
          <w:sz w:val="24"/>
          <w:u w:val="single"/>
          <w:shd w:fill="auto" w:val="clear"/>
        </w:rPr>
        <w:t xml:space="preserve">Figure 2 - Premier Inn Hotels</w:t>
      </w:r>
      <w:r>
        <w:rPr>
          <w:rFonts w:ascii="Arial" w:hAnsi="Arial" w:cs="Arial" w:eastAsia="Arial"/>
          <w:color w:val="auto"/>
          <w:spacing w:val="0"/>
          <w:position w:val="0"/>
          <w:sz w:val="24"/>
          <w:shd w:fill="auto" w:val="clear"/>
        </w:rPr>
        <w:tab/>
        <w:t xml:space="preserve">4</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center"/>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INTRODUCTION </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In the area of the global hospitality sector, two important firms, Mandarin Oriental Hotel Group and Premier Inn, have displayed diverse financial management techniques and practices. This business report objectively appraises both firms, diving into numerous important areas that determine their financial performance and sustainability. The purpose of this analysis is to clarify the financial factors that drive these firms, spanning total revenue, market position, growth potential, and their financial commitment to Corporate Social Responsibility (CSR). By comparing these two industry giants, this paper strives to shed light on how financial tactics and priorities diverge and coincide in the pursuit of sustainable growth and financial stewardship </w:t>
      </w:r>
      <w:r>
        <w:rPr>
          <w:rFonts w:ascii="Arial" w:hAnsi="Arial" w:cs="Arial" w:eastAsia="Arial"/>
          <w:color w:val="222222"/>
          <w:spacing w:val="0"/>
          <w:position w:val="0"/>
          <w:sz w:val="24"/>
          <w:shd w:fill="FFFFFF" w:val="clear"/>
        </w:rPr>
        <w:t xml:space="preserve">(Ali et al., 2020).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2E74B5"/>
          <w:spacing w:val="0"/>
          <w:position w:val="0"/>
          <w:sz w:val="24"/>
          <w:shd w:fill="auto" w:val="clear"/>
        </w:rPr>
      </w:pP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OVERVIEW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Mandarin Oriental Hotel Group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Mandarin Oriental Hotel Group is a luxury hotel brand known for its service and top-notch hospitality services. Mandarin Oriental Hotel Group was founded in 1963 and they managed to create a global footprint with their network of luxury hotels and resorts, especially in the world’s prominent places. </w:t>
      </w:r>
    </w:p>
    <w:p>
      <w:pPr>
        <w:keepNext w:val="true"/>
        <w:spacing w:before="0" w:after="160" w:line="360"/>
        <w:ind w:right="0" w:left="0" w:firstLine="0"/>
        <w:jc w:val="center"/>
        <w:rPr>
          <w:rFonts w:ascii="Arial" w:hAnsi="Arial" w:cs="Arial" w:eastAsia="Arial"/>
          <w:color w:val="auto"/>
          <w:spacing w:val="0"/>
          <w:position w:val="0"/>
          <w:sz w:val="24"/>
          <w:shd w:fill="FFFF00" w:val="clear"/>
        </w:rPr>
      </w:pPr>
      <w:r>
        <w:object w:dxaOrig="5405" w:dyaOrig="3431">
          <v:rect xmlns:o="urn:schemas-microsoft-com:office:office" xmlns:v="urn:schemas-microsoft-com:vml" id="rectole0000000000" style="width:270.250000pt;height:171.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center"/>
        <w:rPr>
          <w:rFonts w:ascii="Arial" w:hAnsi="Arial" w:cs="Arial" w:eastAsia="Arial"/>
          <w:i/>
          <w:color w:val="44546A"/>
          <w:spacing w:val="0"/>
          <w:position w:val="0"/>
          <w:sz w:val="18"/>
          <w:shd w:fill="auto" w:val="clear"/>
        </w:rPr>
      </w:pPr>
      <w:r>
        <w:rPr>
          <w:rFonts w:ascii="Arial" w:hAnsi="Arial" w:cs="Arial" w:eastAsia="Arial"/>
          <w:i/>
          <w:color w:val="44546A"/>
          <w:spacing w:val="0"/>
          <w:position w:val="0"/>
          <w:sz w:val="18"/>
          <w:shd w:fill="auto" w:val="clear"/>
        </w:rPr>
        <w:t xml:space="preserve">Figure 1 - Mandarin Oriental Hotel Group</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hotels in the company are located in the city centre locations with exotic areas nearby, catering to the sophisticated guests and fulfilling their needs and requirements. The diversified service line in the hospitality sector such as opulent lodging also is known for its varieties of dining options, spas and bars, wellness facilities and customer service approach to fulfil their expectation. The group's commitment to sustainability and engaging with the community boosts the image of the organisation in the hospitality industry. With a rich history and upholding of the fundamental principles of excellence integrity and respect from the customer, Mandarin Oriental Hotel Group continues to rise and shine and maintain their standard in the sector </w:t>
      </w:r>
      <w:r>
        <w:rPr>
          <w:rFonts w:ascii="Arial" w:hAnsi="Arial" w:cs="Arial" w:eastAsia="Arial"/>
          <w:color w:val="000000"/>
          <w:spacing w:val="0"/>
          <w:position w:val="0"/>
          <w:sz w:val="24"/>
          <w:shd w:fill="FFFFFF" w:val="clear"/>
        </w:rPr>
        <w:t xml:space="preserve">(Mandarinoriental.com, 2019).</w:t>
      </w:r>
      <w:r>
        <w:rPr>
          <w:rFonts w:ascii="Arial" w:hAnsi="Arial" w:cs="Arial" w:eastAsia="Arial"/>
          <w:color w:val="000000"/>
          <w:spacing w:val="0"/>
          <w:position w:val="0"/>
          <w:sz w:val="24"/>
          <w:shd w:fill="auto" w:val="clear"/>
        </w:rPr>
        <w:t xml:space="preserve">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Premier Inn.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is the renowned hotel organisation in the UK, the main objective of the organisation is in offering comfortable and inexpensive rooms for the customers. The company was established in the year 1987, and today has grown into one of the largest and most popular brands in the hospitality sector of UK. Having a dominance presence in these cities and towns allows the organisation to create the factor of differentiation. The fundamental trademark of the organisation is in providing quality services and in offering clean and well-equipped rooms as a pleasant ambience for great customer services. </w:t>
      </w:r>
    </w:p>
    <w:p>
      <w:pPr>
        <w:keepNext w:val="true"/>
        <w:spacing w:before="0" w:after="160" w:line="360"/>
        <w:ind w:right="0" w:left="0" w:firstLine="0"/>
        <w:jc w:val="center"/>
        <w:rPr>
          <w:rFonts w:ascii="Arial" w:hAnsi="Arial" w:cs="Arial" w:eastAsia="Arial"/>
          <w:color w:val="auto"/>
          <w:spacing w:val="0"/>
          <w:position w:val="0"/>
          <w:sz w:val="24"/>
          <w:shd w:fill="FFFF00" w:val="clear"/>
        </w:rPr>
      </w:pPr>
      <w:r>
        <w:object w:dxaOrig="7002" w:dyaOrig="2340">
          <v:rect xmlns:o="urn:schemas-microsoft-com:office:office" xmlns:v="urn:schemas-microsoft-com:vml" id="rectole0000000001" style="width:350.100000pt;height:117.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40"/>
        <w:ind w:right="0" w:left="0" w:firstLine="0"/>
        <w:jc w:val="center"/>
        <w:rPr>
          <w:rFonts w:ascii="Arial" w:hAnsi="Arial" w:cs="Arial" w:eastAsia="Arial"/>
          <w:i/>
          <w:color w:val="44546A"/>
          <w:spacing w:val="0"/>
          <w:position w:val="0"/>
          <w:sz w:val="18"/>
          <w:shd w:fill="auto" w:val="clear"/>
        </w:rPr>
      </w:pPr>
      <w:r>
        <w:rPr>
          <w:rFonts w:ascii="Arial" w:hAnsi="Arial" w:cs="Arial" w:eastAsia="Arial"/>
          <w:i/>
          <w:color w:val="44546A"/>
          <w:spacing w:val="0"/>
          <w:position w:val="0"/>
          <w:sz w:val="18"/>
          <w:shd w:fill="auto" w:val="clear"/>
        </w:rPr>
        <w:t xml:space="preserve">Figure 2 - Premier Inn Hotels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Premier Inn's strengths is its strategic position, generally situated near major attractions, airports, and commercial centres. This makes it a convenient choice for those looking to explore the UK or attend meetings and events. As a member of Whitbread PLC, Premier Inn continues to extend its footprint in the UK and globally, concentrating on sustainable growth and retaining its reputation as a reliable and economical alternative for travellers </w:t>
      </w:r>
      <w:r>
        <w:rPr>
          <w:rFonts w:ascii="Arial" w:hAnsi="Arial" w:cs="Arial" w:eastAsia="Arial"/>
          <w:color w:val="000000"/>
          <w:spacing w:val="0"/>
          <w:position w:val="0"/>
          <w:sz w:val="24"/>
          <w:shd w:fill="FFFFFF" w:val="clear"/>
        </w:rPr>
        <w:t xml:space="preserve">(Premierinn.com, 2023).</w:t>
      </w:r>
    </w:p>
    <w:p>
      <w:pPr>
        <w:spacing w:before="0" w:after="240" w:line="360"/>
        <w:ind w:right="0" w:left="0" w:firstLine="0"/>
        <w:jc w:val="both"/>
        <w:rPr>
          <w:rFonts w:ascii="Arial" w:hAnsi="Arial" w:cs="Arial" w:eastAsia="Arial"/>
          <w:color w:val="000000"/>
          <w:spacing w:val="0"/>
          <w:position w:val="0"/>
          <w:sz w:val="24"/>
          <w:shd w:fill="auto" w:val="clear"/>
        </w:rPr>
      </w:pPr>
    </w:p>
    <w:p>
      <w:pPr>
        <w:spacing w:before="100" w:after="1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2E74B5"/>
          <w:spacing w:val="0"/>
          <w:position w:val="0"/>
          <w:sz w:val="24"/>
          <w:shd w:fill="auto" w:val="clear"/>
        </w:rPr>
      </w:pP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TOTAL REVENUE </w:t>
      </w:r>
    </w:p>
    <w:tbl>
      <w:tblPr/>
      <w:tblGrid>
        <w:gridCol w:w="2382"/>
        <w:gridCol w:w="3442"/>
        <w:gridCol w:w="3265"/>
      </w:tblGrid>
      <w:tr>
        <w:trPr>
          <w:trHeight w:val="682" w:hRule="auto"/>
          <w:jc w:val="left"/>
        </w:trPr>
        <w:tc>
          <w:tcPr>
            <w:tcW w:w="23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Basis</w:t>
            </w:r>
          </w:p>
        </w:tc>
        <w:tc>
          <w:tcPr>
            <w:tcW w:w="34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Mandarin oriental hotel group</w:t>
            </w:r>
          </w:p>
        </w:tc>
        <w:tc>
          <w:tcPr>
            <w:tcW w:w="32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Premier inn.</w:t>
            </w:r>
          </w:p>
        </w:tc>
      </w:tr>
      <w:tr>
        <w:trPr>
          <w:trHeight w:val="223" w:hRule="auto"/>
          <w:jc w:val="left"/>
        </w:trPr>
        <w:tc>
          <w:tcPr>
            <w:tcW w:w="23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Financial Overview </w:t>
            </w:r>
          </w:p>
        </w:tc>
        <w:tc>
          <w:tcPr>
            <w:tcW w:w="34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Mandarin Oriental is a luxury hotel organisation noted for its premium offers and high-end services. In 2022, the group recorded combined total sales of around $1.57 billion. Here's a breakdown of the important points</w:t>
            </w:r>
            <w:r>
              <w:rPr>
                <w:rFonts w:ascii="Arial" w:hAnsi="Arial" w:cs="Arial" w:eastAsia="Arial"/>
                <w:color w:val="222222"/>
                <w:spacing w:val="0"/>
                <w:position w:val="0"/>
                <w:sz w:val="24"/>
                <w:shd w:fill="FFFFFF" w:val="clear"/>
              </w:rPr>
              <w:t xml:space="preserve"> (Ali et al., 2020).</w:t>
            </w:r>
          </w:p>
        </w:tc>
        <w:tc>
          <w:tcPr>
            <w:tcW w:w="32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Premier Inn, on the other hand, is a budget-friendly hotel company that caters to a broader spectrum of consumers seeking economical and quality housing. While exact revenue data for Premier Inn are not available in the offered information, it operates within a distinct market sector from Mandarin Oriental.</w:t>
            </w:r>
          </w:p>
        </w:tc>
      </w:tr>
      <w:tr>
        <w:trPr>
          <w:trHeight w:val="223" w:hRule="auto"/>
          <w:jc w:val="left"/>
        </w:trPr>
        <w:tc>
          <w:tcPr>
            <w:tcW w:w="23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Revenue Sources</w:t>
            </w:r>
          </w:p>
          <w:p>
            <w:pPr>
              <w:spacing w:before="0" w:after="0" w:line="360"/>
              <w:ind w:right="0" w:left="0" w:firstLine="0"/>
              <w:jc w:val="both"/>
              <w:rPr>
                <w:rFonts w:ascii="Arial" w:hAnsi="Arial" w:cs="Arial" w:eastAsia="Arial"/>
                <w:color w:val="auto"/>
                <w:spacing w:val="0"/>
                <w:position w:val="0"/>
                <w:shd w:fill="auto" w:val="clear"/>
              </w:rPr>
            </w:pPr>
          </w:p>
        </w:tc>
        <w:tc>
          <w:tcPr>
            <w:tcW w:w="34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Mandarin Oriental primarily derives revenue through luxury hotel bookings, food and beverage services, and numerous other hospitality-related offerings, such as spa treatments and event hosting.</w:t>
            </w:r>
          </w:p>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   - The group's luxury brand image allows it to command premium prices, contributing to its large income.</w:t>
            </w:r>
          </w:p>
        </w:tc>
        <w:tc>
          <w:tcPr>
            <w:tcW w:w="32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Premier Inn primarily derives money through room bookings, delivering standardized and budget-friendly accommodations.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Unlike Mandarin Oriental, Premier Inn does not rely on luxury dining or supplementary hospitality services as important revenue sources.</w:t>
            </w:r>
          </w:p>
          <w:p>
            <w:pPr>
              <w:spacing w:before="0" w:after="0" w:line="360"/>
              <w:ind w:right="0" w:left="0" w:firstLine="0"/>
              <w:jc w:val="both"/>
              <w:rPr>
                <w:rFonts w:ascii="Arial" w:hAnsi="Arial" w:cs="Arial" w:eastAsia="Arial"/>
                <w:color w:val="auto"/>
                <w:spacing w:val="0"/>
                <w:position w:val="0"/>
                <w:shd w:fill="auto" w:val="clear"/>
              </w:rPr>
            </w:pPr>
          </w:p>
        </w:tc>
      </w:tr>
      <w:tr>
        <w:trPr>
          <w:trHeight w:val="223" w:hRule="auto"/>
          <w:jc w:val="left"/>
        </w:trPr>
        <w:tc>
          <w:tcPr>
            <w:tcW w:w="23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Revenue Trends </w:t>
            </w:r>
          </w:p>
        </w:tc>
        <w:tc>
          <w:tcPr>
            <w:tcW w:w="34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The revenue in 2022 greatly exceeded 2019 levels, demonstrating a healthy recovery from the pandemic's impact on the hospitality business.</w:t>
            </w:r>
          </w:p>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   - The luxurious appeal of Mandarin Oriental's properties and the group's global presence have led to continuous revenue growth.</w:t>
            </w:r>
          </w:p>
        </w:tc>
        <w:tc>
          <w:tcPr>
            <w:tcW w:w="32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   - Premier Inn's revenue trends are often driven by factors such as economic conditions, corporate travel, and leisure travel demand </w:t>
            </w:r>
            <w:r>
              <w:rPr>
                <w:rFonts w:ascii="Arial" w:hAnsi="Arial" w:cs="Arial" w:eastAsia="Arial"/>
                <w:color w:val="222222"/>
                <w:spacing w:val="0"/>
                <w:position w:val="0"/>
                <w:sz w:val="24"/>
                <w:shd w:fill="FFFFFF" w:val="clear"/>
              </w:rPr>
              <w:t xml:space="preserve">(Ali et al., 2020).</w:t>
            </w:r>
          </w:p>
          <w:p>
            <w:pPr>
              <w:spacing w:before="0" w:after="0" w:line="360"/>
              <w:ind w:right="0" w:left="0" w:firstLine="0"/>
              <w:jc w:val="both"/>
              <w:rPr>
                <w:rFonts w:ascii="Arial" w:hAnsi="Arial" w:cs="Arial" w:eastAsia="Arial"/>
                <w:spacing w:val="0"/>
                <w:position w:val="0"/>
              </w:rPr>
            </w:pPr>
          </w:p>
        </w:tc>
      </w:tr>
      <w:tr>
        <w:trPr>
          <w:trHeight w:val="223" w:hRule="auto"/>
          <w:jc w:val="left"/>
        </w:trPr>
        <w:tc>
          <w:tcPr>
            <w:tcW w:w="23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Factors Driving Revenue Growth</w:t>
            </w:r>
          </w:p>
        </w:tc>
        <w:tc>
          <w:tcPr>
            <w:tcW w:w="34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The strong brand name as a luxury hospitality provider attracts high-net-worth individuals prepared to pay a premium for great experiences.</w:t>
            </w:r>
          </w:p>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   - Geographical expansion into emerging markets, particularly in Asia and the Middle East, has opened up new revenue streams </w:t>
            </w:r>
            <w:r>
              <w:rPr>
                <w:rFonts w:ascii="Arial" w:hAnsi="Arial" w:cs="Arial" w:eastAsia="Arial"/>
                <w:color w:val="222222"/>
                <w:spacing w:val="0"/>
                <w:position w:val="0"/>
                <w:sz w:val="24"/>
                <w:shd w:fill="FFFFFF" w:val="clear"/>
              </w:rPr>
              <w:t xml:space="preserve">(Sakovska et al., 2021)</w:t>
            </w:r>
            <w:r>
              <w:rPr>
                <w:rFonts w:ascii="Arial" w:hAnsi="Arial" w:cs="Arial" w:eastAsia="Arial"/>
                <w:color w:val="auto"/>
                <w:spacing w:val="0"/>
                <w:position w:val="0"/>
                <w:sz w:val="24"/>
                <w:shd w:fill="auto" w:val="clear"/>
              </w:rPr>
              <w:t xml:space="preserve">.</w:t>
            </w:r>
          </w:p>
        </w:tc>
        <w:tc>
          <w:tcPr>
            <w:tcW w:w="32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 Premier Inn's focus on price and consistent quality attracts budget-conscious customers.</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   - The chain's vast presence across the UK presents it as a convenient choice for both business and leisure tourists </w:t>
            </w:r>
            <w:r>
              <w:rPr>
                <w:rFonts w:ascii="Arial" w:hAnsi="Arial" w:cs="Arial" w:eastAsia="Arial"/>
                <w:color w:val="222222"/>
                <w:spacing w:val="0"/>
                <w:position w:val="0"/>
                <w:sz w:val="24"/>
                <w:shd w:fill="FFFFFF" w:val="clear"/>
              </w:rPr>
              <w:t xml:space="preserve">(Ka, Ying and Tang, 2023).</w:t>
            </w:r>
          </w:p>
          <w:p>
            <w:pPr>
              <w:spacing w:before="0" w:after="0" w:line="360"/>
              <w:ind w:right="0" w:left="0" w:firstLine="0"/>
              <w:jc w:val="both"/>
              <w:rPr>
                <w:rFonts w:ascii="Arial" w:hAnsi="Arial" w:cs="Arial" w:eastAsia="Arial"/>
                <w:spacing w:val="0"/>
                <w:position w:val="0"/>
              </w:rPr>
            </w:pP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In comparing the two firms, Mandarin Oriental Hotel Group's overall revenue is much higher due to its luxury positioning and various revenue streams. Premier Inn, in contrast, focuses on budget-conscious customers and emphasizes room bookings as its primary revenue stream. The choice between the two relies on the target market, with Mandarin Oriental catering to luxury seekers and Premier Inn catering to those seeking cost and reliability. Each organization's revenue model matches with its own market positioning and client base </w:t>
      </w:r>
      <w:r>
        <w:rPr>
          <w:rFonts w:ascii="Arial" w:hAnsi="Arial" w:cs="Arial" w:eastAsia="Arial"/>
          <w:color w:val="222222"/>
          <w:spacing w:val="0"/>
          <w:position w:val="0"/>
          <w:sz w:val="24"/>
          <w:shd w:fill="FFFFFF" w:val="clear"/>
        </w:rPr>
        <w:t xml:space="preserve">(Roy, 2022).</w:t>
      </w:r>
    </w:p>
    <w:p>
      <w:pPr>
        <w:spacing w:before="0" w:after="160" w:line="360"/>
        <w:ind w:right="0" w:left="0" w:firstLine="0"/>
        <w:jc w:val="both"/>
        <w:rPr>
          <w:rFonts w:ascii="Arial" w:hAnsi="Arial" w:cs="Arial" w:eastAsia="Arial"/>
          <w:color w:val="222222"/>
          <w:spacing w:val="0"/>
          <w:position w:val="0"/>
          <w:sz w:val="24"/>
          <w:shd w:fill="FFFFFF"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MARKET POSITION </w:t>
      </w:r>
    </w:p>
    <w:tbl>
      <w:tblPr/>
      <w:tblGrid>
        <w:gridCol w:w="3005"/>
        <w:gridCol w:w="3005"/>
        <w:gridCol w:w="3006"/>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Basis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Mandarin oriental hotel group</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Premier inn.</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Market Share</w:t>
            </w:r>
          </w:p>
          <w:p>
            <w:pPr>
              <w:spacing w:before="0" w:after="0" w:line="360"/>
              <w:ind w:right="0" w:left="0" w:firstLine="0"/>
              <w:jc w:val="both"/>
              <w:rPr>
                <w:rFonts w:ascii="Arial" w:hAnsi="Arial" w:cs="Arial" w:eastAsia="Arial"/>
                <w:color w:val="auto"/>
                <w:spacing w:val="0"/>
                <w:position w:val="0"/>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Mandarin Oriental manages a restricted number of high-end properties globally, emphasizing quality above quantity. While it may not have the highest market share in terms of the number of hotels, it retains a major stake in the luxury hotel class.</w:t>
            </w:r>
          </w:p>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 The group's restricted number of properties allows it to maintain exclusivity and personalized services </w:t>
            </w:r>
            <w:r>
              <w:rPr>
                <w:rFonts w:ascii="Arial" w:hAnsi="Arial" w:cs="Arial" w:eastAsia="Arial"/>
                <w:color w:val="222222"/>
                <w:spacing w:val="0"/>
                <w:position w:val="0"/>
                <w:sz w:val="24"/>
                <w:shd w:fill="FFFFFF" w:val="clear"/>
              </w:rPr>
              <w:t xml:space="preserve">(Foskett et al., 2021).</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Premier Inn maintains a large market share in the mid-range and budget-friendly hotel segment, particularly in the UK.</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The chain has a broad network of sites across the UK, making it one of the largest operators in this category.</w:t>
            </w:r>
          </w:p>
          <w:p>
            <w:pPr>
              <w:spacing w:before="0" w:after="0" w:line="360"/>
              <w:ind w:right="0" w:left="0" w:firstLine="0"/>
              <w:jc w:val="both"/>
              <w:rPr>
                <w:rFonts w:ascii="Arial" w:hAnsi="Arial" w:cs="Arial" w:eastAsia="Arial"/>
                <w:color w:val="auto"/>
                <w:spacing w:val="0"/>
                <w:position w:val="0"/>
                <w:shd w:fill="auto" w:val="clear"/>
              </w:rPr>
            </w:pP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Customer Demographics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Mandarin Oriental's audience generally comprises high-net-worth individuals, corporate professionals, and rich visitors seeking top-tier luxury experiences.</w:t>
            </w:r>
          </w:p>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 Its assets cater to a varied global consumer base, with a special concentration on Asia, Europe, and the Middle East </w:t>
            </w:r>
            <w:r>
              <w:rPr>
                <w:rFonts w:ascii="Arial" w:hAnsi="Arial" w:cs="Arial" w:eastAsia="Arial"/>
                <w:color w:val="222222"/>
                <w:spacing w:val="0"/>
                <w:position w:val="0"/>
                <w:sz w:val="24"/>
                <w:shd w:fill="FFFFFF" w:val="clear"/>
              </w:rPr>
              <w:t xml:space="preserve">(Woo et al., 2019).</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Premier Inn's client base is more diversified and inclusive, appealing to families, budget-conscious tourists, and business people seeking cost-effective yet quality lodgings.</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 It caters to both leisure and business tourists, giving standardized and reliable hotel options </w:t>
            </w:r>
            <w:r>
              <w:rPr>
                <w:rFonts w:ascii="Arial" w:hAnsi="Arial" w:cs="Arial" w:eastAsia="Arial"/>
                <w:color w:val="222222"/>
                <w:spacing w:val="0"/>
                <w:position w:val="0"/>
                <w:sz w:val="24"/>
                <w:shd w:fill="FFFFFF" w:val="clear"/>
              </w:rPr>
              <w:t xml:space="preserve">(Ali et al., 2020).</w:t>
            </w:r>
          </w:p>
          <w:p>
            <w:pPr>
              <w:spacing w:before="0" w:after="0" w:line="360"/>
              <w:ind w:right="0" w:left="0" w:firstLine="0"/>
              <w:jc w:val="both"/>
              <w:rPr>
                <w:rFonts w:ascii="Arial" w:hAnsi="Arial" w:cs="Arial" w:eastAsia="Arial"/>
                <w:spacing w:val="0"/>
                <w:position w:val="0"/>
              </w:rPr>
            </w:pP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Brand Perception</w:t>
            </w:r>
          </w:p>
          <w:p>
            <w:pPr>
              <w:spacing w:before="0" w:after="0" w:line="360"/>
              <w:ind w:right="0" w:left="0" w:firstLine="0"/>
              <w:jc w:val="both"/>
              <w:rPr>
                <w:rFonts w:ascii="Arial" w:hAnsi="Arial" w:cs="Arial" w:eastAsia="Arial"/>
                <w:color w:val="auto"/>
                <w:spacing w:val="0"/>
                <w:position w:val="0"/>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The brand is recognised for its superb service, sumptuous rooms, and great dining experiences. This strong brand perception is connected with elegance and sophistication.</w:t>
            </w:r>
          </w:p>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 Mandarin Oriental's properties frequently enjoy great locations in iconic cities, further strengthening its premium image </w:t>
            </w:r>
            <w:r>
              <w:rPr>
                <w:rFonts w:ascii="Arial" w:hAnsi="Arial" w:cs="Arial" w:eastAsia="Arial"/>
                <w:color w:val="222222"/>
                <w:spacing w:val="0"/>
                <w:position w:val="0"/>
                <w:sz w:val="24"/>
                <w:shd w:fill="FFFFFF" w:val="clear"/>
              </w:rPr>
              <w:t xml:space="preserve"> (Ioannou and Dukes, 2021).</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Premier Inn is noted for its value-for-money approach, reliability, and consistency in service quality.</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 The brand is often associated with practicality, convenience, and a commitment to offering comfortable stays without breaking the wallet </w:t>
            </w:r>
            <w:r>
              <w:rPr>
                <w:rFonts w:ascii="Arial" w:hAnsi="Arial" w:cs="Arial" w:eastAsia="Arial"/>
                <w:color w:val="222222"/>
                <w:spacing w:val="0"/>
                <w:position w:val="0"/>
                <w:sz w:val="24"/>
                <w:shd w:fill="FFFFFF" w:val="clear"/>
              </w:rPr>
              <w:t xml:space="preserve">(Filimonau and Mika, 2019).</w:t>
            </w:r>
          </w:p>
          <w:p>
            <w:pPr>
              <w:spacing w:before="0" w:after="0" w:line="360"/>
              <w:ind w:right="0" w:left="0" w:firstLine="0"/>
              <w:jc w:val="both"/>
              <w:rPr>
                <w:rFonts w:ascii="Arial" w:hAnsi="Arial" w:cs="Arial" w:eastAsia="Arial"/>
                <w:spacing w:val="0"/>
                <w:position w:val="0"/>
              </w:rPr>
            </w:pP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In summary, Mandarin Oriental Hotel Group targets the luxury market, giving exceptional experiences to discerning tourists, whereas Premier Inn focuses on cost and accessibility for a larger spectrum of clients. The market positioning of each brand aligns with its distinctive value offer, attracting diverse customer demographics and catering to certain travel tastes </w:t>
      </w:r>
      <w:r>
        <w:rPr>
          <w:rFonts w:ascii="Arial" w:hAnsi="Arial" w:cs="Arial" w:eastAsia="Arial"/>
          <w:color w:val="222222"/>
          <w:spacing w:val="0"/>
          <w:position w:val="0"/>
          <w:sz w:val="24"/>
          <w:shd w:fill="FFFFFF" w:val="clear"/>
        </w:rPr>
        <w:t xml:space="preserve">(Çeltek, 2023).</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2E74B5"/>
          <w:spacing w:val="0"/>
          <w:position w:val="0"/>
          <w:sz w:val="24"/>
          <w:shd w:fill="auto" w:val="clear"/>
        </w:rPr>
      </w:pP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GROWTH POSITION </w:t>
      </w:r>
    </w:p>
    <w:tbl>
      <w:tblPr/>
      <w:tblGrid>
        <w:gridCol w:w="3005"/>
        <w:gridCol w:w="3005"/>
        <w:gridCol w:w="3006"/>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Basis </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Mandarin oriental hotel group</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Premier inn.</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Expansion Strategies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The group has been actively exploring expansion possibilities globally, with a focus on entering or increasing its presence in major markets. This covers the launching of new hotels, as well as unveiling new developments. These growth attempts capitalize on the excellent brand recognition Mandarin Oriental has developed over the years.</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Premier Inn's growth strategy relies on growing its footprint both domestically and globally. It intends to grab market share in the cheap and mid-range hotel segments. International development, especially in regions like the Middle East and Germany, offers tremendous growth possibilities </w:t>
            </w:r>
            <w:r>
              <w:rPr>
                <w:rFonts w:ascii="Arial" w:hAnsi="Arial" w:cs="Arial" w:eastAsia="Arial"/>
                <w:color w:val="222222"/>
                <w:spacing w:val="0"/>
                <w:position w:val="0"/>
                <w:sz w:val="24"/>
                <w:shd w:fill="FFFFFF" w:val="clear"/>
              </w:rPr>
              <w:t xml:space="preserve">(Filimonau et al., 2020).</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Market Opportunities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Mandarin Oriental's presence in Asia, the Middle East, and other high-end travel locations allows it to tap into the rising wealthy traveller category. Emerging economies in Asia have major growth potential, and the return of tourism in the post-pandemic era is anticipated to boost the business</w:t>
            </w:r>
            <w:r>
              <w:rPr>
                <w:rFonts w:ascii="Arial" w:hAnsi="Arial" w:cs="Arial" w:eastAsia="Arial"/>
                <w:color w:val="222222"/>
                <w:spacing w:val="0"/>
                <w:position w:val="0"/>
                <w:sz w:val="24"/>
                <w:shd w:fill="FFFFFF" w:val="clear"/>
              </w:rPr>
              <w:t xml:space="preserve"> (Filimonau, 2021).</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Premier Inn's budget-friendly services cater to cost-conscious tourists, making it robust in economic downturns. Its substantial presence in the UK puts it well to tap into domestic travel and tourism, and the brand is progressively gaining prominence in international markets</w:t>
            </w:r>
            <w:r>
              <w:rPr>
                <w:rFonts w:ascii="Arial" w:hAnsi="Arial" w:cs="Arial" w:eastAsia="Arial"/>
                <w:color w:val="222222"/>
                <w:spacing w:val="0"/>
                <w:position w:val="0"/>
                <w:sz w:val="24"/>
                <w:shd w:fill="FFFFFF" w:val="clear"/>
              </w:rPr>
              <w:t xml:space="preserve"> (Morrison, 2022)</w:t>
            </w:r>
            <w:r>
              <w:rPr>
                <w:rFonts w:ascii="Arial" w:hAnsi="Arial" w:cs="Arial" w:eastAsia="Arial"/>
                <w:color w:val="auto"/>
                <w:spacing w:val="0"/>
                <w:position w:val="0"/>
                <w:sz w:val="24"/>
                <w:shd w:fill="auto" w:val="clear"/>
              </w:rPr>
              <w:t xml:space="preserve">.</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Barriers to Growth</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However, Mandarin Oriental confronts hurdles in maintaining its luxury positioning while growing into varied markets. Ensuring consistent service quality and satisfying the expectations of discriminating clients across different regions can be a problem. Additionally, economic downturns and geopolitical instability in some regions may impair growth expectations </w:t>
            </w:r>
            <w:r>
              <w:rPr>
                <w:rFonts w:ascii="Arial" w:hAnsi="Arial" w:cs="Arial" w:eastAsia="Arial"/>
                <w:color w:val="222222"/>
                <w:spacing w:val="0"/>
                <w:position w:val="0"/>
                <w:sz w:val="24"/>
                <w:shd w:fill="FFFFFF" w:val="clear"/>
              </w:rPr>
              <w:t xml:space="preserve">(Rasul, 2019).</w:t>
            </w:r>
          </w:p>
          <w:p>
            <w:pPr>
              <w:spacing w:before="0" w:after="0" w:line="360"/>
              <w:ind w:right="0" w:left="0" w:firstLine="0"/>
              <w:jc w:val="both"/>
              <w:rPr>
                <w:rFonts w:ascii="Arial" w:hAnsi="Arial" w:cs="Arial" w:eastAsia="Arial"/>
                <w:spacing w:val="0"/>
                <w:position w:val="0"/>
              </w:rPr>
            </w:pP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Competition in the cheap hotel category is severe, necessitating Premier Inn to differentiate itself successfully. The success of international expansion depends on responding to local preferences and market conditions. Economic uncertainty and unforeseen hurdles in new markets could offer barriers to growth </w:t>
            </w:r>
            <w:r>
              <w:rPr>
                <w:rFonts w:ascii="Arial" w:hAnsi="Arial" w:cs="Arial" w:eastAsia="Arial"/>
                <w:color w:val="222222"/>
                <w:spacing w:val="0"/>
                <w:position w:val="0"/>
                <w:sz w:val="24"/>
                <w:shd w:fill="FFFFFF" w:val="clear"/>
              </w:rPr>
              <w:t xml:space="preserve">(Das et al., 2021).</w:t>
            </w:r>
          </w:p>
          <w:p>
            <w:pPr>
              <w:spacing w:before="0" w:after="0" w:line="360"/>
              <w:ind w:right="0" w:left="0" w:firstLine="0"/>
              <w:jc w:val="both"/>
              <w:rPr>
                <w:rFonts w:ascii="Arial" w:hAnsi="Arial" w:cs="Arial" w:eastAsia="Arial"/>
                <w:spacing w:val="0"/>
                <w:position w:val="0"/>
              </w:rPr>
            </w:pP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In summary, Mandarin Oriental's potential for growth is rooted in its luxury positioning and global expansion, while Premier Inn's strength lies in accessibility and a strong domestic presence, with both organizations facing challenges related to maintaining quality and managing market-specific complexities </w:t>
      </w:r>
      <w:r>
        <w:rPr>
          <w:rFonts w:ascii="Arial" w:hAnsi="Arial" w:cs="Arial" w:eastAsia="Arial"/>
          <w:color w:val="222222"/>
          <w:spacing w:val="0"/>
          <w:position w:val="0"/>
          <w:sz w:val="24"/>
          <w:shd w:fill="FFFFFF" w:val="clear"/>
        </w:rPr>
        <w:t xml:space="preserve">(Filimonau et al., 2020).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2E74B5"/>
          <w:spacing w:val="0"/>
          <w:position w:val="0"/>
          <w:sz w:val="24"/>
          <w:shd w:fill="auto" w:val="clear"/>
        </w:rPr>
      </w:pP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FINANCIAL COMMITMENT TO CSR  </w:t>
      </w:r>
    </w:p>
    <w:tbl>
      <w:tblPr/>
      <w:tblGrid>
        <w:gridCol w:w="3005"/>
        <w:gridCol w:w="3005"/>
        <w:gridCol w:w="3006"/>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Basis </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Mandarin oriental hotel group</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b/>
                <w:color w:val="auto"/>
                <w:spacing w:val="0"/>
                <w:position w:val="0"/>
                <w:sz w:val="24"/>
                <w:shd w:fill="auto" w:val="clear"/>
              </w:rPr>
              <w:t xml:space="preserve">Premier inn.</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Sustainability Practices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group invests in sustainable operations, with an emphasis on decreasing its environmental footprint. Investments in energy-efficient technologies, waste reduction, and water conservation indicate their dedication to sustainability. Financial resources are given to eco-friendly measures such as green construction designs and ethical sourcing of materials.</w:t>
            </w:r>
          </w:p>
          <w:p>
            <w:pPr>
              <w:spacing w:before="0" w:after="0" w:line="360"/>
              <w:ind w:right="0" w:left="0" w:firstLine="0"/>
              <w:jc w:val="both"/>
              <w:rPr>
                <w:rFonts w:ascii="Arial" w:hAnsi="Arial" w:cs="Arial" w:eastAsia="Arial"/>
                <w:color w:val="auto"/>
                <w:spacing w:val="0"/>
                <w:position w:val="0"/>
                <w:shd w:fill="auto" w:val="clear"/>
              </w:rPr>
            </w:pP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The brand focuses on sustainability through efforts such as energy-efficient lighting and trash reduction. Financial investments are made in green technologies and sustainable building methods, harmonising with its budget-friendly image </w:t>
            </w:r>
            <w:r>
              <w:rPr>
                <w:rFonts w:ascii="Arial" w:hAnsi="Arial" w:cs="Arial" w:eastAsia="Arial"/>
                <w:color w:val="222222"/>
                <w:spacing w:val="0"/>
                <w:position w:val="0"/>
                <w:sz w:val="24"/>
                <w:shd w:fill="FFFFFF" w:val="clear"/>
              </w:rPr>
              <w:t xml:space="preserve">(Fernandes, 2020).</w:t>
            </w:r>
          </w:p>
          <w:p>
            <w:pPr>
              <w:spacing w:before="0" w:after="0" w:line="360"/>
              <w:ind w:right="0" w:left="0" w:firstLine="0"/>
              <w:jc w:val="both"/>
              <w:rPr>
                <w:rFonts w:ascii="Arial" w:hAnsi="Arial" w:cs="Arial" w:eastAsia="Arial"/>
                <w:spacing w:val="0"/>
                <w:position w:val="0"/>
              </w:rPr>
            </w:pP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Community Engagement</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rPr>
            </w:pPr>
            <w:r>
              <w:rPr>
                <w:rFonts w:ascii="Arial" w:hAnsi="Arial" w:cs="Arial" w:eastAsia="Arial"/>
                <w:color w:val="auto"/>
                <w:spacing w:val="0"/>
                <w:position w:val="0"/>
                <w:sz w:val="24"/>
                <w:shd w:fill="auto" w:val="clear"/>
              </w:rPr>
              <w:t xml:space="preserve">Mandarin Oriental participates with local communities through numerous charitable activities and partnerships. Financial contributions are made to help education, healthcare, and disaster relief activities. The group's "Charity Delights" program involves donations from visitor experiences and activities </w:t>
            </w:r>
            <w:r>
              <w:rPr>
                <w:rFonts w:ascii="Arial" w:hAnsi="Arial" w:cs="Arial" w:eastAsia="Arial"/>
                <w:color w:val="222222"/>
                <w:spacing w:val="0"/>
                <w:position w:val="0"/>
                <w:sz w:val="24"/>
                <w:shd w:fill="FFFFFF" w:val="clear"/>
              </w:rPr>
              <w:t xml:space="preserve">(Nicola et al., 2020)</w:t>
            </w:r>
            <w:r>
              <w:rPr>
                <w:rFonts w:ascii="Arial" w:hAnsi="Arial" w:cs="Arial" w:eastAsia="Arial"/>
                <w:color w:val="auto"/>
                <w:spacing w:val="0"/>
                <w:position w:val="0"/>
                <w:sz w:val="24"/>
                <w:shd w:fill="auto" w:val="clear"/>
              </w:rPr>
              <w:t xml:space="preserve">.</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Premier Inn engages with local communities through philanthropic partnerships and donations. They support groups like Great Ormond Street Hospital Charity, which receives financial contributions from the brand. </w:t>
            </w:r>
          </w:p>
          <w:p>
            <w:pPr>
              <w:spacing w:before="0" w:after="0" w:line="360"/>
              <w:ind w:right="0" w:left="0" w:firstLine="0"/>
              <w:jc w:val="both"/>
              <w:rPr>
                <w:rFonts w:ascii="Arial" w:hAnsi="Arial" w:cs="Arial" w:eastAsia="Arial"/>
                <w:color w:val="auto"/>
                <w:spacing w:val="0"/>
                <w:position w:val="0"/>
                <w:shd w:fill="auto" w:val="clear"/>
              </w:rPr>
            </w:pP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hd w:fill="auto" w:val="clear"/>
              </w:rPr>
            </w:pPr>
            <w:r>
              <w:rPr>
                <w:rFonts w:ascii="Arial" w:hAnsi="Arial" w:cs="Arial" w:eastAsia="Arial"/>
                <w:color w:val="auto"/>
                <w:spacing w:val="0"/>
                <w:position w:val="0"/>
                <w:sz w:val="24"/>
                <w:shd w:fill="auto" w:val="clear"/>
              </w:rPr>
              <w:t xml:space="preserve">Ethical Business Practices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The group follows ethical standards throughout its activities. Investments in staff training and development initiatives highlight their dedication to employee well-being. Supporting fair work standards is also part of their CSR commitment</w:t>
            </w:r>
            <w:r>
              <w:rPr>
                <w:rFonts w:ascii="Arial" w:hAnsi="Arial" w:cs="Arial" w:eastAsia="Arial"/>
                <w:color w:val="222222"/>
                <w:spacing w:val="0"/>
                <w:position w:val="0"/>
                <w:sz w:val="24"/>
                <w:shd w:fill="FFFFFF" w:val="clear"/>
              </w:rPr>
              <w:t xml:space="preserve"> (Ntounis et al., 2022).</w:t>
            </w:r>
          </w:p>
          <w:p>
            <w:pPr>
              <w:spacing w:before="0" w:after="0" w:line="360"/>
              <w:ind w:right="0" w:left="0" w:firstLine="0"/>
              <w:jc w:val="both"/>
              <w:rPr>
                <w:rFonts w:ascii="Arial" w:hAnsi="Arial" w:cs="Arial" w:eastAsia="Arial"/>
                <w:spacing w:val="0"/>
                <w:position w:val="0"/>
              </w:rPr>
            </w:pP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Premier Inn places importance on employee welfare and ethical labour standards. Financial contributions are made to staff training and development initiatives, maintaining a supportive work environment </w:t>
            </w:r>
            <w:r>
              <w:rPr>
                <w:rFonts w:ascii="Arial" w:hAnsi="Arial" w:cs="Arial" w:eastAsia="Arial"/>
                <w:color w:val="222222"/>
                <w:spacing w:val="0"/>
                <w:position w:val="0"/>
                <w:sz w:val="24"/>
                <w:shd w:fill="FFFFFF" w:val="clear"/>
              </w:rPr>
              <w:t xml:space="preserve">(Amewu et al., 2020).</w:t>
            </w:r>
          </w:p>
          <w:p>
            <w:pPr>
              <w:spacing w:before="0" w:after="0" w:line="360"/>
              <w:ind w:right="0" w:left="0" w:firstLine="0"/>
              <w:jc w:val="both"/>
              <w:rPr>
                <w:rFonts w:ascii="Arial" w:hAnsi="Arial" w:cs="Arial" w:eastAsia="Arial"/>
                <w:spacing w:val="0"/>
                <w:position w:val="0"/>
              </w:rPr>
            </w:pP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auto"/>
          <w:spacing w:val="0"/>
          <w:position w:val="0"/>
          <w:sz w:val="24"/>
          <w:shd w:fill="auto" w:val="clear"/>
        </w:rPr>
        <w:t xml:space="preserve">In comparison, both Mandarin Oriental and Premier Inn commit financial resources to CSR efforts, with a focus on sustainability, community engagement, and ethical business practices. While their tactics differ due to their target markets and positioning, both firms appreciate the value of CSR in developing a strong brand image and contributing to social and environmental well-being </w:t>
      </w:r>
      <w:r>
        <w:rPr>
          <w:rFonts w:ascii="Arial" w:hAnsi="Arial" w:cs="Arial" w:eastAsia="Arial"/>
          <w:color w:val="222222"/>
          <w:spacing w:val="0"/>
          <w:position w:val="0"/>
          <w:sz w:val="24"/>
          <w:shd w:fill="FFFFFF" w:val="clear"/>
        </w:rPr>
        <w:t xml:space="preserve">(Kim et al., 2020).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CONCLUSION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the comparative analysis of Mandarin Oriental Hotel Group and Premier Inn offers a complete insight into the various terrain of financial management within the hospitality business. These firms, despite operating in various market segments, demonstrate unique strengths and strategies. Mandarin Oriental's concentration on luxury and high-end experiences is reflected in its revenue sources and brand positioning, whereas Premier Inn's devotion to affordability and accessibility has its own financial merits. Despite these differences, both firms prioritize CSR, displaying their attention to sustainability, community participation, and ethical business practices. As they negotiate the complicated hospitality sector, their growth potential becomes clear through strategic expansions and market opportunities.</w:t>
      </w:r>
    </w:p>
    <w:p>
      <w:pPr>
        <w:keepNext w:val="true"/>
        <w:keepLines w:val="true"/>
        <w:spacing w:before="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RECOMMENDATIONS</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For Premier Inn: </w:t>
      </w:r>
      <w:r>
        <w:rPr>
          <w:rFonts w:ascii="Arial" w:hAnsi="Arial" w:cs="Arial" w:eastAsia="Arial"/>
          <w:color w:val="auto"/>
          <w:spacing w:val="0"/>
          <w:position w:val="0"/>
          <w:sz w:val="24"/>
          <w:shd w:fill="auto" w:val="clear"/>
        </w:rPr>
        <w:t xml:space="preserve">it is advisable to boost international expansion efforts, particularly in emerging regions where there is a growing need for budget-friendly lodging. Entering new regions wisely will diversify the revenue stream and lessen reliance on the UK market. Moreover, boosting digitization and guest experience through technology adoption can improve customer loyalty and operational efficiency. As Premier Inn continues to focus on affordability, it should also invest in sustainable practices to strengthen its CSR profile and match with global sustainability trends </w:t>
      </w:r>
      <w:r>
        <w:rPr>
          <w:rFonts w:ascii="Arial" w:hAnsi="Arial" w:cs="Arial" w:eastAsia="Arial"/>
          <w:color w:val="222222"/>
          <w:spacing w:val="0"/>
          <w:position w:val="0"/>
          <w:sz w:val="24"/>
          <w:shd w:fill="FFFFFF" w:val="clear"/>
        </w:rPr>
        <w:t xml:space="preserve">(Hack-Polay et al., 2022)</w:t>
      </w:r>
      <w:r>
        <w:rPr>
          <w:rFonts w:ascii="Arial" w:hAnsi="Arial" w:cs="Arial" w:eastAsia="Arial"/>
          <w:b/>
          <w:color w:val="auto"/>
          <w:spacing w:val="0"/>
          <w:position w:val="0"/>
          <w:sz w:val="24"/>
          <w:shd w:fill="auto" w:val="clear"/>
        </w:rPr>
        <w:t xml:space="preserve">.</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b/>
          <w:color w:val="auto"/>
          <w:spacing w:val="0"/>
          <w:position w:val="0"/>
          <w:sz w:val="24"/>
          <w:shd w:fill="auto" w:val="clear"/>
        </w:rPr>
        <w:t xml:space="preserve">For Mandarin Oriental Hotel Group: </w:t>
      </w:r>
      <w:r>
        <w:rPr>
          <w:rFonts w:ascii="Arial" w:hAnsi="Arial" w:cs="Arial" w:eastAsia="Arial"/>
          <w:color w:val="auto"/>
          <w:spacing w:val="0"/>
          <w:position w:val="0"/>
          <w:sz w:val="24"/>
          <w:shd w:fill="auto" w:val="clear"/>
        </w:rPr>
        <w:t xml:space="preserve">Consider to broadening its portfolio by growing into more mid-tier luxury sectors to gain a bigger market share. While preserving its commitment to ultra-luxury hospitality, this diversification can help limit risks during economic downturns and capitalize on the growing demand for moderately priced luxury experiences. Additionally, Mandarin Oriental should continue to invest in environmental practices and ethical business activities to line with shifting consumer tastes and boost its corporate social responsibility profile </w:t>
      </w:r>
      <w:r>
        <w:rPr>
          <w:rFonts w:ascii="Arial" w:hAnsi="Arial" w:cs="Arial" w:eastAsia="Arial"/>
          <w:color w:val="222222"/>
          <w:spacing w:val="0"/>
          <w:position w:val="0"/>
          <w:sz w:val="24"/>
          <w:shd w:fill="FFFFFF" w:val="clear"/>
        </w:rPr>
        <w:t xml:space="preserve">(Taecharungroj and Mathayomchan, 2019).</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2E74B5"/>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E74B5"/>
          <w:spacing w:val="0"/>
          <w:position w:val="0"/>
          <w:sz w:val="24"/>
          <w:shd w:fill="auto" w:val="clear"/>
        </w:rPr>
      </w:pPr>
      <w:r>
        <w:rPr>
          <w:rFonts w:ascii="Arial" w:hAnsi="Arial" w:cs="Arial" w:eastAsia="Arial"/>
          <w:color w:val="2E74B5"/>
          <w:spacing w:val="0"/>
          <w:position w:val="0"/>
          <w:sz w:val="24"/>
          <w:shd w:fill="auto" w:val="clear"/>
        </w:rPr>
        <w:t xml:space="preserve">REFERENCES </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Ali, A., Egan, D., Haynes, N., Holland, C. and Martin, E., 2020. The Future of Hospitality Management Education.</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Amewu, S., Asante, S., Pauw, K. and Thurlow, J., 2020. The economic costs of COVID-19 in sub-Saharan: insights from a simulation exercise. </w:t>
      </w:r>
      <w:r>
        <w:rPr>
          <w:rFonts w:ascii="Arial" w:hAnsi="Arial" w:cs="Arial" w:eastAsia="Arial"/>
          <w:i/>
          <w:color w:val="222222"/>
          <w:spacing w:val="0"/>
          <w:position w:val="0"/>
          <w:sz w:val="24"/>
          <w:shd w:fill="FFFFFF" w:val="clear"/>
        </w:rPr>
        <w:t xml:space="preserve">The European Journal of Development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32</w:t>
      </w:r>
      <w:r>
        <w:rPr>
          <w:rFonts w:ascii="Arial" w:hAnsi="Arial" w:cs="Arial" w:eastAsia="Arial"/>
          <w:color w:val="222222"/>
          <w:spacing w:val="0"/>
          <w:position w:val="0"/>
          <w:sz w:val="24"/>
          <w:shd w:fill="FFFFFF" w:val="clear"/>
        </w:rPr>
        <w:t xml:space="preserve">, pp.1353-1378.</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Çeltek, E., 2023. Augmented reality and virtual reality in tourism. In </w:t>
      </w:r>
      <w:r>
        <w:rPr>
          <w:rFonts w:ascii="Arial" w:hAnsi="Arial" w:cs="Arial" w:eastAsia="Arial"/>
          <w:i/>
          <w:color w:val="222222"/>
          <w:spacing w:val="0"/>
          <w:position w:val="0"/>
          <w:sz w:val="24"/>
          <w:shd w:fill="FFFFFF" w:val="clear"/>
        </w:rPr>
        <w:t xml:space="preserve">Routledge Handbook of Trends and Issues in Tourism Sustainability, Planning and Development, Management, and Technology</w:t>
      </w:r>
      <w:r>
        <w:rPr>
          <w:rFonts w:ascii="Arial" w:hAnsi="Arial" w:cs="Arial" w:eastAsia="Arial"/>
          <w:color w:val="222222"/>
          <w:spacing w:val="0"/>
          <w:position w:val="0"/>
          <w:sz w:val="24"/>
          <w:shd w:fill="FFFFFF" w:val="clear"/>
        </w:rPr>
        <w:t xml:space="preserve"> (pp. 326-341). Routledge.</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Das, G., Jain, S.P., Maheswaran, D., Slotegraaf, R.J. and Srinivasan, R., 2021. Pandemics and marketing: Insights, impacts, and research opportunities. </w:t>
      </w:r>
      <w:r>
        <w:rPr>
          <w:rFonts w:ascii="Arial" w:hAnsi="Arial" w:cs="Arial" w:eastAsia="Arial"/>
          <w:i/>
          <w:color w:val="222222"/>
          <w:spacing w:val="0"/>
          <w:position w:val="0"/>
          <w:sz w:val="24"/>
          <w:shd w:fill="FFFFFF" w:val="clear"/>
        </w:rPr>
        <w:t xml:space="preserve">Journal of the Academy of Marketing Science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49</w:t>
      </w:r>
      <w:r>
        <w:rPr>
          <w:rFonts w:ascii="Arial" w:hAnsi="Arial" w:cs="Arial" w:eastAsia="Arial"/>
          <w:color w:val="222222"/>
          <w:spacing w:val="0"/>
          <w:position w:val="0"/>
          <w:sz w:val="24"/>
          <w:shd w:fill="FFFFFF" w:val="clear"/>
        </w:rPr>
        <w:t xml:space="preserve">(5), pp.835-854.</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Fernandes, N., 2020. Economic effects of coronavirus outbreak (COVID-19) on the world economy.</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Filimonau, V. and Mika, M., 2019. Return labour migration: an exploratory study of Polish migrant workers from the UK hospitality industry. </w:t>
      </w:r>
      <w:r>
        <w:rPr>
          <w:rFonts w:ascii="Arial" w:hAnsi="Arial" w:cs="Arial" w:eastAsia="Arial"/>
          <w:i/>
          <w:color w:val="222222"/>
          <w:spacing w:val="0"/>
          <w:position w:val="0"/>
          <w:sz w:val="24"/>
          <w:shd w:fill="FFFFFF" w:val="clear"/>
        </w:rPr>
        <w:t xml:space="preserve">Current Issues in Tourism</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22</w:t>
      </w:r>
      <w:r>
        <w:rPr>
          <w:rFonts w:ascii="Arial" w:hAnsi="Arial" w:cs="Arial" w:eastAsia="Arial"/>
          <w:color w:val="222222"/>
          <w:spacing w:val="0"/>
          <w:position w:val="0"/>
          <w:sz w:val="24"/>
          <w:shd w:fill="FFFFFF" w:val="clear"/>
        </w:rPr>
        <w:t xml:space="preserve">(3), pp.357-378.</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Filimonau, V., Todorova, E., Mzembe, A., Sauer, L. and Yankholmes, A., 2020. A comparative study of food waste management in full-service restaurants of the United Kingdom and the Netherlands. </w:t>
      </w:r>
      <w:r>
        <w:rPr>
          <w:rFonts w:ascii="Arial" w:hAnsi="Arial" w:cs="Arial" w:eastAsia="Arial"/>
          <w:i/>
          <w:color w:val="222222"/>
          <w:spacing w:val="0"/>
          <w:position w:val="0"/>
          <w:sz w:val="24"/>
          <w:shd w:fill="FFFFFF" w:val="clear"/>
        </w:rPr>
        <w:t xml:space="preserve">Journal of Cleaner Production</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258</w:t>
      </w:r>
      <w:r>
        <w:rPr>
          <w:rFonts w:ascii="Arial" w:hAnsi="Arial" w:cs="Arial" w:eastAsia="Arial"/>
          <w:color w:val="222222"/>
          <w:spacing w:val="0"/>
          <w:position w:val="0"/>
          <w:sz w:val="24"/>
          <w:shd w:fill="FFFFFF" w:val="clear"/>
        </w:rPr>
        <w:t xml:space="preserve">, p.120775.</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Foskett, D., Paskins, P., Pennington, A. and Rippington, N., 2021. </w:t>
      </w:r>
      <w:r>
        <w:rPr>
          <w:rFonts w:ascii="Arial" w:hAnsi="Arial" w:cs="Arial" w:eastAsia="Arial"/>
          <w:i/>
          <w:color w:val="222222"/>
          <w:spacing w:val="0"/>
          <w:position w:val="0"/>
          <w:sz w:val="24"/>
          <w:shd w:fill="FFFFFF" w:val="clear"/>
        </w:rPr>
        <w:t xml:space="preserve">The theory of hospitality and catering</w:t>
      </w:r>
      <w:r>
        <w:rPr>
          <w:rFonts w:ascii="Arial" w:hAnsi="Arial" w:cs="Arial" w:eastAsia="Arial"/>
          <w:color w:val="222222"/>
          <w:spacing w:val="0"/>
          <w:position w:val="0"/>
          <w:sz w:val="24"/>
          <w:shd w:fill="FFFFFF" w:val="clear"/>
        </w:rPr>
        <w:t xml:space="preserve">. Hachette UK.</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Hack-Polay, D., Dal Mas, F., Mahmoud, A.B. and Rahman, M., 2022. Barriers to the effective exploitation of migrants' social and cultural capital in hospitality and tourism: A dual labour market perspective. </w:t>
      </w:r>
      <w:r>
        <w:rPr>
          <w:rFonts w:ascii="Arial" w:hAnsi="Arial" w:cs="Arial" w:eastAsia="Arial"/>
          <w:i/>
          <w:color w:val="222222"/>
          <w:spacing w:val="0"/>
          <w:position w:val="0"/>
          <w:sz w:val="24"/>
          <w:shd w:fill="FFFFFF" w:val="clear"/>
        </w:rPr>
        <w:t xml:space="preserve">Journal of Hospitality and 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50</w:t>
      </w:r>
      <w:r>
        <w:rPr>
          <w:rFonts w:ascii="Arial" w:hAnsi="Arial" w:cs="Arial" w:eastAsia="Arial"/>
          <w:color w:val="222222"/>
          <w:spacing w:val="0"/>
          <w:position w:val="0"/>
          <w:sz w:val="24"/>
          <w:shd w:fill="FFFFFF" w:val="clear"/>
        </w:rPr>
        <w:t xml:space="preserve">, pp.168-177.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Ioannou, G. and Dukes, R., 2021. Anything goes? Exploring the limits of employment law in UK hospitality and catering. </w:t>
      </w:r>
      <w:r>
        <w:rPr>
          <w:rFonts w:ascii="Arial" w:hAnsi="Arial" w:cs="Arial" w:eastAsia="Arial"/>
          <w:i/>
          <w:color w:val="222222"/>
          <w:spacing w:val="0"/>
          <w:position w:val="0"/>
          <w:sz w:val="24"/>
          <w:shd w:fill="FFFFFF" w:val="clear"/>
        </w:rPr>
        <w:t xml:space="preserve">Industrial Relations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52</w:t>
      </w:r>
      <w:r>
        <w:rPr>
          <w:rFonts w:ascii="Arial" w:hAnsi="Arial" w:cs="Arial" w:eastAsia="Arial"/>
          <w:color w:val="222222"/>
          <w:spacing w:val="0"/>
          <w:position w:val="0"/>
          <w:sz w:val="24"/>
          <w:shd w:fill="FFFFFF" w:val="clear"/>
        </w:rPr>
        <w:t xml:space="preserve">(3), pp.255-269.</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Ka, X., Ying, T. and Tang, J., 2023. A Conceptual Model for Developing Digital Maturity in Hospitality Micro and Small Enterprises. </w:t>
      </w:r>
      <w:r>
        <w:rPr>
          <w:rFonts w:ascii="Arial" w:hAnsi="Arial" w:cs="Arial" w:eastAsia="Arial"/>
          <w:i/>
          <w:color w:val="222222"/>
          <w:spacing w:val="0"/>
          <w:position w:val="0"/>
          <w:sz w:val="24"/>
          <w:shd w:fill="FFFFFF" w:val="clear"/>
        </w:rPr>
        <w:t xml:space="preserve">Journal of Theoretical and Applied Electronic Commerce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18</w:t>
      </w:r>
      <w:r>
        <w:rPr>
          <w:rFonts w:ascii="Arial" w:hAnsi="Arial" w:cs="Arial" w:eastAsia="Arial"/>
          <w:color w:val="222222"/>
          <w:spacing w:val="0"/>
          <w:position w:val="0"/>
          <w:sz w:val="24"/>
          <w:shd w:fill="FFFFFF" w:val="clear"/>
        </w:rPr>
        <w:t xml:space="preserve">(3), pp.1511-1528.</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Kim, J., Kim, J., Lee, S.K. and Tang, L.R., 2020. Effects of epidemic disease outbreaks on the financial performance of restaurants: Event study method approach. </w:t>
      </w:r>
      <w:r>
        <w:rPr>
          <w:rFonts w:ascii="Arial" w:hAnsi="Arial" w:cs="Arial" w:eastAsia="Arial"/>
          <w:i/>
          <w:color w:val="222222"/>
          <w:spacing w:val="0"/>
          <w:position w:val="0"/>
          <w:sz w:val="24"/>
          <w:shd w:fill="FFFFFF" w:val="clear"/>
        </w:rPr>
        <w:t xml:space="preserve">Journal of Hospitality and 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43</w:t>
      </w:r>
      <w:r>
        <w:rPr>
          <w:rFonts w:ascii="Arial" w:hAnsi="Arial" w:cs="Arial" w:eastAsia="Arial"/>
          <w:color w:val="222222"/>
          <w:spacing w:val="0"/>
          <w:position w:val="0"/>
          <w:sz w:val="24"/>
          <w:shd w:fill="FFFFFF" w:val="clear"/>
        </w:rPr>
        <w:t xml:space="preserve">, pp.32-41.</w:t>
      </w:r>
    </w:p>
    <w:p>
      <w:pPr>
        <w:spacing w:before="0" w:after="24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Mandarinoriental.com. (2019). </w:t>
      </w:r>
      <w:r>
        <w:rPr>
          <w:rFonts w:ascii="Arial" w:hAnsi="Arial" w:cs="Arial" w:eastAsia="Arial"/>
          <w:i/>
          <w:color w:val="000000"/>
          <w:spacing w:val="0"/>
          <w:position w:val="0"/>
          <w:sz w:val="24"/>
          <w:shd w:fill="auto" w:val="clear"/>
        </w:rPr>
        <w:t xml:space="preserve">Luxury 5-Star Hotels &amp; Resorts Worldwide | Mandarin Oriental Hotel Group</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4">
        <w:r>
          <w:rPr>
            <w:rFonts w:ascii="Arial" w:hAnsi="Arial" w:cs="Arial" w:eastAsia="Arial"/>
            <w:color w:val="0563C1"/>
            <w:spacing w:val="0"/>
            <w:position w:val="0"/>
            <w:sz w:val="24"/>
            <w:u w:val="single"/>
            <w:shd w:fill="auto" w:val="clear"/>
          </w:rPr>
          <w:t xml:space="preserve">https://www.mandarinoriental.com</w:t>
        </w:r>
      </w:hyperlink>
      <w:r>
        <w:rPr>
          <w:rFonts w:ascii="Arial" w:hAnsi="Arial" w:cs="Arial" w:eastAsia="Arial"/>
          <w:color w:val="000000"/>
          <w:spacing w:val="0"/>
          <w:position w:val="0"/>
          <w:sz w:val="24"/>
          <w:shd w:fill="auto" w:val="clear"/>
        </w:rPr>
        <w:t xml:space="preserve"> [Accessed 5 Oct. 2023].</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Morrison, A.M., 2022. </w:t>
      </w:r>
      <w:r>
        <w:rPr>
          <w:rFonts w:ascii="Arial" w:hAnsi="Arial" w:cs="Arial" w:eastAsia="Arial"/>
          <w:i/>
          <w:color w:val="222222"/>
          <w:spacing w:val="0"/>
          <w:position w:val="0"/>
          <w:sz w:val="24"/>
          <w:shd w:fill="FFFFFF" w:val="clear"/>
        </w:rPr>
        <w:t xml:space="preserve">Hospitality and travel marketing</w:t>
      </w:r>
      <w:r>
        <w:rPr>
          <w:rFonts w:ascii="Arial" w:hAnsi="Arial" w:cs="Arial" w:eastAsia="Arial"/>
          <w:color w:val="222222"/>
          <w:spacing w:val="0"/>
          <w:position w:val="0"/>
          <w:sz w:val="24"/>
          <w:shd w:fill="FFFFFF" w:val="clear"/>
        </w:rPr>
        <w:t xml:space="preserve">. Taylor &amp; Francis.</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Nicola, M., Alsafi, Z., Sohrabi, C., Kerwan, A., Al-Jabir, A., Iosifidis, C., Agha, M. and Agha, R., 2020. The socio-economic implications of the coronavirus pandemic (COVID-19): A review. </w:t>
      </w:r>
      <w:r>
        <w:rPr>
          <w:rFonts w:ascii="Arial" w:hAnsi="Arial" w:cs="Arial" w:eastAsia="Arial"/>
          <w:i/>
          <w:color w:val="222222"/>
          <w:spacing w:val="0"/>
          <w:position w:val="0"/>
          <w:sz w:val="24"/>
          <w:shd w:fill="FFFFFF" w:val="clear"/>
        </w:rPr>
        <w:t xml:space="preserve">International Journal of Surgery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78</w:t>
      </w:r>
      <w:r>
        <w:rPr>
          <w:rFonts w:ascii="Arial" w:hAnsi="Arial" w:cs="Arial" w:eastAsia="Arial"/>
          <w:color w:val="222222"/>
          <w:spacing w:val="0"/>
          <w:position w:val="0"/>
          <w:sz w:val="24"/>
          <w:shd w:fill="FFFFFF" w:val="clear"/>
        </w:rPr>
        <w:t xml:space="preserve">, pp.185-193.</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Ntounis, N., Parker, C., Skinner, H., Steadman, C. and Warnaby, G., 2022. Tourism and Hospitality industry resilience during the Covid-19 pandemic: Evidence from England. </w:t>
      </w:r>
      <w:r>
        <w:rPr>
          <w:rFonts w:ascii="Arial" w:hAnsi="Arial" w:cs="Arial" w:eastAsia="Arial"/>
          <w:i/>
          <w:color w:val="222222"/>
          <w:spacing w:val="0"/>
          <w:position w:val="0"/>
          <w:sz w:val="24"/>
          <w:shd w:fill="FFFFFF" w:val="clear"/>
        </w:rPr>
        <w:t xml:space="preserve">Current Issues in Tourism</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25</w:t>
      </w:r>
      <w:r>
        <w:rPr>
          <w:rFonts w:ascii="Arial" w:hAnsi="Arial" w:cs="Arial" w:eastAsia="Arial"/>
          <w:color w:val="222222"/>
          <w:spacing w:val="0"/>
          <w:position w:val="0"/>
          <w:sz w:val="24"/>
          <w:shd w:fill="FFFFFF" w:val="clear"/>
        </w:rPr>
        <w:t xml:space="preserve">(1), pp.46-59.</w:t>
      </w:r>
    </w:p>
    <w:p>
      <w:pPr>
        <w:spacing w:before="0" w:after="24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Premierinn.com. (2023). </w:t>
      </w:r>
      <w:r>
        <w:rPr>
          <w:rFonts w:ascii="Arial" w:hAnsi="Arial" w:cs="Arial" w:eastAsia="Arial"/>
          <w:i/>
          <w:color w:val="000000"/>
          <w:spacing w:val="0"/>
          <w:position w:val="0"/>
          <w:sz w:val="24"/>
          <w:shd w:fill="auto" w:val="clear"/>
        </w:rPr>
        <w:t xml:space="preserve">Premier Inn hotels | Book direct</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https://www.premierinn.com/gb/en/home.html</w:t>
        </w:r>
      </w:hyperlink>
      <w:r>
        <w:rPr>
          <w:rFonts w:ascii="Arial" w:hAnsi="Arial" w:cs="Arial" w:eastAsia="Arial"/>
          <w:color w:val="000000"/>
          <w:spacing w:val="0"/>
          <w:position w:val="0"/>
          <w:sz w:val="24"/>
          <w:shd w:fill="auto" w:val="clear"/>
        </w:rPr>
        <w:t xml:space="preserve"> [Accessed 5 Oct. 2023].</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Rasul, T., 2019. The trends, opportunities and challenges of tourism: a systematic literature review. </w:t>
      </w:r>
      <w:r>
        <w:rPr>
          <w:rFonts w:ascii="Arial" w:hAnsi="Arial" w:cs="Arial" w:eastAsia="Arial"/>
          <w:i/>
          <w:color w:val="222222"/>
          <w:spacing w:val="0"/>
          <w:position w:val="0"/>
          <w:sz w:val="24"/>
          <w:shd w:fill="FFFFFF" w:val="clear"/>
        </w:rPr>
        <w:t xml:space="preserve">Tourism Recreation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44</w:t>
      </w:r>
      <w:r>
        <w:rPr>
          <w:rFonts w:ascii="Arial" w:hAnsi="Arial" w:cs="Arial" w:eastAsia="Arial"/>
          <w:color w:val="222222"/>
          <w:spacing w:val="0"/>
          <w:position w:val="0"/>
          <w:sz w:val="24"/>
          <w:shd w:fill="FFFFFF" w:val="clear"/>
        </w:rPr>
        <w:t xml:space="preserve">(4), pp.434-450.</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Roy, S., 2022. Changes in Hotel Accommodation Trends in the Past Decades. </w:t>
      </w:r>
      <w:r>
        <w:rPr>
          <w:rFonts w:ascii="Arial" w:hAnsi="Arial" w:cs="Arial" w:eastAsia="Arial"/>
          <w:i/>
          <w:color w:val="222222"/>
          <w:spacing w:val="0"/>
          <w:position w:val="0"/>
          <w:sz w:val="24"/>
          <w:shd w:fill="FFFFFF" w:val="clear"/>
        </w:rPr>
        <w:t xml:space="preserve">ATITHYA: A Journal of Hospitality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8</w:t>
      </w:r>
      <w:r>
        <w:rPr>
          <w:rFonts w:ascii="Arial" w:hAnsi="Arial" w:cs="Arial" w:eastAsia="Arial"/>
          <w:color w:val="222222"/>
          <w:spacing w:val="0"/>
          <w:position w:val="0"/>
          <w:sz w:val="24"/>
          <w:shd w:fill="FFFFFF" w:val="clear"/>
        </w:rPr>
        <w:t xml:space="preserve">(1).</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Sakovska, O., Kozhukhivska, R., Kustrich, L., Gomeniuk, M. and Podzihun, S., 2021, November. Improvement of the Marketing Management System of Tourism and Hospitality Industry Enterprises based on Innovations. In </w:t>
      </w:r>
      <w:r>
        <w:rPr>
          <w:rFonts w:ascii="Arial" w:hAnsi="Arial" w:cs="Arial" w:eastAsia="Arial"/>
          <w:i/>
          <w:color w:val="222222"/>
          <w:spacing w:val="0"/>
          <w:position w:val="0"/>
          <w:sz w:val="24"/>
          <w:shd w:fill="FFFFFF" w:val="clear"/>
        </w:rPr>
        <w:t xml:space="preserve">International Conference on Business and Technology</w:t>
      </w:r>
      <w:r>
        <w:rPr>
          <w:rFonts w:ascii="Arial" w:hAnsi="Arial" w:cs="Arial" w:eastAsia="Arial"/>
          <w:color w:val="222222"/>
          <w:spacing w:val="0"/>
          <w:position w:val="0"/>
          <w:sz w:val="24"/>
          <w:shd w:fill="FFFFFF" w:val="clear"/>
        </w:rPr>
        <w:t xml:space="preserve"> (pp. 881-895). Cham: Springer International Publishing.</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Taecharungroj, V. and Mathayomchan, B., 2019. Analysing TripAdvisor reviews of tourist attractions in Phuket, Thailand. </w:t>
      </w:r>
      <w:r>
        <w:rPr>
          <w:rFonts w:ascii="Arial" w:hAnsi="Arial" w:cs="Arial" w:eastAsia="Arial"/>
          <w:i/>
          <w:color w:val="222222"/>
          <w:spacing w:val="0"/>
          <w:position w:val="0"/>
          <w:sz w:val="24"/>
          <w:shd w:fill="FFFFFF" w:val="clear"/>
        </w:rPr>
        <w:t xml:space="preserve">Tourism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75</w:t>
      </w:r>
      <w:r>
        <w:rPr>
          <w:rFonts w:ascii="Arial" w:hAnsi="Arial" w:cs="Arial" w:eastAsia="Arial"/>
          <w:color w:val="222222"/>
          <w:spacing w:val="0"/>
          <w:position w:val="0"/>
          <w:sz w:val="24"/>
          <w:shd w:fill="FFFFFF" w:val="clear"/>
        </w:rPr>
        <w:t xml:space="preserve">, pp.550-568.</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Woo, L., Assaf, A.G., Josiassen, A. and Kock, F., 2019. Internationalization and hotel performance: Agglomeration-related moderators. </w:t>
      </w:r>
      <w:r>
        <w:rPr>
          <w:rFonts w:ascii="Arial" w:hAnsi="Arial" w:cs="Arial" w:eastAsia="Arial"/>
          <w:i/>
          <w:color w:val="222222"/>
          <w:spacing w:val="0"/>
          <w:position w:val="0"/>
          <w:sz w:val="24"/>
          <w:shd w:fill="FFFFFF" w:val="clear"/>
        </w:rPr>
        <w:t xml:space="preserve">International Journal of Hospitality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82</w:t>
      </w:r>
      <w:r>
        <w:rPr>
          <w:rFonts w:ascii="Arial" w:hAnsi="Arial" w:cs="Arial" w:eastAsia="Arial"/>
          <w:color w:val="222222"/>
          <w:spacing w:val="0"/>
          <w:position w:val="0"/>
          <w:sz w:val="24"/>
          <w:shd w:fill="FFFFFF" w:val="clear"/>
        </w:rPr>
        <w:t xml:space="preserve">, pp.48-58.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ode="External" Target="https://www.premierinn.com/gb/en/home.html"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Mode="External" Target="https://www.mandarinoriental.com/" Id="docRId4" Type="http://schemas.openxmlformats.org/officeDocument/2006/relationships/hyperlink" /><Relationship Target="numbering.xml" Id="docRId6" Type="http://schemas.openxmlformats.org/officeDocument/2006/relationships/numbering" /></Relationships>
</file>