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D987EC" w14:textId="5CCF1B20" w:rsidR="7EA504FD" w:rsidRDefault="7EA504FD" w:rsidP="7EA504FD">
      <w:pPr>
        <w:shd w:val="clear" w:color="auto" w:fill="FFFFFF" w:themeFill="background1"/>
      </w:pPr>
    </w:p>
    <w:p w14:paraId="3AC05133" w14:textId="47B08070" w:rsidR="4536A487" w:rsidRDefault="4536A487" w:rsidP="7EA504FD">
      <w:pPr>
        <w:ind w:left="-20" w:right="-20"/>
      </w:pPr>
      <w:r w:rsidRPr="7EA504FD">
        <w:rPr>
          <w:rFonts w:ascii="system-ui" w:eastAsia="system-ui" w:hAnsi="system-ui" w:cs="system-ui"/>
          <w:b/>
          <w:bCs/>
          <w:color w:val="0D0D0D" w:themeColor="text1" w:themeTint="F2"/>
          <w:sz w:val="24"/>
          <w:szCs w:val="24"/>
        </w:rPr>
        <w:t>Title:</w:t>
      </w:r>
      <w:r w:rsidR="25455986" w:rsidRPr="7EA504FD">
        <w:rPr>
          <w:rFonts w:ascii="Arial" w:eastAsia="Arial" w:hAnsi="Arial" w:cs="Arial"/>
          <w:b/>
          <w:bCs/>
          <w:sz w:val="24"/>
          <w:szCs w:val="24"/>
        </w:rPr>
        <w:t xml:space="preserve"> Analyse and evaluate the extent to which the criminal law is prepared to accept that  a victim may consent to harm. </w:t>
      </w:r>
    </w:p>
    <w:p w14:paraId="31FD4461" w14:textId="5CE89C6E" w:rsidR="7EA504FD" w:rsidRDefault="7EA504FD" w:rsidP="7EA504FD">
      <w:pPr>
        <w:ind w:left="-20" w:right="-20"/>
        <w:rPr>
          <w:rFonts w:ascii="Arial" w:eastAsia="Arial" w:hAnsi="Arial" w:cs="Arial"/>
          <w:b/>
          <w:bCs/>
          <w:sz w:val="24"/>
          <w:szCs w:val="24"/>
        </w:rPr>
      </w:pPr>
    </w:p>
    <w:p w14:paraId="386E437C" w14:textId="1B638150" w:rsidR="4536A487" w:rsidRDefault="4536A487" w:rsidP="7EA504FD">
      <w:pPr>
        <w:shd w:val="clear" w:color="auto" w:fill="FFFFFF" w:themeFill="background1"/>
      </w:pPr>
      <w:r w:rsidRPr="7EA504FD">
        <w:rPr>
          <w:rFonts w:ascii="system-ui" w:eastAsia="system-ui" w:hAnsi="system-ui" w:cs="system-ui"/>
          <w:b/>
          <w:bCs/>
          <w:color w:val="0D0D0D" w:themeColor="text1" w:themeTint="F2"/>
          <w:sz w:val="24"/>
          <w:szCs w:val="24"/>
        </w:rPr>
        <w:t xml:space="preserve"> </w:t>
      </w:r>
      <w:r w:rsidR="0C7E4CC9" w:rsidRPr="7EA504FD">
        <w:rPr>
          <w:rFonts w:ascii="system-ui" w:eastAsia="system-ui" w:hAnsi="system-ui" w:cs="system-ui"/>
          <w:b/>
          <w:bCs/>
          <w:color w:val="0D0D0D" w:themeColor="text1" w:themeTint="F2"/>
          <w:sz w:val="24"/>
          <w:szCs w:val="24"/>
        </w:rPr>
        <w:t>Introduction:</w:t>
      </w:r>
    </w:p>
    <w:p w14:paraId="32F4F8B3" w14:textId="64AA27B5" w:rsidR="0C7E4CC9" w:rsidRDefault="0C7E4CC9" w:rsidP="7EA504FD">
      <w:r w:rsidRPr="7EA504FD">
        <w:rPr>
          <w:rFonts w:ascii="system-ui" w:eastAsia="system-ui" w:hAnsi="system-ui" w:cs="system-ui"/>
          <w:color w:val="0D0D0D" w:themeColor="text1" w:themeTint="F2"/>
          <w:sz w:val="24"/>
          <w:szCs w:val="24"/>
        </w:rPr>
        <w:t xml:space="preserve"> </w:t>
      </w:r>
      <w:r w:rsidR="6C5D19AD" w:rsidRPr="7EA504FD">
        <w:rPr>
          <w:rFonts w:ascii="system-ui" w:eastAsia="system-ui" w:hAnsi="system-ui" w:cs="system-ui"/>
          <w:sz w:val="24"/>
          <w:szCs w:val="24"/>
        </w:rPr>
        <w:t>The recognition of an individual's permission to harm presents complex legal and moral issues in the context of UK criminal law. Usually interpreted as voluntary agreement, consent becomes controversial when it comes to circumstances involving damage or injury.</w:t>
      </w:r>
      <w:r w:rsidR="59222868" w:rsidRPr="7EA504FD">
        <w:rPr>
          <w:rFonts w:ascii="system-ui" w:eastAsia="system-ui" w:hAnsi="system-ui" w:cs="system-ui"/>
          <w:sz w:val="24"/>
          <w:szCs w:val="24"/>
        </w:rPr>
        <w:t xml:space="preserve"> This essay explores the nuances of how the UK legal system </w:t>
      </w:r>
      <w:r w:rsidR="006B4C25" w:rsidRPr="7EA504FD">
        <w:rPr>
          <w:rFonts w:ascii="system-ui" w:eastAsia="system-ui" w:hAnsi="system-ui" w:cs="system-ui"/>
          <w:sz w:val="24"/>
          <w:szCs w:val="24"/>
        </w:rPr>
        <w:t>recognises</w:t>
      </w:r>
      <w:r w:rsidR="59222868" w:rsidRPr="7EA504FD">
        <w:rPr>
          <w:rFonts w:ascii="system-ui" w:eastAsia="system-ui" w:hAnsi="system-ui" w:cs="system-ui"/>
          <w:sz w:val="24"/>
          <w:szCs w:val="24"/>
        </w:rPr>
        <w:t xml:space="preserve"> victim consent to harm. It seeks to clarify how consent functions as a </w:t>
      </w:r>
      <w:r w:rsidR="006B4C25" w:rsidRPr="7EA504FD">
        <w:rPr>
          <w:rFonts w:ascii="system-ui" w:eastAsia="system-ui" w:hAnsi="system-ui" w:cs="system-ui"/>
          <w:sz w:val="24"/>
          <w:szCs w:val="24"/>
        </w:rPr>
        <w:t>defence</w:t>
      </w:r>
      <w:r w:rsidR="59222868" w:rsidRPr="7EA504FD">
        <w:rPr>
          <w:rFonts w:ascii="system-ui" w:eastAsia="system-ui" w:hAnsi="system-ui" w:cs="system-ui"/>
          <w:sz w:val="24"/>
          <w:szCs w:val="24"/>
        </w:rPr>
        <w:t xml:space="preserve"> in various criminal contexts by examining landmark cases, legislative provisions, and academic discourse.</w:t>
      </w:r>
      <w:r w:rsidR="139EC3ED" w:rsidRPr="7EA504FD">
        <w:rPr>
          <w:rFonts w:ascii="system-ui" w:eastAsia="system-ui" w:hAnsi="system-ui" w:cs="system-ui"/>
          <w:sz w:val="24"/>
          <w:szCs w:val="24"/>
        </w:rPr>
        <w:t xml:space="preserve"> Although permission is based on the fundamental principles of autonomy, its application is complex and depends on various aspects, including the type of harm, the individual's capacity, and the lack of compulsion. Although consent is acknowledged for a variety of crimes, including sexual </w:t>
      </w:r>
      <w:r w:rsidR="006B4C25" w:rsidRPr="7EA504FD">
        <w:rPr>
          <w:rFonts w:ascii="system-ui" w:eastAsia="system-ui" w:hAnsi="system-ui" w:cs="system-ui"/>
          <w:sz w:val="24"/>
          <w:szCs w:val="24"/>
        </w:rPr>
        <w:t>offences</w:t>
      </w:r>
      <w:r w:rsidR="139EC3ED" w:rsidRPr="7EA504FD">
        <w:rPr>
          <w:rFonts w:ascii="system-ui" w:eastAsia="system-ui" w:hAnsi="system-ui" w:cs="system-ui"/>
          <w:sz w:val="24"/>
          <w:szCs w:val="24"/>
        </w:rPr>
        <w:t xml:space="preserve">, assault, and battery, worries about exploitation and coercion endure, particularly in situations where there are power disparities. This essay examines how victim consent is changing in relation to UK criminal law, considering the ramifications for legal and ethical discourse as well as the delicate balance that needs to be struck between social interests and individual liberty. </w:t>
      </w:r>
    </w:p>
    <w:p w14:paraId="66B56B72" w14:textId="3A7BEC99" w:rsidR="7EA504FD" w:rsidRDefault="7EA504FD"/>
    <w:p w14:paraId="6BE92209" w14:textId="7C832E6E" w:rsidR="6C5D19AD" w:rsidRDefault="6C5D19AD" w:rsidP="7EA504FD">
      <w:pPr>
        <w:shd w:val="clear" w:color="auto" w:fill="FFFFFF" w:themeFill="background1"/>
      </w:pPr>
      <w:r w:rsidRPr="7EA504FD">
        <w:rPr>
          <w:rFonts w:ascii="system-ui" w:eastAsia="system-ui" w:hAnsi="system-ui" w:cs="system-ui"/>
          <w:sz w:val="24"/>
          <w:szCs w:val="24"/>
        </w:rPr>
        <w:t xml:space="preserve"> </w:t>
      </w:r>
      <w:r w:rsidR="5B3AF78B" w:rsidRPr="7EA504FD">
        <w:rPr>
          <w:rFonts w:ascii="system-ui" w:eastAsia="system-ui" w:hAnsi="system-ui" w:cs="system-ui"/>
          <w:b/>
          <w:bCs/>
          <w:color w:val="0D0D0D" w:themeColor="text1" w:themeTint="F2"/>
          <w:sz w:val="24"/>
          <w:szCs w:val="24"/>
        </w:rPr>
        <w:t>Main Body:</w:t>
      </w:r>
    </w:p>
    <w:p w14:paraId="02249436" w14:textId="28E9FB39" w:rsidR="5B3AF78B" w:rsidRDefault="5B3AF78B">
      <w:r w:rsidRPr="7EA504FD">
        <w:rPr>
          <w:rFonts w:ascii="system-ui" w:eastAsia="system-ui" w:hAnsi="system-ui" w:cs="system-ui"/>
          <w:b/>
          <w:bCs/>
          <w:color w:val="0D0D0D" w:themeColor="text1" w:themeTint="F2"/>
          <w:sz w:val="24"/>
          <w:szCs w:val="24"/>
        </w:rPr>
        <w:t>Recognition of Consent in UK Criminal Law:</w:t>
      </w:r>
    </w:p>
    <w:p w14:paraId="3F8156A9" w14:textId="7A19787E" w:rsidR="31A15FB1" w:rsidRDefault="31A15FB1" w:rsidP="7EA504FD">
      <w:pPr>
        <w:rPr>
          <w:rFonts w:ascii="system-ui" w:eastAsia="system-ui" w:hAnsi="system-ui" w:cs="system-ui"/>
          <w:color w:val="0D0D0D" w:themeColor="text1" w:themeTint="F2"/>
          <w:sz w:val="24"/>
          <w:szCs w:val="24"/>
        </w:rPr>
      </w:pPr>
      <w:r w:rsidRPr="7EA504FD">
        <w:rPr>
          <w:rFonts w:ascii="system-ui" w:eastAsia="system-ui" w:hAnsi="system-ui" w:cs="system-ui"/>
          <w:sz w:val="24"/>
          <w:szCs w:val="24"/>
        </w:rPr>
        <w:t xml:space="preserve">Under UK criminal law, consent is </w:t>
      </w:r>
      <w:r w:rsidR="006B4C25" w:rsidRPr="7EA504FD">
        <w:rPr>
          <w:rFonts w:ascii="system-ui" w:eastAsia="system-ui" w:hAnsi="system-ui" w:cs="system-ui"/>
          <w:sz w:val="24"/>
          <w:szCs w:val="24"/>
        </w:rPr>
        <w:t>recognised</w:t>
      </w:r>
      <w:r w:rsidRPr="7EA504FD">
        <w:rPr>
          <w:rFonts w:ascii="system-ui" w:eastAsia="system-ui" w:hAnsi="system-ui" w:cs="system-ui"/>
          <w:sz w:val="24"/>
          <w:szCs w:val="24"/>
        </w:rPr>
        <w:t xml:space="preserve"> in a variety of ways depending on the </w:t>
      </w:r>
      <w:r w:rsidR="006B4C25" w:rsidRPr="7EA504FD">
        <w:rPr>
          <w:rFonts w:ascii="system-ui" w:eastAsia="system-ui" w:hAnsi="system-ui" w:cs="system-ui"/>
          <w:sz w:val="24"/>
          <w:szCs w:val="24"/>
        </w:rPr>
        <w:t>offence</w:t>
      </w:r>
      <w:r w:rsidRPr="7EA504FD">
        <w:rPr>
          <w:rFonts w:ascii="system-ui" w:eastAsia="system-ui" w:hAnsi="system-ui" w:cs="system-ui"/>
          <w:sz w:val="24"/>
          <w:szCs w:val="24"/>
        </w:rPr>
        <w:t xml:space="preserve"> and the legal setting. It is a complicated and subtle term. Assault and battery charges are among the main situations in which consent is </w:t>
      </w:r>
      <w:r w:rsidR="006B4C25" w:rsidRPr="7EA504FD">
        <w:rPr>
          <w:rFonts w:ascii="system-ui" w:eastAsia="system-ui" w:hAnsi="system-ui" w:cs="system-ui"/>
          <w:sz w:val="24"/>
          <w:szCs w:val="24"/>
        </w:rPr>
        <w:t>recognised</w:t>
      </w:r>
      <w:r w:rsidRPr="7EA504FD">
        <w:rPr>
          <w:rFonts w:ascii="system-ui" w:eastAsia="system-ui" w:hAnsi="system-ui" w:cs="system-ui"/>
          <w:sz w:val="24"/>
          <w:szCs w:val="24"/>
        </w:rPr>
        <w:t>.</w:t>
      </w:r>
      <w:r w:rsidR="5C5DFA9C" w:rsidRPr="7EA504FD">
        <w:rPr>
          <w:rFonts w:ascii="system-ui" w:eastAsia="system-ui" w:hAnsi="system-ui" w:cs="system-ui"/>
          <w:sz w:val="24"/>
          <w:szCs w:val="24"/>
        </w:rPr>
        <w:t xml:space="preserve"> Consent can be used as a </w:t>
      </w:r>
      <w:r w:rsidR="006B4C25" w:rsidRPr="7EA504FD">
        <w:rPr>
          <w:rFonts w:ascii="system-ui" w:eastAsia="system-ui" w:hAnsi="system-ui" w:cs="system-ui"/>
          <w:sz w:val="24"/>
          <w:szCs w:val="24"/>
        </w:rPr>
        <w:t>defence</w:t>
      </w:r>
      <w:r w:rsidR="5C5DFA9C" w:rsidRPr="7EA504FD">
        <w:rPr>
          <w:rFonts w:ascii="system-ui" w:eastAsia="system-ui" w:hAnsi="system-ui" w:cs="system-ui"/>
          <w:sz w:val="24"/>
          <w:szCs w:val="24"/>
        </w:rPr>
        <w:t xml:space="preserve"> against accusations of assault and battery if it is offered voluntarily, intelligently, and by a competent person, according to the principle established by the seminal decision of R v. Brown [1994] 1 AC 122.</w:t>
      </w:r>
      <w:r w:rsidRPr="7EA504FD">
        <w:rPr>
          <w:rFonts w:ascii="system-ui" w:eastAsia="system-ui" w:hAnsi="system-ui" w:cs="system-ui"/>
          <w:sz w:val="24"/>
          <w:szCs w:val="24"/>
        </w:rPr>
        <w:t xml:space="preserve"> </w:t>
      </w:r>
      <w:r w:rsidR="5B3AF78B" w:rsidRPr="7EA504FD">
        <w:rPr>
          <w:rFonts w:ascii="system-ui" w:eastAsia="system-ui" w:hAnsi="system-ui" w:cs="system-ui"/>
          <w:color w:val="0D0D0D" w:themeColor="text1" w:themeTint="F2"/>
          <w:sz w:val="24"/>
          <w:szCs w:val="24"/>
        </w:rPr>
        <w:t xml:space="preserve"> </w:t>
      </w:r>
      <w:r w:rsidR="1D10FA1F" w:rsidRPr="7EA504FD">
        <w:rPr>
          <w:rFonts w:ascii="system-ui" w:eastAsia="system-ui" w:hAnsi="system-ui" w:cs="system-ui"/>
          <w:sz w:val="24"/>
          <w:szCs w:val="24"/>
        </w:rPr>
        <w:t xml:space="preserve">Furthermore, defining the importance of consent in sexual assaults is a major task for the Sexual Offences Act of 2003. While the Act acknowledges the significance of consent in determining whether sexual activity is legal, it also lists situations in which consent is not valid, including when it is obtained by coercion or deception or when the subject is incapable of giving consent because of intoxication or other circumstances. </w:t>
      </w:r>
      <w:r w:rsidR="6B26CCA7" w:rsidRPr="7EA504FD">
        <w:rPr>
          <w:rFonts w:ascii="system-ui" w:eastAsia="system-ui" w:hAnsi="system-ui" w:cs="system-ui"/>
          <w:sz w:val="24"/>
          <w:szCs w:val="24"/>
        </w:rPr>
        <w:t xml:space="preserve">With a focus on safeguarding people from exploitation and suffering, this regulatory framework represents a thorough knowledge of consent in relation to sexual </w:t>
      </w:r>
      <w:r w:rsidR="006B4C25" w:rsidRPr="7EA504FD">
        <w:rPr>
          <w:rFonts w:ascii="system-ui" w:eastAsia="system-ui" w:hAnsi="system-ui" w:cs="system-ui"/>
          <w:sz w:val="24"/>
          <w:szCs w:val="24"/>
        </w:rPr>
        <w:t>offences</w:t>
      </w:r>
      <w:r w:rsidR="6B26CCA7" w:rsidRPr="7EA504FD">
        <w:rPr>
          <w:rFonts w:ascii="system-ui" w:eastAsia="system-ui" w:hAnsi="system-ui" w:cs="system-ui"/>
          <w:sz w:val="24"/>
          <w:szCs w:val="24"/>
        </w:rPr>
        <w:t xml:space="preserve">. </w:t>
      </w:r>
      <w:r w:rsidR="235D7598" w:rsidRPr="7EA504FD">
        <w:rPr>
          <w:rFonts w:ascii="system-ui" w:eastAsia="system-ui" w:hAnsi="system-ui" w:cs="system-ui"/>
          <w:sz w:val="24"/>
          <w:szCs w:val="24"/>
        </w:rPr>
        <w:t xml:space="preserve">In addition, permission is frequently </w:t>
      </w:r>
      <w:r w:rsidR="006B4C25" w:rsidRPr="7EA504FD">
        <w:rPr>
          <w:rFonts w:ascii="system-ui" w:eastAsia="system-ui" w:hAnsi="system-ui" w:cs="system-ui"/>
          <w:sz w:val="24"/>
          <w:szCs w:val="24"/>
        </w:rPr>
        <w:t>recognised</w:t>
      </w:r>
      <w:r w:rsidR="235D7598" w:rsidRPr="7EA504FD">
        <w:rPr>
          <w:rFonts w:ascii="system-ui" w:eastAsia="system-ui" w:hAnsi="system-ui" w:cs="system-ui"/>
          <w:sz w:val="24"/>
          <w:szCs w:val="24"/>
        </w:rPr>
        <w:t xml:space="preserve"> as a </w:t>
      </w:r>
      <w:r w:rsidR="006B4C25" w:rsidRPr="7EA504FD">
        <w:rPr>
          <w:rFonts w:ascii="system-ui" w:eastAsia="system-ui" w:hAnsi="system-ui" w:cs="system-ui"/>
          <w:sz w:val="24"/>
          <w:szCs w:val="24"/>
        </w:rPr>
        <w:t>defence</w:t>
      </w:r>
      <w:r w:rsidR="235D7598" w:rsidRPr="7EA504FD">
        <w:rPr>
          <w:rFonts w:ascii="system-ui" w:eastAsia="system-ui" w:hAnsi="system-ui" w:cs="system-ui"/>
          <w:sz w:val="24"/>
          <w:szCs w:val="24"/>
        </w:rPr>
        <w:t xml:space="preserve"> in the context of sports-related injuries since players implicitly consent to a certain amount of physical contact that occurs within the bounds of the game. This idea is best shown by the ruling in R v. Barnes [2004] EWCA </w:t>
      </w:r>
      <w:proofErr w:type="spellStart"/>
      <w:r w:rsidR="235D7598" w:rsidRPr="7EA504FD">
        <w:rPr>
          <w:rFonts w:ascii="system-ui" w:eastAsia="system-ui" w:hAnsi="system-ui" w:cs="system-ui"/>
          <w:sz w:val="24"/>
          <w:szCs w:val="24"/>
        </w:rPr>
        <w:t>Crim</w:t>
      </w:r>
      <w:proofErr w:type="spellEnd"/>
      <w:r w:rsidR="235D7598" w:rsidRPr="7EA504FD">
        <w:rPr>
          <w:rFonts w:ascii="system-ui" w:eastAsia="system-ui" w:hAnsi="system-ui" w:cs="system-ui"/>
          <w:sz w:val="24"/>
          <w:szCs w:val="24"/>
        </w:rPr>
        <w:t xml:space="preserve"> 324, where the court acknowledged that athletes naturally assume the risks involved with their chosen sports. </w:t>
      </w:r>
      <w:r w:rsidR="224FE347" w:rsidRPr="7EA504FD">
        <w:rPr>
          <w:rFonts w:ascii="system-ui" w:eastAsia="system-ui" w:hAnsi="system-ui" w:cs="system-ui"/>
          <w:sz w:val="24"/>
          <w:szCs w:val="24"/>
        </w:rPr>
        <w:t>It is imperative to acknowledge that this agreement has its limitations and does not encompass behaviour's that are extremely aggressive or beyond the parameters of the sport's standards.</w:t>
      </w:r>
      <w:r w:rsidR="60F4C878" w:rsidRPr="7EA504FD">
        <w:rPr>
          <w:rFonts w:ascii="system-ui" w:eastAsia="system-ui" w:hAnsi="system-ui" w:cs="system-ui"/>
          <w:sz w:val="24"/>
          <w:szCs w:val="24"/>
        </w:rPr>
        <w:t xml:space="preserve"> The concept of consent applies to many other areas of criminal law, such as medical treatment and surgical treatments, in addition to assault, battery, and sexual </w:t>
      </w:r>
      <w:r w:rsidR="006B4C25" w:rsidRPr="7EA504FD">
        <w:rPr>
          <w:rFonts w:ascii="system-ui" w:eastAsia="system-ui" w:hAnsi="system-ui" w:cs="system-ui"/>
          <w:sz w:val="24"/>
          <w:szCs w:val="24"/>
        </w:rPr>
        <w:t>offences</w:t>
      </w:r>
      <w:r w:rsidR="60F4C878" w:rsidRPr="7EA504FD">
        <w:rPr>
          <w:rFonts w:ascii="system-ui" w:eastAsia="system-ui" w:hAnsi="system-ui" w:cs="system-ui"/>
          <w:sz w:val="24"/>
          <w:szCs w:val="24"/>
        </w:rPr>
        <w:t xml:space="preserve">. The UK Supreme Court </w:t>
      </w:r>
      <w:r w:rsidR="006B4C25" w:rsidRPr="7EA504FD">
        <w:rPr>
          <w:rFonts w:ascii="system-ui" w:eastAsia="system-ui" w:hAnsi="system-ui" w:cs="system-ui"/>
          <w:sz w:val="24"/>
          <w:szCs w:val="24"/>
        </w:rPr>
        <w:t>emphasised</w:t>
      </w:r>
      <w:r w:rsidR="60F4C878" w:rsidRPr="7EA504FD">
        <w:rPr>
          <w:rFonts w:ascii="system-ui" w:eastAsia="system-ui" w:hAnsi="system-ui" w:cs="system-ui"/>
          <w:sz w:val="24"/>
          <w:szCs w:val="24"/>
        </w:rPr>
        <w:t xml:space="preserve"> the value of informed consent in medical interventions in Montgomery v. Lanarkshire Health Board [2015] UKSC 11, highlighting the patient's autonomy in making healthcare decisions.</w:t>
      </w:r>
      <w:r w:rsidR="224FE347" w:rsidRPr="7EA504FD">
        <w:rPr>
          <w:rFonts w:ascii="system-ui" w:eastAsia="system-ui" w:hAnsi="system-ui" w:cs="system-ui"/>
          <w:sz w:val="24"/>
          <w:szCs w:val="24"/>
        </w:rPr>
        <w:t xml:space="preserve"> </w:t>
      </w:r>
      <w:r w:rsidR="1F99ADAA" w:rsidRPr="7EA504FD">
        <w:rPr>
          <w:rFonts w:ascii="system-ui" w:eastAsia="system-ui" w:hAnsi="system-ui" w:cs="system-ui"/>
          <w:sz w:val="24"/>
          <w:szCs w:val="24"/>
        </w:rPr>
        <w:t xml:space="preserve">This significant case highlights the importance of consent rules in protecting individual autonomy and bodily integrity in a variety of circumstances by extending their application beyond standard criminal violations. </w:t>
      </w:r>
    </w:p>
    <w:p w14:paraId="1F11873F" w14:textId="2D2055A7" w:rsidR="5B3AF78B" w:rsidRDefault="5B3AF78B" w:rsidP="7EA504FD">
      <w:pPr>
        <w:rPr>
          <w:rFonts w:ascii="system-ui" w:eastAsia="system-ui" w:hAnsi="system-ui" w:cs="system-ui"/>
          <w:b/>
          <w:bCs/>
          <w:color w:val="0D0D0D" w:themeColor="text1" w:themeTint="F2"/>
          <w:sz w:val="24"/>
          <w:szCs w:val="24"/>
        </w:rPr>
      </w:pPr>
      <w:r w:rsidRPr="7EA504FD">
        <w:rPr>
          <w:rFonts w:ascii="system-ui" w:eastAsia="system-ui" w:hAnsi="system-ui" w:cs="system-ui"/>
          <w:b/>
          <w:bCs/>
          <w:color w:val="0D0D0D" w:themeColor="text1" w:themeTint="F2"/>
          <w:sz w:val="24"/>
          <w:szCs w:val="24"/>
        </w:rPr>
        <w:lastRenderedPageBreak/>
        <w:t>Basis for Permitting Consent:</w:t>
      </w:r>
    </w:p>
    <w:p w14:paraId="0DCA9D69" w14:textId="4DBE794F" w:rsidR="0B351AE9" w:rsidRDefault="0B351AE9" w:rsidP="7EA504FD">
      <w:pPr>
        <w:rPr>
          <w:rFonts w:ascii="system-ui" w:eastAsia="system-ui" w:hAnsi="system-ui" w:cs="system-ui"/>
          <w:color w:val="0D0D0D" w:themeColor="text1" w:themeTint="F2"/>
          <w:sz w:val="24"/>
          <w:szCs w:val="24"/>
        </w:rPr>
      </w:pPr>
      <w:r w:rsidRPr="7EA504FD">
        <w:rPr>
          <w:rFonts w:ascii="system-ui" w:eastAsia="system-ui" w:hAnsi="system-ui" w:cs="system-ui"/>
          <w:sz w:val="24"/>
          <w:szCs w:val="24"/>
        </w:rPr>
        <w:t>The foundational concepts of autonomy, human liberty, and personal responsibility serve as the foundation for the acknowledgment of consent in UK criminal law. The legal phrase "</w:t>
      </w:r>
      <w:proofErr w:type="spellStart"/>
      <w:r w:rsidRPr="7EA504FD">
        <w:rPr>
          <w:rFonts w:ascii="system-ui" w:eastAsia="system-ui" w:hAnsi="system-ui" w:cs="system-ui"/>
          <w:sz w:val="24"/>
          <w:szCs w:val="24"/>
        </w:rPr>
        <w:t>volenti</w:t>
      </w:r>
      <w:proofErr w:type="spellEnd"/>
      <w:r w:rsidRPr="7EA504FD">
        <w:rPr>
          <w:rFonts w:ascii="system-ui" w:eastAsia="system-ui" w:hAnsi="system-ui" w:cs="system-ui"/>
          <w:sz w:val="24"/>
          <w:szCs w:val="24"/>
        </w:rPr>
        <w:t xml:space="preserve"> non fit </w:t>
      </w:r>
      <w:proofErr w:type="spellStart"/>
      <w:r w:rsidRPr="7EA504FD">
        <w:rPr>
          <w:rFonts w:ascii="system-ui" w:eastAsia="system-ui" w:hAnsi="system-ui" w:cs="system-ui"/>
          <w:sz w:val="24"/>
          <w:szCs w:val="24"/>
        </w:rPr>
        <w:t>injuria</w:t>
      </w:r>
      <w:proofErr w:type="spellEnd"/>
      <w:r w:rsidRPr="7EA504FD">
        <w:rPr>
          <w:rFonts w:ascii="system-ui" w:eastAsia="system-ui" w:hAnsi="system-ui" w:cs="system-ui"/>
          <w:sz w:val="24"/>
          <w:szCs w:val="24"/>
        </w:rPr>
        <w:t xml:space="preserve">" embodies this idea, stating that people are entitled to make decisions about their own bodies and </w:t>
      </w:r>
      <w:r w:rsidR="00457A77" w:rsidRPr="7EA504FD">
        <w:rPr>
          <w:rFonts w:ascii="system-ui" w:eastAsia="system-ui" w:hAnsi="system-ui" w:cs="system-ui"/>
          <w:sz w:val="24"/>
          <w:szCs w:val="24"/>
        </w:rPr>
        <w:t>behaviours</w:t>
      </w:r>
      <w:r w:rsidRPr="7EA504FD">
        <w:rPr>
          <w:rFonts w:ascii="system-ui" w:eastAsia="system-ui" w:hAnsi="system-ui" w:cs="system-ui"/>
          <w:sz w:val="24"/>
          <w:szCs w:val="24"/>
        </w:rPr>
        <w:t xml:space="preserve">, even if they involve some degree of danger or harm. This idea is consistent with liberal legal thought, which </w:t>
      </w:r>
      <w:r w:rsidR="00E77891" w:rsidRPr="7EA504FD">
        <w:rPr>
          <w:rFonts w:ascii="system-ui" w:eastAsia="system-ui" w:hAnsi="system-ui" w:cs="system-ui"/>
          <w:sz w:val="24"/>
          <w:szCs w:val="24"/>
        </w:rPr>
        <w:t>emphasises</w:t>
      </w:r>
      <w:r w:rsidRPr="7EA504FD">
        <w:rPr>
          <w:rFonts w:ascii="system-ui" w:eastAsia="system-ui" w:hAnsi="system-ui" w:cs="system-ui"/>
          <w:sz w:val="24"/>
          <w:szCs w:val="24"/>
        </w:rPr>
        <w:t xml:space="preserve"> the importance of human autonomy and freedom of choice as necessary elements of a democratic society.</w:t>
      </w:r>
    </w:p>
    <w:p w14:paraId="0B296D4B" w14:textId="5333D846" w:rsidR="0B351AE9" w:rsidRDefault="0B351AE9" w:rsidP="7EA504FD">
      <w:r w:rsidRPr="7EA504FD">
        <w:rPr>
          <w:rFonts w:ascii="system-ui" w:eastAsia="system-ui" w:hAnsi="system-ui" w:cs="system-ui"/>
          <w:sz w:val="24"/>
          <w:szCs w:val="24"/>
        </w:rPr>
        <w:t xml:space="preserve">The law usually takes into account elements including the voluntariness of the consent, the person's ability to offer consent, and the lack of coercion or duress in situations involving consensual damage. For example, the court determined that consent to sadomasochistic </w:t>
      </w:r>
      <w:r w:rsidR="00457A77" w:rsidRPr="7EA504FD">
        <w:rPr>
          <w:rFonts w:ascii="system-ui" w:eastAsia="system-ui" w:hAnsi="system-ui" w:cs="system-ui"/>
          <w:sz w:val="24"/>
          <w:szCs w:val="24"/>
        </w:rPr>
        <w:t>behaviour</w:t>
      </w:r>
      <w:r w:rsidRPr="7EA504FD">
        <w:rPr>
          <w:rFonts w:ascii="system-ui" w:eastAsia="system-ui" w:hAnsi="system-ui" w:cs="system-ui"/>
          <w:sz w:val="24"/>
          <w:szCs w:val="24"/>
        </w:rPr>
        <w:t xml:space="preserve"> could be legitimate if it was granted voluntarily and with knowledge in R v. Donovan [1934] 2 KB 498. This method preserves the integrity of the consent process by guaranteeing that consent is sincere and not the product of coercion or improper influence.</w:t>
      </w:r>
    </w:p>
    <w:p w14:paraId="25B9256E" w14:textId="28D70900" w:rsidR="5B3AF78B" w:rsidRDefault="5B3AF78B">
      <w:r w:rsidRPr="7EA504FD">
        <w:rPr>
          <w:rFonts w:ascii="system-ui" w:eastAsia="system-ui" w:hAnsi="system-ui" w:cs="system-ui"/>
          <w:b/>
          <w:bCs/>
          <w:color w:val="0D0D0D" w:themeColor="text1" w:themeTint="F2"/>
          <w:sz w:val="24"/>
          <w:szCs w:val="24"/>
        </w:rPr>
        <w:t>Basis for Not Acknowledging Consent:</w:t>
      </w:r>
    </w:p>
    <w:p w14:paraId="76AF41FE" w14:textId="6FDB9607" w:rsidR="75CF5441" w:rsidRDefault="75CF5441" w:rsidP="7EA504FD">
      <w:r w:rsidRPr="7EA504FD">
        <w:rPr>
          <w:rFonts w:ascii="system-ui" w:eastAsia="system-ui" w:hAnsi="system-ui" w:cs="system-ui"/>
          <w:sz w:val="24"/>
          <w:szCs w:val="24"/>
        </w:rPr>
        <w:t xml:space="preserve">Although consent is acknowledged in a variety of settings, its use in UK criminal law is restricted, especially when serious injury or public policy issues are involved. Consent, for instance, is typically not a </w:t>
      </w:r>
      <w:r w:rsidR="00457A77" w:rsidRPr="7EA504FD">
        <w:rPr>
          <w:rFonts w:ascii="system-ui" w:eastAsia="system-ui" w:hAnsi="system-ui" w:cs="system-ui"/>
          <w:sz w:val="24"/>
          <w:szCs w:val="24"/>
        </w:rPr>
        <w:t>defence</w:t>
      </w:r>
      <w:r w:rsidRPr="7EA504FD">
        <w:rPr>
          <w:rFonts w:ascii="system-ui" w:eastAsia="system-ui" w:hAnsi="system-ui" w:cs="system-ui"/>
          <w:sz w:val="24"/>
          <w:szCs w:val="24"/>
        </w:rPr>
        <w:t xml:space="preserve"> in murder or severe bodily harm proceedings, as the R v. Brown [1994] 1 AC 212 case demonstrated. The courts have stressed that some crimes cannot be justified alone by the victim's permission since they are so fundamentally hurtful or against society norms.</w:t>
      </w:r>
      <w:r w:rsidR="5E979BF6" w:rsidRPr="7EA504FD">
        <w:rPr>
          <w:rFonts w:ascii="system-ui" w:eastAsia="system-ui" w:hAnsi="system-ui" w:cs="system-ui"/>
          <w:sz w:val="24"/>
          <w:szCs w:val="24"/>
        </w:rPr>
        <w:t xml:space="preserve"> Furthermore, if consent is acquired by duress, fraud, or deception, it can be considered void. This idea is shown by the ruling in R v. Williams (Gladstone) [1984] 2 WLR 696, where the court determined that permission acquired by deceitfully misrepresenting the nature or intent of a conduct is not admissible as a </w:t>
      </w:r>
      <w:r w:rsidR="00457A77" w:rsidRPr="7EA504FD">
        <w:rPr>
          <w:rFonts w:ascii="system-ui" w:eastAsia="system-ui" w:hAnsi="system-ui" w:cs="system-ui"/>
          <w:sz w:val="24"/>
          <w:szCs w:val="24"/>
        </w:rPr>
        <w:t>defence</w:t>
      </w:r>
      <w:r w:rsidR="5E979BF6" w:rsidRPr="7EA504FD">
        <w:rPr>
          <w:rFonts w:ascii="system-ui" w:eastAsia="system-ui" w:hAnsi="system-ui" w:cs="system-ui"/>
          <w:sz w:val="24"/>
          <w:szCs w:val="24"/>
        </w:rPr>
        <w:t xml:space="preserve">. By doing this, people can be protected from exploitation and tricked into giving their assent to harm against their will, maintaining the integrity of the consent process and shielding the weak from abuse. </w:t>
      </w:r>
    </w:p>
    <w:p w14:paraId="791E98EE" w14:textId="5F805B26" w:rsidR="5B3AF78B" w:rsidRDefault="5B3AF78B" w:rsidP="7EA504FD">
      <w:r w:rsidRPr="7EA504FD">
        <w:rPr>
          <w:rFonts w:ascii="system-ui" w:eastAsia="system-ui" w:hAnsi="system-ui" w:cs="system-ui"/>
          <w:b/>
          <w:bCs/>
          <w:color w:val="0D0D0D" w:themeColor="text1" w:themeTint="F2"/>
          <w:sz w:val="24"/>
          <w:szCs w:val="24"/>
        </w:rPr>
        <w:t xml:space="preserve">Objections to </w:t>
      </w:r>
      <w:r w:rsidR="00457A77" w:rsidRPr="7EA504FD">
        <w:rPr>
          <w:rFonts w:ascii="system-ui" w:eastAsia="system-ui" w:hAnsi="system-ui" w:cs="system-ui"/>
          <w:b/>
          <w:bCs/>
          <w:color w:val="0D0D0D" w:themeColor="text1" w:themeTint="F2"/>
          <w:sz w:val="24"/>
          <w:szCs w:val="24"/>
        </w:rPr>
        <w:t>Recognising</w:t>
      </w:r>
      <w:r w:rsidRPr="7EA504FD">
        <w:rPr>
          <w:rFonts w:ascii="system-ui" w:eastAsia="system-ui" w:hAnsi="system-ui" w:cs="system-ui"/>
          <w:b/>
          <w:bCs/>
          <w:color w:val="0D0D0D" w:themeColor="text1" w:themeTint="F2"/>
          <w:sz w:val="24"/>
          <w:szCs w:val="24"/>
        </w:rPr>
        <w:t xml:space="preserve"> Victim Consent:</w:t>
      </w:r>
    </w:p>
    <w:p w14:paraId="2FA871C2" w14:textId="25BA4F00" w:rsidR="0CC06645" w:rsidRDefault="0CC06645" w:rsidP="7EA504FD">
      <w:r w:rsidRPr="7EA504FD">
        <w:rPr>
          <w:rFonts w:ascii="system-ui" w:eastAsia="system-ui" w:hAnsi="system-ui" w:cs="system-ui"/>
          <w:sz w:val="24"/>
          <w:szCs w:val="24"/>
        </w:rPr>
        <w:t xml:space="preserve">There are significant arguments against the use of consent in UK criminal law, even though it is acknowledged in some situations. The protection of vulnerable people, according to critics, may be </w:t>
      </w:r>
      <w:r w:rsidR="00457A77" w:rsidRPr="7EA504FD">
        <w:rPr>
          <w:rFonts w:ascii="system-ui" w:eastAsia="system-ui" w:hAnsi="system-ui" w:cs="system-ui"/>
          <w:sz w:val="24"/>
          <w:szCs w:val="24"/>
        </w:rPr>
        <w:t>jeopardised</w:t>
      </w:r>
      <w:r w:rsidRPr="7EA504FD">
        <w:rPr>
          <w:rFonts w:ascii="system-ui" w:eastAsia="system-ui" w:hAnsi="system-ui" w:cs="system-ui"/>
          <w:sz w:val="24"/>
          <w:szCs w:val="24"/>
        </w:rPr>
        <w:t xml:space="preserve"> if agreement is accepted as a </w:t>
      </w:r>
      <w:r w:rsidR="00457A77" w:rsidRPr="7EA504FD">
        <w:rPr>
          <w:rFonts w:ascii="system-ui" w:eastAsia="system-ui" w:hAnsi="system-ui" w:cs="system-ui"/>
          <w:sz w:val="24"/>
          <w:szCs w:val="24"/>
        </w:rPr>
        <w:t>defence</w:t>
      </w:r>
      <w:r w:rsidRPr="7EA504FD">
        <w:rPr>
          <w:rFonts w:ascii="system-ui" w:eastAsia="system-ui" w:hAnsi="system-ui" w:cs="system-ui"/>
          <w:sz w:val="24"/>
          <w:szCs w:val="24"/>
        </w:rPr>
        <w:t xml:space="preserve">, especially in situations involving coercion, power disparities, or social pressures. Concerns have also been raised about the possibility that granting consent to bad actions could support detrimental attitudes and conventions including those that support gender-based violence and exploitation. </w:t>
      </w:r>
    </w:p>
    <w:p w14:paraId="438619DC" w14:textId="7698056C" w:rsidR="0AC679E1" w:rsidRDefault="0AC679E1" w:rsidP="7EA504FD">
      <w:r w:rsidRPr="7EA504FD">
        <w:rPr>
          <w:rFonts w:ascii="system-ui" w:eastAsia="system-ui" w:hAnsi="system-ui" w:cs="system-ui"/>
          <w:sz w:val="24"/>
          <w:szCs w:val="24"/>
        </w:rPr>
        <w:t xml:space="preserve">Additionally, there's a chance that people will consent to injury when coerced or in circumstances where their capacity is limited, such when they're drunk or mentally sick. This worry is brought to light in the case of R v. Bree [2007] EWCA </w:t>
      </w:r>
      <w:proofErr w:type="spellStart"/>
      <w:r w:rsidRPr="7EA504FD">
        <w:rPr>
          <w:rFonts w:ascii="system-ui" w:eastAsia="system-ui" w:hAnsi="system-ui" w:cs="system-ui"/>
          <w:sz w:val="24"/>
          <w:szCs w:val="24"/>
        </w:rPr>
        <w:t>Crim</w:t>
      </w:r>
      <w:proofErr w:type="spellEnd"/>
      <w:r w:rsidRPr="7EA504FD">
        <w:rPr>
          <w:rFonts w:ascii="system-ui" w:eastAsia="system-ui" w:hAnsi="system-ui" w:cs="system-ui"/>
          <w:sz w:val="24"/>
          <w:szCs w:val="24"/>
        </w:rPr>
        <w:t xml:space="preserve"> 2560, where the court determined that consent given while a person lacks the mental capacity to understand the nature and ramifications of their actions may not be legitimate, highlighting the need to shield vulnerable people from abuse and harm.</w:t>
      </w:r>
    </w:p>
    <w:p w14:paraId="24A68D78" w14:textId="24E47D88" w:rsidR="5B3AF78B" w:rsidRDefault="5B3AF78B" w:rsidP="7EA504FD">
      <w:pPr>
        <w:shd w:val="clear" w:color="auto" w:fill="FFFFFF" w:themeFill="background1"/>
      </w:pPr>
      <w:r w:rsidRPr="7EA504FD">
        <w:rPr>
          <w:rFonts w:ascii="system-ui" w:eastAsia="system-ui" w:hAnsi="system-ui" w:cs="system-ui"/>
          <w:b/>
          <w:bCs/>
          <w:color w:val="0D0D0D" w:themeColor="text1" w:themeTint="F2"/>
          <w:sz w:val="24"/>
          <w:szCs w:val="24"/>
        </w:rPr>
        <w:t>Conclusion:</w:t>
      </w:r>
    </w:p>
    <w:p w14:paraId="6E09E534" w14:textId="71785EFE" w:rsidR="7C2E8BD2" w:rsidRDefault="7C2E8BD2" w:rsidP="7EA504FD">
      <w:r w:rsidRPr="7EA504FD">
        <w:rPr>
          <w:rFonts w:ascii="system-ui" w:eastAsia="system-ui" w:hAnsi="system-ui" w:cs="system-ui"/>
          <w:sz w:val="24"/>
          <w:szCs w:val="24"/>
        </w:rPr>
        <w:t xml:space="preserve">In summary, the idea of victim consent to harm as </w:t>
      </w:r>
      <w:r w:rsidR="00457A77" w:rsidRPr="7EA504FD">
        <w:rPr>
          <w:rFonts w:ascii="system-ui" w:eastAsia="system-ui" w:hAnsi="system-ui" w:cs="system-ui"/>
          <w:sz w:val="24"/>
          <w:szCs w:val="24"/>
        </w:rPr>
        <w:t>recognised</w:t>
      </w:r>
      <w:r w:rsidRPr="7EA504FD">
        <w:rPr>
          <w:rFonts w:ascii="system-ui" w:eastAsia="system-ui" w:hAnsi="system-ui" w:cs="system-ui"/>
          <w:sz w:val="24"/>
          <w:szCs w:val="24"/>
        </w:rPr>
        <w:t xml:space="preserve"> by UK criminal law is complex and subtle, reflecting a careful balancing act between the rights of the person, the interests of society, and moral concerns. It is clear from this research that consent functions as a nuanced moral and legal concept, affecting both the general legal discourse and the resolution of different criminal cases. </w:t>
      </w:r>
    </w:p>
    <w:p w14:paraId="2EA86DA4" w14:textId="3B59BE09" w:rsidR="7EA504FD" w:rsidRDefault="7EA504FD" w:rsidP="7EA504FD">
      <w:pPr>
        <w:rPr>
          <w:rFonts w:ascii="system-ui" w:eastAsia="system-ui" w:hAnsi="system-ui" w:cs="system-ui"/>
          <w:color w:val="0D0D0D" w:themeColor="text1" w:themeTint="F2"/>
          <w:sz w:val="24"/>
          <w:szCs w:val="24"/>
        </w:rPr>
      </w:pPr>
    </w:p>
    <w:p w14:paraId="3405AC71" w14:textId="69A18D50" w:rsidR="718A2075" w:rsidRDefault="718A2075" w:rsidP="7EA504FD">
      <w:r w:rsidRPr="7EA504FD">
        <w:rPr>
          <w:rFonts w:ascii="system-ui" w:eastAsia="system-ui" w:hAnsi="system-ui" w:cs="system-ui"/>
          <w:sz w:val="24"/>
          <w:szCs w:val="24"/>
        </w:rPr>
        <w:lastRenderedPageBreak/>
        <w:t xml:space="preserve">The various circumstances in which permission is accepted as a </w:t>
      </w:r>
      <w:r w:rsidR="00457A77" w:rsidRPr="7EA504FD">
        <w:rPr>
          <w:rFonts w:ascii="system-ui" w:eastAsia="system-ui" w:hAnsi="system-ui" w:cs="system-ui"/>
          <w:sz w:val="24"/>
          <w:szCs w:val="24"/>
        </w:rPr>
        <w:t>defence</w:t>
      </w:r>
      <w:r w:rsidRPr="7EA504FD">
        <w:rPr>
          <w:rFonts w:ascii="system-ui" w:eastAsia="system-ui" w:hAnsi="system-ui" w:cs="system-ui"/>
          <w:sz w:val="24"/>
          <w:szCs w:val="24"/>
        </w:rPr>
        <w:t xml:space="preserve"> have been clarified by an examination of case law and legislative measures. The law </w:t>
      </w:r>
      <w:r w:rsidR="00457A77" w:rsidRPr="7EA504FD">
        <w:rPr>
          <w:rFonts w:ascii="system-ui" w:eastAsia="system-ui" w:hAnsi="system-ui" w:cs="system-ui"/>
          <w:sz w:val="24"/>
          <w:szCs w:val="24"/>
        </w:rPr>
        <w:t>recognises</w:t>
      </w:r>
      <w:r w:rsidRPr="7EA504FD">
        <w:rPr>
          <w:rFonts w:ascii="system-ui" w:eastAsia="system-ui" w:hAnsi="system-ui" w:cs="system-ui"/>
          <w:sz w:val="24"/>
          <w:szCs w:val="24"/>
        </w:rPr>
        <w:t xml:space="preserve"> the importance of individual liberty and decision-making in negotiating complicated legal challenges, from instances involving assault and battery to those involving sexual </w:t>
      </w:r>
      <w:r w:rsidR="00457A77" w:rsidRPr="7EA504FD">
        <w:rPr>
          <w:rFonts w:ascii="system-ui" w:eastAsia="system-ui" w:hAnsi="system-ui" w:cs="system-ui"/>
          <w:sz w:val="24"/>
          <w:szCs w:val="24"/>
        </w:rPr>
        <w:t>offences</w:t>
      </w:r>
      <w:r w:rsidRPr="7EA504FD">
        <w:rPr>
          <w:rFonts w:ascii="system-ui" w:eastAsia="system-ui" w:hAnsi="system-ui" w:cs="system-ui"/>
          <w:sz w:val="24"/>
          <w:szCs w:val="24"/>
        </w:rPr>
        <w:t xml:space="preserve"> and medical treatment. This acceptance is nevertheless not unqualified and is constrained by community norms, public policy, and the need to protect the weaker members of society. </w:t>
      </w:r>
    </w:p>
    <w:p w14:paraId="264D1BB6" w14:textId="710426E3" w:rsidR="7EA504FD" w:rsidRDefault="7EA504FD" w:rsidP="7EA504FD">
      <w:pPr>
        <w:rPr>
          <w:rFonts w:ascii="system-ui" w:eastAsia="system-ui" w:hAnsi="system-ui" w:cs="system-ui"/>
          <w:color w:val="0D0D0D" w:themeColor="text1" w:themeTint="F2"/>
          <w:sz w:val="24"/>
          <w:szCs w:val="24"/>
        </w:rPr>
      </w:pPr>
    </w:p>
    <w:p w14:paraId="316A24B6" w14:textId="2DF1FB1D" w:rsidR="3E1C8F96" w:rsidRDefault="3E1C8F96" w:rsidP="7EA504FD">
      <w:r w:rsidRPr="7EA504FD">
        <w:rPr>
          <w:rFonts w:ascii="system-ui" w:eastAsia="system-ui" w:hAnsi="system-ui" w:cs="system-ui"/>
          <w:sz w:val="24"/>
          <w:szCs w:val="24"/>
        </w:rPr>
        <w:t>Perceived autonomy and personal accountability are fundamental foundations for the recognition of consent. "</w:t>
      </w:r>
      <w:proofErr w:type="spellStart"/>
      <w:r w:rsidRPr="7EA504FD">
        <w:rPr>
          <w:rFonts w:ascii="system-ui" w:eastAsia="system-ui" w:hAnsi="system-ui" w:cs="system-ui"/>
          <w:sz w:val="24"/>
          <w:szCs w:val="24"/>
        </w:rPr>
        <w:t>Volenti</w:t>
      </w:r>
      <w:proofErr w:type="spellEnd"/>
      <w:r w:rsidRPr="7EA504FD">
        <w:rPr>
          <w:rFonts w:ascii="system-ui" w:eastAsia="system-ui" w:hAnsi="system-ui" w:cs="system-ui"/>
          <w:sz w:val="24"/>
          <w:szCs w:val="24"/>
        </w:rPr>
        <w:t xml:space="preserve"> non fit </w:t>
      </w:r>
      <w:proofErr w:type="spellStart"/>
      <w:r w:rsidRPr="7EA504FD">
        <w:rPr>
          <w:rFonts w:ascii="system-ui" w:eastAsia="system-ui" w:hAnsi="system-ui" w:cs="system-ui"/>
          <w:sz w:val="24"/>
          <w:szCs w:val="24"/>
        </w:rPr>
        <w:t>injuria</w:t>
      </w:r>
      <w:proofErr w:type="spellEnd"/>
      <w:r w:rsidRPr="7EA504FD">
        <w:rPr>
          <w:rFonts w:ascii="system-ui" w:eastAsia="system-ui" w:hAnsi="system-ui" w:cs="system-ui"/>
          <w:sz w:val="24"/>
          <w:szCs w:val="24"/>
        </w:rPr>
        <w:t xml:space="preserve">" is a legal maxim that </w:t>
      </w:r>
      <w:r w:rsidR="00457A77" w:rsidRPr="7EA504FD">
        <w:rPr>
          <w:rFonts w:ascii="system-ui" w:eastAsia="system-ui" w:hAnsi="system-ui" w:cs="system-ui"/>
          <w:sz w:val="24"/>
          <w:szCs w:val="24"/>
        </w:rPr>
        <w:t>emphasises</w:t>
      </w:r>
      <w:r w:rsidRPr="7EA504FD">
        <w:rPr>
          <w:rFonts w:ascii="system-ui" w:eastAsia="system-ui" w:hAnsi="system-ui" w:cs="system-ui"/>
          <w:sz w:val="24"/>
          <w:szCs w:val="24"/>
        </w:rPr>
        <w:t xml:space="preserve"> the idea that people have the autonomy to make decisions about their own bodies and activities, even if such decisions involve some risk or injury. This idea embodies a core tenet of liberal legal thought, which places a high value on human liberty and choice as necessary constituents of a democratic society.</w:t>
      </w:r>
      <w:r w:rsidR="5B3AF78B" w:rsidRPr="7EA504FD">
        <w:rPr>
          <w:rFonts w:ascii="system-ui" w:eastAsia="system-ui" w:hAnsi="system-ui" w:cs="system-ui"/>
          <w:color w:val="0D0D0D" w:themeColor="text1" w:themeTint="F2"/>
          <w:sz w:val="24"/>
          <w:szCs w:val="24"/>
        </w:rPr>
        <w:t xml:space="preserve"> </w:t>
      </w:r>
      <w:r w:rsidR="70787A21" w:rsidRPr="7EA504FD">
        <w:rPr>
          <w:rFonts w:ascii="system-ui" w:eastAsia="system-ui" w:hAnsi="system-ui" w:cs="system-ui"/>
          <w:sz w:val="24"/>
          <w:szCs w:val="24"/>
        </w:rPr>
        <w:t xml:space="preserve">However, there are difficulties and disagreements around the recognition of consent. The potential for exploitation, coercion, and unequal power dynamics are legitimate issues raised by critics, especially in circumstances where vulnerable people might be forced to consent to damage against their choice. Furthermore, the possibility of people giving their assent to injury while under pressure or incapable of giving consent </w:t>
      </w:r>
      <w:r w:rsidR="00457A77" w:rsidRPr="7EA504FD">
        <w:rPr>
          <w:rFonts w:ascii="system-ui" w:eastAsia="system-ui" w:hAnsi="system-ui" w:cs="system-ui"/>
          <w:sz w:val="24"/>
          <w:szCs w:val="24"/>
        </w:rPr>
        <w:t>emphasises</w:t>
      </w:r>
      <w:r w:rsidR="70787A21" w:rsidRPr="7EA504FD">
        <w:rPr>
          <w:rFonts w:ascii="system-ui" w:eastAsia="system-ui" w:hAnsi="system-ui" w:cs="system-ui"/>
          <w:sz w:val="24"/>
          <w:szCs w:val="24"/>
        </w:rPr>
        <w:t xml:space="preserve"> the importance of closely examining the circumstances around consent to guarantee its integrity and validity</w:t>
      </w:r>
    </w:p>
    <w:p w14:paraId="120CC3D1" w14:textId="77FDC7D5" w:rsidR="5B3AF78B" w:rsidRDefault="5B3AF78B" w:rsidP="7EA504FD">
      <w:pPr>
        <w:spacing w:line="259" w:lineRule="auto"/>
        <w:rPr>
          <w:rFonts w:ascii="system-ui" w:eastAsia="system-ui" w:hAnsi="system-ui" w:cs="system-ui"/>
          <w:color w:val="0D0D0D" w:themeColor="text1" w:themeTint="F2"/>
          <w:sz w:val="24"/>
          <w:szCs w:val="24"/>
        </w:rPr>
      </w:pPr>
      <w:r w:rsidRPr="7EA504FD">
        <w:rPr>
          <w:rFonts w:ascii="system-ui" w:eastAsia="system-ui" w:hAnsi="system-ui" w:cs="system-ui"/>
          <w:color w:val="0D0D0D" w:themeColor="text1" w:themeTint="F2"/>
          <w:sz w:val="24"/>
          <w:szCs w:val="24"/>
        </w:rPr>
        <w:t xml:space="preserve"> </w:t>
      </w:r>
      <w:r w:rsidR="28B6C8EF" w:rsidRPr="7EA504FD">
        <w:rPr>
          <w:rFonts w:ascii="system-ui" w:eastAsia="system-ui" w:hAnsi="system-ui" w:cs="system-ui"/>
          <w:sz w:val="24"/>
          <w:szCs w:val="24"/>
        </w:rPr>
        <w:t>In the future, the legal framework in the UK will continue to be the focus of discussion, examination, and development on the acknowledgment of victim consent to harm. To guarantee that the rules governing consent continue to be responsive to the changing needs and values of a dynamic society, it is essential that academics, legislators, and legal professionals participate in rigorous research and dialogue. In the face of difficult moral and legal dilemmas, the law can preserve justice, equity, and the preservation of human rights by finding a balance between individual autonomy and society interests.</w:t>
      </w:r>
    </w:p>
    <w:p w14:paraId="23365E79" w14:textId="3E7A3A71" w:rsidR="0226D746" w:rsidRDefault="0226D746" w:rsidP="7EA504FD">
      <w:r w:rsidRPr="7EA504FD">
        <w:rPr>
          <w:rFonts w:ascii="system-ui" w:eastAsia="system-ui" w:hAnsi="system-ui" w:cs="system-ui"/>
          <w:sz w:val="24"/>
          <w:szCs w:val="24"/>
        </w:rPr>
        <w:t xml:space="preserve">Essentially, the acceptance of victim consent to damage is a reflection of the complex interactions that shape criminal culpability and moral responsibility in modern legal discourse, as well as the interplay between legal concepts, ethical concerns, and society norms. </w:t>
      </w:r>
    </w:p>
    <w:p w14:paraId="24740771" w14:textId="251AC1AD" w:rsidR="5B3AF78B" w:rsidRDefault="5B3AF78B" w:rsidP="7EA504FD">
      <w:r w:rsidRPr="7EA504FD">
        <w:rPr>
          <w:rFonts w:ascii="system-ui" w:eastAsia="system-ui" w:hAnsi="system-ui" w:cs="system-ui"/>
          <w:b/>
          <w:bCs/>
          <w:color w:val="0D0D0D" w:themeColor="text1" w:themeTint="F2"/>
          <w:sz w:val="24"/>
          <w:szCs w:val="24"/>
        </w:rPr>
        <w:t>References:</w:t>
      </w:r>
    </w:p>
    <w:p w14:paraId="2762E66E" w14:textId="6AF89CC8" w:rsidR="5B3AF78B" w:rsidRDefault="5B3AF78B" w:rsidP="7EA504FD">
      <w:pPr>
        <w:shd w:val="clear" w:color="auto" w:fill="FFFFFF" w:themeFill="background1"/>
        <w:ind w:right="-20"/>
        <w:rPr>
          <w:rFonts w:ascii="system-ui" w:eastAsia="system-ui" w:hAnsi="system-ui" w:cs="system-ui"/>
          <w:color w:val="0D0D0D" w:themeColor="text1" w:themeTint="F2"/>
          <w:sz w:val="24"/>
          <w:szCs w:val="24"/>
        </w:rPr>
      </w:pPr>
      <w:r w:rsidRPr="7EA504FD">
        <w:rPr>
          <w:rFonts w:ascii="system-ui" w:eastAsia="system-ui" w:hAnsi="system-ui" w:cs="system-ui"/>
          <w:color w:val="0D0D0D" w:themeColor="text1" w:themeTint="F2"/>
          <w:sz w:val="24"/>
          <w:szCs w:val="24"/>
        </w:rPr>
        <w:t>R v. Brown [1994] 1 AC 212</w:t>
      </w:r>
    </w:p>
    <w:p w14:paraId="61B15888" w14:textId="7F2336B1" w:rsidR="5B3AF78B" w:rsidRDefault="5B3AF78B" w:rsidP="7EA504FD">
      <w:pPr>
        <w:shd w:val="clear" w:color="auto" w:fill="FFFFFF" w:themeFill="background1"/>
        <w:ind w:right="-20"/>
        <w:rPr>
          <w:rFonts w:ascii="system-ui" w:eastAsia="system-ui" w:hAnsi="system-ui" w:cs="system-ui"/>
          <w:color w:val="0D0D0D" w:themeColor="text1" w:themeTint="F2"/>
          <w:sz w:val="24"/>
          <w:szCs w:val="24"/>
        </w:rPr>
      </w:pPr>
      <w:r w:rsidRPr="7EA504FD">
        <w:rPr>
          <w:rFonts w:ascii="system-ui" w:eastAsia="system-ui" w:hAnsi="system-ui" w:cs="system-ui"/>
          <w:color w:val="0D0D0D" w:themeColor="text1" w:themeTint="F2"/>
          <w:sz w:val="24"/>
          <w:szCs w:val="24"/>
        </w:rPr>
        <w:t>Sexual Offences Act 2003, c. 42 (UK)</w:t>
      </w:r>
    </w:p>
    <w:p w14:paraId="51D04C68" w14:textId="69DCA947" w:rsidR="5B3AF78B" w:rsidRDefault="5B3AF78B" w:rsidP="7EA504FD">
      <w:pPr>
        <w:shd w:val="clear" w:color="auto" w:fill="FFFFFF" w:themeFill="background1"/>
        <w:ind w:right="-20"/>
        <w:rPr>
          <w:rFonts w:ascii="system-ui" w:eastAsia="system-ui" w:hAnsi="system-ui" w:cs="system-ui"/>
          <w:color w:val="0D0D0D" w:themeColor="text1" w:themeTint="F2"/>
          <w:sz w:val="24"/>
          <w:szCs w:val="24"/>
        </w:rPr>
      </w:pPr>
      <w:r w:rsidRPr="7EA504FD">
        <w:rPr>
          <w:rFonts w:ascii="system-ui" w:eastAsia="system-ui" w:hAnsi="system-ui" w:cs="system-ui"/>
          <w:color w:val="0D0D0D" w:themeColor="text1" w:themeTint="F2"/>
          <w:sz w:val="24"/>
          <w:szCs w:val="24"/>
        </w:rPr>
        <w:t xml:space="preserve">R v. Barnes [2004] EWCA </w:t>
      </w:r>
      <w:proofErr w:type="spellStart"/>
      <w:r w:rsidRPr="7EA504FD">
        <w:rPr>
          <w:rFonts w:ascii="system-ui" w:eastAsia="system-ui" w:hAnsi="system-ui" w:cs="system-ui"/>
          <w:color w:val="0D0D0D" w:themeColor="text1" w:themeTint="F2"/>
          <w:sz w:val="24"/>
          <w:szCs w:val="24"/>
        </w:rPr>
        <w:t>Crim</w:t>
      </w:r>
      <w:proofErr w:type="spellEnd"/>
      <w:r w:rsidRPr="7EA504FD">
        <w:rPr>
          <w:rFonts w:ascii="system-ui" w:eastAsia="system-ui" w:hAnsi="system-ui" w:cs="system-ui"/>
          <w:color w:val="0D0D0D" w:themeColor="text1" w:themeTint="F2"/>
          <w:sz w:val="24"/>
          <w:szCs w:val="24"/>
        </w:rPr>
        <w:t xml:space="preserve"> 324</w:t>
      </w:r>
    </w:p>
    <w:p w14:paraId="688AD714" w14:textId="4899177D" w:rsidR="5B3AF78B" w:rsidRDefault="5B3AF78B" w:rsidP="7EA504FD">
      <w:pPr>
        <w:shd w:val="clear" w:color="auto" w:fill="FFFFFF" w:themeFill="background1"/>
        <w:ind w:right="-20"/>
        <w:rPr>
          <w:rFonts w:ascii="system-ui" w:eastAsia="system-ui" w:hAnsi="system-ui" w:cs="system-ui"/>
          <w:color w:val="0D0D0D" w:themeColor="text1" w:themeTint="F2"/>
          <w:sz w:val="24"/>
          <w:szCs w:val="24"/>
        </w:rPr>
      </w:pPr>
      <w:r w:rsidRPr="7EA504FD">
        <w:rPr>
          <w:rFonts w:ascii="system-ui" w:eastAsia="system-ui" w:hAnsi="system-ui" w:cs="system-ui"/>
          <w:color w:val="0D0D0D" w:themeColor="text1" w:themeTint="F2"/>
          <w:sz w:val="24"/>
          <w:szCs w:val="24"/>
        </w:rPr>
        <w:t>R v. Donovan [1934] 2 KB 498</w:t>
      </w:r>
    </w:p>
    <w:p w14:paraId="3502EF5F" w14:textId="1FE7D37E" w:rsidR="5B3AF78B" w:rsidRDefault="5B3AF78B" w:rsidP="7EA504FD">
      <w:pPr>
        <w:shd w:val="clear" w:color="auto" w:fill="FFFFFF" w:themeFill="background1"/>
        <w:ind w:right="-20"/>
        <w:rPr>
          <w:rFonts w:ascii="system-ui" w:eastAsia="system-ui" w:hAnsi="system-ui" w:cs="system-ui"/>
          <w:color w:val="0D0D0D" w:themeColor="text1" w:themeTint="F2"/>
          <w:sz w:val="24"/>
          <w:szCs w:val="24"/>
        </w:rPr>
      </w:pPr>
      <w:r w:rsidRPr="7EA504FD">
        <w:rPr>
          <w:rFonts w:ascii="system-ui" w:eastAsia="system-ui" w:hAnsi="system-ui" w:cs="system-ui"/>
          <w:color w:val="0D0D0D" w:themeColor="text1" w:themeTint="F2"/>
          <w:sz w:val="24"/>
          <w:szCs w:val="24"/>
        </w:rPr>
        <w:t>R v. Williams (Gladstone) [1984] 2 WLR 696</w:t>
      </w:r>
    </w:p>
    <w:p w14:paraId="7B270C9E" w14:textId="1790A14D" w:rsidR="5B3AF78B" w:rsidRDefault="5B3AF78B" w:rsidP="7EA504FD">
      <w:pPr>
        <w:shd w:val="clear" w:color="auto" w:fill="FFFFFF" w:themeFill="background1"/>
        <w:ind w:right="-20"/>
        <w:rPr>
          <w:rFonts w:ascii="system-ui" w:eastAsia="system-ui" w:hAnsi="system-ui" w:cs="system-ui"/>
          <w:color w:val="0D0D0D" w:themeColor="text1" w:themeTint="F2"/>
          <w:sz w:val="24"/>
          <w:szCs w:val="24"/>
        </w:rPr>
      </w:pPr>
      <w:r w:rsidRPr="7EA504FD">
        <w:rPr>
          <w:rFonts w:ascii="system-ui" w:eastAsia="system-ui" w:hAnsi="system-ui" w:cs="system-ui"/>
          <w:color w:val="0D0D0D" w:themeColor="text1" w:themeTint="F2"/>
          <w:sz w:val="24"/>
          <w:szCs w:val="24"/>
        </w:rPr>
        <w:t xml:space="preserve">R v. Bree [2007] EWCA </w:t>
      </w:r>
      <w:proofErr w:type="spellStart"/>
      <w:r w:rsidRPr="7EA504FD">
        <w:rPr>
          <w:rFonts w:ascii="system-ui" w:eastAsia="system-ui" w:hAnsi="system-ui" w:cs="system-ui"/>
          <w:color w:val="0D0D0D" w:themeColor="text1" w:themeTint="F2"/>
          <w:sz w:val="24"/>
          <w:szCs w:val="24"/>
        </w:rPr>
        <w:t>Crim</w:t>
      </w:r>
      <w:proofErr w:type="spellEnd"/>
      <w:r w:rsidRPr="7EA504FD">
        <w:rPr>
          <w:rFonts w:ascii="system-ui" w:eastAsia="system-ui" w:hAnsi="system-ui" w:cs="system-ui"/>
          <w:color w:val="0D0D0D" w:themeColor="text1" w:themeTint="F2"/>
          <w:sz w:val="24"/>
          <w:szCs w:val="24"/>
        </w:rPr>
        <w:t xml:space="preserve"> 2560</w:t>
      </w:r>
    </w:p>
    <w:p w14:paraId="7FFE5F3A" w14:textId="20109C6E" w:rsidR="5B3AF78B" w:rsidRDefault="5B3AF78B" w:rsidP="7EA504FD">
      <w:pPr>
        <w:shd w:val="clear" w:color="auto" w:fill="FFFFFF" w:themeFill="background1"/>
        <w:ind w:right="-20"/>
        <w:rPr>
          <w:rFonts w:ascii="system-ui" w:eastAsia="system-ui" w:hAnsi="system-ui" w:cs="system-ui"/>
          <w:color w:val="0D0D0D" w:themeColor="text1" w:themeTint="F2"/>
          <w:sz w:val="24"/>
          <w:szCs w:val="24"/>
        </w:rPr>
      </w:pPr>
      <w:r w:rsidRPr="7EA504FD">
        <w:rPr>
          <w:rFonts w:ascii="system-ui" w:eastAsia="system-ui" w:hAnsi="system-ui" w:cs="system-ui"/>
          <w:color w:val="0D0D0D" w:themeColor="text1" w:themeTint="F2"/>
          <w:sz w:val="24"/>
          <w:szCs w:val="24"/>
        </w:rPr>
        <w:t>Montgomery v Lanarkshire Health Board [2015] UKSC 1</w:t>
      </w:r>
    </w:p>
    <w:p w14:paraId="47849284" w14:textId="5EC6BBEF" w:rsidR="7EA504FD" w:rsidRDefault="7EA504FD" w:rsidP="7EA504FD">
      <w:pPr>
        <w:rPr>
          <w:rFonts w:ascii="system-ui" w:eastAsia="system-ui" w:hAnsi="system-ui" w:cs="system-ui"/>
          <w:color w:val="0D0D0D" w:themeColor="text1" w:themeTint="F2"/>
          <w:sz w:val="24"/>
          <w:szCs w:val="24"/>
        </w:rPr>
      </w:pPr>
    </w:p>
    <w:p w14:paraId="45D4575E" w14:textId="0E766050" w:rsidR="7EA504FD" w:rsidRDefault="7EA504FD" w:rsidP="7EA504FD">
      <w:pPr>
        <w:rPr>
          <w:rFonts w:ascii="system-ui" w:eastAsia="system-ui" w:hAnsi="system-ui" w:cs="system-ui"/>
          <w:color w:val="0D0D0D" w:themeColor="text1" w:themeTint="F2"/>
          <w:sz w:val="24"/>
          <w:szCs w:val="24"/>
        </w:rPr>
      </w:pPr>
    </w:p>
    <w:sectPr w:rsidR="7EA504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system-ui">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740151"/>
    <w:multiLevelType w:val="hybridMultilevel"/>
    <w:tmpl w:val="FFFFFFFF"/>
    <w:lvl w:ilvl="0" w:tplc="05E44724">
      <w:start w:val="1"/>
      <w:numFmt w:val="bullet"/>
      <w:lvlText w:val=""/>
      <w:lvlJc w:val="left"/>
      <w:pPr>
        <w:ind w:left="720" w:hanging="360"/>
      </w:pPr>
      <w:rPr>
        <w:rFonts w:ascii="Symbol" w:hAnsi="Symbol" w:hint="default"/>
      </w:rPr>
    </w:lvl>
    <w:lvl w:ilvl="1" w:tplc="BDC4B660">
      <w:start w:val="1"/>
      <w:numFmt w:val="bullet"/>
      <w:lvlText w:val="o"/>
      <w:lvlJc w:val="left"/>
      <w:pPr>
        <w:ind w:left="1440" w:hanging="360"/>
      </w:pPr>
      <w:rPr>
        <w:rFonts w:ascii="Courier New" w:hAnsi="Courier New" w:hint="default"/>
      </w:rPr>
    </w:lvl>
    <w:lvl w:ilvl="2" w:tplc="29865CF8">
      <w:start w:val="1"/>
      <w:numFmt w:val="bullet"/>
      <w:lvlText w:val=""/>
      <w:lvlJc w:val="left"/>
      <w:pPr>
        <w:ind w:left="2160" w:hanging="360"/>
      </w:pPr>
      <w:rPr>
        <w:rFonts w:ascii="Wingdings" w:hAnsi="Wingdings" w:hint="default"/>
      </w:rPr>
    </w:lvl>
    <w:lvl w:ilvl="3" w:tplc="F69C7192">
      <w:start w:val="1"/>
      <w:numFmt w:val="bullet"/>
      <w:lvlText w:val=""/>
      <w:lvlJc w:val="left"/>
      <w:pPr>
        <w:ind w:left="2880" w:hanging="360"/>
      </w:pPr>
      <w:rPr>
        <w:rFonts w:ascii="Symbol" w:hAnsi="Symbol" w:hint="default"/>
      </w:rPr>
    </w:lvl>
    <w:lvl w:ilvl="4" w:tplc="543CD342">
      <w:start w:val="1"/>
      <w:numFmt w:val="bullet"/>
      <w:lvlText w:val="o"/>
      <w:lvlJc w:val="left"/>
      <w:pPr>
        <w:ind w:left="3600" w:hanging="360"/>
      </w:pPr>
      <w:rPr>
        <w:rFonts w:ascii="Courier New" w:hAnsi="Courier New" w:hint="default"/>
      </w:rPr>
    </w:lvl>
    <w:lvl w:ilvl="5" w:tplc="48E028D0">
      <w:start w:val="1"/>
      <w:numFmt w:val="bullet"/>
      <w:lvlText w:val=""/>
      <w:lvlJc w:val="left"/>
      <w:pPr>
        <w:ind w:left="4320" w:hanging="360"/>
      </w:pPr>
      <w:rPr>
        <w:rFonts w:ascii="Wingdings" w:hAnsi="Wingdings" w:hint="default"/>
      </w:rPr>
    </w:lvl>
    <w:lvl w:ilvl="6" w:tplc="28C2F614">
      <w:start w:val="1"/>
      <w:numFmt w:val="bullet"/>
      <w:lvlText w:val=""/>
      <w:lvlJc w:val="left"/>
      <w:pPr>
        <w:ind w:left="5040" w:hanging="360"/>
      </w:pPr>
      <w:rPr>
        <w:rFonts w:ascii="Symbol" w:hAnsi="Symbol" w:hint="default"/>
      </w:rPr>
    </w:lvl>
    <w:lvl w:ilvl="7" w:tplc="EA229DD0">
      <w:start w:val="1"/>
      <w:numFmt w:val="bullet"/>
      <w:lvlText w:val="o"/>
      <w:lvlJc w:val="left"/>
      <w:pPr>
        <w:ind w:left="5760" w:hanging="360"/>
      </w:pPr>
      <w:rPr>
        <w:rFonts w:ascii="Courier New" w:hAnsi="Courier New" w:hint="default"/>
      </w:rPr>
    </w:lvl>
    <w:lvl w:ilvl="8" w:tplc="C82A98EA">
      <w:start w:val="1"/>
      <w:numFmt w:val="bullet"/>
      <w:lvlText w:val=""/>
      <w:lvlJc w:val="left"/>
      <w:pPr>
        <w:ind w:left="6480" w:hanging="360"/>
      </w:pPr>
      <w:rPr>
        <w:rFonts w:ascii="Wingdings" w:hAnsi="Wingdings" w:hint="default"/>
      </w:rPr>
    </w:lvl>
  </w:abstractNum>
  <w:abstractNum w:abstractNumId="1" w15:restartNumberingAfterBreak="0">
    <w:nsid w:val="3165A77C"/>
    <w:multiLevelType w:val="hybridMultilevel"/>
    <w:tmpl w:val="FFFFFFFF"/>
    <w:lvl w:ilvl="0" w:tplc="0712B71C">
      <w:start w:val="1"/>
      <w:numFmt w:val="bullet"/>
      <w:lvlText w:val=""/>
      <w:lvlJc w:val="left"/>
      <w:pPr>
        <w:ind w:left="720" w:hanging="360"/>
      </w:pPr>
      <w:rPr>
        <w:rFonts w:ascii="Symbol" w:hAnsi="Symbol" w:hint="default"/>
      </w:rPr>
    </w:lvl>
    <w:lvl w:ilvl="1" w:tplc="5A0017C6">
      <w:start w:val="1"/>
      <w:numFmt w:val="bullet"/>
      <w:lvlText w:val="o"/>
      <w:lvlJc w:val="left"/>
      <w:pPr>
        <w:ind w:left="1440" w:hanging="360"/>
      </w:pPr>
      <w:rPr>
        <w:rFonts w:ascii="Courier New" w:hAnsi="Courier New" w:hint="default"/>
      </w:rPr>
    </w:lvl>
    <w:lvl w:ilvl="2" w:tplc="909E737C">
      <w:start w:val="1"/>
      <w:numFmt w:val="bullet"/>
      <w:lvlText w:val=""/>
      <w:lvlJc w:val="left"/>
      <w:pPr>
        <w:ind w:left="2160" w:hanging="360"/>
      </w:pPr>
      <w:rPr>
        <w:rFonts w:ascii="Wingdings" w:hAnsi="Wingdings" w:hint="default"/>
      </w:rPr>
    </w:lvl>
    <w:lvl w:ilvl="3" w:tplc="DED2E32E">
      <w:start w:val="1"/>
      <w:numFmt w:val="bullet"/>
      <w:lvlText w:val=""/>
      <w:lvlJc w:val="left"/>
      <w:pPr>
        <w:ind w:left="2880" w:hanging="360"/>
      </w:pPr>
      <w:rPr>
        <w:rFonts w:ascii="Symbol" w:hAnsi="Symbol" w:hint="default"/>
      </w:rPr>
    </w:lvl>
    <w:lvl w:ilvl="4" w:tplc="038EC786">
      <w:start w:val="1"/>
      <w:numFmt w:val="bullet"/>
      <w:lvlText w:val="o"/>
      <w:lvlJc w:val="left"/>
      <w:pPr>
        <w:ind w:left="3600" w:hanging="360"/>
      </w:pPr>
      <w:rPr>
        <w:rFonts w:ascii="Courier New" w:hAnsi="Courier New" w:hint="default"/>
      </w:rPr>
    </w:lvl>
    <w:lvl w:ilvl="5" w:tplc="054ECEA4">
      <w:start w:val="1"/>
      <w:numFmt w:val="bullet"/>
      <w:lvlText w:val=""/>
      <w:lvlJc w:val="left"/>
      <w:pPr>
        <w:ind w:left="4320" w:hanging="360"/>
      </w:pPr>
      <w:rPr>
        <w:rFonts w:ascii="Wingdings" w:hAnsi="Wingdings" w:hint="default"/>
      </w:rPr>
    </w:lvl>
    <w:lvl w:ilvl="6" w:tplc="10A60C08">
      <w:start w:val="1"/>
      <w:numFmt w:val="bullet"/>
      <w:lvlText w:val=""/>
      <w:lvlJc w:val="left"/>
      <w:pPr>
        <w:ind w:left="5040" w:hanging="360"/>
      </w:pPr>
      <w:rPr>
        <w:rFonts w:ascii="Symbol" w:hAnsi="Symbol" w:hint="default"/>
      </w:rPr>
    </w:lvl>
    <w:lvl w:ilvl="7" w:tplc="FBC8A97C">
      <w:start w:val="1"/>
      <w:numFmt w:val="bullet"/>
      <w:lvlText w:val="o"/>
      <w:lvlJc w:val="left"/>
      <w:pPr>
        <w:ind w:left="5760" w:hanging="360"/>
      </w:pPr>
      <w:rPr>
        <w:rFonts w:ascii="Courier New" w:hAnsi="Courier New" w:hint="default"/>
      </w:rPr>
    </w:lvl>
    <w:lvl w:ilvl="8" w:tplc="A970DB9E">
      <w:start w:val="1"/>
      <w:numFmt w:val="bullet"/>
      <w:lvlText w:val=""/>
      <w:lvlJc w:val="left"/>
      <w:pPr>
        <w:ind w:left="6480" w:hanging="360"/>
      </w:pPr>
      <w:rPr>
        <w:rFonts w:ascii="Wingdings" w:hAnsi="Wingdings" w:hint="default"/>
      </w:rPr>
    </w:lvl>
  </w:abstractNum>
  <w:abstractNum w:abstractNumId="2" w15:restartNumberingAfterBreak="0">
    <w:nsid w:val="5A16211A"/>
    <w:multiLevelType w:val="hybridMultilevel"/>
    <w:tmpl w:val="FFFFFFFF"/>
    <w:lvl w:ilvl="0" w:tplc="A2A0420E">
      <w:start w:val="1"/>
      <w:numFmt w:val="bullet"/>
      <w:lvlText w:val=""/>
      <w:lvlJc w:val="left"/>
      <w:pPr>
        <w:ind w:left="720" w:hanging="360"/>
      </w:pPr>
      <w:rPr>
        <w:rFonts w:ascii="Symbol" w:hAnsi="Symbol" w:hint="default"/>
      </w:rPr>
    </w:lvl>
    <w:lvl w:ilvl="1" w:tplc="9894E7C2">
      <w:start w:val="1"/>
      <w:numFmt w:val="bullet"/>
      <w:lvlText w:val="o"/>
      <w:lvlJc w:val="left"/>
      <w:pPr>
        <w:ind w:left="1440" w:hanging="360"/>
      </w:pPr>
      <w:rPr>
        <w:rFonts w:ascii="Courier New" w:hAnsi="Courier New" w:hint="default"/>
      </w:rPr>
    </w:lvl>
    <w:lvl w:ilvl="2" w:tplc="ADA40FE2">
      <w:start w:val="1"/>
      <w:numFmt w:val="bullet"/>
      <w:lvlText w:val=""/>
      <w:lvlJc w:val="left"/>
      <w:pPr>
        <w:ind w:left="2160" w:hanging="360"/>
      </w:pPr>
      <w:rPr>
        <w:rFonts w:ascii="Wingdings" w:hAnsi="Wingdings" w:hint="default"/>
      </w:rPr>
    </w:lvl>
    <w:lvl w:ilvl="3" w:tplc="96FCB4A8">
      <w:start w:val="1"/>
      <w:numFmt w:val="bullet"/>
      <w:lvlText w:val=""/>
      <w:lvlJc w:val="left"/>
      <w:pPr>
        <w:ind w:left="2880" w:hanging="360"/>
      </w:pPr>
      <w:rPr>
        <w:rFonts w:ascii="Symbol" w:hAnsi="Symbol" w:hint="default"/>
      </w:rPr>
    </w:lvl>
    <w:lvl w:ilvl="4" w:tplc="08B8B7D8">
      <w:start w:val="1"/>
      <w:numFmt w:val="bullet"/>
      <w:lvlText w:val="o"/>
      <w:lvlJc w:val="left"/>
      <w:pPr>
        <w:ind w:left="3600" w:hanging="360"/>
      </w:pPr>
      <w:rPr>
        <w:rFonts w:ascii="Courier New" w:hAnsi="Courier New" w:hint="default"/>
      </w:rPr>
    </w:lvl>
    <w:lvl w:ilvl="5" w:tplc="8A7643EA">
      <w:start w:val="1"/>
      <w:numFmt w:val="bullet"/>
      <w:lvlText w:val=""/>
      <w:lvlJc w:val="left"/>
      <w:pPr>
        <w:ind w:left="4320" w:hanging="360"/>
      </w:pPr>
      <w:rPr>
        <w:rFonts w:ascii="Wingdings" w:hAnsi="Wingdings" w:hint="default"/>
      </w:rPr>
    </w:lvl>
    <w:lvl w:ilvl="6" w:tplc="E7CAC3C2">
      <w:start w:val="1"/>
      <w:numFmt w:val="bullet"/>
      <w:lvlText w:val=""/>
      <w:lvlJc w:val="left"/>
      <w:pPr>
        <w:ind w:left="5040" w:hanging="360"/>
      </w:pPr>
      <w:rPr>
        <w:rFonts w:ascii="Symbol" w:hAnsi="Symbol" w:hint="default"/>
      </w:rPr>
    </w:lvl>
    <w:lvl w:ilvl="7" w:tplc="6E6C8F9C">
      <w:start w:val="1"/>
      <w:numFmt w:val="bullet"/>
      <w:lvlText w:val="o"/>
      <w:lvlJc w:val="left"/>
      <w:pPr>
        <w:ind w:left="5760" w:hanging="360"/>
      </w:pPr>
      <w:rPr>
        <w:rFonts w:ascii="Courier New" w:hAnsi="Courier New" w:hint="default"/>
      </w:rPr>
    </w:lvl>
    <w:lvl w:ilvl="8" w:tplc="BEDEECD2">
      <w:start w:val="1"/>
      <w:numFmt w:val="bullet"/>
      <w:lvlText w:val=""/>
      <w:lvlJc w:val="left"/>
      <w:pPr>
        <w:ind w:left="6480" w:hanging="360"/>
      </w:pPr>
      <w:rPr>
        <w:rFonts w:ascii="Wingdings" w:hAnsi="Wingdings" w:hint="default"/>
      </w:rPr>
    </w:lvl>
  </w:abstractNum>
  <w:abstractNum w:abstractNumId="3" w15:restartNumberingAfterBreak="0">
    <w:nsid w:val="64957B78"/>
    <w:multiLevelType w:val="hybridMultilevel"/>
    <w:tmpl w:val="FFFFFFFF"/>
    <w:lvl w:ilvl="0" w:tplc="4718EDC6">
      <w:start w:val="1"/>
      <w:numFmt w:val="bullet"/>
      <w:lvlText w:val=""/>
      <w:lvlJc w:val="left"/>
      <w:pPr>
        <w:ind w:left="720" w:hanging="360"/>
      </w:pPr>
      <w:rPr>
        <w:rFonts w:ascii="Symbol" w:hAnsi="Symbol" w:hint="default"/>
      </w:rPr>
    </w:lvl>
    <w:lvl w:ilvl="1" w:tplc="4F560962">
      <w:start w:val="1"/>
      <w:numFmt w:val="bullet"/>
      <w:lvlText w:val="o"/>
      <w:lvlJc w:val="left"/>
      <w:pPr>
        <w:ind w:left="1440" w:hanging="360"/>
      </w:pPr>
      <w:rPr>
        <w:rFonts w:ascii="Courier New" w:hAnsi="Courier New" w:hint="default"/>
      </w:rPr>
    </w:lvl>
    <w:lvl w:ilvl="2" w:tplc="661E28A2">
      <w:start w:val="1"/>
      <w:numFmt w:val="bullet"/>
      <w:lvlText w:val=""/>
      <w:lvlJc w:val="left"/>
      <w:pPr>
        <w:ind w:left="2160" w:hanging="360"/>
      </w:pPr>
      <w:rPr>
        <w:rFonts w:ascii="Wingdings" w:hAnsi="Wingdings" w:hint="default"/>
      </w:rPr>
    </w:lvl>
    <w:lvl w:ilvl="3" w:tplc="52388340">
      <w:start w:val="1"/>
      <w:numFmt w:val="bullet"/>
      <w:lvlText w:val=""/>
      <w:lvlJc w:val="left"/>
      <w:pPr>
        <w:ind w:left="2880" w:hanging="360"/>
      </w:pPr>
      <w:rPr>
        <w:rFonts w:ascii="Symbol" w:hAnsi="Symbol" w:hint="default"/>
      </w:rPr>
    </w:lvl>
    <w:lvl w:ilvl="4" w:tplc="D3AC042E">
      <w:start w:val="1"/>
      <w:numFmt w:val="bullet"/>
      <w:lvlText w:val="o"/>
      <w:lvlJc w:val="left"/>
      <w:pPr>
        <w:ind w:left="3600" w:hanging="360"/>
      </w:pPr>
      <w:rPr>
        <w:rFonts w:ascii="Courier New" w:hAnsi="Courier New" w:hint="default"/>
      </w:rPr>
    </w:lvl>
    <w:lvl w:ilvl="5" w:tplc="9712FAF2">
      <w:start w:val="1"/>
      <w:numFmt w:val="bullet"/>
      <w:lvlText w:val=""/>
      <w:lvlJc w:val="left"/>
      <w:pPr>
        <w:ind w:left="4320" w:hanging="360"/>
      </w:pPr>
      <w:rPr>
        <w:rFonts w:ascii="Wingdings" w:hAnsi="Wingdings" w:hint="default"/>
      </w:rPr>
    </w:lvl>
    <w:lvl w:ilvl="6" w:tplc="A1AEFC60">
      <w:start w:val="1"/>
      <w:numFmt w:val="bullet"/>
      <w:lvlText w:val=""/>
      <w:lvlJc w:val="left"/>
      <w:pPr>
        <w:ind w:left="5040" w:hanging="360"/>
      </w:pPr>
      <w:rPr>
        <w:rFonts w:ascii="Symbol" w:hAnsi="Symbol" w:hint="default"/>
      </w:rPr>
    </w:lvl>
    <w:lvl w:ilvl="7" w:tplc="8D2C710C">
      <w:start w:val="1"/>
      <w:numFmt w:val="bullet"/>
      <w:lvlText w:val="o"/>
      <w:lvlJc w:val="left"/>
      <w:pPr>
        <w:ind w:left="5760" w:hanging="360"/>
      </w:pPr>
      <w:rPr>
        <w:rFonts w:ascii="Courier New" w:hAnsi="Courier New" w:hint="default"/>
      </w:rPr>
    </w:lvl>
    <w:lvl w:ilvl="8" w:tplc="6FB6F758">
      <w:start w:val="1"/>
      <w:numFmt w:val="bullet"/>
      <w:lvlText w:val=""/>
      <w:lvlJc w:val="left"/>
      <w:pPr>
        <w:ind w:left="6480" w:hanging="360"/>
      </w:pPr>
      <w:rPr>
        <w:rFonts w:ascii="Wingdings" w:hAnsi="Wingdings" w:hint="default"/>
      </w:rPr>
    </w:lvl>
  </w:abstractNum>
  <w:abstractNum w:abstractNumId="4" w15:restartNumberingAfterBreak="0">
    <w:nsid w:val="780DE437"/>
    <w:multiLevelType w:val="hybridMultilevel"/>
    <w:tmpl w:val="FFFFFFFF"/>
    <w:lvl w:ilvl="0" w:tplc="0AD4D82C">
      <w:start w:val="1"/>
      <w:numFmt w:val="bullet"/>
      <w:lvlText w:val=""/>
      <w:lvlJc w:val="left"/>
      <w:pPr>
        <w:ind w:left="720" w:hanging="360"/>
      </w:pPr>
      <w:rPr>
        <w:rFonts w:ascii="Symbol" w:hAnsi="Symbol" w:hint="default"/>
      </w:rPr>
    </w:lvl>
    <w:lvl w:ilvl="1" w:tplc="893E7016">
      <w:start w:val="1"/>
      <w:numFmt w:val="bullet"/>
      <w:lvlText w:val="o"/>
      <w:lvlJc w:val="left"/>
      <w:pPr>
        <w:ind w:left="1440" w:hanging="360"/>
      </w:pPr>
      <w:rPr>
        <w:rFonts w:ascii="Courier New" w:hAnsi="Courier New" w:hint="default"/>
      </w:rPr>
    </w:lvl>
    <w:lvl w:ilvl="2" w:tplc="755CE568">
      <w:start w:val="1"/>
      <w:numFmt w:val="bullet"/>
      <w:lvlText w:val=""/>
      <w:lvlJc w:val="left"/>
      <w:pPr>
        <w:ind w:left="2160" w:hanging="360"/>
      </w:pPr>
      <w:rPr>
        <w:rFonts w:ascii="Wingdings" w:hAnsi="Wingdings" w:hint="default"/>
      </w:rPr>
    </w:lvl>
    <w:lvl w:ilvl="3" w:tplc="55029214">
      <w:start w:val="1"/>
      <w:numFmt w:val="bullet"/>
      <w:lvlText w:val=""/>
      <w:lvlJc w:val="left"/>
      <w:pPr>
        <w:ind w:left="2880" w:hanging="360"/>
      </w:pPr>
      <w:rPr>
        <w:rFonts w:ascii="Symbol" w:hAnsi="Symbol" w:hint="default"/>
      </w:rPr>
    </w:lvl>
    <w:lvl w:ilvl="4" w:tplc="769E0C80">
      <w:start w:val="1"/>
      <w:numFmt w:val="bullet"/>
      <w:lvlText w:val="o"/>
      <w:lvlJc w:val="left"/>
      <w:pPr>
        <w:ind w:left="3600" w:hanging="360"/>
      </w:pPr>
      <w:rPr>
        <w:rFonts w:ascii="Courier New" w:hAnsi="Courier New" w:hint="default"/>
      </w:rPr>
    </w:lvl>
    <w:lvl w:ilvl="5" w:tplc="FEDE530C">
      <w:start w:val="1"/>
      <w:numFmt w:val="bullet"/>
      <w:lvlText w:val=""/>
      <w:lvlJc w:val="left"/>
      <w:pPr>
        <w:ind w:left="4320" w:hanging="360"/>
      </w:pPr>
      <w:rPr>
        <w:rFonts w:ascii="Wingdings" w:hAnsi="Wingdings" w:hint="default"/>
      </w:rPr>
    </w:lvl>
    <w:lvl w:ilvl="6" w:tplc="7742982E">
      <w:start w:val="1"/>
      <w:numFmt w:val="bullet"/>
      <w:lvlText w:val=""/>
      <w:lvlJc w:val="left"/>
      <w:pPr>
        <w:ind w:left="5040" w:hanging="360"/>
      </w:pPr>
      <w:rPr>
        <w:rFonts w:ascii="Symbol" w:hAnsi="Symbol" w:hint="default"/>
      </w:rPr>
    </w:lvl>
    <w:lvl w:ilvl="7" w:tplc="AA6A362A">
      <w:start w:val="1"/>
      <w:numFmt w:val="bullet"/>
      <w:lvlText w:val="o"/>
      <w:lvlJc w:val="left"/>
      <w:pPr>
        <w:ind w:left="5760" w:hanging="360"/>
      </w:pPr>
      <w:rPr>
        <w:rFonts w:ascii="Courier New" w:hAnsi="Courier New" w:hint="default"/>
      </w:rPr>
    </w:lvl>
    <w:lvl w:ilvl="8" w:tplc="301065E6">
      <w:start w:val="1"/>
      <w:numFmt w:val="bullet"/>
      <w:lvlText w:val=""/>
      <w:lvlJc w:val="left"/>
      <w:pPr>
        <w:ind w:left="6480" w:hanging="360"/>
      </w:pPr>
      <w:rPr>
        <w:rFonts w:ascii="Wingdings" w:hAnsi="Wingdings" w:hint="default"/>
      </w:rPr>
    </w:lvl>
  </w:abstractNum>
  <w:num w:numId="1" w16cid:durableId="938104270">
    <w:abstractNumId w:val="3"/>
  </w:num>
  <w:num w:numId="2" w16cid:durableId="257904624">
    <w:abstractNumId w:val="0"/>
  </w:num>
  <w:num w:numId="3" w16cid:durableId="1715886650">
    <w:abstractNumId w:val="1"/>
  </w:num>
  <w:num w:numId="4" w16cid:durableId="272249136">
    <w:abstractNumId w:val="4"/>
  </w:num>
  <w:num w:numId="5" w16cid:durableId="21351759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153"/>
    <w:rsid w:val="00457A77"/>
    <w:rsid w:val="006B4C25"/>
    <w:rsid w:val="00701CEB"/>
    <w:rsid w:val="00802724"/>
    <w:rsid w:val="00811EFA"/>
    <w:rsid w:val="00AA0153"/>
    <w:rsid w:val="00E77891"/>
    <w:rsid w:val="0215BEAD"/>
    <w:rsid w:val="0226D746"/>
    <w:rsid w:val="03B18F0E"/>
    <w:rsid w:val="0AC679E1"/>
    <w:rsid w:val="0B351AE9"/>
    <w:rsid w:val="0C7E4CC9"/>
    <w:rsid w:val="0CC06645"/>
    <w:rsid w:val="0F14BF25"/>
    <w:rsid w:val="121C3B37"/>
    <w:rsid w:val="124C5FE7"/>
    <w:rsid w:val="139EC3ED"/>
    <w:rsid w:val="1892D1CE"/>
    <w:rsid w:val="1A017D6F"/>
    <w:rsid w:val="1AF86695"/>
    <w:rsid w:val="1BC659DB"/>
    <w:rsid w:val="1C2F5A0F"/>
    <w:rsid w:val="1D10FA1F"/>
    <w:rsid w:val="1F99ADAA"/>
    <w:rsid w:val="224FE347"/>
    <w:rsid w:val="2303787A"/>
    <w:rsid w:val="235D7598"/>
    <w:rsid w:val="249F48DB"/>
    <w:rsid w:val="2522E85D"/>
    <w:rsid w:val="25455986"/>
    <w:rsid w:val="27FBF9B3"/>
    <w:rsid w:val="28402835"/>
    <w:rsid w:val="28B6C8EF"/>
    <w:rsid w:val="2B94B997"/>
    <w:rsid w:val="2DBE9B23"/>
    <w:rsid w:val="2DF57E69"/>
    <w:rsid w:val="30DC1864"/>
    <w:rsid w:val="31A15FB1"/>
    <w:rsid w:val="383D23A2"/>
    <w:rsid w:val="3B452B99"/>
    <w:rsid w:val="3C82E841"/>
    <w:rsid w:val="3CE0FBFA"/>
    <w:rsid w:val="3E1C8F96"/>
    <w:rsid w:val="400C65A6"/>
    <w:rsid w:val="427677C9"/>
    <w:rsid w:val="4536A487"/>
    <w:rsid w:val="45F64140"/>
    <w:rsid w:val="4749E8EC"/>
    <w:rsid w:val="4A8189AE"/>
    <w:rsid w:val="4BB87D28"/>
    <w:rsid w:val="4CCD5503"/>
    <w:rsid w:val="4DB92A70"/>
    <w:rsid w:val="4E9ADDAB"/>
    <w:rsid w:val="517BB52F"/>
    <w:rsid w:val="5416D70E"/>
    <w:rsid w:val="59222868"/>
    <w:rsid w:val="5B3AF78B"/>
    <w:rsid w:val="5C5DFA9C"/>
    <w:rsid w:val="5E979BF6"/>
    <w:rsid w:val="60F4C878"/>
    <w:rsid w:val="6113AC77"/>
    <w:rsid w:val="617CACAB"/>
    <w:rsid w:val="62C33CCD"/>
    <w:rsid w:val="63324779"/>
    <w:rsid w:val="67CB3356"/>
    <w:rsid w:val="6850CB16"/>
    <w:rsid w:val="69A188FD"/>
    <w:rsid w:val="6B26CCA7"/>
    <w:rsid w:val="6BE309E7"/>
    <w:rsid w:val="6C5D19AD"/>
    <w:rsid w:val="70787A21"/>
    <w:rsid w:val="718A2075"/>
    <w:rsid w:val="75CF5441"/>
    <w:rsid w:val="78876C50"/>
    <w:rsid w:val="78CCD379"/>
    <w:rsid w:val="7A0AACC7"/>
    <w:rsid w:val="7A68A3DA"/>
    <w:rsid w:val="7B41A041"/>
    <w:rsid w:val="7C2E8BD2"/>
    <w:rsid w:val="7EA504FD"/>
    <w:rsid w:val="7F92E8D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56D6CEF0"/>
  <w15:chartTrackingRefBased/>
  <w15:docId w15:val="{902F9B42-953D-FA4C-9260-0D9463A1B9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701CEB"/>
    <w:rPr>
      <w:rFonts w:ascii=".AppleSystemUIFont" w:hAnsi=".AppleSystemUIFont" w:cs="Times New Roman"/>
      <w:kern w:val="0"/>
      <w:sz w:val="26"/>
      <w:szCs w:val="26"/>
      <w14:ligatures w14:val="none"/>
    </w:rPr>
  </w:style>
  <w:style w:type="paragraph" w:customStyle="1" w:styleId="p2">
    <w:name w:val="p2"/>
    <w:basedOn w:val="Normal"/>
    <w:rsid w:val="00701CEB"/>
    <w:rPr>
      <w:rFonts w:ascii=".AppleSystemUIFont" w:hAnsi=".AppleSystemUIFont" w:cs="Times New Roman"/>
      <w:kern w:val="0"/>
      <w:sz w:val="26"/>
      <w:szCs w:val="26"/>
      <w14:ligatures w14:val="none"/>
    </w:rPr>
  </w:style>
  <w:style w:type="character" w:customStyle="1" w:styleId="s1">
    <w:name w:val="s1"/>
    <w:basedOn w:val="DefaultParagraphFont"/>
    <w:rsid w:val="00701CEB"/>
    <w:rPr>
      <w:rFonts w:ascii="UICTFontTextStyleBody" w:hAnsi="UICTFontTextStyleBody" w:hint="default"/>
      <w:b w:val="0"/>
      <w:bCs w:val="0"/>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1496</Words>
  <Characters>8529</Characters>
  <Application>Microsoft Office Word</Application>
  <DocSecurity>0</DocSecurity>
  <Lines>71</Lines>
  <Paragraphs>20</Paragraphs>
  <ScaleCrop>false</ScaleCrop>
  <Company/>
  <LinksUpToDate>false</LinksUpToDate>
  <CharactersWithSpaces>10005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Saad Nagib Ghaleb Mohamed (2321489)</dc:creator>
  <cp:keywords/>
  <dc:description/>
  <cp:lastModifiedBy>Maayal Rizwan</cp:lastModifiedBy>
  <cp:revision>2</cp:revision>
  <dcterms:created xsi:type="dcterms:W3CDTF">2024-03-20T23:57:00Z</dcterms:created>
  <dcterms:modified xsi:type="dcterms:W3CDTF">2024-03-20T23:57:00Z</dcterms:modified>
</cp:coreProperties>
</file>