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B95880" w14:textId="5674B14D" w:rsidR="008A4227" w:rsidRPr="009849B2" w:rsidRDefault="008A4227" w:rsidP="007B146C">
      <w:pPr>
        <w:spacing w:before="160" w:after="80" w:line="360" w:lineRule="auto"/>
        <w:outlineLvl w:val="1"/>
        <w:rPr>
          <w:rFonts w:ascii="Arial" w:eastAsia="Times New Roman" w:hAnsi="Arial" w:cs="Arial"/>
          <w:b/>
          <w:bCs/>
          <w:color w:val="000000" w:themeColor="text1"/>
          <w:kern w:val="0"/>
          <w:szCs w:val="24"/>
          <w14:ligatures w14:val="none"/>
        </w:rPr>
      </w:pPr>
      <w:r w:rsidRPr="009849B2"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  <w:t>Assessment Two</w:t>
      </w:r>
    </w:p>
    <w:p w14:paraId="6402569A" w14:textId="2344EF29" w:rsidR="0029624E" w:rsidRPr="009849B2" w:rsidRDefault="00AA5C17" w:rsidP="007B146C">
      <w:pPr>
        <w:spacing w:after="0" w:line="360" w:lineRule="auto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</w:pPr>
      <w:r w:rsidRPr="009849B2"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  <w:t>The Legenda</w:t>
      </w:r>
      <w:r w:rsidR="008A4227" w:rsidRPr="009849B2">
        <w:rPr>
          <w:rFonts w:ascii="Arial" w:eastAsia="Times New Roman" w:hAnsi="Arial" w:cs="Arial"/>
          <w:i/>
          <w:iCs/>
          <w:color w:val="000000" w:themeColor="text1"/>
          <w:kern w:val="0"/>
          <w:szCs w:val="24"/>
          <w14:ligatures w14:val="none"/>
        </w:rPr>
        <w:t xml:space="preserve"> Aurea</w:t>
      </w:r>
      <w:r w:rsidR="008A4227" w:rsidRPr="009849B2"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  <w:t xml:space="preserve"> written and complied by Jacobus de </w:t>
      </w:r>
      <w:proofErr w:type="spellStart"/>
      <w:r w:rsidR="008A4227" w:rsidRPr="009849B2"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  <w:t>Voraigne</w:t>
      </w:r>
      <w:proofErr w:type="spellEnd"/>
      <w:r w:rsidR="008A4227" w:rsidRPr="009849B2"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  <w:t xml:space="preserve"> was an extremely popular book in </w:t>
      </w:r>
      <w:r w:rsidR="0029624E" w:rsidRPr="009849B2"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  <w:t>‘the later Middle Ages’</w:t>
      </w:r>
      <w:r w:rsidR="0029624E" w:rsidRPr="009849B2">
        <w:rPr>
          <w:rStyle w:val="FootnoteReference"/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  <w:footnoteReference w:id="1"/>
      </w:r>
      <w:r w:rsidR="008A4227" w:rsidRPr="009849B2"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  <w:t xml:space="preserve">. An indication of that popularity being that the title </w:t>
      </w:r>
      <w:r w:rsidR="008A4227" w:rsidRPr="009849B2">
        <w:rPr>
          <w:rFonts w:ascii="Arial" w:eastAsia="Times New Roman" w:hAnsi="Arial" w:cs="Arial"/>
          <w:i/>
          <w:iCs/>
          <w:color w:val="000000" w:themeColor="text1"/>
          <w:kern w:val="0"/>
          <w:szCs w:val="24"/>
          <w14:ligatures w14:val="none"/>
        </w:rPr>
        <w:t>Legenda Aurea</w:t>
      </w:r>
      <w:r w:rsidR="008A4227" w:rsidRPr="009849B2"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  <w:t>, Golden Legend</w:t>
      </w:r>
      <w:r w:rsidR="00D76DBF"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  <w:t>,</w:t>
      </w:r>
      <w:r w:rsidR="008A4227" w:rsidRPr="009849B2"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  <w:t xml:space="preserve"> was </w:t>
      </w:r>
      <w:r w:rsidR="0029624E" w:rsidRPr="009849B2"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  <w:t xml:space="preserve">a title </w:t>
      </w:r>
      <w:r w:rsidR="008A4227" w:rsidRPr="009849B2"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  <w:t>attributed to it</w:t>
      </w:r>
      <w:r w:rsidR="00D76DBF"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  <w:t>.</w:t>
      </w:r>
      <w:r w:rsidR="008A4227" w:rsidRPr="009849B2"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  <w:t xml:space="preserve"> The author’s own name for the work was ‘</w:t>
      </w:r>
      <w:r w:rsidR="008A4227" w:rsidRPr="009849B2">
        <w:rPr>
          <w:rFonts w:ascii="Arial" w:eastAsia="Times New Roman" w:hAnsi="Arial" w:cs="Arial"/>
          <w:i/>
          <w:iCs/>
          <w:color w:val="000000" w:themeColor="text1"/>
          <w:kern w:val="0"/>
          <w:szCs w:val="24"/>
          <w:shd w:val="clear" w:color="auto" w:fill="FFFFFF"/>
          <w14:ligatures w14:val="none"/>
        </w:rPr>
        <w:t>Legenda Sanctorum’</w:t>
      </w:r>
      <w:r w:rsidR="008A4227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, legends of the saints</w:t>
      </w:r>
      <w:r w:rsidR="0029624E" w:rsidRPr="009849B2">
        <w:rPr>
          <w:rStyle w:val="FootnoteReference"/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footnoteReference w:id="2"/>
      </w:r>
      <w:r w:rsidR="0029624E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.</w:t>
      </w:r>
      <w:r w:rsidR="00062726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</w:t>
      </w:r>
      <w:r w:rsidR="0029624E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The author, a Dominican, was interested in producing a working hagiography. It was meant to be used by priests as an easy source of educational</w:t>
      </w:r>
      <w:r w:rsidR="00062726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and devotional</w:t>
      </w:r>
      <w:r w:rsidR="0029624E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inspiration</w:t>
      </w:r>
      <w:r w:rsidR="00B916FE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. </w:t>
      </w:r>
      <w:r w:rsidR="00062726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Hence,</w:t>
      </w:r>
      <w:r w:rsidR="00B916FE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it’s liturgical organisation, that is in order of saint’s day rather than alphabetical order. The Golden Legend became the ‘most widely used compendium of its kind’</w:t>
      </w:r>
      <w:r w:rsidR="00B916FE" w:rsidRPr="009849B2">
        <w:rPr>
          <w:rStyle w:val="FootnoteReference"/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footnoteReference w:id="3"/>
      </w:r>
      <w:r w:rsidR="00B916FE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. Its influence spread throughout Europe and escaped Latin into European languages, including English. Owing to the time of its creation and popularity it has also become a text of interest for those researching the development of printing</w:t>
      </w:r>
      <w:r w:rsidR="00B916FE" w:rsidRPr="009849B2">
        <w:rPr>
          <w:rStyle w:val="FootnoteReference"/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footnoteReference w:id="4"/>
      </w:r>
      <w:r w:rsidR="001D4BDD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. </w:t>
      </w:r>
      <w:r w:rsidR="00DA03F1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An early printing form termed, ‘</w:t>
      </w:r>
      <w:r w:rsidR="00062726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i</w:t>
      </w:r>
      <w:r w:rsidR="00DA03F1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ncunabula’ was a particularly popular format and a search at the Incunabula Short Title Catalogue gives over a hundred editions of the text in various languages</w:t>
      </w:r>
      <w:r w:rsidR="00DA03F1" w:rsidRPr="009849B2">
        <w:rPr>
          <w:rStyle w:val="FootnoteReference"/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footnoteReference w:id="5"/>
      </w:r>
      <w:r w:rsidR="00DA03F1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. </w:t>
      </w:r>
      <w:r w:rsidR="00062726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In England </w:t>
      </w:r>
      <w:r w:rsidR="00D76DBF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it</w:t>
      </w:r>
      <w:r w:rsidR="00DA03F1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</w:t>
      </w:r>
      <w:r w:rsidR="00A60B2F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was a</w:t>
      </w:r>
      <w:r w:rsidR="00DA03F1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major project for English printing with Caxton’s </w:t>
      </w:r>
      <w:r w:rsidR="00D1205C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English </w:t>
      </w:r>
      <w:r w:rsidR="00DA03F1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translation </w:t>
      </w:r>
      <w:r w:rsidR="00D1205C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and adaptation together with the use of woodcut pictures</w:t>
      </w:r>
      <w:r w:rsidR="00062726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</w:t>
      </w:r>
      <w:r w:rsidR="00D76DBF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going</w:t>
      </w:r>
      <w:r w:rsidR="00A60B2F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through multiple editions</w:t>
      </w:r>
      <w:r w:rsidR="00D1205C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. </w:t>
      </w:r>
    </w:p>
    <w:p w14:paraId="6B3FCFDF" w14:textId="77777777" w:rsidR="00AA5C17" w:rsidRDefault="00AA5C17" w:rsidP="007B146C">
      <w:pPr>
        <w:spacing w:after="0" w:line="360" w:lineRule="auto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</w:pPr>
    </w:p>
    <w:p w14:paraId="41B0B6D5" w14:textId="564665AD" w:rsidR="00C06153" w:rsidRPr="009849B2" w:rsidRDefault="00C06153" w:rsidP="007B146C">
      <w:pPr>
        <w:spacing w:after="0" w:line="360" w:lineRule="auto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</w:pPr>
      <w:r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The editions of the Golden Legend reference</w:t>
      </w:r>
      <w:r w:rsidR="00681D43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d</w:t>
      </w:r>
      <w:r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below have been categorised in the following way. </w:t>
      </w:r>
      <w:r w:rsidR="00681D43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Firstly,</w:t>
      </w:r>
      <w:r w:rsidR="004266F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</w:t>
      </w:r>
      <w:r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editions that </w:t>
      </w:r>
      <w:r w:rsidR="007B146C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are accessible to someone only working with English.</w:t>
      </w:r>
      <w:r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</w:t>
      </w:r>
      <w:r w:rsidR="00F51B5E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Next,</w:t>
      </w:r>
      <w:r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</w:t>
      </w:r>
      <w:r w:rsidR="007B146C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are</w:t>
      </w:r>
      <w:r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</w:t>
      </w:r>
      <w:r w:rsidR="00A60B2F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editions regarded</w:t>
      </w:r>
      <w:r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as most scholarly and authoritative. </w:t>
      </w:r>
      <w:r w:rsidR="007B146C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Finally,</w:t>
      </w:r>
      <w:r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editions that </w:t>
      </w:r>
      <w:r w:rsidR="00062726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are</w:t>
      </w:r>
      <w:r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interesting from the history of printing perspective</w:t>
      </w:r>
      <w:r w:rsidR="00907127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.</w:t>
      </w:r>
      <w:r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</w:t>
      </w:r>
    </w:p>
    <w:p w14:paraId="49AE440C" w14:textId="77777777" w:rsidR="004266F2" w:rsidRDefault="004266F2" w:rsidP="007B146C">
      <w:pPr>
        <w:spacing w:after="0" w:line="360" w:lineRule="auto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</w:pPr>
    </w:p>
    <w:p w14:paraId="5C458EDA" w14:textId="77777777" w:rsidR="004266F2" w:rsidRDefault="004266F2" w:rsidP="007B146C">
      <w:pPr>
        <w:spacing w:after="0" w:line="360" w:lineRule="auto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</w:pPr>
    </w:p>
    <w:p w14:paraId="7A663E56" w14:textId="77777777" w:rsidR="004266F2" w:rsidRDefault="004266F2" w:rsidP="007B146C">
      <w:pPr>
        <w:spacing w:after="0" w:line="360" w:lineRule="auto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</w:pPr>
    </w:p>
    <w:p w14:paraId="63091B40" w14:textId="7386187C" w:rsidR="00C06153" w:rsidRPr="009849B2" w:rsidRDefault="00BB41B6" w:rsidP="007B146C">
      <w:pPr>
        <w:spacing w:after="0" w:line="360" w:lineRule="auto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</w:pPr>
      <w:r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lastRenderedPageBreak/>
        <w:t>English editions</w:t>
      </w:r>
    </w:p>
    <w:p w14:paraId="3CE6CC9E" w14:textId="77777777" w:rsidR="00C06153" w:rsidRPr="009849B2" w:rsidRDefault="00C06153" w:rsidP="007B146C">
      <w:pPr>
        <w:spacing w:after="0" w:line="360" w:lineRule="auto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</w:pPr>
    </w:p>
    <w:p w14:paraId="71E821F8" w14:textId="07EB2780" w:rsidR="00C06153" w:rsidRPr="009849B2" w:rsidRDefault="00C06153" w:rsidP="007B146C">
      <w:pPr>
        <w:pStyle w:val="ListParagraph"/>
        <w:numPr>
          <w:ilvl w:val="0"/>
          <w:numId w:val="1"/>
        </w:numPr>
        <w:spacing w:after="0" w:line="360" w:lineRule="auto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</w:pPr>
      <w:r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Jacobus de Voragine. </w:t>
      </w:r>
      <w:r w:rsidRPr="009849B2">
        <w:rPr>
          <w:rFonts w:ascii="Arial" w:eastAsia="Times New Roman" w:hAnsi="Arial" w:cs="Arial"/>
          <w:i/>
          <w:iCs/>
          <w:color w:val="000000" w:themeColor="text1"/>
          <w:kern w:val="0"/>
          <w:szCs w:val="24"/>
          <w:shd w:val="clear" w:color="auto" w:fill="FFFFFF"/>
          <w14:ligatures w14:val="none"/>
        </w:rPr>
        <w:t>The Golden Legend:</w:t>
      </w:r>
      <w:r w:rsidR="00F956CE" w:rsidRPr="009849B2">
        <w:rPr>
          <w:rFonts w:ascii="Arial" w:eastAsia="Times New Roman" w:hAnsi="Arial" w:cs="Arial"/>
          <w:i/>
          <w:iCs/>
          <w:color w:val="000000" w:themeColor="text1"/>
          <w:kern w:val="0"/>
          <w:szCs w:val="24"/>
          <w:shd w:val="clear" w:color="auto" w:fill="FFFFFF"/>
          <w14:ligatures w14:val="none"/>
        </w:rPr>
        <w:t xml:space="preserve"> </w:t>
      </w:r>
      <w:r w:rsidRPr="009849B2">
        <w:rPr>
          <w:rFonts w:ascii="Arial" w:eastAsia="Times New Roman" w:hAnsi="Arial" w:cs="Arial"/>
          <w:i/>
          <w:iCs/>
          <w:color w:val="000000" w:themeColor="text1"/>
          <w:kern w:val="0"/>
          <w:szCs w:val="24"/>
          <w:shd w:val="clear" w:color="auto" w:fill="FFFFFF"/>
          <w14:ligatures w14:val="none"/>
        </w:rPr>
        <w:t>Readings on the Saints</w:t>
      </w:r>
      <w:r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, trans. </w:t>
      </w:r>
      <w:r w:rsidR="00BC6480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b</w:t>
      </w:r>
      <w:r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y William Granger Ryan, 2 vols (Princeton University </w:t>
      </w:r>
      <w:r w:rsidR="00BC6480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P</w:t>
      </w:r>
      <w:r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ress,1993)</w:t>
      </w:r>
      <w:r w:rsidR="00F956CE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Available at: </w:t>
      </w:r>
      <w:r w:rsidR="00BC6480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&lt;</w:t>
      </w:r>
      <w:r w:rsidR="00F956CE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https://research.ebsco.com/linkprocessor/plink?id=f09b03cd-15a9-3121-b435-c63d765b93ef</w:t>
      </w:r>
      <w:r w:rsidR="00BC6480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&gt;</w:t>
      </w:r>
      <w:r w:rsidR="00F956CE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</w:t>
      </w:r>
      <w:r w:rsidR="00A60B2F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[</w:t>
      </w:r>
      <w:r w:rsidR="00F956CE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Accessed: 12 November 2025</w:t>
      </w:r>
      <w:r w:rsidR="00A60B2F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]</w:t>
      </w:r>
      <w:r w:rsidR="00F956CE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.</w:t>
      </w:r>
    </w:p>
    <w:p w14:paraId="1E19989A" w14:textId="77777777" w:rsidR="00F956CE" w:rsidRPr="009849B2" w:rsidRDefault="00F956CE" w:rsidP="007B146C">
      <w:pPr>
        <w:pStyle w:val="ListParagraph"/>
        <w:spacing w:after="0" w:line="360" w:lineRule="auto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</w:pPr>
    </w:p>
    <w:p w14:paraId="0D89ECAE" w14:textId="7235CB14" w:rsidR="00681D43" w:rsidRPr="009849B2" w:rsidRDefault="004266F2" w:rsidP="007B146C">
      <w:pPr>
        <w:spacing w:after="0" w:line="360" w:lineRule="auto"/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</w:pPr>
      <w:r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A</w:t>
      </w:r>
      <w:r w:rsidR="0085782E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</w:t>
      </w:r>
      <w:r w:rsidR="00A60B2F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contemporary</w:t>
      </w:r>
      <w:r w:rsidR="00681D43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English translation</w:t>
      </w:r>
      <w:r w:rsidR="00F51B5E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</w:t>
      </w:r>
      <w:r w:rsidR="00062726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that does not rely on Caxton and </w:t>
      </w:r>
      <w:r w:rsidR="00681D43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which has </w:t>
      </w:r>
      <w:r w:rsidR="00D76DBF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an</w:t>
      </w:r>
      <w:r w:rsidR="00681D43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</w:t>
      </w:r>
      <w:r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enlightening</w:t>
      </w:r>
      <w:r w:rsidR="00D76DBF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introduction</w:t>
      </w:r>
      <w:r w:rsidR="00681D43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by Eamon Duffy</w:t>
      </w:r>
      <w:r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.</w:t>
      </w:r>
      <w:r w:rsidR="00681D43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</w:t>
      </w:r>
      <w:r w:rsidR="003E5A14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>The notes and indices show it</w:t>
      </w:r>
      <w:r w:rsidR="00EC4811" w:rsidRPr="009849B2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14:ligatures w14:val="none"/>
        </w:rPr>
        <w:t xml:space="preserve"> is aimed at academics and students.</w:t>
      </w:r>
    </w:p>
    <w:p w14:paraId="72EA3C18" w14:textId="77777777" w:rsidR="008A4227" w:rsidRPr="009849B2" w:rsidRDefault="008A4227" w:rsidP="007B146C">
      <w:pPr>
        <w:spacing w:after="0" w:line="360" w:lineRule="auto"/>
        <w:rPr>
          <w:rFonts w:ascii="Arial" w:eastAsia="Times New Roman" w:hAnsi="Arial" w:cs="Arial"/>
          <w:color w:val="000000" w:themeColor="text1"/>
          <w:kern w:val="0"/>
          <w:szCs w:val="24"/>
          <w14:ligatures w14:val="none"/>
        </w:rPr>
      </w:pPr>
    </w:p>
    <w:p w14:paraId="317EE3EE" w14:textId="6831750A" w:rsidR="008A4227" w:rsidRPr="009849B2" w:rsidRDefault="00F51B5E" w:rsidP="007B14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9849B2">
        <w:rPr>
          <w:rFonts w:ascii="Arial" w:hAnsi="Arial" w:cs="Arial"/>
          <w:color w:val="000000" w:themeColor="text1"/>
          <w:szCs w:val="24"/>
        </w:rPr>
        <w:t xml:space="preserve">William Caxton (trans.), </w:t>
      </w:r>
      <w:r w:rsidRPr="009849B2">
        <w:rPr>
          <w:rStyle w:val="Emphasis"/>
          <w:rFonts w:ascii="Arial" w:hAnsi="Arial" w:cs="Arial"/>
          <w:color w:val="000000" w:themeColor="text1"/>
          <w:szCs w:val="24"/>
        </w:rPr>
        <w:t>The Golden Legend, or Lives of the Saints</w:t>
      </w:r>
      <w:r w:rsidRPr="009849B2">
        <w:rPr>
          <w:rFonts w:ascii="Arial" w:hAnsi="Arial" w:cs="Arial"/>
          <w:color w:val="000000" w:themeColor="text1"/>
          <w:szCs w:val="24"/>
        </w:rPr>
        <w:t xml:space="preserve">, modernised and ed. Frederick </w:t>
      </w:r>
      <w:proofErr w:type="spellStart"/>
      <w:r w:rsidRPr="009849B2">
        <w:rPr>
          <w:rFonts w:ascii="Arial" w:hAnsi="Arial" w:cs="Arial"/>
          <w:color w:val="000000" w:themeColor="text1"/>
          <w:szCs w:val="24"/>
        </w:rPr>
        <w:t>Startridge</w:t>
      </w:r>
      <w:proofErr w:type="spellEnd"/>
      <w:r w:rsidRPr="009849B2">
        <w:rPr>
          <w:rFonts w:ascii="Arial" w:hAnsi="Arial" w:cs="Arial"/>
          <w:color w:val="000000" w:themeColor="text1"/>
          <w:szCs w:val="24"/>
        </w:rPr>
        <w:t xml:space="preserve"> Ellis, 7 vols (London: J. M. Dent &amp; Co., 1900).</w:t>
      </w:r>
      <w:r w:rsidR="004A4D6E" w:rsidRPr="009849B2">
        <w:rPr>
          <w:rFonts w:ascii="Arial" w:hAnsi="Arial" w:cs="Arial"/>
          <w:color w:val="000000" w:themeColor="text1"/>
          <w:szCs w:val="24"/>
        </w:rPr>
        <w:t xml:space="preserve"> &lt;</w:t>
      </w:r>
      <w:r w:rsidR="009849B2" w:rsidRPr="009849B2">
        <w:rPr>
          <w:rFonts w:ascii="Arial" w:hAnsi="Arial" w:cs="Arial"/>
        </w:rPr>
        <w:t xml:space="preserve"> </w:t>
      </w:r>
      <w:r w:rsidR="009849B2" w:rsidRPr="009849B2">
        <w:rPr>
          <w:rFonts w:ascii="Arial" w:hAnsi="Arial" w:cs="Arial"/>
        </w:rPr>
        <w:t>https://sourcebooks.fordham.edu/basis/goldenlegend/</w:t>
      </w:r>
      <w:r w:rsidR="004A4D6E" w:rsidRPr="009849B2">
        <w:rPr>
          <w:rFonts w:ascii="Arial" w:hAnsi="Arial" w:cs="Arial"/>
          <w:szCs w:val="24"/>
        </w:rPr>
        <w:t xml:space="preserve"> &gt; </w:t>
      </w:r>
    </w:p>
    <w:p w14:paraId="43DB939B" w14:textId="652BBD46" w:rsidR="008B3DD9" w:rsidRPr="009849B2" w:rsidRDefault="008B3DD9" w:rsidP="007B146C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9849B2">
        <w:rPr>
          <w:rFonts w:ascii="Arial" w:hAnsi="Arial" w:cs="Arial"/>
          <w:color w:val="000000" w:themeColor="text1"/>
          <w:szCs w:val="24"/>
        </w:rPr>
        <w:t xml:space="preserve">This is an English update of Caxton’s translation. This edition </w:t>
      </w:r>
      <w:r w:rsidR="006656A3" w:rsidRPr="009849B2">
        <w:rPr>
          <w:rFonts w:ascii="Arial" w:hAnsi="Arial" w:cs="Arial"/>
          <w:color w:val="000000" w:themeColor="text1"/>
          <w:szCs w:val="24"/>
        </w:rPr>
        <w:t>is used</w:t>
      </w:r>
      <w:r w:rsidR="009849B2" w:rsidRPr="009849B2">
        <w:rPr>
          <w:rFonts w:ascii="Arial" w:hAnsi="Arial" w:cs="Arial"/>
          <w:color w:val="000000" w:themeColor="text1"/>
          <w:szCs w:val="24"/>
        </w:rPr>
        <w:t xml:space="preserve"> as </w:t>
      </w:r>
      <w:r w:rsidRPr="009849B2">
        <w:rPr>
          <w:rFonts w:ascii="Arial" w:hAnsi="Arial" w:cs="Arial"/>
          <w:color w:val="000000" w:themeColor="text1"/>
          <w:szCs w:val="24"/>
        </w:rPr>
        <w:t xml:space="preserve">part of </w:t>
      </w:r>
      <w:r w:rsidR="004266F2" w:rsidRPr="009849B2">
        <w:rPr>
          <w:rFonts w:ascii="Arial" w:hAnsi="Arial" w:cs="Arial"/>
          <w:color w:val="000000" w:themeColor="text1"/>
          <w:szCs w:val="24"/>
        </w:rPr>
        <w:t>the online</w:t>
      </w:r>
      <w:r w:rsidRPr="009849B2">
        <w:rPr>
          <w:rFonts w:ascii="Arial" w:hAnsi="Arial" w:cs="Arial"/>
          <w:color w:val="000000" w:themeColor="text1"/>
          <w:szCs w:val="24"/>
        </w:rPr>
        <w:t xml:space="preserve"> Fordham University project</w:t>
      </w:r>
      <w:r w:rsidR="004266F2">
        <w:rPr>
          <w:rFonts w:ascii="Arial" w:hAnsi="Arial" w:cs="Arial"/>
          <w:color w:val="000000" w:themeColor="text1"/>
          <w:szCs w:val="24"/>
        </w:rPr>
        <w:t>,</w:t>
      </w:r>
      <w:r w:rsidRPr="009849B2">
        <w:rPr>
          <w:rFonts w:ascii="Arial" w:hAnsi="Arial" w:cs="Arial"/>
          <w:color w:val="000000" w:themeColor="text1"/>
          <w:szCs w:val="24"/>
        </w:rPr>
        <w:t xml:space="preserve"> the Internet Medieval Sourcebook </w:t>
      </w:r>
      <w:r w:rsidR="009849B2" w:rsidRPr="009849B2">
        <w:rPr>
          <w:rFonts w:ascii="Arial" w:hAnsi="Arial" w:cs="Arial"/>
          <w:color w:val="000000" w:themeColor="text1"/>
          <w:szCs w:val="24"/>
        </w:rPr>
        <w:t xml:space="preserve">and </w:t>
      </w:r>
      <w:r w:rsidR="004266F2">
        <w:rPr>
          <w:rFonts w:ascii="Arial" w:hAnsi="Arial" w:cs="Arial"/>
          <w:color w:val="000000" w:themeColor="text1"/>
          <w:szCs w:val="24"/>
        </w:rPr>
        <w:t xml:space="preserve">is </w:t>
      </w:r>
      <w:r w:rsidRPr="009849B2">
        <w:rPr>
          <w:rFonts w:ascii="Arial" w:hAnsi="Arial" w:cs="Arial"/>
          <w:color w:val="000000" w:themeColor="text1"/>
          <w:szCs w:val="24"/>
        </w:rPr>
        <w:t>both free and accessible</w:t>
      </w:r>
      <w:r w:rsidRPr="009849B2">
        <w:rPr>
          <w:rStyle w:val="FootnoteReference"/>
          <w:rFonts w:ascii="Arial" w:hAnsi="Arial" w:cs="Arial"/>
          <w:color w:val="000000" w:themeColor="text1"/>
          <w:szCs w:val="24"/>
        </w:rPr>
        <w:footnoteReference w:id="6"/>
      </w:r>
      <w:r w:rsidRPr="009849B2">
        <w:rPr>
          <w:rFonts w:ascii="Arial" w:hAnsi="Arial" w:cs="Arial"/>
          <w:color w:val="000000" w:themeColor="text1"/>
          <w:szCs w:val="24"/>
        </w:rPr>
        <w:t>.</w:t>
      </w:r>
      <w:r w:rsidR="009849B2">
        <w:rPr>
          <w:rFonts w:ascii="Arial" w:hAnsi="Arial" w:cs="Arial"/>
          <w:color w:val="000000" w:themeColor="text1"/>
          <w:szCs w:val="24"/>
        </w:rPr>
        <w:t xml:space="preserve"> It is useful for the text but has no additional notes</w:t>
      </w:r>
      <w:r w:rsidR="00BB41B6">
        <w:rPr>
          <w:rFonts w:ascii="Arial" w:hAnsi="Arial" w:cs="Arial"/>
          <w:color w:val="000000" w:themeColor="text1"/>
          <w:szCs w:val="24"/>
        </w:rPr>
        <w:t xml:space="preserve"> other than a glossary</w:t>
      </w:r>
      <w:r w:rsidR="009849B2">
        <w:rPr>
          <w:rFonts w:ascii="Arial" w:hAnsi="Arial" w:cs="Arial"/>
          <w:color w:val="000000" w:themeColor="text1"/>
          <w:szCs w:val="24"/>
        </w:rPr>
        <w:t>.</w:t>
      </w:r>
    </w:p>
    <w:p w14:paraId="62BE3DEF" w14:textId="77777777" w:rsidR="004A0EA5" w:rsidRPr="009849B2" w:rsidRDefault="004A0EA5" w:rsidP="007B14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9849B2">
        <w:rPr>
          <w:rFonts w:ascii="Arial" w:hAnsi="Arial" w:cs="Arial"/>
          <w:szCs w:val="24"/>
          <w:shd w:val="clear" w:color="auto" w:fill="FFFFFF"/>
        </w:rPr>
        <w:t>Voragine, Jacobus de, </w:t>
      </w:r>
      <w:r w:rsidRPr="004266F2">
        <w:rPr>
          <w:rFonts w:ascii="Arial" w:hAnsi="Arial" w:cs="Arial"/>
          <w:i/>
          <w:iCs/>
        </w:rPr>
        <w:t>The Golden Legend: Selections</w:t>
      </w:r>
      <w:r w:rsidRPr="004266F2">
        <w:t>,</w:t>
      </w:r>
      <w:r w:rsidRPr="009849B2">
        <w:rPr>
          <w:rFonts w:ascii="Arial" w:hAnsi="Arial" w:cs="Arial"/>
          <w:szCs w:val="24"/>
          <w:shd w:val="clear" w:color="auto" w:fill="FFFFFF"/>
        </w:rPr>
        <w:t xml:space="preserve"> trans. by Christopher Stace, ed. by Richard Hamer (London: Penguin Classics, 1998).</w:t>
      </w:r>
    </w:p>
    <w:p w14:paraId="27B7FAC9" w14:textId="375AF3BC" w:rsidR="00A24D4D" w:rsidRPr="009849B2" w:rsidRDefault="00A24D4D" w:rsidP="007B146C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9849B2">
        <w:rPr>
          <w:rFonts w:ascii="Arial" w:hAnsi="Arial" w:cs="Arial"/>
          <w:color w:val="000000" w:themeColor="text1"/>
          <w:szCs w:val="24"/>
        </w:rPr>
        <w:t>This is a partial edition and useful for its availability and explanatory notes. Perhaps not as useful for more involved research. It has not attracted much in the way of academic reviews.</w:t>
      </w:r>
    </w:p>
    <w:p w14:paraId="4B6E5378" w14:textId="77777777" w:rsidR="004266F2" w:rsidRDefault="009036E2" w:rsidP="004266F2">
      <w:pPr>
        <w:pStyle w:val="ListParagraph"/>
        <w:numPr>
          <w:ilvl w:val="0"/>
          <w:numId w:val="1"/>
        </w:numPr>
        <w:spacing w:line="360" w:lineRule="auto"/>
        <w:rPr>
          <w:rStyle w:val="Strong"/>
          <w:rFonts w:ascii="Arial" w:hAnsi="Arial" w:cs="Arial"/>
          <w:b w:val="0"/>
          <w:bCs w:val="0"/>
          <w:color w:val="000000" w:themeColor="text1"/>
          <w:szCs w:val="24"/>
        </w:rPr>
      </w:pPr>
      <w:r w:rsidRPr="009849B2">
        <w:rPr>
          <w:rStyle w:val="Strong"/>
          <w:rFonts w:ascii="Arial" w:hAnsi="Arial" w:cs="Arial"/>
          <w:b w:val="0"/>
          <w:bCs w:val="0"/>
          <w:color w:val="000000" w:themeColor="text1"/>
          <w:szCs w:val="24"/>
        </w:rPr>
        <w:t xml:space="preserve"> </w:t>
      </w:r>
      <w:r w:rsidR="00BB41B6" w:rsidRPr="009849B2">
        <w:rPr>
          <w:rStyle w:val="Strong"/>
          <w:rFonts w:ascii="Arial" w:hAnsi="Arial" w:cs="Arial"/>
          <w:b w:val="0"/>
          <w:bCs w:val="0"/>
          <w:color w:val="000000" w:themeColor="text1"/>
          <w:szCs w:val="24"/>
        </w:rPr>
        <w:t>Taguchi,</w:t>
      </w:r>
      <w:r w:rsidR="00BB41B6">
        <w:rPr>
          <w:rStyle w:val="Strong"/>
          <w:rFonts w:ascii="Arial" w:hAnsi="Arial" w:cs="Arial"/>
          <w:b w:val="0"/>
          <w:bCs w:val="0"/>
          <w:color w:val="000000" w:themeColor="text1"/>
          <w:szCs w:val="24"/>
        </w:rPr>
        <w:t xml:space="preserve"> </w:t>
      </w:r>
      <w:r w:rsidR="004A0EA5" w:rsidRPr="009849B2">
        <w:rPr>
          <w:rStyle w:val="Strong"/>
          <w:rFonts w:ascii="Arial" w:hAnsi="Arial" w:cs="Arial"/>
          <w:b w:val="0"/>
          <w:bCs w:val="0"/>
          <w:color w:val="000000" w:themeColor="text1"/>
          <w:szCs w:val="24"/>
        </w:rPr>
        <w:t>Mayumi John Scahill, and Satoko Tokunaga, eds,</w:t>
      </w:r>
      <w:r w:rsidRPr="009849B2">
        <w:rPr>
          <w:rStyle w:val="Strong"/>
          <w:rFonts w:ascii="Arial" w:hAnsi="Arial" w:cs="Arial"/>
          <w:b w:val="0"/>
          <w:bCs w:val="0"/>
          <w:color w:val="000000" w:themeColor="text1"/>
          <w:szCs w:val="24"/>
        </w:rPr>
        <w:t xml:space="preserve"> </w:t>
      </w:r>
      <w:r w:rsidRPr="009849B2">
        <w:rPr>
          <w:rStyle w:val="Strong"/>
          <w:rFonts w:ascii="Arial" w:hAnsi="Arial" w:cs="Arial"/>
          <w:b w:val="0"/>
          <w:bCs w:val="0"/>
          <w:i/>
          <w:iCs/>
          <w:color w:val="000000" w:themeColor="text1"/>
          <w:szCs w:val="24"/>
        </w:rPr>
        <w:t>Jacobus, and others, Caxton’s Golden Legend</w:t>
      </w:r>
      <w:r w:rsidRPr="009849B2">
        <w:rPr>
          <w:rStyle w:val="Strong"/>
          <w:rFonts w:ascii="Arial" w:hAnsi="Arial" w:cs="Arial"/>
          <w:b w:val="0"/>
          <w:bCs w:val="0"/>
          <w:color w:val="000000" w:themeColor="text1"/>
          <w:szCs w:val="24"/>
        </w:rPr>
        <w:t>, (Oxford University Press, 2020)</w:t>
      </w:r>
    </w:p>
    <w:p w14:paraId="1228C487" w14:textId="378415BD" w:rsidR="00304643" w:rsidRPr="004266F2" w:rsidRDefault="00304643" w:rsidP="004266F2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4266F2">
        <w:rPr>
          <w:rFonts w:ascii="Arial" w:hAnsi="Arial" w:cs="Arial"/>
          <w:color w:val="000000" w:themeColor="text1"/>
          <w:szCs w:val="24"/>
        </w:rPr>
        <w:lastRenderedPageBreak/>
        <w:t xml:space="preserve">This </w:t>
      </w:r>
      <w:r w:rsidR="00D76DBF">
        <w:rPr>
          <w:rFonts w:ascii="Arial" w:hAnsi="Arial" w:cs="Arial"/>
          <w:color w:val="000000" w:themeColor="text1"/>
          <w:szCs w:val="24"/>
        </w:rPr>
        <w:t>edition</w:t>
      </w:r>
      <w:r w:rsidR="009036E2" w:rsidRPr="004266F2">
        <w:rPr>
          <w:rFonts w:ascii="Arial" w:hAnsi="Arial" w:cs="Arial"/>
          <w:color w:val="000000" w:themeColor="text1"/>
          <w:szCs w:val="24"/>
        </w:rPr>
        <w:t>, in two volumes,</w:t>
      </w:r>
      <w:r w:rsidRPr="004266F2">
        <w:rPr>
          <w:rFonts w:ascii="Arial" w:hAnsi="Arial" w:cs="Arial"/>
          <w:color w:val="000000" w:themeColor="text1"/>
          <w:szCs w:val="24"/>
        </w:rPr>
        <w:t xml:space="preserve"> spans both accessible and scholarly categories</w:t>
      </w:r>
      <w:r w:rsidR="004266F2" w:rsidRPr="004266F2">
        <w:rPr>
          <w:rFonts w:ascii="Arial" w:hAnsi="Arial" w:cs="Arial"/>
          <w:color w:val="000000" w:themeColor="text1"/>
          <w:szCs w:val="24"/>
        </w:rPr>
        <w:t>.</w:t>
      </w:r>
      <w:r w:rsidRPr="004266F2">
        <w:rPr>
          <w:rFonts w:ascii="Arial" w:hAnsi="Arial" w:cs="Arial"/>
          <w:color w:val="000000" w:themeColor="text1"/>
          <w:szCs w:val="24"/>
        </w:rPr>
        <w:t xml:space="preserve"> </w:t>
      </w:r>
      <w:r w:rsidR="00BB41B6" w:rsidRPr="004266F2">
        <w:rPr>
          <w:rFonts w:ascii="Arial" w:hAnsi="Arial" w:cs="Arial"/>
          <w:color w:val="000000" w:themeColor="text1"/>
          <w:szCs w:val="24"/>
        </w:rPr>
        <w:t>The text is Caxton’s translation made more readable</w:t>
      </w:r>
      <w:r w:rsidR="00B3213F" w:rsidRPr="004266F2">
        <w:rPr>
          <w:rFonts w:ascii="Arial" w:hAnsi="Arial" w:cs="Arial"/>
          <w:color w:val="000000" w:themeColor="text1"/>
          <w:szCs w:val="24"/>
        </w:rPr>
        <w:t xml:space="preserve"> and has notes on content</w:t>
      </w:r>
      <w:r w:rsidR="004266F2">
        <w:rPr>
          <w:rFonts w:ascii="Arial" w:hAnsi="Arial" w:cs="Arial"/>
          <w:color w:val="000000" w:themeColor="text1"/>
          <w:szCs w:val="24"/>
        </w:rPr>
        <w:t xml:space="preserve"> and</w:t>
      </w:r>
      <w:r w:rsidR="00B3213F" w:rsidRPr="004266F2">
        <w:rPr>
          <w:rFonts w:ascii="Arial" w:hAnsi="Arial" w:cs="Arial"/>
          <w:color w:val="000000" w:themeColor="text1"/>
          <w:szCs w:val="24"/>
        </w:rPr>
        <w:t xml:space="preserve"> </w:t>
      </w:r>
      <w:r w:rsidRPr="004266F2">
        <w:rPr>
          <w:rFonts w:ascii="Arial" w:hAnsi="Arial" w:cs="Arial"/>
          <w:color w:val="000000" w:themeColor="text1"/>
          <w:szCs w:val="24"/>
        </w:rPr>
        <w:t>linguistic analysis</w:t>
      </w:r>
      <w:r w:rsidR="00B3213F" w:rsidRPr="004266F2">
        <w:rPr>
          <w:rFonts w:ascii="Arial" w:hAnsi="Arial" w:cs="Arial"/>
          <w:color w:val="000000" w:themeColor="text1"/>
          <w:szCs w:val="24"/>
        </w:rPr>
        <w:t>. It has received positive scholarly reviews.</w:t>
      </w:r>
      <w:r w:rsidR="006F18BB" w:rsidRPr="009849B2">
        <w:rPr>
          <w:rStyle w:val="FootnoteReference"/>
          <w:rFonts w:ascii="Arial" w:hAnsi="Arial" w:cs="Arial"/>
          <w:color w:val="000000" w:themeColor="text1"/>
          <w:szCs w:val="24"/>
        </w:rPr>
        <w:footnoteReference w:id="7"/>
      </w:r>
    </w:p>
    <w:p w14:paraId="72675D64" w14:textId="2E694164" w:rsidR="00860F37" w:rsidRPr="009849B2" w:rsidRDefault="00860F37" w:rsidP="00B3213F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9849B2">
        <w:rPr>
          <w:rFonts w:ascii="Arial" w:hAnsi="Arial" w:cs="Arial"/>
          <w:color w:val="000000" w:themeColor="text1"/>
        </w:rPr>
        <w:t xml:space="preserve">Jacobus de Voragine, </w:t>
      </w:r>
      <w:r w:rsidRPr="009849B2">
        <w:rPr>
          <w:rFonts w:ascii="Arial" w:hAnsi="Arial" w:cs="Arial"/>
          <w:i/>
          <w:iCs/>
          <w:color w:val="000000" w:themeColor="text1"/>
        </w:rPr>
        <w:t xml:space="preserve">The Golden </w:t>
      </w:r>
      <w:proofErr w:type="spellStart"/>
      <w:r w:rsidRPr="009849B2">
        <w:rPr>
          <w:rFonts w:ascii="Arial" w:hAnsi="Arial" w:cs="Arial"/>
          <w:i/>
          <w:iCs/>
          <w:color w:val="000000" w:themeColor="text1"/>
        </w:rPr>
        <w:t>Legende</w:t>
      </w:r>
      <w:proofErr w:type="spellEnd"/>
      <w:r w:rsidRPr="009849B2">
        <w:rPr>
          <w:rFonts w:ascii="Arial" w:hAnsi="Arial" w:cs="Arial"/>
          <w:color w:val="000000" w:themeColor="text1"/>
        </w:rPr>
        <w:t>, trans. by William Caxton (Westminster: William Caxton, 1483), STC 24873</w:t>
      </w:r>
    </w:p>
    <w:p w14:paraId="5BEA8387" w14:textId="1516AACC" w:rsidR="00F42637" w:rsidRPr="009849B2" w:rsidRDefault="00F42637" w:rsidP="007B146C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9849B2">
        <w:rPr>
          <w:rFonts w:ascii="Arial" w:hAnsi="Arial" w:cs="Arial"/>
          <w:color w:val="000000" w:themeColor="text1"/>
        </w:rPr>
        <w:t>This is Caxton’s original edition. It is available online and downloadable as a pdf through the Library of Congress</w:t>
      </w:r>
      <w:r w:rsidRPr="009849B2">
        <w:rPr>
          <w:rStyle w:val="FootnoteReference"/>
          <w:rFonts w:ascii="Arial" w:hAnsi="Arial" w:cs="Arial"/>
          <w:color w:val="000000" w:themeColor="text1"/>
        </w:rPr>
        <w:footnoteReference w:id="8"/>
      </w:r>
      <w:r w:rsidRPr="009849B2">
        <w:rPr>
          <w:rFonts w:ascii="Arial" w:hAnsi="Arial" w:cs="Arial"/>
          <w:color w:val="000000" w:themeColor="text1"/>
        </w:rPr>
        <w:t xml:space="preserve">. The </w:t>
      </w:r>
      <w:r w:rsidR="00B3213F">
        <w:rPr>
          <w:rFonts w:ascii="Arial" w:hAnsi="Arial" w:cs="Arial"/>
          <w:color w:val="000000" w:themeColor="text1"/>
        </w:rPr>
        <w:t>work</w:t>
      </w:r>
      <w:r w:rsidRPr="009849B2">
        <w:rPr>
          <w:rFonts w:ascii="Arial" w:hAnsi="Arial" w:cs="Arial"/>
          <w:color w:val="000000" w:themeColor="text1"/>
        </w:rPr>
        <w:t xml:space="preserve"> was an English translation </w:t>
      </w:r>
      <w:r w:rsidR="00490F1B" w:rsidRPr="009849B2">
        <w:rPr>
          <w:rFonts w:ascii="Arial" w:hAnsi="Arial" w:cs="Arial"/>
          <w:color w:val="000000" w:themeColor="text1"/>
        </w:rPr>
        <w:t>of</w:t>
      </w:r>
      <w:r w:rsidRPr="009849B2">
        <w:rPr>
          <w:rFonts w:ascii="Arial" w:hAnsi="Arial" w:cs="Arial"/>
          <w:color w:val="000000" w:themeColor="text1"/>
        </w:rPr>
        <w:t xml:space="preserve"> </w:t>
      </w:r>
      <w:proofErr w:type="spellStart"/>
      <w:r w:rsidR="004266F2" w:rsidRPr="009849B2">
        <w:rPr>
          <w:rFonts w:ascii="Arial" w:hAnsi="Arial" w:cs="Arial"/>
          <w:color w:val="000000" w:themeColor="text1"/>
        </w:rPr>
        <w:t>Vignay</w:t>
      </w:r>
      <w:r w:rsidR="004266F2">
        <w:rPr>
          <w:rFonts w:ascii="Arial" w:hAnsi="Arial" w:cs="Arial"/>
          <w:color w:val="000000" w:themeColor="text1"/>
        </w:rPr>
        <w:t>’s</w:t>
      </w:r>
      <w:proofErr w:type="spellEnd"/>
      <w:r w:rsidRPr="009849B2">
        <w:rPr>
          <w:rFonts w:ascii="Arial" w:hAnsi="Arial" w:cs="Arial"/>
          <w:color w:val="000000" w:themeColor="text1"/>
        </w:rPr>
        <w:t xml:space="preserve"> French translation</w:t>
      </w:r>
      <w:r w:rsidR="00B3213F">
        <w:rPr>
          <w:rFonts w:ascii="Arial" w:hAnsi="Arial" w:cs="Arial"/>
          <w:color w:val="000000" w:themeColor="text1"/>
        </w:rPr>
        <w:t>,</w:t>
      </w:r>
      <w:r w:rsidRPr="009849B2">
        <w:rPr>
          <w:rFonts w:ascii="Arial" w:hAnsi="Arial" w:cs="Arial"/>
          <w:color w:val="000000" w:themeColor="text1"/>
        </w:rPr>
        <w:t xml:space="preserve"> and as well as being important in the spread of hagiographical culture at the time is important in the history of printing. </w:t>
      </w:r>
      <w:r w:rsidR="00B3213F">
        <w:rPr>
          <w:rFonts w:ascii="Arial" w:hAnsi="Arial" w:cs="Arial"/>
          <w:color w:val="000000" w:themeColor="text1"/>
        </w:rPr>
        <w:t>The</w:t>
      </w:r>
      <w:r w:rsidRPr="009849B2">
        <w:rPr>
          <w:rFonts w:ascii="Arial" w:hAnsi="Arial" w:cs="Arial"/>
          <w:color w:val="000000" w:themeColor="text1"/>
        </w:rPr>
        <w:t xml:space="preserve"> language </w:t>
      </w:r>
      <w:r w:rsidR="00B3213F">
        <w:rPr>
          <w:rFonts w:ascii="Arial" w:hAnsi="Arial" w:cs="Arial"/>
          <w:color w:val="000000" w:themeColor="text1"/>
        </w:rPr>
        <w:t xml:space="preserve">was </w:t>
      </w:r>
      <w:r w:rsidRPr="009849B2">
        <w:rPr>
          <w:rFonts w:ascii="Arial" w:hAnsi="Arial" w:cs="Arial"/>
          <w:color w:val="000000" w:themeColor="text1"/>
        </w:rPr>
        <w:t xml:space="preserve">quite difficult to interpret so would need to be used </w:t>
      </w:r>
      <w:r w:rsidR="00B3213F">
        <w:rPr>
          <w:rFonts w:ascii="Arial" w:hAnsi="Arial" w:cs="Arial"/>
          <w:color w:val="000000" w:themeColor="text1"/>
        </w:rPr>
        <w:t xml:space="preserve">in conjunction </w:t>
      </w:r>
      <w:r w:rsidRPr="009849B2">
        <w:rPr>
          <w:rFonts w:ascii="Arial" w:hAnsi="Arial" w:cs="Arial"/>
          <w:color w:val="000000" w:themeColor="text1"/>
        </w:rPr>
        <w:t>with one of the more modern renditions above.</w:t>
      </w:r>
      <w:r w:rsidR="00304643" w:rsidRPr="009849B2">
        <w:rPr>
          <w:rFonts w:ascii="Arial" w:hAnsi="Arial" w:cs="Arial"/>
          <w:color w:val="000000" w:themeColor="text1"/>
        </w:rPr>
        <w:t xml:space="preserve"> Aimed at the time at a devotional, popular audience</w:t>
      </w:r>
      <w:r w:rsidR="00B3213F">
        <w:rPr>
          <w:rFonts w:ascii="Arial" w:hAnsi="Arial" w:cs="Arial"/>
          <w:color w:val="000000" w:themeColor="text1"/>
        </w:rPr>
        <w:t>,</w:t>
      </w:r>
      <w:r w:rsidR="00304643" w:rsidRPr="009849B2">
        <w:rPr>
          <w:rFonts w:ascii="Arial" w:hAnsi="Arial" w:cs="Arial"/>
          <w:color w:val="000000" w:themeColor="text1"/>
        </w:rPr>
        <w:t xml:space="preserve"> as can be seen from the inclusion of woodcuts</w:t>
      </w:r>
      <w:r w:rsidR="0090365C">
        <w:rPr>
          <w:rFonts w:ascii="Arial" w:hAnsi="Arial" w:cs="Arial"/>
          <w:color w:val="000000" w:themeColor="text1"/>
        </w:rPr>
        <w:t>,</w:t>
      </w:r>
      <w:r w:rsidR="00304643" w:rsidRPr="009849B2">
        <w:rPr>
          <w:rFonts w:ascii="Arial" w:hAnsi="Arial" w:cs="Arial"/>
          <w:color w:val="000000" w:themeColor="text1"/>
        </w:rPr>
        <w:t xml:space="preserve"> </w:t>
      </w:r>
      <w:r w:rsidR="00F81822" w:rsidRPr="009849B2">
        <w:rPr>
          <w:rFonts w:ascii="Arial" w:hAnsi="Arial" w:cs="Arial"/>
          <w:color w:val="000000" w:themeColor="text1"/>
        </w:rPr>
        <w:t>Caxton was an editor as well as translator and included local saints not found in the Latin original</w:t>
      </w:r>
      <w:r w:rsidR="00F81822" w:rsidRPr="009849B2">
        <w:rPr>
          <w:rStyle w:val="FootnoteReference"/>
          <w:rFonts w:ascii="Arial" w:hAnsi="Arial" w:cs="Arial"/>
          <w:color w:val="000000" w:themeColor="text1"/>
        </w:rPr>
        <w:footnoteReference w:id="9"/>
      </w:r>
      <w:r w:rsidR="00F81822" w:rsidRPr="009849B2">
        <w:rPr>
          <w:rFonts w:ascii="Arial" w:hAnsi="Arial" w:cs="Arial"/>
          <w:color w:val="000000" w:themeColor="text1"/>
        </w:rPr>
        <w:t>.</w:t>
      </w:r>
    </w:p>
    <w:p w14:paraId="0DD678D7" w14:textId="1412E7E1" w:rsidR="00D969E7" w:rsidRPr="009849B2" w:rsidRDefault="00D969E7" w:rsidP="007B146C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9849B2">
        <w:rPr>
          <w:rFonts w:ascii="Arial" w:hAnsi="Arial" w:cs="Arial"/>
          <w:color w:val="000000" w:themeColor="text1"/>
          <w:szCs w:val="24"/>
        </w:rPr>
        <w:t>Scholarly and authoritative</w:t>
      </w:r>
    </w:p>
    <w:p w14:paraId="76B24F11" w14:textId="70D4737F" w:rsidR="00F35D3B" w:rsidRPr="009849B2" w:rsidRDefault="00F35D3B" w:rsidP="007B14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9849B2">
        <w:rPr>
          <w:rFonts w:ascii="Arial" w:hAnsi="Arial" w:cs="Arial"/>
          <w:color w:val="000000" w:themeColor="text1"/>
          <w:szCs w:val="24"/>
        </w:rPr>
        <w:t>Voragine, Iacobus de</w:t>
      </w:r>
      <w:r w:rsidRPr="009849B2">
        <w:rPr>
          <w:rFonts w:ascii="Arial" w:hAnsi="Arial" w:cs="Arial"/>
          <w:i/>
          <w:iCs/>
          <w:color w:val="000000" w:themeColor="text1"/>
          <w:szCs w:val="24"/>
        </w:rPr>
        <w:t xml:space="preserve">, Legenda </w:t>
      </w:r>
      <w:proofErr w:type="spellStart"/>
      <w:r w:rsidRPr="009849B2">
        <w:rPr>
          <w:rFonts w:ascii="Arial" w:hAnsi="Arial" w:cs="Arial"/>
          <w:i/>
          <w:iCs/>
          <w:color w:val="000000" w:themeColor="text1"/>
          <w:szCs w:val="24"/>
        </w:rPr>
        <w:t>aurea</w:t>
      </w:r>
      <w:proofErr w:type="spellEnd"/>
      <w:r w:rsidRPr="009849B2">
        <w:rPr>
          <w:rFonts w:ascii="Arial" w:hAnsi="Arial" w:cs="Arial"/>
          <w:i/>
          <w:iCs/>
          <w:color w:val="000000" w:themeColor="text1"/>
          <w:szCs w:val="24"/>
        </w:rPr>
        <w:t xml:space="preserve">. </w:t>
      </w:r>
      <w:proofErr w:type="spellStart"/>
      <w:r w:rsidRPr="009849B2">
        <w:rPr>
          <w:rFonts w:ascii="Arial" w:hAnsi="Arial" w:cs="Arial"/>
          <w:i/>
          <w:iCs/>
          <w:color w:val="000000" w:themeColor="text1"/>
          <w:szCs w:val="24"/>
        </w:rPr>
        <w:t>Edizione</w:t>
      </w:r>
      <w:proofErr w:type="spellEnd"/>
      <w:r w:rsidRPr="009849B2">
        <w:rPr>
          <w:rFonts w:ascii="Arial" w:hAnsi="Arial" w:cs="Arial"/>
          <w:i/>
          <w:iCs/>
          <w:color w:val="000000" w:themeColor="text1"/>
          <w:szCs w:val="24"/>
        </w:rPr>
        <w:t xml:space="preserve"> </w:t>
      </w:r>
      <w:proofErr w:type="spellStart"/>
      <w:r w:rsidRPr="009849B2">
        <w:rPr>
          <w:rFonts w:ascii="Arial" w:hAnsi="Arial" w:cs="Arial"/>
          <w:i/>
          <w:iCs/>
          <w:color w:val="000000" w:themeColor="text1"/>
          <w:szCs w:val="24"/>
        </w:rPr>
        <w:t>critica</w:t>
      </w:r>
      <w:proofErr w:type="spellEnd"/>
      <w:r w:rsidRPr="009849B2">
        <w:rPr>
          <w:rFonts w:ascii="Arial" w:hAnsi="Arial" w:cs="Arial"/>
          <w:i/>
          <w:iCs/>
          <w:color w:val="000000" w:themeColor="text1"/>
          <w:szCs w:val="24"/>
        </w:rPr>
        <w:t xml:space="preserve">, </w:t>
      </w:r>
      <w:r w:rsidRPr="009849B2">
        <w:rPr>
          <w:rFonts w:ascii="Arial" w:hAnsi="Arial" w:cs="Arial"/>
          <w:color w:val="000000" w:themeColor="text1"/>
          <w:szCs w:val="24"/>
        </w:rPr>
        <w:t>ed. by Giovanni Paolo Maggioni, 2 vols (Florence: SISMEL–</w:t>
      </w:r>
      <w:proofErr w:type="spellStart"/>
      <w:r w:rsidRPr="009849B2">
        <w:rPr>
          <w:rFonts w:ascii="Arial" w:hAnsi="Arial" w:cs="Arial"/>
          <w:color w:val="000000" w:themeColor="text1"/>
          <w:szCs w:val="24"/>
        </w:rPr>
        <w:t>Edizioni</w:t>
      </w:r>
      <w:proofErr w:type="spellEnd"/>
      <w:r w:rsidRPr="009849B2">
        <w:rPr>
          <w:rFonts w:ascii="Arial" w:hAnsi="Arial" w:cs="Arial"/>
          <w:color w:val="000000" w:themeColor="text1"/>
          <w:szCs w:val="24"/>
        </w:rPr>
        <w:t xml:space="preserve"> del Galluzzo, 1998)</w:t>
      </w:r>
    </w:p>
    <w:p w14:paraId="5AC2DC53" w14:textId="0B8C8CE4" w:rsidR="00D969E7" w:rsidRPr="009849B2" w:rsidRDefault="004266F2" w:rsidP="007B146C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>
        <w:rPr>
          <w:rFonts w:ascii="Arial" w:hAnsi="Arial" w:cs="Arial"/>
          <w:color w:val="000000" w:themeColor="text1"/>
          <w:szCs w:val="24"/>
        </w:rPr>
        <w:t>Regarded</w:t>
      </w:r>
      <w:r w:rsidR="0040627C" w:rsidRPr="009849B2">
        <w:rPr>
          <w:rFonts w:ascii="Arial" w:hAnsi="Arial" w:cs="Arial"/>
          <w:color w:val="000000" w:themeColor="text1"/>
          <w:szCs w:val="24"/>
        </w:rPr>
        <w:t xml:space="preserve"> as the modern standard edition</w:t>
      </w:r>
      <w:r w:rsidR="00304643" w:rsidRPr="009849B2">
        <w:rPr>
          <w:rFonts w:ascii="Arial" w:hAnsi="Arial" w:cs="Arial"/>
          <w:color w:val="000000" w:themeColor="text1"/>
          <w:szCs w:val="24"/>
        </w:rPr>
        <w:t xml:space="preserve"> of the Latin </w:t>
      </w:r>
      <w:r w:rsidR="0090365C" w:rsidRPr="009849B2">
        <w:rPr>
          <w:rFonts w:ascii="Arial" w:hAnsi="Arial" w:cs="Arial"/>
          <w:color w:val="000000" w:themeColor="text1"/>
          <w:szCs w:val="24"/>
        </w:rPr>
        <w:t>text.</w:t>
      </w:r>
      <w:r w:rsidR="0040627C" w:rsidRPr="009849B2">
        <w:rPr>
          <w:rFonts w:ascii="Arial" w:hAnsi="Arial" w:cs="Arial"/>
          <w:color w:val="000000" w:themeColor="text1"/>
          <w:szCs w:val="24"/>
        </w:rPr>
        <w:t xml:space="preserve"> There </w:t>
      </w:r>
      <w:r w:rsidR="00287A71" w:rsidRPr="009849B2">
        <w:rPr>
          <w:rFonts w:ascii="Arial" w:hAnsi="Arial" w:cs="Arial"/>
          <w:color w:val="000000" w:themeColor="text1"/>
          <w:szCs w:val="24"/>
        </w:rPr>
        <w:t>appears</w:t>
      </w:r>
      <w:r w:rsidR="0040627C" w:rsidRPr="009849B2">
        <w:rPr>
          <w:rFonts w:ascii="Arial" w:hAnsi="Arial" w:cs="Arial"/>
          <w:color w:val="000000" w:themeColor="text1"/>
          <w:szCs w:val="24"/>
        </w:rPr>
        <w:t xml:space="preserve"> to have been massive work put </w:t>
      </w:r>
      <w:r w:rsidR="00296937" w:rsidRPr="009849B2">
        <w:rPr>
          <w:rFonts w:ascii="Arial" w:hAnsi="Arial" w:cs="Arial"/>
          <w:color w:val="000000" w:themeColor="text1"/>
          <w:szCs w:val="24"/>
        </w:rPr>
        <w:t>into</w:t>
      </w:r>
      <w:r w:rsidR="0040627C" w:rsidRPr="009849B2">
        <w:rPr>
          <w:rFonts w:ascii="Arial" w:hAnsi="Arial" w:cs="Arial"/>
          <w:color w:val="000000" w:themeColor="text1"/>
          <w:szCs w:val="24"/>
        </w:rPr>
        <w:t xml:space="preserve"> collation of manuscript editions and incunable and post-incunable witnesses </w:t>
      </w:r>
      <w:r w:rsidR="00296937" w:rsidRPr="009849B2">
        <w:rPr>
          <w:rFonts w:ascii="Arial" w:hAnsi="Arial" w:cs="Arial"/>
          <w:color w:val="000000" w:themeColor="text1"/>
          <w:szCs w:val="24"/>
        </w:rPr>
        <w:t>which</w:t>
      </w:r>
      <w:r w:rsidR="0040627C" w:rsidRPr="009849B2">
        <w:rPr>
          <w:rFonts w:ascii="Arial" w:hAnsi="Arial" w:cs="Arial"/>
          <w:color w:val="000000" w:themeColor="text1"/>
          <w:szCs w:val="24"/>
        </w:rPr>
        <w:t xml:space="preserve"> have then been analysed in </w:t>
      </w:r>
      <w:r w:rsidR="0090365C" w:rsidRPr="009849B2">
        <w:rPr>
          <w:rFonts w:ascii="Arial" w:hAnsi="Arial" w:cs="Arial"/>
          <w:color w:val="000000" w:themeColor="text1"/>
          <w:szCs w:val="24"/>
        </w:rPr>
        <w:t>detail</w:t>
      </w:r>
      <w:r w:rsidR="0040627C" w:rsidRPr="009849B2">
        <w:rPr>
          <w:rFonts w:ascii="Arial" w:hAnsi="Arial" w:cs="Arial"/>
          <w:color w:val="000000" w:themeColor="text1"/>
          <w:szCs w:val="24"/>
        </w:rPr>
        <w:t xml:space="preserve">. </w:t>
      </w:r>
      <w:r w:rsidR="0094294A">
        <w:rPr>
          <w:rFonts w:ascii="Arial" w:hAnsi="Arial" w:cs="Arial"/>
          <w:color w:val="000000" w:themeColor="text1"/>
          <w:szCs w:val="24"/>
        </w:rPr>
        <w:t>Unfortunately,</w:t>
      </w:r>
      <w:r w:rsidR="0040627C" w:rsidRPr="009849B2">
        <w:rPr>
          <w:rFonts w:ascii="Arial" w:hAnsi="Arial" w:cs="Arial"/>
          <w:color w:val="000000" w:themeColor="text1"/>
          <w:szCs w:val="24"/>
        </w:rPr>
        <w:t xml:space="preserve"> the text</w:t>
      </w:r>
      <w:r w:rsidR="004E2547" w:rsidRPr="009849B2">
        <w:rPr>
          <w:rFonts w:ascii="Arial" w:hAnsi="Arial" w:cs="Arial"/>
          <w:color w:val="000000" w:themeColor="text1"/>
          <w:szCs w:val="24"/>
        </w:rPr>
        <w:t>,</w:t>
      </w:r>
      <w:r w:rsidR="0040627C" w:rsidRPr="009849B2">
        <w:rPr>
          <w:rFonts w:ascii="Arial" w:hAnsi="Arial" w:cs="Arial"/>
          <w:color w:val="000000" w:themeColor="text1"/>
          <w:szCs w:val="24"/>
        </w:rPr>
        <w:t xml:space="preserve"> together with the only </w:t>
      </w:r>
      <w:r w:rsidR="0094294A">
        <w:rPr>
          <w:rFonts w:ascii="Arial" w:hAnsi="Arial" w:cs="Arial"/>
          <w:color w:val="000000" w:themeColor="text1"/>
          <w:szCs w:val="24"/>
        </w:rPr>
        <w:t xml:space="preserve">available </w:t>
      </w:r>
      <w:r w:rsidR="0040627C" w:rsidRPr="009849B2">
        <w:rPr>
          <w:rFonts w:ascii="Arial" w:hAnsi="Arial" w:cs="Arial"/>
          <w:color w:val="000000" w:themeColor="text1"/>
          <w:szCs w:val="24"/>
        </w:rPr>
        <w:t xml:space="preserve">review </w:t>
      </w:r>
      <w:r w:rsidR="0094294A">
        <w:rPr>
          <w:rFonts w:ascii="Arial" w:hAnsi="Arial" w:cs="Arial"/>
          <w:color w:val="000000" w:themeColor="text1"/>
          <w:szCs w:val="24"/>
        </w:rPr>
        <w:t xml:space="preserve">in the USWTD library </w:t>
      </w:r>
      <w:r w:rsidR="0040627C" w:rsidRPr="009849B2">
        <w:rPr>
          <w:rFonts w:ascii="Arial" w:hAnsi="Arial" w:cs="Arial"/>
          <w:color w:val="000000" w:themeColor="text1"/>
          <w:szCs w:val="24"/>
        </w:rPr>
        <w:t>is in</w:t>
      </w:r>
      <w:r w:rsidR="00287A71" w:rsidRPr="009849B2">
        <w:rPr>
          <w:rFonts w:ascii="Arial" w:hAnsi="Arial" w:cs="Arial"/>
          <w:color w:val="000000" w:themeColor="text1"/>
          <w:szCs w:val="24"/>
        </w:rPr>
        <w:t xml:space="preserve"> Latin and/or</w:t>
      </w:r>
      <w:r w:rsidR="0040627C" w:rsidRPr="009849B2">
        <w:rPr>
          <w:rFonts w:ascii="Arial" w:hAnsi="Arial" w:cs="Arial"/>
          <w:color w:val="000000" w:themeColor="text1"/>
          <w:szCs w:val="24"/>
        </w:rPr>
        <w:t xml:space="preserve"> Italian</w:t>
      </w:r>
      <w:r w:rsidR="00296937" w:rsidRPr="009849B2">
        <w:rPr>
          <w:rStyle w:val="FootnoteReference"/>
          <w:rFonts w:ascii="Arial" w:hAnsi="Arial" w:cs="Arial"/>
          <w:color w:val="000000" w:themeColor="text1"/>
          <w:szCs w:val="24"/>
        </w:rPr>
        <w:footnoteReference w:id="10"/>
      </w:r>
      <w:r w:rsidR="00296937" w:rsidRPr="009849B2">
        <w:rPr>
          <w:rFonts w:ascii="Arial" w:hAnsi="Arial" w:cs="Arial"/>
          <w:color w:val="000000" w:themeColor="text1"/>
          <w:szCs w:val="24"/>
        </w:rPr>
        <w:t xml:space="preserve">. Putting the </w:t>
      </w:r>
      <w:r w:rsidR="00287A71" w:rsidRPr="009849B2">
        <w:rPr>
          <w:rFonts w:ascii="Arial" w:hAnsi="Arial" w:cs="Arial"/>
          <w:color w:val="000000" w:themeColor="text1"/>
          <w:szCs w:val="24"/>
        </w:rPr>
        <w:t>Italian review</w:t>
      </w:r>
      <w:r w:rsidR="00296937" w:rsidRPr="009849B2">
        <w:rPr>
          <w:rFonts w:ascii="Arial" w:hAnsi="Arial" w:cs="Arial"/>
          <w:color w:val="000000" w:themeColor="text1"/>
          <w:szCs w:val="24"/>
        </w:rPr>
        <w:t xml:space="preserve"> through Google translate was not edifying</w:t>
      </w:r>
      <w:r w:rsidR="00296937" w:rsidRPr="009849B2">
        <w:rPr>
          <w:rStyle w:val="FootnoteReference"/>
          <w:rFonts w:ascii="Arial" w:hAnsi="Arial" w:cs="Arial"/>
          <w:color w:val="000000" w:themeColor="text1"/>
          <w:szCs w:val="24"/>
        </w:rPr>
        <w:footnoteReference w:id="11"/>
      </w:r>
      <w:r w:rsidR="00296937" w:rsidRPr="009849B2">
        <w:rPr>
          <w:rFonts w:ascii="Arial" w:hAnsi="Arial" w:cs="Arial"/>
          <w:color w:val="000000" w:themeColor="text1"/>
          <w:szCs w:val="24"/>
        </w:rPr>
        <w:t>.</w:t>
      </w:r>
    </w:p>
    <w:p w14:paraId="3F9B336D" w14:textId="63B57E81" w:rsidR="000344A9" w:rsidRPr="009849B2" w:rsidRDefault="004E2547" w:rsidP="007B146C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9849B2">
        <w:rPr>
          <w:rFonts w:ascii="Arial" w:hAnsi="Arial" w:cs="Arial"/>
          <w:color w:val="000000" w:themeColor="text1"/>
        </w:rPr>
        <w:lastRenderedPageBreak/>
        <w:t xml:space="preserve">Varazze, Iacopo da, </w:t>
      </w:r>
      <w:r w:rsidRPr="009849B2">
        <w:rPr>
          <w:rFonts w:ascii="Arial" w:hAnsi="Arial" w:cs="Arial"/>
          <w:i/>
          <w:iCs/>
          <w:color w:val="000000" w:themeColor="text1"/>
        </w:rPr>
        <w:t xml:space="preserve">Legenda </w:t>
      </w:r>
      <w:proofErr w:type="spellStart"/>
      <w:r w:rsidRPr="009849B2">
        <w:rPr>
          <w:rFonts w:ascii="Arial" w:hAnsi="Arial" w:cs="Arial"/>
          <w:i/>
          <w:iCs/>
          <w:color w:val="000000" w:themeColor="text1"/>
        </w:rPr>
        <w:t>aurea</w:t>
      </w:r>
      <w:proofErr w:type="spellEnd"/>
      <w:r w:rsidRPr="009849B2">
        <w:rPr>
          <w:rFonts w:ascii="Arial" w:hAnsi="Arial" w:cs="Arial"/>
          <w:i/>
          <w:iCs/>
          <w:color w:val="000000" w:themeColor="text1"/>
        </w:rPr>
        <w:t xml:space="preserve">: con le miniature del </w:t>
      </w:r>
      <w:proofErr w:type="spellStart"/>
      <w:r w:rsidRPr="009849B2">
        <w:rPr>
          <w:rFonts w:ascii="Arial" w:hAnsi="Arial" w:cs="Arial"/>
          <w:i/>
          <w:iCs/>
          <w:color w:val="000000" w:themeColor="text1"/>
        </w:rPr>
        <w:t>codice</w:t>
      </w:r>
      <w:proofErr w:type="spellEnd"/>
      <w:r w:rsidRPr="009849B2">
        <w:rPr>
          <w:rFonts w:ascii="Arial" w:hAnsi="Arial" w:cs="Arial"/>
          <w:i/>
          <w:iCs/>
          <w:color w:val="000000" w:themeColor="text1"/>
        </w:rPr>
        <w:t xml:space="preserve"> Ambrosiano C 240 inf.</w:t>
      </w:r>
      <w:r w:rsidRPr="009849B2">
        <w:rPr>
          <w:rFonts w:ascii="Arial" w:hAnsi="Arial" w:cs="Arial"/>
          <w:color w:val="000000" w:themeColor="text1"/>
        </w:rPr>
        <w:t>, ed. by Giovanni Paolo Maggioni, trans. into Italian coord. by F. Stella, 2 vols (Florence and Milan: SISMEL–</w:t>
      </w:r>
      <w:proofErr w:type="spellStart"/>
      <w:r w:rsidRPr="009849B2">
        <w:rPr>
          <w:rFonts w:ascii="Arial" w:hAnsi="Arial" w:cs="Arial"/>
          <w:color w:val="000000" w:themeColor="text1"/>
        </w:rPr>
        <w:t>Edizioni</w:t>
      </w:r>
      <w:proofErr w:type="spellEnd"/>
      <w:r w:rsidRPr="009849B2">
        <w:rPr>
          <w:rFonts w:ascii="Arial" w:hAnsi="Arial" w:cs="Arial"/>
          <w:color w:val="000000" w:themeColor="text1"/>
        </w:rPr>
        <w:t xml:space="preserve"> del Galluzzo and Biblioteca Ambrosiana, 2007)</w:t>
      </w:r>
    </w:p>
    <w:p w14:paraId="168539DF" w14:textId="7336480B" w:rsidR="000344A9" w:rsidRPr="009849B2" w:rsidRDefault="004E2547" w:rsidP="007B146C">
      <w:pPr>
        <w:pStyle w:val="NormalWeb"/>
        <w:spacing w:line="360" w:lineRule="auto"/>
        <w:ind w:left="360"/>
        <w:rPr>
          <w:rFonts w:ascii="Arial" w:hAnsi="Arial" w:cs="Arial"/>
          <w:color w:val="000000" w:themeColor="text1"/>
        </w:rPr>
      </w:pPr>
      <w:r w:rsidRPr="009849B2">
        <w:rPr>
          <w:rFonts w:ascii="Arial" w:hAnsi="Arial" w:cs="Arial"/>
          <w:color w:val="000000" w:themeColor="text1"/>
        </w:rPr>
        <w:t>A translation of</w:t>
      </w:r>
      <w:r w:rsidR="00064127" w:rsidRPr="009849B2">
        <w:rPr>
          <w:rFonts w:ascii="Arial" w:hAnsi="Arial" w:cs="Arial"/>
          <w:color w:val="000000" w:themeColor="text1"/>
        </w:rPr>
        <w:t xml:space="preserve"> </w:t>
      </w:r>
      <w:r w:rsidR="000344A9" w:rsidRPr="009849B2">
        <w:rPr>
          <w:rFonts w:ascii="Arial" w:hAnsi="Arial" w:cs="Arial"/>
          <w:color w:val="000000" w:themeColor="text1"/>
        </w:rPr>
        <w:t xml:space="preserve">Maggioni’s Latin text into Italian. There does not seem to be an English Translation of </w:t>
      </w:r>
      <w:proofErr w:type="spellStart"/>
      <w:r w:rsidR="000344A9" w:rsidRPr="009849B2">
        <w:rPr>
          <w:rFonts w:ascii="Arial" w:hAnsi="Arial" w:cs="Arial"/>
          <w:color w:val="000000" w:themeColor="text1"/>
        </w:rPr>
        <w:t>Magginoni</w:t>
      </w:r>
      <w:proofErr w:type="spellEnd"/>
      <w:r w:rsidR="000344A9" w:rsidRPr="009849B2">
        <w:rPr>
          <w:rFonts w:ascii="Arial" w:hAnsi="Arial" w:cs="Arial"/>
          <w:color w:val="000000" w:themeColor="text1"/>
        </w:rPr>
        <w:t>.</w:t>
      </w:r>
    </w:p>
    <w:p w14:paraId="3D89396B" w14:textId="4C2D53B7" w:rsidR="00665EEC" w:rsidRPr="009849B2" w:rsidRDefault="00665EEC" w:rsidP="007B14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Cs w:val="24"/>
          <w:shd w:val="clear" w:color="auto" w:fill="FFFFFF"/>
        </w:rPr>
      </w:pPr>
      <w:r w:rsidRPr="009849B2">
        <w:rPr>
          <w:rFonts w:ascii="Arial" w:hAnsi="Arial" w:cs="Arial"/>
          <w:szCs w:val="24"/>
          <w:shd w:val="clear" w:color="auto" w:fill="FFFFFF"/>
        </w:rPr>
        <w:t>Voragine, Jacobus de, </w:t>
      </w:r>
      <w:r w:rsidRPr="009849B2">
        <w:rPr>
          <w:rStyle w:val="Emphasis"/>
          <w:rFonts w:ascii="Arial" w:hAnsi="Arial" w:cs="Arial"/>
          <w:color w:val="000000"/>
          <w:szCs w:val="24"/>
          <w:bdr w:val="single" w:sz="2" w:space="0" w:color="auto" w:frame="1"/>
          <w:shd w:val="clear" w:color="auto" w:fill="FFFFFF"/>
        </w:rPr>
        <w:t xml:space="preserve">Legenda </w:t>
      </w:r>
      <w:proofErr w:type="spellStart"/>
      <w:r w:rsidRPr="009849B2">
        <w:rPr>
          <w:rStyle w:val="Emphasis"/>
          <w:rFonts w:ascii="Arial" w:hAnsi="Arial" w:cs="Arial"/>
          <w:color w:val="000000"/>
          <w:szCs w:val="24"/>
          <w:bdr w:val="single" w:sz="2" w:space="0" w:color="auto" w:frame="1"/>
          <w:shd w:val="clear" w:color="auto" w:fill="FFFFFF"/>
        </w:rPr>
        <w:t>aurea</w:t>
      </w:r>
      <w:proofErr w:type="spellEnd"/>
      <w:r w:rsidRPr="009849B2">
        <w:rPr>
          <w:rStyle w:val="Emphasis"/>
          <w:rFonts w:ascii="Arial" w:hAnsi="Arial" w:cs="Arial"/>
          <w:color w:val="000000"/>
          <w:szCs w:val="24"/>
          <w:bdr w:val="single" w:sz="2" w:space="0" w:color="auto" w:frame="1"/>
          <w:shd w:val="clear" w:color="auto" w:fill="FFFFFF"/>
        </w:rPr>
        <w:t xml:space="preserve"> vulgo </w:t>
      </w:r>
      <w:proofErr w:type="spellStart"/>
      <w:r w:rsidRPr="009849B2">
        <w:rPr>
          <w:rStyle w:val="Emphasis"/>
          <w:rFonts w:ascii="Arial" w:hAnsi="Arial" w:cs="Arial"/>
          <w:color w:val="000000"/>
          <w:szCs w:val="24"/>
          <w:bdr w:val="single" w:sz="2" w:space="0" w:color="auto" w:frame="1"/>
          <w:shd w:val="clear" w:color="auto" w:fill="FFFFFF"/>
        </w:rPr>
        <w:t>historia</w:t>
      </w:r>
      <w:proofErr w:type="spellEnd"/>
      <w:r w:rsidRPr="009849B2">
        <w:rPr>
          <w:rStyle w:val="Emphasis"/>
          <w:rFonts w:ascii="Arial" w:hAnsi="Arial" w:cs="Arial"/>
          <w:color w:val="000000"/>
          <w:szCs w:val="24"/>
          <w:bdr w:val="single" w:sz="2" w:space="0" w:color="auto" w:frame="1"/>
          <w:shd w:val="clear" w:color="auto" w:fill="FFFFFF"/>
        </w:rPr>
        <w:t xml:space="preserve"> </w:t>
      </w:r>
      <w:proofErr w:type="spellStart"/>
      <w:r w:rsidRPr="009849B2">
        <w:rPr>
          <w:rStyle w:val="Emphasis"/>
          <w:rFonts w:ascii="Arial" w:hAnsi="Arial" w:cs="Arial"/>
          <w:color w:val="000000"/>
          <w:szCs w:val="24"/>
          <w:bdr w:val="single" w:sz="2" w:space="0" w:color="auto" w:frame="1"/>
          <w:shd w:val="clear" w:color="auto" w:fill="FFFFFF"/>
        </w:rPr>
        <w:t>Lombardica</w:t>
      </w:r>
      <w:proofErr w:type="spellEnd"/>
      <w:r w:rsidRPr="009849B2">
        <w:rPr>
          <w:rStyle w:val="Emphasis"/>
          <w:rFonts w:ascii="Arial" w:hAnsi="Arial" w:cs="Arial"/>
          <w:color w:val="000000"/>
          <w:szCs w:val="24"/>
          <w:bdr w:val="single" w:sz="2" w:space="0" w:color="auto" w:frame="1"/>
          <w:shd w:val="clear" w:color="auto" w:fill="FFFFFF"/>
        </w:rPr>
        <w:t xml:space="preserve"> dicta</w:t>
      </w:r>
      <w:r w:rsidRPr="009849B2">
        <w:rPr>
          <w:rFonts w:ascii="Arial" w:hAnsi="Arial" w:cs="Arial"/>
          <w:szCs w:val="24"/>
          <w:shd w:val="clear" w:color="auto" w:fill="FFFFFF"/>
        </w:rPr>
        <w:t>, ed</w:t>
      </w:r>
      <w:r w:rsidR="008273FE">
        <w:rPr>
          <w:rFonts w:ascii="Arial" w:hAnsi="Arial" w:cs="Arial"/>
          <w:szCs w:val="24"/>
          <w:shd w:val="clear" w:color="auto" w:fill="FFFFFF"/>
        </w:rPr>
        <w:t>,</w:t>
      </w:r>
      <w:r w:rsidRPr="009849B2">
        <w:rPr>
          <w:rFonts w:ascii="Arial" w:hAnsi="Arial" w:cs="Arial"/>
          <w:szCs w:val="24"/>
          <w:shd w:val="clear" w:color="auto" w:fill="FFFFFF"/>
        </w:rPr>
        <w:t xml:space="preserve"> Theodor </w:t>
      </w:r>
      <w:proofErr w:type="spellStart"/>
      <w:r w:rsidRPr="009849B2">
        <w:rPr>
          <w:rFonts w:ascii="Arial" w:hAnsi="Arial" w:cs="Arial"/>
          <w:szCs w:val="24"/>
          <w:shd w:val="clear" w:color="auto" w:fill="FFFFFF"/>
        </w:rPr>
        <w:t>Graesse</w:t>
      </w:r>
      <w:proofErr w:type="spellEnd"/>
      <w:r w:rsidRPr="009849B2">
        <w:rPr>
          <w:rFonts w:ascii="Arial" w:hAnsi="Arial" w:cs="Arial"/>
          <w:szCs w:val="24"/>
          <w:shd w:val="clear" w:color="auto" w:fill="FFFFFF"/>
        </w:rPr>
        <w:t xml:space="preserve"> (Dresden and Leipzig: </w:t>
      </w:r>
      <w:proofErr w:type="spellStart"/>
      <w:r w:rsidRPr="009849B2">
        <w:rPr>
          <w:rFonts w:ascii="Arial" w:hAnsi="Arial" w:cs="Arial"/>
          <w:szCs w:val="24"/>
          <w:shd w:val="clear" w:color="auto" w:fill="FFFFFF"/>
        </w:rPr>
        <w:t>Libraria</w:t>
      </w:r>
      <w:proofErr w:type="spellEnd"/>
      <w:r w:rsidRPr="009849B2">
        <w:rPr>
          <w:rFonts w:ascii="Arial" w:hAnsi="Arial" w:cs="Arial"/>
          <w:szCs w:val="24"/>
          <w:shd w:val="clear" w:color="auto" w:fill="FFFFFF"/>
        </w:rPr>
        <w:t xml:space="preserve"> </w:t>
      </w:r>
      <w:proofErr w:type="spellStart"/>
      <w:r w:rsidRPr="009849B2">
        <w:rPr>
          <w:rFonts w:ascii="Arial" w:hAnsi="Arial" w:cs="Arial"/>
          <w:szCs w:val="24"/>
          <w:shd w:val="clear" w:color="auto" w:fill="FFFFFF"/>
        </w:rPr>
        <w:t>Arnoldiana</w:t>
      </w:r>
      <w:proofErr w:type="spellEnd"/>
      <w:r w:rsidRPr="009849B2">
        <w:rPr>
          <w:rFonts w:ascii="Arial" w:hAnsi="Arial" w:cs="Arial"/>
          <w:szCs w:val="24"/>
          <w:shd w:val="clear" w:color="auto" w:fill="FFFFFF"/>
        </w:rPr>
        <w:t xml:space="preserve">, 1846; 2nd </w:t>
      </w:r>
      <w:proofErr w:type="spellStart"/>
      <w:r w:rsidRPr="009849B2">
        <w:rPr>
          <w:rFonts w:ascii="Arial" w:hAnsi="Arial" w:cs="Arial"/>
          <w:szCs w:val="24"/>
          <w:shd w:val="clear" w:color="auto" w:fill="FFFFFF"/>
        </w:rPr>
        <w:t>edn</w:t>
      </w:r>
      <w:proofErr w:type="spellEnd"/>
      <w:r w:rsidRPr="009849B2">
        <w:rPr>
          <w:rFonts w:ascii="Arial" w:hAnsi="Arial" w:cs="Arial"/>
          <w:szCs w:val="24"/>
          <w:shd w:val="clear" w:color="auto" w:fill="FFFFFF"/>
        </w:rPr>
        <w:t xml:space="preserve">, Leipzig: </w:t>
      </w:r>
      <w:proofErr w:type="spellStart"/>
      <w:r w:rsidRPr="009849B2">
        <w:rPr>
          <w:rFonts w:ascii="Arial" w:hAnsi="Arial" w:cs="Arial"/>
          <w:szCs w:val="24"/>
          <w:shd w:val="clear" w:color="auto" w:fill="FFFFFF"/>
        </w:rPr>
        <w:t>Libraria</w:t>
      </w:r>
      <w:proofErr w:type="spellEnd"/>
      <w:r w:rsidRPr="009849B2">
        <w:rPr>
          <w:rFonts w:ascii="Arial" w:hAnsi="Arial" w:cs="Arial"/>
          <w:szCs w:val="24"/>
          <w:shd w:val="clear" w:color="auto" w:fill="FFFFFF"/>
        </w:rPr>
        <w:t xml:space="preserve"> </w:t>
      </w:r>
      <w:proofErr w:type="spellStart"/>
      <w:r w:rsidRPr="009849B2">
        <w:rPr>
          <w:rFonts w:ascii="Arial" w:hAnsi="Arial" w:cs="Arial"/>
          <w:szCs w:val="24"/>
          <w:shd w:val="clear" w:color="auto" w:fill="FFFFFF"/>
        </w:rPr>
        <w:t>Arnoldiana</w:t>
      </w:r>
      <w:proofErr w:type="spellEnd"/>
      <w:r w:rsidRPr="009849B2">
        <w:rPr>
          <w:rFonts w:ascii="Arial" w:hAnsi="Arial" w:cs="Arial"/>
          <w:szCs w:val="24"/>
          <w:shd w:val="clear" w:color="auto" w:fill="FFFFFF"/>
        </w:rPr>
        <w:t xml:space="preserve">, 1850; </w:t>
      </w:r>
      <w:proofErr w:type="spellStart"/>
      <w:r w:rsidRPr="009849B2">
        <w:rPr>
          <w:rFonts w:ascii="Arial" w:hAnsi="Arial" w:cs="Arial"/>
          <w:szCs w:val="24"/>
          <w:shd w:val="clear" w:color="auto" w:fill="FFFFFF"/>
        </w:rPr>
        <w:t>repr</w:t>
      </w:r>
      <w:proofErr w:type="spellEnd"/>
      <w:r w:rsidRPr="009849B2">
        <w:rPr>
          <w:rFonts w:ascii="Arial" w:hAnsi="Arial" w:cs="Arial"/>
          <w:szCs w:val="24"/>
          <w:shd w:val="clear" w:color="auto" w:fill="FFFFFF"/>
        </w:rPr>
        <w:t>. Osnabrück: Otto Zeller, 1965)</w:t>
      </w:r>
    </w:p>
    <w:p w14:paraId="4B6E494C" w14:textId="0178BA2D" w:rsidR="00296937" w:rsidRPr="009849B2" w:rsidRDefault="00296937" w:rsidP="007B146C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9849B2">
        <w:rPr>
          <w:rFonts w:ascii="Arial" w:hAnsi="Arial" w:cs="Arial"/>
          <w:color w:val="000000" w:themeColor="text1"/>
          <w:szCs w:val="24"/>
        </w:rPr>
        <w:t xml:space="preserve">This was the scholarly edition prior to </w:t>
      </w:r>
      <w:proofErr w:type="gramStart"/>
      <w:r w:rsidRPr="009849B2">
        <w:rPr>
          <w:rFonts w:ascii="Arial" w:hAnsi="Arial" w:cs="Arial"/>
          <w:color w:val="000000" w:themeColor="text1"/>
          <w:szCs w:val="24"/>
        </w:rPr>
        <w:t>Maggioni, and</w:t>
      </w:r>
      <w:proofErr w:type="gramEnd"/>
      <w:r w:rsidRPr="009849B2">
        <w:rPr>
          <w:rFonts w:ascii="Arial" w:hAnsi="Arial" w:cs="Arial"/>
          <w:color w:val="000000" w:themeColor="text1"/>
          <w:szCs w:val="24"/>
        </w:rPr>
        <w:t xml:space="preserve"> again is a collation of manuscripts and early print editions. The text</w:t>
      </w:r>
      <w:r w:rsidR="00860F37" w:rsidRPr="009849B2">
        <w:rPr>
          <w:rFonts w:ascii="Arial" w:hAnsi="Arial" w:cs="Arial"/>
          <w:color w:val="000000" w:themeColor="text1"/>
          <w:szCs w:val="24"/>
        </w:rPr>
        <w:t xml:space="preserve"> is a Latin edition available online through the Internet Archive</w:t>
      </w:r>
      <w:r w:rsidR="00860F37" w:rsidRPr="009849B2">
        <w:rPr>
          <w:rStyle w:val="FootnoteReference"/>
          <w:rFonts w:ascii="Arial" w:hAnsi="Arial" w:cs="Arial"/>
          <w:color w:val="000000" w:themeColor="text1"/>
          <w:szCs w:val="24"/>
        </w:rPr>
        <w:footnoteReference w:id="12"/>
      </w:r>
      <w:r w:rsidR="00860F37" w:rsidRPr="009849B2">
        <w:rPr>
          <w:rFonts w:ascii="Arial" w:hAnsi="Arial" w:cs="Arial"/>
          <w:color w:val="000000" w:themeColor="text1"/>
          <w:szCs w:val="24"/>
        </w:rPr>
        <w:t>.</w:t>
      </w:r>
    </w:p>
    <w:p w14:paraId="67F00B7F" w14:textId="69E7E967" w:rsidR="000344A9" w:rsidRPr="009849B2" w:rsidRDefault="000344A9" w:rsidP="007B146C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9849B2">
        <w:rPr>
          <w:rFonts w:ascii="Arial" w:hAnsi="Arial" w:cs="Arial"/>
          <w:color w:val="000000" w:themeColor="text1"/>
          <w:szCs w:val="24"/>
        </w:rPr>
        <w:t>Print history</w:t>
      </w:r>
    </w:p>
    <w:p w14:paraId="2E606AE4" w14:textId="11C88B8C" w:rsidR="000344A9" w:rsidRPr="009849B2" w:rsidRDefault="008C170D" w:rsidP="007B146C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9849B2">
        <w:rPr>
          <w:rFonts w:ascii="Arial" w:hAnsi="Arial" w:cs="Arial"/>
          <w:color w:val="000000" w:themeColor="text1"/>
          <w:szCs w:val="24"/>
        </w:rPr>
        <w:t>In addition to the first Caxton edition,</w:t>
      </w:r>
    </w:p>
    <w:p w14:paraId="5FAC84D9" w14:textId="462A70F4" w:rsidR="000344A9" w:rsidRPr="009849B2" w:rsidRDefault="00574A95" w:rsidP="007B14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9849B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Jacobus, and </w:t>
      </w:r>
      <w:proofErr w:type="spellStart"/>
      <w:r w:rsidRPr="009849B2">
        <w:rPr>
          <w:rFonts w:ascii="Arial" w:hAnsi="Arial" w:cs="Arial"/>
          <w:color w:val="000000" w:themeColor="text1"/>
          <w:szCs w:val="24"/>
          <w:shd w:val="clear" w:color="auto" w:fill="FFFFFF"/>
        </w:rPr>
        <w:t>Wynkyn</w:t>
      </w:r>
      <w:proofErr w:type="spellEnd"/>
      <w:r w:rsidRPr="009849B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de Worde. </w:t>
      </w:r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Here </w:t>
      </w:r>
      <w:proofErr w:type="spellStart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Begynneth</w:t>
      </w:r>
      <w:proofErr w:type="spellEnd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the </w:t>
      </w:r>
      <w:proofErr w:type="spellStart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Legende</w:t>
      </w:r>
      <w:proofErr w:type="spellEnd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Named in </w:t>
      </w:r>
      <w:proofErr w:type="spellStart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Latyn</w:t>
      </w:r>
      <w:proofErr w:type="spellEnd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Legenda Aurea That Is to Saye in </w:t>
      </w:r>
      <w:proofErr w:type="spellStart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Englysshe</w:t>
      </w:r>
      <w:proofErr w:type="spellEnd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the Golden </w:t>
      </w:r>
      <w:proofErr w:type="spellStart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Legende</w:t>
      </w:r>
      <w:proofErr w:type="spellEnd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. For Lyke as </w:t>
      </w:r>
      <w:proofErr w:type="spellStart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Passeth</w:t>
      </w:r>
      <w:proofErr w:type="spellEnd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Golde in </w:t>
      </w:r>
      <w:proofErr w:type="spellStart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Valewe</w:t>
      </w:r>
      <w:proofErr w:type="spellEnd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All Other </w:t>
      </w:r>
      <w:proofErr w:type="spellStart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Metallys</w:t>
      </w:r>
      <w:proofErr w:type="spellEnd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. </w:t>
      </w:r>
      <w:proofErr w:type="gramStart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So</w:t>
      </w:r>
      <w:proofErr w:type="gramEnd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This </w:t>
      </w:r>
      <w:proofErr w:type="spellStart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Legende</w:t>
      </w:r>
      <w:proofErr w:type="spellEnd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</w:t>
      </w:r>
      <w:proofErr w:type="spellStart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Excelleth</w:t>
      </w:r>
      <w:proofErr w:type="spellEnd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All Other </w:t>
      </w:r>
      <w:proofErr w:type="spellStart"/>
      <w:proofErr w:type="gramStart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Bookes</w:t>
      </w:r>
      <w:proofErr w:type="spellEnd"/>
      <w:r w:rsidRPr="009849B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..</w:t>
      </w:r>
      <w:proofErr w:type="gramEnd"/>
      <w:r w:rsidRPr="009849B2">
        <w:rPr>
          <w:rFonts w:ascii="Arial" w:hAnsi="Arial" w:cs="Arial"/>
          <w:color w:val="000000" w:themeColor="text1"/>
          <w:szCs w:val="24"/>
          <w:shd w:val="clear" w:color="auto" w:fill="FFFFFF"/>
        </w:rPr>
        <w:t> </w:t>
      </w:r>
      <w:r w:rsidR="008C170D" w:rsidRPr="009849B2">
        <w:rPr>
          <w:rFonts w:ascii="Arial" w:hAnsi="Arial" w:cs="Arial"/>
          <w:color w:val="000000" w:themeColor="text1"/>
          <w:szCs w:val="24"/>
          <w:shd w:val="clear" w:color="auto" w:fill="FFFFFF"/>
        </w:rPr>
        <w:t>t</w:t>
      </w:r>
      <w:r w:rsidRPr="009849B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rans. by William Caxton. </w:t>
      </w:r>
      <w:r w:rsidR="008C170D" w:rsidRPr="009849B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Pr="009849B2">
        <w:rPr>
          <w:rFonts w:ascii="Arial" w:hAnsi="Arial" w:cs="Arial"/>
          <w:color w:val="000000" w:themeColor="text1"/>
          <w:szCs w:val="24"/>
          <w:shd w:val="clear" w:color="auto" w:fill="FFFFFF"/>
        </w:rPr>
        <w:t>Westmynster</w:t>
      </w:r>
      <w:proofErr w:type="spellEnd"/>
      <w:r w:rsidRPr="009849B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: </w:t>
      </w:r>
      <w:proofErr w:type="spellStart"/>
      <w:r w:rsidRPr="009849B2">
        <w:rPr>
          <w:rFonts w:ascii="Arial" w:hAnsi="Arial" w:cs="Arial"/>
          <w:color w:val="000000" w:themeColor="text1"/>
          <w:szCs w:val="24"/>
          <w:shd w:val="clear" w:color="auto" w:fill="FFFFFF"/>
        </w:rPr>
        <w:t>Wynkyn</w:t>
      </w:r>
      <w:proofErr w:type="spellEnd"/>
      <w:r w:rsidRPr="009849B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de Worde, 1498</w:t>
      </w:r>
      <w:r w:rsidR="008C170D" w:rsidRPr="009849B2">
        <w:rPr>
          <w:rFonts w:ascii="Arial" w:hAnsi="Arial" w:cs="Arial"/>
          <w:color w:val="000000" w:themeColor="text1"/>
          <w:szCs w:val="24"/>
          <w:shd w:val="clear" w:color="auto" w:fill="FFFFFF"/>
        </w:rPr>
        <w:t>)</w:t>
      </w:r>
    </w:p>
    <w:p w14:paraId="48B2F38C" w14:textId="1A286612" w:rsidR="00574A95" w:rsidRPr="009849B2" w:rsidRDefault="00574A95" w:rsidP="007B146C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9849B2">
        <w:rPr>
          <w:rFonts w:ascii="Arial" w:hAnsi="Arial" w:cs="Arial"/>
          <w:color w:val="000000" w:themeColor="text1"/>
          <w:szCs w:val="24"/>
        </w:rPr>
        <w:t xml:space="preserve">This was the fourth edition of Caxton’s translation and shows the popularity of the book. Useful for print historians as well as those wanting to </w:t>
      </w:r>
      <w:r w:rsidR="0090365C">
        <w:rPr>
          <w:rFonts w:ascii="Arial" w:hAnsi="Arial" w:cs="Arial"/>
          <w:color w:val="000000" w:themeColor="text1"/>
          <w:szCs w:val="24"/>
        </w:rPr>
        <w:t>track</w:t>
      </w:r>
      <w:r w:rsidRPr="009849B2">
        <w:rPr>
          <w:rFonts w:ascii="Arial" w:hAnsi="Arial" w:cs="Arial"/>
          <w:color w:val="000000" w:themeColor="text1"/>
          <w:szCs w:val="24"/>
        </w:rPr>
        <w:t xml:space="preserve"> changes in the text over the different editions. There </w:t>
      </w:r>
      <w:r w:rsidR="00064127" w:rsidRPr="009849B2">
        <w:rPr>
          <w:rFonts w:ascii="Arial" w:hAnsi="Arial" w:cs="Arial"/>
          <w:color w:val="000000" w:themeColor="text1"/>
          <w:szCs w:val="24"/>
        </w:rPr>
        <w:t>is</w:t>
      </w:r>
      <w:r w:rsidRPr="009849B2">
        <w:rPr>
          <w:rFonts w:ascii="Arial" w:hAnsi="Arial" w:cs="Arial"/>
          <w:color w:val="000000" w:themeColor="text1"/>
          <w:szCs w:val="24"/>
        </w:rPr>
        <w:t xml:space="preserve"> a copy in the Bodleian library</w:t>
      </w:r>
      <w:r w:rsidR="00AC4441" w:rsidRPr="009849B2">
        <w:rPr>
          <w:rStyle w:val="FootnoteReference"/>
          <w:rFonts w:ascii="Arial" w:hAnsi="Arial" w:cs="Arial"/>
          <w:color w:val="000000" w:themeColor="text1"/>
          <w:szCs w:val="24"/>
        </w:rPr>
        <w:footnoteReference w:id="13"/>
      </w:r>
    </w:p>
    <w:p w14:paraId="20854784" w14:textId="10691B5A" w:rsidR="008F7489" w:rsidRPr="009849B2" w:rsidRDefault="008F7489" w:rsidP="007B146C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9849B2">
        <w:rPr>
          <w:rFonts w:ascii="Arial" w:hAnsi="Arial" w:cs="Arial"/>
          <w:shd w:val="clear" w:color="auto" w:fill="FFFFFF"/>
        </w:rPr>
        <w:lastRenderedPageBreak/>
        <w:t>Voragine, Jacobus de, </w:t>
      </w:r>
      <w:r w:rsidRPr="009849B2">
        <w:rPr>
          <w:rStyle w:val="Emphasis"/>
          <w:rFonts w:ascii="Arial" w:eastAsiaTheme="majorEastAsia" w:hAnsi="Arial" w:cs="Arial"/>
          <w:color w:val="000000"/>
          <w:bdr w:val="single" w:sz="2" w:space="0" w:color="auto" w:frame="1"/>
          <w:shd w:val="clear" w:color="auto" w:fill="FFFFFF"/>
        </w:rPr>
        <w:t xml:space="preserve">Legenda </w:t>
      </w:r>
      <w:proofErr w:type="spellStart"/>
      <w:r w:rsidRPr="009849B2">
        <w:rPr>
          <w:rStyle w:val="Emphasis"/>
          <w:rFonts w:ascii="Arial" w:eastAsiaTheme="majorEastAsia" w:hAnsi="Arial" w:cs="Arial"/>
          <w:color w:val="000000"/>
          <w:bdr w:val="single" w:sz="2" w:space="0" w:color="auto" w:frame="1"/>
          <w:shd w:val="clear" w:color="auto" w:fill="FFFFFF"/>
        </w:rPr>
        <w:t>aurea</w:t>
      </w:r>
      <w:proofErr w:type="spellEnd"/>
      <w:r w:rsidRPr="009849B2">
        <w:rPr>
          <w:rStyle w:val="Emphasis"/>
          <w:rFonts w:ascii="Arial" w:eastAsiaTheme="majorEastAsia" w:hAnsi="Arial" w:cs="Arial"/>
          <w:color w:val="000000"/>
          <w:bdr w:val="single" w:sz="2" w:space="0" w:color="auto" w:frame="1"/>
          <w:shd w:val="clear" w:color="auto" w:fill="FFFFFF"/>
        </w:rPr>
        <w:t xml:space="preserve"> sanctorum, </w:t>
      </w:r>
      <w:proofErr w:type="spellStart"/>
      <w:r w:rsidRPr="009849B2">
        <w:rPr>
          <w:rStyle w:val="Emphasis"/>
          <w:rFonts w:ascii="Arial" w:eastAsiaTheme="majorEastAsia" w:hAnsi="Arial" w:cs="Arial"/>
          <w:color w:val="000000"/>
          <w:bdr w:val="single" w:sz="2" w:space="0" w:color="auto" w:frame="1"/>
          <w:shd w:val="clear" w:color="auto" w:fill="FFFFFF"/>
        </w:rPr>
        <w:t>sive</w:t>
      </w:r>
      <w:proofErr w:type="spellEnd"/>
      <w:r w:rsidRPr="009849B2">
        <w:rPr>
          <w:rStyle w:val="Emphasis"/>
          <w:rFonts w:ascii="Arial" w:eastAsiaTheme="majorEastAsia" w:hAnsi="Arial" w:cs="Arial"/>
          <w:color w:val="000000"/>
          <w:bdr w:val="single" w:sz="2" w:space="0" w:color="auto" w:frame="1"/>
          <w:shd w:val="clear" w:color="auto" w:fill="FFFFFF"/>
        </w:rPr>
        <w:t xml:space="preserve"> </w:t>
      </w:r>
      <w:proofErr w:type="spellStart"/>
      <w:r w:rsidRPr="009849B2">
        <w:rPr>
          <w:rStyle w:val="Emphasis"/>
          <w:rFonts w:ascii="Arial" w:eastAsiaTheme="majorEastAsia" w:hAnsi="Arial" w:cs="Arial"/>
          <w:color w:val="000000"/>
          <w:bdr w:val="single" w:sz="2" w:space="0" w:color="auto" w:frame="1"/>
          <w:shd w:val="clear" w:color="auto" w:fill="FFFFFF"/>
        </w:rPr>
        <w:t>Lombardica</w:t>
      </w:r>
      <w:proofErr w:type="spellEnd"/>
      <w:r w:rsidRPr="009849B2">
        <w:rPr>
          <w:rStyle w:val="Emphasis"/>
          <w:rFonts w:ascii="Arial" w:eastAsiaTheme="majorEastAsia" w:hAnsi="Arial" w:cs="Arial"/>
          <w:color w:val="000000"/>
          <w:bdr w:val="single" w:sz="2" w:space="0" w:color="auto" w:frame="1"/>
          <w:shd w:val="clear" w:color="auto" w:fill="FFFFFF"/>
        </w:rPr>
        <w:t xml:space="preserve"> </w:t>
      </w:r>
      <w:proofErr w:type="spellStart"/>
      <w:r w:rsidRPr="009849B2">
        <w:rPr>
          <w:rStyle w:val="Emphasis"/>
          <w:rFonts w:ascii="Arial" w:eastAsiaTheme="majorEastAsia" w:hAnsi="Arial" w:cs="Arial"/>
          <w:color w:val="000000"/>
          <w:bdr w:val="single" w:sz="2" w:space="0" w:color="auto" w:frame="1"/>
          <w:shd w:val="clear" w:color="auto" w:fill="FFFFFF"/>
        </w:rPr>
        <w:t>historia</w:t>
      </w:r>
      <w:proofErr w:type="spellEnd"/>
      <w:r w:rsidRPr="009849B2">
        <w:rPr>
          <w:rFonts w:ascii="Arial" w:hAnsi="Arial" w:cs="Arial"/>
          <w:shd w:val="clear" w:color="auto" w:fill="FFFFFF"/>
        </w:rPr>
        <w:t> (Strasbourg: Johann Mentelin, 1470)</w:t>
      </w:r>
      <w:r w:rsidRPr="009849B2">
        <w:rPr>
          <w:rFonts w:ascii="Arial" w:hAnsi="Arial" w:cs="Arial"/>
          <w:color w:val="000000" w:themeColor="text1"/>
        </w:rPr>
        <w:t xml:space="preserve"> ISTC ij00137200</w:t>
      </w:r>
    </w:p>
    <w:p w14:paraId="4895FA8F" w14:textId="6BBC7E9F" w:rsidR="00007B5A" w:rsidRPr="009849B2" w:rsidRDefault="00AC4441" w:rsidP="007B146C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9849B2">
        <w:rPr>
          <w:rFonts w:ascii="Arial" w:hAnsi="Arial" w:cs="Arial"/>
          <w:color w:val="000000" w:themeColor="text1"/>
        </w:rPr>
        <w:t>This is one of the early incunabula and so valuable for print historians</w:t>
      </w:r>
      <w:r w:rsidR="00A345AF" w:rsidRPr="009849B2">
        <w:rPr>
          <w:rFonts w:ascii="Arial" w:hAnsi="Arial" w:cs="Arial"/>
          <w:color w:val="000000" w:themeColor="text1"/>
        </w:rPr>
        <w:t xml:space="preserve"> as</w:t>
      </w:r>
      <w:r w:rsidRPr="009849B2">
        <w:rPr>
          <w:rFonts w:ascii="Arial" w:hAnsi="Arial" w:cs="Arial"/>
          <w:color w:val="000000" w:themeColor="text1"/>
        </w:rPr>
        <w:t xml:space="preserve"> </w:t>
      </w:r>
      <w:proofErr w:type="spellStart"/>
      <w:r w:rsidR="00A345AF" w:rsidRPr="009849B2">
        <w:rPr>
          <w:rFonts w:ascii="Arial" w:hAnsi="Arial" w:cs="Arial"/>
          <w:color w:val="000000" w:themeColor="text1"/>
        </w:rPr>
        <w:t>Mentelin</w:t>
      </w:r>
      <w:proofErr w:type="spellEnd"/>
      <w:r w:rsidR="00A345AF" w:rsidRPr="009849B2">
        <w:rPr>
          <w:rFonts w:ascii="Arial" w:hAnsi="Arial" w:cs="Arial"/>
          <w:color w:val="000000" w:themeColor="text1"/>
        </w:rPr>
        <w:t xml:space="preserve"> was one of the first printers in Strasbourg</w:t>
      </w:r>
      <w:r w:rsidR="00675A5A">
        <w:rPr>
          <w:rStyle w:val="FootnoteReference"/>
          <w:rFonts w:ascii="Arial" w:hAnsi="Arial" w:cs="Arial"/>
          <w:color w:val="000000" w:themeColor="text1"/>
        </w:rPr>
        <w:footnoteReference w:id="14"/>
      </w:r>
      <w:r w:rsidR="00A345AF" w:rsidRPr="009849B2">
        <w:rPr>
          <w:rFonts w:ascii="Arial" w:hAnsi="Arial" w:cs="Arial"/>
          <w:color w:val="000000" w:themeColor="text1"/>
        </w:rPr>
        <w:t>.</w:t>
      </w:r>
    </w:p>
    <w:p w14:paraId="2C3AA9C7" w14:textId="1D95519A" w:rsidR="00064127" w:rsidRPr="009849B2" w:rsidRDefault="008F7489" w:rsidP="007B146C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9849B2">
        <w:rPr>
          <w:rFonts w:ascii="Arial" w:hAnsi="Arial" w:cs="Arial"/>
          <w:color w:val="000000" w:themeColor="text1"/>
        </w:rPr>
        <w:t>Vignay</w:t>
      </w:r>
      <w:proofErr w:type="spellEnd"/>
      <w:r w:rsidRPr="009849B2">
        <w:rPr>
          <w:rFonts w:ascii="Arial" w:hAnsi="Arial" w:cs="Arial"/>
          <w:color w:val="000000" w:themeColor="text1"/>
        </w:rPr>
        <w:t>, Jean de, trans</w:t>
      </w:r>
      <w:r w:rsidRPr="009849B2">
        <w:rPr>
          <w:rFonts w:ascii="Arial" w:hAnsi="Arial" w:cs="Arial"/>
          <w:i/>
          <w:iCs/>
          <w:color w:val="000000" w:themeColor="text1"/>
        </w:rPr>
        <w:t xml:space="preserve">., La </w:t>
      </w:r>
      <w:proofErr w:type="spellStart"/>
      <w:r w:rsidRPr="009849B2">
        <w:rPr>
          <w:rFonts w:ascii="Arial" w:hAnsi="Arial" w:cs="Arial"/>
          <w:i/>
          <w:iCs/>
          <w:color w:val="000000" w:themeColor="text1"/>
        </w:rPr>
        <w:t>légende</w:t>
      </w:r>
      <w:proofErr w:type="spellEnd"/>
      <w:r w:rsidRPr="009849B2">
        <w:rPr>
          <w:rFonts w:ascii="Arial" w:hAnsi="Arial" w:cs="Arial"/>
          <w:i/>
          <w:iCs/>
          <w:color w:val="000000" w:themeColor="text1"/>
        </w:rPr>
        <w:t xml:space="preserve"> dorée</w:t>
      </w:r>
      <w:r w:rsidRPr="009849B2">
        <w:rPr>
          <w:rFonts w:ascii="Arial" w:hAnsi="Arial" w:cs="Arial"/>
          <w:color w:val="000000" w:themeColor="text1"/>
        </w:rPr>
        <w:t xml:space="preserve"> (Paris: Pierre Le Rouge for Guillaume Le Rouge, 1480) </w:t>
      </w:r>
      <w:r w:rsidR="00007B5A" w:rsidRPr="009849B2">
        <w:rPr>
          <w:rFonts w:ascii="Arial" w:hAnsi="Arial" w:cs="Arial"/>
          <w:color w:val="000000" w:themeColor="text1"/>
        </w:rPr>
        <w:t xml:space="preserve">ISTC </w:t>
      </w:r>
      <w:r w:rsidR="00A345AF" w:rsidRPr="009849B2">
        <w:rPr>
          <w:rFonts w:ascii="Arial" w:hAnsi="Arial" w:cs="Arial"/>
          <w:color w:val="000000" w:themeColor="text1"/>
        </w:rPr>
        <w:t>ij00151700</w:t>
      </w:r>
      <w:r w:rsidR="00007B5A" w:rsidRPr="009849B2">
        <w:rPr>
          <w:rFonts w:ascii="Arial" w:hAnsi="Arial" w:cs="Arial"/>
          <w:color w:val="000000" w:themeColor="text1"/>
        </w:rPr>
        <w:t xml:space="preserve">. </w:t>
      </w:r>
    </w:p>
    <w:p w14:paraId="4D73DE77" w14:textId="4C341AF4" w:rsidR="00007B5A" w:rsidRPr="009849B2" w:rsidRDefault="00007B5A" w:rsidP="007B146C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9849B2">
        <w:rPr>
          <w:rFonts w:ascii="Arial" w:hAnsi="Arial" w:cs="Arial"/>
          <w:color w:val="000000" w:themeColor="text1"/>
        </w:rPr>
        <w:t xml:space="preserve">This </w:t>
      </w:r>
      <w:r w:rsidR="00064127" w:rsidRPr="009849B2">
        <w:rPr>
          <w:rFonts w:ascii="Arial" w:hAnsi="Arial" w:cs="Arial"/>
          <w:color w:val="000000" w:themeColor="text1"/>
        </w:rPr>
        <w:t>is an important edition as it was the one that</w:t>
      </w:r>
      <w:r w:rsidRPr="009849B2">
        <w:rPr>
          <w:rFonts w:ascii="Arial" w:hAnsi="Arial" w:cs="Arial"/>
          <w:color w:val="000000" w:themeColor="text1"/>
        </w:rPr>
        <w:t xml:space="preserve"> Caxton used in his translation</w:t>
      </w:r>
      <w:r w:rsidR="00064127" w:rsidRPr="009849B2">
        <w:rPr>
          <w:rFonts w:ascii="Arial" w:hAnsi="Arial" w:cs="Arial"/>
          <w:color w:val="000000" w:themeColor="text1"/>
        </w:rPr>
        <w:t xml:space="preserve">, as well as </w:t>
      </w:r>
      <w:r w:rsidR="00A345AF" w:rsidRPr="009849B2">
        <w:rPr>
          <w:rFonts w:ascii="Arial" w:hAnsi="Arial" w:cs="Arial"/>
          <w:color w:val="000000" w:themeColor="text1"/>
        </w:rPr>
        <w:t xml:space="preserve">being </w:t>
      </w:r>
      <w:r w:rsidR="00064127" w:rsidRPr="009849B2">
        <w:rPr>
          <w:rFonts w:ascii="Arial" w:hAnsi="Arial" w:cs="Arial"/>
          <w:color w:val="000000" w:themeColor="text1"/>
        </w:rPr>
        <w:t>an example of a vernacular translation.</w:t>
      </w:r>
      <w:r w:rsidR="00471C02">
        <w:rPr>
          <w:rFonts w:ascii="Arial" w:hAnsi="Arial" w:cs="Arial"/>
          <w:color w:val="000000" w:themeColor="text1"/>
        </w:rPr>
        <w:t xml:space="preserve"> </w:t>
      </w:r>
      <w:r w:rsidR="00124534">
        <w:rPr>
          <w:rFonts w:ascii="Arial" w:hAnsi="Arial" w:cs="Arial"/>
          <w:color w:val="000000" w:themeColor="text1"/>
        </w:rPr>
        <w:t>Apparently</w:t>
      </w:r>
      <w:r w:rsidR="00471C02">
        <w:rPr>
          <w:rFonts w:ascii="Arial" w:hAnsi="Arial" w:cs="Arial"/>
          <w:color w:val="000000" w:themeColor="text1"/>
        </w:rPr>
        <w:t xml:space="preserve"> the first book printed in French</w:t>
      </w:r>
      <w:r w:rsidR="00471C02">
        <w:rPr>
          <w:rStyle w:val="FootnoteReference"/>
          <w:rFonts w:ascii="Arial" w:hAnsi="Arial" w:cs="Arial"/>
          <w:color w:val="000000" w:themeColor="text1"/>
        </w:rPr>
        <w:footnoteReference w:id="15"/>
      </w:r>
    </w:p>
    <w:p w14:paraId="3FD6B258" w14:textId="77777777" w:rsidR="001A2C83" w:rsidRPr="009849B2" w:rsidRDefault="001A2C83" w:rsidP="001A2C83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9849B2">
        <w:rPr>
          <w:rFonts w:ascii="Arial" w:hAnsi="Arial" w:cs="Arial"/>
          <w:color w:val="000000" w:themeColor="text1"/>
          <w:szCs w:val="24"/>
        </w:rPr>
        <w:t>Additional bibliography</w:t>
      </w:r>
    </w:p>
    <w:p w14:paraId="2A84B3E2" w14:textId="77777777" w:rsidR="001A2C83" w:rsidRPr="009849B2" w:rsidRDefault="001A2C83" w:rsidP="001A2C83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9849B2">
        <w:rPr>
          <w:rFonts w:ascii="Arial" w:hAnsi="Arial" w:cs="Arial"/>
          <w:color w:val="000000" w:themeColor="text1"/>
          <w:szCs w:val="24"/>
        </w:rPr>
        <w:t>British Library, Incunabula Short Title Catalogue (ISTC), 2016 &lt;</w:t>
      </w:r>
      <w:r w:rsidRPr="009849B2">
        <w:rPr>
          <w:rFonts w:ascii="Arial" w:hAnsi="Arial" w:cs="Arial"/>
          <w:szCs w:val="24"/>
        </w:rPr>
        <w:t xml:space="preserve"> </w:t>
      </w:r>
      <w:hyperlink r:id="rId8" w:history="1">
        <w:r w:rsidRPr="009849B2">
          <w:rPr>
            <w:rStyle w:val="Hyperlink"/>
            <w:rFonts w:ascii="Arial" w:hAnsi="Arial" w:cs="Arial"/>
            <w:szCs w:val="24"/>
          </w:rPr>
          <w:t>https://data.cerl.org/istc/_search?from=0&amp;query=Legenda+Aurea&amp;sort=chronological</w:t>
        </w:r>
      </w:hyperlink>
      <w:r w:rsidRPr="009849B2">
        <w:rPr>
          <w:rFonts w:ascii="Arial" w:hAnsi="Arial" w:cs="Arial"/>
          <w:color w:val="000000" w:themeColor="text1"/>
          <w:szCs w:val="24"/>
        </w:rPr>
        <w:t>&gt; [accessed 12 November 2025]</w:t>
      </w:r>
    </w:p>
    <w:p w14:paraId="3FF5BDBE" w14:textId="77777777" w:rsidR="001A2C83" w:rsidRPr="009849B2" w:rsidRDefault="001A2C83" w:rsidP="001A2C83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>
        <w:t>European Catholics in English, ‘Johannes Mentelin: God’s Printer who illuminated Europe before Luther’, Doctrine and Faith, 2025, &lt;</w:t>
      </w:r>
      <w:r w:rsidRPr="00471C02">
        <w:t xml:space="preserve"> </w:t>
      </w:r>
      <w:hyperlink r:id="rId9" w:history="1">
        <w:r w:rsidRPr="008168E9">
          <w:rPr>
            <w:rStyle w:val="Hyperlink"/>
          </w:rPr>
          <w:t>https://catholicus.eu/en/johannes-mentelin-gods-printer-who-illuminated-europe-before-luther/</w:t>
        </w:r>
      </w:hyperlink>
      <w:r>
        <w:t>&gt; [accessed 15 November 2025]</w:t>
      </w:r>
    </w:p>
    <w:p w14:paraId="517CF74B" w14:textId="77777777" w:rsidR="001A2C83" w:rsidRDefault="001A2C83" w:rsidP="001A2C83">
      <w:pPr>
        <w:spacing w:line="360" w:lineRule="auto"/>
        <w:rPr>
          <w:rFonts w:ascii="Arial" w:hAnsi="Arial" w:cs="Arial"/>
          <w:szCs w:val="24"/>
        </w:rPr>
      </w:pPr>
      <w:r w:rsidRPr="009849B2">
        <w:rPr>
          <w:rFonts w:ascii="Arial" w:hAnsi="Arial" w:cs="Arial"/>
          <w:szCs w:val="24"/>
        </w:rPr>
        <w:t xml:space="preserve">Library of Congress, ‘The golden legend’, </w:t>
      </w:r>
      <w:proofErr w:type="spellStart"/>
      <w:r w:rsidRPr="009849B2">
        <w:rPr>
          <w:rFonts w:ascii="Arial" w:hAnsi="Arial" w:cs="Arial"/>
          <w:szCs w:val="24"/>
        </w:rPr>
        <w:t>nd</w:t>
      </w:r>
      <w:proofErr w:type="spellEnd"/>
      <w:r w:rsidRPr="009849B2">
        <w:rPr>
          <w:rFonts w:ascii="Arial" w:hAnsi="Arial" w:cs="Arial"/>
          <w:szCs w:val="24"/>
        </w:rPr>
        <w:t xml:space="preserve"> </w:t>
      </w:r>
      <w:hyperlink r:id="rId10" w:history="1">
        <w:r w:rsidRPr="009849B2">
          <w:rPr>
            <w:rStyle w:val="Hyperlink"/>
            <w:rFonts w:ascii="Arial" w:hAnsi="Arial" w:cs="Arial"/>
            <w:szCs w:val="24"/>
          </w:rPr>
          <w:t>https://www.loc.gov/item/48043527/</w:t>
        </w:r>
      </w:hyperlink>
      <w:r w:rsidRPr="009849B2">
        <w:rPr>
          <w:rFonts w:ascii="Arial" w:hAnsi="Arial" w:cs="Arial"/>
          <w:szCs w:val="24"/>
        </w:rPr>
        <w:t xml:space="preserve"> [accessed 12 November 2025]</w:t>
      </w:r>
    </w:p>
    <w:p w14:paraId="4227C6D9" w14:textId="77777777" w:rsidR="001A2C83" w:rsidRPr="009849B2" w:rsidRDefault="001A2C83" w:rsidP="001A2C83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9849B2">
        <w:rPr>
          <w:rFonts w:ascii="Arial" w:hAnsi="Arial" w:cs="Arial"/>
          <w:szCs w:val="24"/>
        </w:rPr>
        <w:t xml:space="preserve">The Catholic </w:t>
      </w:r>
      <w:proofErr w:type="spellStart"/>
      <w:proofErr w:type="gramStart"/>
      <w:r w:rsidRPr="009849B2">
        <w:rPr>
          <w:rFonts w:ascii="Arial" w:hAnsi="Arial" w:cs="Arial"/>
          <w:szCs w:val="24"/>
        </w:rPr>
        <w:t>Encyclopedia</w:t>
      </w:r>
      <w:proofErr w:type="spellEnd"/>
      <w:r w:rsidRPr="009849B2">
        <w:rPr>
          <w:rFonts w:ascii="Arial" w:hAnsi="Arial" w:cs="Arial"/>
          <w:szCs w:val="24"/>
        </w:rPr>
        <w:t xml:space="preserve"> ,</w:t>
      </w:r>
      <w:proofErr w:type="gramEnd"/>
      <w:r w:rsidRPr="009849B2">
        <w:rPr>
          <w:rFonts w:ascii="Arial" w:hAnsi="Arial" w:cs="Arial"/>
          <w:szCs w:val="24"/>
        </w:rPr>
        <w:t xml:space="preserve"> ‘</w:t>
      </w:r>
      <w:r w:rsidRPr="009849B2">
        <w:rPr>
          <w:rFonts w:ascii="Arial" w:hAnsi="Arial" w:cs="Arial"/>
          <w:i/>
          <w:iCs/>
          <w:szCs w:val="24"/>
        </w:rPr>
        <w:t>Blessed Jacopo de Voragine’</w:t>
      </w:r>
      <w:r w:rsidRPr="009849B2">
        <w:rPr>
          <w:rFonts w:ascii="Arial" w:hAnsi="Arial" w:cs="Arial"/>
          <w:szCs w:val="24"/>
        </w:rPr>
        <w:t xml:space="preserve">, </w:t>
      </w:r>
      <w:proofErr w:type="spellStart"/>
      <w:r w:rsidRPr="009849B2">
        <w:rPr>
          <w:rFonts w:ascii="Arial" w:hAnsi="Arial" w:cs="Arial"/>
          <w:szCs w:val="24"/>
        </w:rPr>
        <w:t>nd</w:t>
      </w:r>
      <w:proofErr w:type="spellEnd"/>
      <w:r w:rsidRPr="009849B2">
        <w:rPr>
          <w:rFonts w:ascii="Arial" w:hAnsi="Arial" w:cs="Arial"/>
          <w:szCs w:val="24"/>
        </w:rPr>
        <w:t xml:space="preserve">, </w:t>
      </w:r>
      <w:hyperlink r:id="rId11" w:history="1">
        <w:r w:rsidRPr="009849B2">
          <w:rPr>
            <w:rStyle w:val="Hyperlink"/>
            <w:rFonts w:ascii="Arial" w:hAnsi="Arial" w:cs="Arial"/>
            <w:szCs w:val="24"/>
            <w:shd w:val="clear" w:color="auto" w:fill="FFFFFF"/>
          </w:rPr>
          <w:t>http://www.newadvent.org/cathen/08262b.htm</w:t>
        </w:r>
      </w:hyperlink>
      <w:r w:rsidRPr="009849B2">
        <w:rPr>
          <w:rFonts w:ascii="Arial" w:hAnsi="Arial" w:cs="Arial"/>
          <w:szCs w:val="24"/>
          <w:shd w:val="clear" w:color="auto" w:fill="FFFFFF"/>
        </w:rPr>
        <w:t xml:space="preserve"> [accessed 12 November 2025]</w:t>
      </w:r>
    </w:p>
    <w:p w14:paraId="7A85CAE7" w14:textId="77777777" w:rsidR="001A2C83" w:rsidRDefault="001A2C83" w:rsidP="007B146C">
      <w:pPr>
        <w:spacing w:line="360" w:lineRule="auto"/>
      </w:pPr>
    </w:p>
    <w:p w14:paraId="38F759ED" w14:textId="77777777" w:rsidR="001A2C83" w:rsidRDefault="001A2C83" w:rsidP="007B146C">
      <w:pPr>
        <w:spacing w:line="360" w:lineRule="auto"/>
      </w:pPr>
    </w:p>
    <w:p w14:paraId="687D2738" w14:textId="77777777" w:rsidR="001A2C83" w:rsidRDefault="001A2C83" w:rsidP="007B146C">
      <w:pPr>
        <w:spacing w:line="360" w:lineRule="auto"/>
      </w:pPr>
    </w:p>
    <w:p w14:paraId="23E56C8A" w14:textId="77777777" w:rsidR="001A2C83" w:rsidRDefault="001A2C83" w:rsidP="007B146C">
      <w:pPr>
        <w:spacing w:line="360" w:lineRule="auto"/>
      </w:pPr>
    </w:p>
    <w:p w14:paraId="10AA62C6" w14:textId="77777777" w:rsidR="001A2C83" w:rsidRDefault="001A2C83" w:rsidP="007B146C">
      <w:pPr>
        <w:spacing w:line="360" w:lineRule="auto"/>
      </w:pPr>
    </w:p>
    <w:p w14:paraId="450EB62C" w14:textId="77777777" w:rsidR="001A2C83" w:rsidRDefault="001A2C83" w:rsidP="007B146C">
      <w:pPr>
        <w:spacing w:line="360" w:lineRule="auto"/>
      </w:pPr>
    </w:p>
    <w:p w14:paraId="340CD665" w14:textId="77777777" w:rsidR="001A2C83" w:rsidRDefault="001A2C83" w:rsidP="007B146C">
      <w:pPr>
        <w:spacing w:line="360" w:lineRule="auto"/>
      </w:pPr>
    </w:p>
    <w:p w14:paraId="19703700" w14:textId="77777777" w:rsidR="001A2C83" w:rsidRDefault="001A2C83" w:rsidP="007B146C">
      <w:pPr>
        <w:spacing w:line="360" w:lineRule="auto"/>
      </w:pPr>
    </w:p>
    <w:p w14:paraId="2E9F31FD" w14:textId="77777777" w:rsidR="001A2C83" w:rsidRDefault="001A2C83" w:rsidP="007B146C">
      <w:pPr>
        <w:spacing w:line="360" w:lineRule="auto"/>
      </w:pPr>
    </w:p>
    <w:p w14:paraId="3718AE87" w14:textId="77777777" w:rsidR="001A2C83" w:rsidRDefault="001A2C83" w:rsidP="007B146C">
      <w:pPr>
        <w:spacing w:line="360" w:lineRule="auto"/>
      </w:pPr>
    </w:p>
    <w:p w14:paraId="2A623480" w14:textId="77777777" w:rsidR="001A2C83" w:rsidRDefault="001A2C83" w:rsidP="007B146C">
      <w:pPr>
        <w:spacing w:line="360" w:lineRule="auto"/>
      </w:pPr>
    </w:p>
    <w:p w14:paraId="482131A9" w14:textId="77777777" w:rsidR="001A2C83" w:rsidRDefault="001A2C83" w:rsidP="007B146C">
      <w:pPr>
        <w:spacing w:line="360" w:lineRule="auto"/>
      </w:pPr>
    </w:p>
    <w:p w14:paraId="544EE7EF" w14:textId="77777777" w:rsidR="001A2C83" w:rsidRDefault="001A2C83" w:rsidP="007B146C">
      <w:pPr>
        <w:spacing w:line="360" w:lineRule="auto"/>
      </w:pPr>
    </w:p>
    <w:p w14:paraId="029F54A3" w14:textId="77777777" w:rsidR="001A2C83" w:rsidRDefault="001A2C83" w:rsidP="007B146C">
      <w:pPr>
        <w:spacing w:line="360" w:lineRule="auto"/>
      </w:pPr>
    </w:p>
    <w:p w14:paraId="57CE5CF9" w14:textId="77777777" w:rsidR="001A2C83" w:rsidRDefault="001A2C83" w:rsidP="007B146C">
      <w:pPr>
        <w:spacing w:line="360" w:lineRule="auto"/>
      </w:pPr>
    </w:p>
    <w:p w14:paraId="5E3A8AE0" w14:textId="77777777" w:rsidR="001A2C83" w:rsidRDefault="001A2C83" w:rsidP="007B146C">
      <w:pPr>
        <w:spacing w:line="360" w:lineRule="auto"/>
      </w:pPr>
    </w:p>
    <w:p w14:paraId="08B4E845" w14:textId="77777777" w:rsidR="001A2C83" w:rsidRDefault="001A2C83" w:rsidP="007B146C">
      <w:pPr>
        <w:spacing w:line="360" w:lineRule="auto"/>
      </w:pPr>
    </w:p>
    <w:p w14:paraId="5962E648" w14:textId="77777777" w:rsidR="001A2C83" w:rsidRDefault="001A2C83" w:rsidP="007B146C">
      <w:pPr>
        <w:spacing w:line="360" w:lineRule="auto"/>
      </w:pPr>
    </w:p>
    <w:p w14:paraId="437DDDA4" w14:textId="77777777" w:rsidR="001A2C83" w:rsidRPr="009849B2" w:rsidRDefault="001A2C83" w:rsidP="007B146C">
      <w:pPr>
        <w:spacing w:line="360" w:lineRule="auto"/>
        <w:rPr>
          <w:rFonts w:ascii="Arial" w:hAnsi="Arial" w:cs="Arial"/>
          <w:color w:val="000000" w:themeColor="text1"/>
          <w:szCs w:val="24"/>
        </w:rPr>
      </w:pPr>
    </w:p>
    <w:sectPr w:rsidR="001A2C83" w:rsidRPr="009849B2">
      <w:headerReference w:type="default" r:id="rId12"/>
      <w:footerReference w:type="even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A64045" w14:textId="77777777" w:rsidR="00070683" w:rsidRDefault="00070683" w:rsidP="0029624E">
      <w:pPr>
        <w:spacing w:after="0" w:line="240" w:lineRule="auto"/>
      </w:pPr>
      <w:r>
        <w:separator/>
      </w:r>
    </w:p>
  </w:endnote>
  <w:endnote w:type="continuationSeparator" w:id="0">
    <w:p w14:paraId="6F483FB0" w14:textId="77777777" w:rsidR="00070683" w:rsidRDefault="00070683" w:rsidP="002962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rdia New">
    <w:panose1 w:val="020B0304020202020204"/>
    <w:charset w:val="DE"/>
    <w:family w:val="swiss"/>
    <w:pitch w:val="variable"/>
    <w:sig w:usb0="81000003" w:usb1="00000000" w:usb2="00000000" w:usb3="00000000" w:csb0="00010001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322275470"/>
      <w:docPartObj>
        <w:docPartGallery w:val="Page Numbers (Bottom of Page)"/>
        <w:docPartUnique/>
      </w:docPartObj>
    </w:sdtPr>
    <w:sdtContent>
      <w:p w14:paraId="0ABB32B6" w14:textId="56862FC3" w:rsidR="00681D43" w:rsidRDefault="00681D43" w:rsidP="00E24B9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15B63926" w14:textId="77777777" w:rsidR="00681D43" w:rsidRDefault="00681D43" w:rsidP="00681D4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81417808"/>
      <w:docPartObj>
        <w:docPartGallery w:val="Page Numbers (Bottom of Page)"/>
        <w:docPartUnique/>
      </w:docPartObj>
    </w:sdtPr>
    <w:sdtContent>
      <w:p w14:paraId="484676FC" w14:textId="4D11CFD0" w:rsidR="00681D43" w:rsidRDefault="00681D43" w:rsidP="00E24B9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1F2BCEC" w14:textId="77777777" w:rsidR="00681D43" w:rsidRDefault="00681D43" w:rsidP="00681D4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A366CA" w14:textId="77777777" w:rsidR="00070683" w:rsidRDefault="00070683" w:rsidP="0029624E">
      <w:pPr>
        <w:spacing w:after="0" w:line="240" w:lineRule="auto"/>
      </w:pPr>
      <w:r>
        <w:separator/>
      </w:r>
    </w:p>
  </w:footnote>
  <w:footnote w:type="continuationSeparator" w:id="0">
    <w:p w14:paraId="46A4966A" w14:textId="77777777" w:rsidR="00070683" w:rsidRDefault="00070683" w:rsidP="0029624E">
      <w:pPr>
        <w:spacing w:after="0" w:line="240" w:lineRule="auto"/>
      </w:pPr>
      <w:r>
        <w:continuationSeparator/>
      </w:r>
    </w:p>
  </w:footnote>
  <w:footnote w:id="1">
    <w:p w14:paraId="73714BC0" w14:textId="4369A568" w:rsidR="0029624E" w:rsidRDefault="002962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9624E">
        <w:t xml:space="preserve">Jacobus de Voragine The Golden </w:t>
      </w:r>
      <w:proofErr w:type="gramStart"/>
      <w:r w:rsidRPr="0029624E">
        <w:t>Legend</w:t>
      </w:r>
      <w:r w:rsidRPr="0029624E">
        <w:rPr>
          <w:rFonts w:ascii="Arial" w:hAnsi="Arial" w:cs="Arial"/>
        </w:rPr>
        <w:t> </w:t>
      </w:r>
      <w:r w:rsidRPr="0029624E">
        <w:t>:</w:t>
      </w:r>
      <w:proofErr w:type="gramEnd"/>
      <w:r w:rsidRPr="0029624E">
        <w:t xml:space="preserve"> Readings on the Saints</w:t>
      </w:r>
      <w:r w:rsidR="007B146C">
        <w:t>,</w:t>
      </w:r>
      <w:r w:rsidRPr="0029624E">
        <w:t xml:space="preserve"> 2012 edition. </w:t>
      </w:r>
      <w:r w:rsidR="007B146C">
        <w:t>(</w:t>
      </w:r>
      <w:r w:rsidRPr="0029624E">
        <w:t>Princeton University Press</w:t>
      </w:r>
      <w:r w:rsidR="007B146C">
        <w:t xml:space="preserve"> </w:t>
      </w:r>
      <w:r w:rsidR="007B146C" w:rsidRPr="0029624E">
        <w:t>2012)</w:t>
      </w:r>
      <w:r w:rsidR="007B146C">
        <w:t>, &lt;</w:t>
      </w:r>
      <w:r w:rsidRPr="0029624E">
        <w:t xml:space="preserve"> </w:t>
      </w:r>
      <w:hyperlink r:id="rId1" w:history="1">
        <w:r w:rsidR="007B146C" w:rsidRPr="008168E9">
          <w:rPr>
            <w:rStyle w:val="Hyperlink"/>
          </w:rPr>
          <w:t>https://research.ebsco.com/linkprocessor/plink?id=f09b03cd-15a9-3121-b435-c63d765b93ef</w:t>
        </w:r>
      </w:hyperlink>
      <w:r w:rsidR="007B146C">
        <w:t xml:space="preserve">&gt; </w:t>
      </w:r>
      <w:r w:rsidRPr="0029624E">
        <w:t xml:space="preserve"> (Accessed: 9 November 2025).</w:t>
      </w:r>
      <w:r>
        <w:t xml:space="preserve"> </w:t>
      </w:r>
      <w:proofErr w:type="spellStart"/>
      <w:r w:rsidR="00F956CE">
        <w:t>p.</w:t>
      </w:r>
      <w:r>
        <w:t>xi</w:t>
      </w:r>
      <w:proofErr w:type="spellEnd"/>
    </w:p>
  </w:footnote>
  <w:footnote w:id="2">
    <w:p w14:paraId="1C46F2E9" w14:textId="68FA2412" w:rsidR="0029624E" w:rsidRDefault="002962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B146C" w:rsidRPr="0029624E">
        <w:t>M</w:t>
      </w:r>
      <w:r w:rsidR="007B146C">
        <w:t>ichael</w:t>
      </w:r>
      <w:r w:rsidR="007B146C" w:rsidRPr="0029624E">
        <w:t xml:space="preserve"> </w:t>
      </w:r>
      <w:r w:rsidRPr="0029624E">
        <w:t xml:space="preserve">Ott, </w:t>
      </w:r>
      <w:r w:rsidR="007B146C">
        <w:t>‘</w:t>
      </w:r>
      <w:r w:rsidRPr="0029624E">
        <w:t>Blessed Jacopo de Voragine</w:t>
      </w:r>
      <w:r w:rsidR="007B146C">
        <w:t xml:space="preserve">’, </w:t>
      </w:r>
      <w:r w:rsidRPr="0029624E">
        <w:t xml:space="preserve">The Catholic </w:t>
      </w:r>
      <w:proofErr w:type="spellStart"/>
      <w:r w:rsidRPr="0029624E">
        <w:t>Encyclopedia</w:t>
      </w:r>
      <w:proofErr w:type="spellEnd"/>
      <w:r w:rsidR="007B146C">
        <w:t>, 1910, (</w:t>
      </w:r>
      <w:r w:rsidRPr="0029624E">
        <w:t>Robert Appleton Company</w:t>
      </w:r>
      <w:proofErr w:type="gramStart"/>
      <w:r w:rsidR="007B146C">
        <w:t xml:space="preserve">), </w:t>
      </w:r>
      <w:r w:rsidRPr="0029624E">
        <w:t xml:space="preserve"> </w:t>
      </w:r>
      <w:r w:rsidR="007B146C">
        <w:t>transcribed</w:t>
      </w:r>
      <w:proofErr w:type="gramEnd"/>
      <w:r w:rsidR="007B146C">
        <w:t xml:space="preserve"> on </w:t>
      </w:r>
      <w:hyperlink r:id="rId2" w:history="1">
        <w:r w:rsidR="007B146C" w:rsidRPr="008168E9">
          <w:rPr>
            <w:rStyle w:val="Hyperlink"/>
          </w:rPr>
          <w:t>http://www.newadvent.org/cathen/08262b.htm</w:t>
        </w:r>
      </w:hyperlink>
      <w:r w:rsidR="007B146C">
        <w:t xml:space="preserve"> [accessed 15 November 2025]</w:t>
      </w:r>
    </w:p>
  </w:footnote>
  <w:footnote w:id="3">
    <w:p w14:paraId="629A1103" w14:textId="1C94CEA5" w:rsidR="00B916FE" w:rsidRDefault="00B916F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0437" w:rsidRPr="0029624E">
        <w:t>Jacobus de Voragine (2012) The Golden Legend</w:t>
      </w:r>
      <w:r w:rsidR="00C40437">
        <w:rPr>
          <w:rFonts w:ascii="Arial" w:hAnsi="Arial" w:cs="Arial"/>
        </w:rPr>
        <w:t>, op cit. p. xi</w:t>
      </w:r>
    </w:p>
  </w:footnote>
  <w:footnote w:id="4">
    <w:p w14:paraId="3B8F3D42" w14:textId="06C91AC9" w:rsidR="00B916FE" w:rsidRDefault="00B916FE">
      <w:pPr>
        <w:pStyle w:val="FootnoteText"/>
      </w:pPr>
      <w:r>
        <w:rPr>
          <w:rStyle w:val="FootnoteReference"/>
        </w:rPr>
        <w:footnoteRef/>
      </w:r>
      <w:r>
        <w:t xml:space="preserve"> Op cit. p</w:t>
      </w:r>
      <w:r w:rsidR="00C40437">
        <w:t xml:space="preserve">. </w:t>
      </w:r>
      <w:r>
        <w:t>xii</w:t>
      </w:r>
    </w:p>
  </w:footnote>
  <w:footnote w:id="5">
    <w:p w14:paraId="4CBC922B" w14:textId="2DFF98EC" w:rsidR="00DA03F1" w:rsidRDefault="00DA03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0437">
        <w:t xml:space="preserve">British Library, </w:t>
      </w:r>
      <w:r w:rsidR="00C40437" w:rsidRPr="00C40437">
        <w:t>Incunabula Short Title Catalogue (ISTC)</w:t>
      </w:r>
      <w:r w:rsidR="00C40437">
        <w:t>, 2016</w:t>
      </w:r>
      <w:r w:rsidR="007B146C">
        <w:t>,</w:t>
      </w:r>
      <w:r w:rsidR="00C40437">
        <w:t xml:space="preserve"> </w:t>
      </w:r>
      <w:r w:rsidR="007B146C">
        <w:t>&lt;</w:t>
      </w:r>
      <w:hyperlink r:id="rId3" w:history="1">
        <w:r w:rsidR="007B146C" w:rsidRPr="008168E9">
          <w:rPr>
            <w:rStyle w:val="Hyperlink"/>
          </w:rPr>
          <w:t>https://data.cerl.org/istc/_search?from=0&amp;query=Legenda+Aurea&amp;sort=chronological</w:t>
        </w:r>
      </w:hyperlink>
      <w:r w:rsidR="00C40437">
        <w:t xml:space="preserve"> </w:t>
      </w:r>
      <w:r w:rsidR="007B146C">
        <w:t xml:space="preserve">&gt; </w:t>
      </w:r>
      <w:r w:rsidR="00C40437">
        <w:t>[accessed 12 November 2025]</w:t>
      </w:r>
    </w:p>
  </w:footnote>
  <w:footnote w:id="6">
    <w:p w14:paraId="0E45FF78" w14:textId="76F01D39" w:rsidR="008B3DD9" w:rsidRDefault="008B3DD9" w:rsidP="004A4D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A4D6E">
        <w:t xml:space="preserve">Fordham University, ‘Medieval Sourcebook: The Golden Legend (Aurea Legenda) Compiled by Jacobus de Voragine, 1275 </w:t>
      </w:r>
      <w:proofErr w:type="spellStart"/>
      <w:r w:rsidR="004A4D6E">
        <w:t>Englished</w:t>
      </w:r>
      <w:proofErr w:type="spellEnd"/>
      <w:r w:rsidR="004A4D6E">
        <w:t xml:space="preserve"> by William Caxton, 1483’, 2001 &lt;</w:t>
      </w:r>
      <w:hyperlink r:id="rId4" w:history="1">
        <w:r w:rsidR="004A4D6E" w:rsidRPr="00661935">
          <w:rPr>
            <w:rStyle w:val="Hyperlink"/>
          </w:rPr>
          <w:t>https://sourcebooks.fordham.edu/basis/goldenlegend/</w:t>
        </w:r>
      </w:hyperlink>
      <w:r w:rsidR="004A4D6E">
        <w:t xml:space="preserve"> &gt; [accessed 12 November 2025]</w:t>
      </w:r>
    </w:p>
  </w:footnote>
  <w:footnote w:id="7">
    <w:p w14:paraId="0832AA5F" w14:textId="7602B045" w:rsidR="006F18BB" w:rsidRDefault="006F18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F18BB">
        <w:t>Sherry L. Reames</w:t>
      </w:r>
      <w:r>
        <w:t>, ‘</w:t>
      </w:r>
      <w:r w:rsidRPr="006F18BB">
        <w:t>Mayumi Taguchi, John Scahill, and Satoko Tokunaga, eds., Caxton’s “Golden Legend,” vol. 1. (Early English Text Society Original Series 355.)</w:t>
      </w:r>
      <w:r>
        <w:t>’, Speculum, 2025 &lt;</w:t>
      </w:r>
      <w:r w:rsidRPr="006F18BB">
        <w:t xml:space="preserve"> </w:t>
      </w:r>
      <w:hyperlink r:id="rId5" w:history="1">
        <w:r w:rsidRPr="00661935">
          <w:rPr>
            <w:rStyle w:val="Hyperlink"/>
          </w:rPr>
          <w:t>https://www-journals-uchicago-edu.ezproxy.uwtsd.ac.uk/doi/full/10.1086/721780</w:t>
        </w:r>
      </w:hyperlink>
      <w:r>
        <w:t>&gt; [accessed 12 November 2025]</w:t>
      </w:r>
    </w:p>
  </w:footnote>
  <w:footnote w:id="8">
    <w:p w14:paraId="42036DA6" w14:textId="378E4DE8" w:rsidR="00F42637" w:rsidRDefault="00F4263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25F2">
        <w:t xml:space="preserve">Library of Congress, ‘The golden legend’, </w:t>
      </w:r>
      <w:proofErr w:type="spellStart"/>
      <w:r w:rsidR="00EC25F2">
        <w:t>nd</w:t>
      </w:r>
      <w:proofErr w:type="spellEnd"/>
      <w:r w:rsidR="00EC25F2">
        <w:t xml:space="preserve"> </w:t>
      </w:r>
      <w:hyperlink r:id="rId6" w:history="1">
        <w:r w:rsidR="00EC25F2" w:rsidRPr="00661935">
          <w:rPr>
            <w:rStyle w:val="Hyperlink"/>
          </w:rPr>
          <w:t>https://www.loc.gov/item/48043527/</w:t>
        </w:r>
      </w:hyperlink>
      <w:r w:rsidR="00EC25F2">
        <w:t xml:space="preserve"> [accessed 12 November 2025]</w:t>
      </w:r>
    </w:p>
  </w:footnote>
  <w:footnote w:id="9">
    <w:p w14:paraId="35AFFA36" w14:textId="2ABB3170" w:rsidR="00F81822" w:rsidRDefault="00F81822">
      <w:pPr>
        <w:pStyle w:val="FootnoteText"/>
      </w:pPr>
      <w:r>
        <w:rPr>
          <w:rStyle w:val="FootnoteReference"/>
        </w:rPr>
        <w:footnoteRef/>
      </w:r>
      <w:r>
        <w:t xml:space="preserve"> For example </w:t>
      </w:r>
      <w:proofErr w:type="spellStart"/>
      <w:r>
        <w:t>St.Roch</w:t>
      </w:r>
      <w:proofErr w:type="spellEnd"/>
      <w:r>
        <w:t xml:space="preserve">: Jacobus de Voragine, </w:t>
      </w:r>
      <w:r w:rsidRPr="00490F1B">
        <w:rPr>
          <w:rStyle w:val="Emphasis"/>
          <w:i w:val="0"/>
          <w:iCs w:val="0"/>
        </w:rPr>
        <w:t>The Golden Legend or Lives of the Saints</w:t>
      </w:r>
      <w:r w:rsidRPr="00490F1B">
        <w:rPr>
          <w:i/>
          <w:iCs/>
        </w:rPr>
        <w:t xml:space="preserve">, </w:t>
      </w:r>
      <w:proofErr w:type="spellStart"/>
      <w:r w:rsidRPr="00490F1B">
        <w:rPr>
          <w:i/>
          <w:iCs/>
        </w:rPr>
        <w:t>englished</w:t>
      </w:r>
      <w:proofErr w:type="spellEnd"/>
      <w:r w:rsidRPr="00490F1B">
        <w:rPr>
          <w:i/>
          <w:iCs/>
        </w:rPr>
        <w:t xml:space="preserve"> by William Caxton</w:t>
      </w:r>
      <w:r>
        <w:t xml:space="preserve">, ed. F. S. Ellis, 7 vols (London: J. M. Dent &amp; Sons, 1900–31), vol. V, ‘Here </w:t>
      </w:r>
      <w:proofErr w:type="spellStart"/>
      <w:r>
        <w:t>followeth</w:t>
      </w:r>
      <w:proofErr w:type="spellEnd"/>
      <w:r>
        <w:t xml:space="preserve"> the Life of St. Rocke’, available (in Caxton/Ellis text) via the Internet Medieval Sourcebook / Fordham University: </w:t>
      </w:r>
      <w:hyperlink r:id="rId7" w:history="1">
        <w:r w:rsidR="00490F1B" w:rsidRPr="00661935">
          <w:rPr>
            <w:rStyle w:val="Hyperlink"/>
          </w:rPr>
          <w:t>https://sourcebooks.fordham.edu/basis/goldenlegend/GoldenLegend-Volume5.asp</w:t>
        </w:r>
      </w:hyperlink>
      <w:r w:rsidR="00490F1B">
        <w:t xml:space="preserve"> </w:t>
      </w:r>
      <w:r>
        <w:t xml:space="preserve"> [accessed 11 Nov. 2025].</w:t>
      </w:r>
    </w:p>
  </w:footnote>
  <w:footnote w:id="10">
    <w:p w14:paraId="719BAC7A" w14:textId="286B99D6" w:rsidR="00296937" w:rsidRDefault="00296937" w:rsidP="00296937">
      <w:pPr>
        <w:pStyle w:val="FootnoteText"/>
      </w:pPr>
      <w:r>
        <w:rPr>
          <w:rStyle w:val="FootnoteReference"/>
        </w:rPr>
        <w:footnoteRef/>
      </w:r>
      <w:r>
        <w:t xml:space="preserve">   Villa, R. (2000). [Rev. of IACOPO DA VARAZZE, Legenda </w:t>
      </w:r>
      <w:proofErr w:type="spellStart"/>
      <w:r>
        <w:t>aurea</w:t>
      </w:r>
      <w:proofErr w:type="spellEnd"/>
      <w:r>
        <w:t xml:space="preserve">, </w:t>
      </w:r>
      <w:proofErr w:type="spellStart"/>
      <w:r>
        <w:t>edizione</w:t>
      </w:r>
      <w:proofErr w:type="spellEnd"/>
      <w:r>
        <w:t xml:space="preserve"> </w:t>
      </w:r>
      <w:proofErr w:type="spellStart"/>
      <w:r>
        <w:t>critica</w:t>
      </w:r>
      <w:proofErr w:type="spellEnd"/>
      <w:r>
        <w:t xml:space="preserve"> a cura di Giovanni Paolo Maggioni (Book Review)]. </w:t>
      </w:r>
      <w:proofErr w:type="spellStart"/>
      <w:r>
        <w:t>Belfagor</w:t>
      </w:r>
      <w:proofErr w:type="spellEnd"/>
      <w:r>
        <w:t>, 55(329), 617.</w:t>
      </w:r>
    </w:p>
  </w:footnote>
  <w:footnote w:id="11">
    <w:p w14:paraId="435A1E07" w14:textId="77777777" w:rsidR="00296937" w:rsidRDefault="00296937" w:rsidP="00296937">
      <w:pPr>
        <w:pStyle w:val="FootnoteText"/>
      </w:pPr>
      <w:r>
        <w:rPr>
          <w:rStyle w:val="FootnoteReference"/>
        </w:rPr>
        <w:footnoteRef/>
      </w:r>
      <w:r>
        <w:t xml:space="preserve"> For example, “The critical reconstruction of a text, the edition that, by eliminating sediments and</w:t>
      </w:r>
    </w:p>
    <w:p w14:paraId="733EC2DD" w14:textId="77777777" w:rsidR="00296937" w:rsidRDefault="00296937" w:rsidP="00296937">
      <w:pPr>
        <w:pStyle w:val="FootnoteText"/>
      </w:pPr>
      <w:r>
        <w:t>accumulations, restores even previously unseen possibilities for reading, is even more useful for</w:t>
      </w:r>
    </w:p>
    <w:p w14:paraId="26A0D051" w14:textId="0CB89BA5" w:rsidR="00296937" w:rsidRDefault="00296937" w:rsidP="00296937">
      <w:pPr>
        <w:pStyle w:val="FootnoteText"/>
      </w:pPr>
      <w:r>
        <w:t>those writings that changing canons have further corrupted or debased,</w:t>
      </w:r>
      <w:r w:rsidR="00735830">
        <w:t xml:space="preserve"> </w:t>
      </w:r>
      <w:r>
        <w:t>by considering their authorship secondary, or even almost useless,</w:t>
      </w:r>
      <w:r w:rsidR="00735830">
        <w:t xml:space="preserve"> </w:t>
      </w:r>
      <w:r>
        <w:t xml:space="preserve">as is the case with most works compiled for edifying and educational purposes.” </w:t>
      </w:r>
    </w:p>
  </w:footnote>
  <w:footnote w:id="12">
    <w:p w14:paraId="3BF0CF2E" w14:textId="2E534140" w:rsidR="00860F37" w:rsidRDefault="00860F3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64DA2">
        <w:t>Internet Archive, ‘</w:t>
      </w:r>
      <w:r w:rsidR="00564DA2" w:rsidRPr="00564DA2">
        <w:t xml:space="preserve">Legenda </w:t>
      </w:r>
      <w:proofErr w:type="spellStart"/>
      <w:r w:rsidR="00564DA2" w:rsidRPr="00564DA2">
        <w:t>aurea</w:t>
      </w:r>
      <w:proofErr w:type="spellEnd"/>
      <w:r w:rsidR="00564DA2" w:rsidRPr="00564DA2">
        <w:t xml:space="preserve"> : vulgo </w:t>
      </w:r>
      <w:proofErr w:type="spellStart"/>
      <w:r w:rsidR="00564DA2" w:rsidRPr="00564DA2">
        <w:t>historia</w:t>
      </w:r>
      <w:proofErr w:type="spellEnd"/>
      <w:r w:rsidR="00564DA2" w:rsidRPr="00564DA2">
        <w:t xml:space="preserve"> </w:t>
      </w:r>
      <w:proofErr w:type="spellStart"/>
      <w:r w:rsidR="00564DA2" w:rsidRPr="00564DA2">
        <w:t>Lombardica</w:t>
      </w:r>
      <w:proofErr w:type="spellEnd"/>
      <w:r w:rsidR="00564DA2" w:rsidRPr="00564DA2">
        <w:t xml:space="preserve"> dicta ad </w:t>
      </w:r>
      <w:proofErr w:type="spellStart"/>
      <w:r w:rsidR="00564DA2" w:rsidRPr="00564DA2">
        <w:t>optimorum</w:t>
      </w:r>
      <w:proofErr w:type="spellEnd"/>
      <w:r w:rsidR="00564DA2" w:rsidRPr="00564DA2">
        <w:t xml:space="preserve"> </w:t>
      </w:r>
      <w:proofErr w:type="spellStart"/>
      <w:r w:rsidR="00564DA2" w:rsidRPr="00564DA2">
        <w:t>librorum</w:t>
      </w:r>
      <w:proofErr w:type="spellEnd"/>
      <w:r w:rsidR="00564DA2" w:rsidRPr="00564DA2">
        <w:t xml:space="preserve"> </w:t>
      </w:r>
      <w:proofErr w:type="spellStart"/>
      <w:r w:rsidR="00564DA2" w:rsidRPr="00564DA2">
        <w:t>fidem</w:t>
      </w:r>
      <w:proofErr w:type="spellEnd"/>
      <w:r w:rsidR="00564DA2">
        <w:t xml:space="preserve">’, 2014, </w:t>
      </w:r>
      <w:hyperlink r:id="rId8" w:history="1">
        <w:r w:rsidR="00564DA2" w:rsidRPr="00661935">
          <w:rPr>
            <w:rStyle w:val="Hyperlink"/>
          </w:rPr>
          <w:t>https://archive.org/details/legend</w:t>
        </w:r>
        <w:r w:rsidR="00564DA2" w:rsidRPr="00661935">
          <w:rPr>
            <w:rStyle w:val="Hyperlink"/>
          </w:rPr>
          <w:t>a</w:t>
        </w:r>
        <w:r w:rsidR="00564DA2" w:rsidRPr="00661935">
          <w:rPr>
            <w:rStyle w:val="Hyperlink"/>
          </w:rPr>
          <w:t>aureavulg00jacouoft/page/n13/mode/2up</w:t>
        </w:r>
      </w:hyperlink>
      <w:r w:rsidR="00564DA2">
        <w:t xml:space="preserve"> [accessed 12 November 2025]</w:t>
      </w:r>
    </w:p>
  </w:footnote>
  <w:footnote w:id="13">
    <w:p w14:paraId="52C3668A" w14:textId="7B69375C" w:rsidR="00AC4441" w:rsidRDefault="00AC4441" w:rsidP="00AC4441">
      <w:pPr>
        <w:pStyle w:val="FootnoteText"/>
      </w:pPr>
      <w:r>
        <w:rPr>
          <w:rStyle w:val="FootnoteReference"/>
        </w:rPr>
        <w:footnoteRef/>
      </w:r>
      <w:r w:rsidR="008C170D">
        <w:t xml:space="preserve"> Solo sea</w:t>
      </w:r>
      <w:r w:rsidR="00675A5A">
        <w:t>r</w:t>
      </w:r>
      <w:r w:rsidR="008C170D">
        <w:t>ch Oxford Libraries online, ‘</w:t>
      </w:r>
      <w:r w:rsidR="008C170D" w:rsidRPr="008C170D">
        <w:t xml:space="preserve">Here </w:t>
      </w:r>
      <w:proofErr w:type="spellStart"/>
      <w:r w:rsidR="008C170D" w:rsidRPr="008C170D">
        <w:t>begynneth</w:t>
      </w:r>
      <w:proofErr w:type="spellEnd"/>
      <w:r w:rsidR="008C170D" w:rsidRPr="008C170D">
        <w:t xml:space="preserve"> the </w:t>
      </w:r>
      <w:proofErr w:type="spellStart"/>
      <w:r w:rsidR="008C170D" w:rsidRPr="008C170D">
        <w:t>legende</w:t>
      </w:r>
      <w:proofErr w:type="spellEnd"/>
      <w:r w:rsidR="008C170D" w:rsidRPr="008C170D">
        <w:t xml:space="preserve"> named in </w:t>
      </w:r>
      <w:proofErr w:type="spellStart"/>
      <w:r w:rsidR="008C170D" w:rsidRPr="008C170D">
        <w:t>latyn</w:t>
      </w:r>
      <w:proofErr w:type="spellEnd"/>
      <w:r w:rsidR="008C170D" w:rsidRPr="008C170D">
        <w:t xml:space="preserve"> legenda </w:t>
      </w:r>
      <w:proofErr w:type="spellStart"/>
      <w:r w:rsidR="008C170D" w:rsidRPr="008C170D">
        <w:t>aurea</w:t>
      </w:r>
      <w:proofErr w:type="spellEnd"/>
      <w:r w:rsidR="008C170D" w:rsidRPr="008C170D">
        <w:t xml:space="preserve"> that is to </w:t>
      </w:r>
      <w:proofErr w:type="spellStart"/>
      <w:r w:rsidR="008C170D" w:rsidRPr="008C170D">
        <w:t>saye</w:t>
      </w:r>
      <w:proofErr w:type="spellEnd"/>
      <w:r w:rsidR="008C170D" w:rsidRPr="008C170D">
        <w:t xml:space="preserve"> in </w:t>
      </w:r>
      <w:proofErr w:type="spellStart"/>
      <w:r w:rsidR="008C170D" w:rsidRPr="008C170D">
        <w:t>Englysshe</w:t>
      </w:r>
      <w:proofErr w:type="spellEnd"/>
      <w:r w:rsidR="008C170D" w:rsidRPr="008C170D">
        <w:t xml:space="preserve"> the golden </w:t>
      </w:r>
      <w:proofErr w:type="spellStart"/>
      <w:r w:rsidR="008C170D" w:rsidRPr="008C170D">
        <w:t>legende</w:t>
      </w:r>
      <w:proofErr w:type="spellEnd"/>
      <w:r w:rsidR="008C170D" w:rsidRPr="008C170D">
        <w:t xml:space="preserve">. For </w:t>
      </w:r>
      <w:proofErr w:type="spellStart"/>
      <w:r w:rsidR="008C170D" w:rsidRPr="008C170D">
        <w:t>lyke</w:t>
      </w:r>
      <w:proofErr w:type="spellEnd"/>
      <w:r w:rsidR="008C170D" w:rsidRPr="008C170D">
        <w:t xml:space="preserve"> as </w:t>
      </w:r>
      <w:proofErr w:type="spellStart"/>
      <w:r w:rsidR="008C170D" w:rsidRPr="008C170D">
        <w:t>passeth</w:t>
      </w:r>
      <w:proofErr w:type="spellEnd"/>
      <w:r w:rsidR="008C170D" w:rsidRPr="008C170D">
        <w:t xml:space="preserve"> </w:t>
      </w:r>
      <w:proofErr w:type="spellStart"/>
      <w:r w:rsidR="008C170D" w:rsidRPr="008C170D">
        <w:t>golde</w:t>
      </w:r>
      <w:proofErr w:type="spellEnd"/>
      <w:r w:rsidR="008C170D" w:rsidRPr="008C170D">
        <w:t xml:space="preserve"> in </w:t>
      </w:r>
      <w:proofErr w:type="spellStart"/>
      <w:r w:rsidR="008C170D" w:rsidRPr="008C170D">
        <w:t>valewe</w:t>
      </w:r>
      <w:proofErr w:type="spellEnd"/>
      <w:r w:rsidR="008C170D" w:rsidRPr="008C170D">
        <w:t xml:space="preserve"> all other </w:t>
      </w:r>
      <w:proofErr w:type="spellStart"/>
      <w:r w:rsidR="008C170D" w:rsidRPr="008C170D">
        <w:t>metallys</w:t>
      </w:r>
      <w:proofErr w:type="spellEnd"/>
      <w:r w:rsidR="008C170D" w:rsidRPr="008C170D">
        <w:t xml:space="preserve">. So this </w:t>
      </w:r>
      <w:proofErr w:type="spellStart"/>
      <w:r w:rsidR="008C170D" w:rsidRPr="008C170D">
        <w:t>legende</w:t>
      </w:r>
      <w:proofErr w:type="spellEnd"/>
      <w:r w:rsidR="008C170D" w:rsidRPr="008C170D">
        <w:t xml:space="preserve"> </w:t>
      </w:r>
      <w:proofErr w:type="spellStart"/>
      <w:r w:rsidR="008C170D" w:rsidRPr="008C170D">
        <w:t>excelleth</w:t>
      </w:r>
      <w:proofErr w:type="spellEnd"/>
      <w:r w:rsidR="008C170D" w:rsidRPr="008C170D">
        <w:t xml:space="preserve"> all other </w:t>
      </w:r>
      <w:proofErr w:type="spellStart"/>
      <w:r w:rsidR="008C170D" w:rsidRPr="008C170D">
        <w:t>bookes</w:t>
      </w:r>
      <w:proofErr w:type="spellEnd"/>
      <w:r w:rsidR="008C170D">
        <w:t xml:space="preserve">’ </w:t>
      </w:r>
      <w:proofErr w:type="spellStart"/>
      <w:r w:rsidR="008C170D">
        <w:t>nd</w:t>
      </w:r>
      <w:proofErr w:type="spellEnd"/>
      <w:r w:rsidR="008C170D">
        <w:t xml:space="preserve">, </w:t>
      </w:r>
      <w:hyperlink r:id="rId9" w:history="1">
        <w:r w:rsidR="008C170D" w:rsidRPr="00661935">
          <w:rPr>
            <w:rStyle w:val="Hyperlink"/>
          </w:rPr>
          <w:t>https://solo.bodleian.ox.ac.uk/discovery/fulldisplay?docid=alma990155171610107026&amp;context=L&amp;vid=44OXF_INST:SOLO&amp;lang=en&amp;search_scope=MyInst_and_CI&amp;adaptor=Local%20Search%20Engine&amp;tab=Everything&amp;query=any,contains,Wynkyn%20de%20Worde&amp;facet=searchcreationdate,include,1001%7C,%7C1500&amp;facet=topic,include,Christian%20saints%20Early%20works%20to%201800&amp;offset=0</w:t>
        </w:r>
      </w:hyperlink>
      <w:r w:rsidR="008C170D">
        <w:t xml:space="preserve"> [accessed 12 November 2025]</w:t>
      </w:r>
    </w:p>
  </w:footnote>
  <w:footnote w:id="14">
    <w:p w14:paraId="395299D1" w14:textId="45A0479B" w:rsidR="00675A5A" w:rsidRDefault="00675A5A">
      <w:pPr>
        <w:pStyle w:val="FootnoteText"/>
      </w:pPr>
      <w:r>
        <w:rPr>
          <w:rStyle w:val="FootnoteReference"/>
        </w:rPr>
        <w:footnoteRef/>
      </w:r>
      <w:r>
        <w:t xml:space="preserve"> European Catholics in English, </w:t>
      </w:r>
      <w:r w:rsidR="00471C02">
        <w:t>‘</w:t>
      </w:r>
      <w:r>
        <w:t>Johannes Mentelin: God’s Printer who illuminated Europe before Luther</w:t>
      </w:r>
      <w:r w:rsidR="00471C02">
        <w:t>’, Doctrine and Faith, 2025, &lt;</w:t>
      </w:r>
      <w:r w:rsidR="00471C02" w:rsidRPr="00471C02">
        <w:t xml:space="preserve"> </w:t>
      </w:r>
      <w:hyperlink r:id="rId10" w:history="1">
        <w:r w:rsidR="00471C02" w:rsidRPr="008168E9">
          <w:rPr>
            <w:rStyle w:val="Hyperlink"/>
          </w:rPr>
          <w:t>https://catholicus.eu/en/johannes-mentelin-gods-printer-who-illuminated-europe-before-luther/</w:t>
        </w:r>
      </w:hyperlink>
      <w:r w:rsidR="00471C02">
        <w:t>&gt; [accessed 15 November 2025]</w:t>
      </w:r>
    </w:p>
  </w:footnote>
  <w:footnote w:id="15">
    <w:p w14:paraId="58D1D604" w14:textId="30C64499" w:rsidR="00471C02" w:rsidRDefault="00471C02">
      <w:pPr>
        <w:pStyle w:val="FootnoteText"/>
      </w:pPr>
      <w:r>
        <w:rPr>
          <w:rStyle w:val="FootnoteReference"/>
        </w:rPr>
        <w:footnoteRef/>
      </w:r>
      <w:r>
        <w:t xml:space="preserve"> Jeremy Norman, ‘</w:t>
      </w:r>
      <w:r w:rsidRPr="00471C02">
        <w:t xml:space="preserve">Jean de Vigne's "La </w:t>
      </w:r>
      <w:proofErr w:type="spellStart"/>
      <w:r w:rsidRPr="00471C02">
        <w:t>légende</w:t>
      </w:r>
      <w:proofErr w:type="spellEnd"/>
      <w:r w:rsidRPr="00471C02">
        <w:t xml:space="preserve"> dorée", the First Book Printed in French</w:t>
      </w:r>
      <w:r>
        <w:t>’, HistoryofInformation.com, &lt;</w:t>
      </w:r>
      <w:r w:rsidRPr="00471C02">
        <w:t xml:space="preserve"> </w:t>
      </w:r>
      <w:hyperlink r:id="rId11" w:history="1">
        <w:r w:rsidRPr="008168E9">
          <w:rPr>
            <w:rStyle w:val="Hyperlink"/>
          </w:rPr>
          <w:t>https://www.historyofinformation.com/detail.php?entryid=1752</w:t>
        </w:r>
      </w:hyperlink>
      <w:r>
        <w:t>&gt; [accessed 15 November 2025]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3217BE" w14:textId="57212C50" w:rsidR="00062726" w:rsidRDefault="00062726" w:rsidP="00062726">
    <w:pPr>
      <w:pStyle w:val="Header"/>
      <w:jc w:val="right"/>
    </w:pPr>
    <w:r>
      <w:t xml:space="preserve">Richard Ingate </w:t>
    </w:r>
    <w:r w:rsidRPr="00062726">
      <w:t>2517522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76415F"/>
    <w:multiLevelType w:val="hybridMultilevel"/>
    <w:tmpl w:val="FA7E64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302174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4227"/>
    <w:rsid w:val="00007B5A"/>
    <w:rsid w:val="00016D78"/>
    <w:rsid w:val="000344A9"/>
    <w:rsid w:val="00062726"/>
    <w:rsid w:val="00064127"/>
    <w:rsid w:val="00070683"/>
    <w:rsid w:val="00124534"/>
    <w:rsid w:val="001A2C83"/>
    <w:rsid w:val="001D4BDD"/>
    <w:rsid w:val="00287A71"/>
    <w:rsid w:val="0029624E"/>
    <w:rsid w:val="00296937"/>
    <w:rsid w:val="00304643"/>
    <w:rsid w:val="003E5A14"/>
    <w:rsid w:val="0040627C"/>
    <w:rsid w:val="004241A5"/>
    <w:rsid w:val="004266F2"/>
    <w:rsid w:val="00432ECE"/>
    <w:rsid w:val="00471C02"/>
    <w:rsid w:val="00490F1B"/>
    <w:rsid w:val="004A0EA5"/>
    <w:rsid w:val="004A4D6E"/>
    <w:rsid w:val="004E2547"/>
    <w:rsid w:val="00557793"/>
    <w:rsid w:val="00564DA2"/>
    <w:rsid w:val="00574A95"/>
    <w:rsid w:val="006149A0"/>
    <w:rsid w:val="006656A3"/>
    <w:rsid w:val="00665EEC"/>
    <w:rsid w:val="00675A5A"/>
    <w:rsid w:val="00681D43"/>
    <w:rsid w:val="006F18BB"/>
    <w:rsid w:val="00735830"/>
    <w:rsid w:val="007B146C"/>
    <w:rsid w:val="008129AC"/>
    <w:rsid w:val="008273FE"/>
    <w:rsid w:val="0085782E"/>
    <w:rsid w:val="00860F37"/>
    <w:rsid w:val="008A4227"/>
    <w:rsid w:val="008B3DD9"/>
    <w:rsid w:val="008C170D"/>
    <w:rsid w:val="008E4CD0"/>
    <w:rsid w:val="008F7489"/>
    <w:rsid w:val="0090365C"/>
    <w:rsid w:val="009036E2"/>
    <w:rsid w:val="00907127"/>
    <w:rsid w:val="0094294A"/>
    <w:rsid w:val="009849B2"/>
    <w:rsid w:val="00A24D4D"/>
    <w:rsid w:val="00A345AF"/>
    <w:rsid w:val="00A47855"/>
    <w:rsid w:val="00A60B2F"/>
    <w:rsid w:val="00AA5C17"/>
    <w:rsid w:val="00AC4441"/>
    <w:rsid w:val="00B3213F"/>
    <w:rsid w:val="00B60536"/>
    <w:rsid w:val="00B916FE"/>
    <w:rsid w:val="00BB3797"/>
    <w:rsid w:val="00BB41B6"/>
    <w:rsid w:val="00BB4929"/>
    <w:rsid w:val="00BC6480"/>
    <w:rsid w:val="00C06153"/>
    <w:rsid w:val="00C40437"/>
    <w:rsid w:val="00C665E4"/>
    <w:rsid w:val="00D1205C"/>
    <w:rsid w:val="00D76DBF"/>
    <w:rsid w:val="00D969E7"/>
    <w:rsid w:val="00DA03F1"/>
    <w:rsid w:val="00E3579D"/>
    <w:rsid w:val="00EA4285"/>
    <w:rsid w:val="00EC25F2"/>
    <w:rsid w:val="00EC4811"/>
    <w:rsid w:val="00F10DD5"/>
    <w:rsid w:val="00F35D3B"/>
    <w:rsid w:val="00F42637"/>
    <w:rsid w:val="00F51B5E"/>
    <w:rsid w:val="00F70851"/>
    <w:rsid w:val="00F81822"/>
    <w:rsid w:val="00F956CE"/>
    <w:rsid w:val="00FA510A"/>
    <w:rsid w:val="00FB0001"/>
    <w:rsid w:val="00FE4B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13783932"/>
  <w15:chartTrackingRefBased/>
  <w15:docId w15:val="{58BFE901-A7B8-6946-8BFD-4F5D0D3CDC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30"/>
        <w:lang w:val="en-GB" w:eastAsia="zh-CN" w:bidi="th-TH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Angsana New"/>
    </w:rPr>
  </w:style>
  <w:style w:type="paragraph" w:styleId="Heading1">
    <w:name w:val="heading 1"/>
    <w:basedOn w:val="Normal"/>
    <w:next w:val="Normal"/>
    <w:link w:val="Heading1Char"/>
    <w:uiPriority w:val="9"/>
    <w:qFormat/>
    <w:rsid w:val="008A42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5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A42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40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A42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3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42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42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42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42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42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42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4227"/>
    <w:rPr>
      <w:rFonts w:asciiTheme="majorHAnsi" w:eastAsiaTheme="majorEastAsia" w:hAnsiTheme="majorHAnsi" w:cstheme="majorBidi"/>
      <w:color w:val="0F4761" w:themeColor="accent1" w:themeShade="BF"/>
      <w:sz w:val="40"/>
      <w:szCs w:val="50"/>
    </w:rPr>
  </w:style>
  <w:style w:type="character" w:customStyle="1" w:styleId="Heading2Char">
    <w:name w:val="Heading 2 Char"/>
    <w:basedOn w:val="DefaultParagraphFont"/>
    <w:link w:val="Heading2"/>
    <w:uiPriority w:val="9"/>
    <w:rsid w:val="008A4227"/>
    <w:rPr>
      <w:rFonts w:asciiTheme="majorHAnsi" w:eastAsiaTheme="majorEastAsia" w:hAnsiTheme="majorHAnsi" w:cstheme="majorBidi"/>
      <w:color w:val="0F4761" w:themeColor="accent1" w:themeShade="BF"/>
      <w:sz w:val="32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rsid w:val="008A4227"/>
    <w:rPr>
      <w:rFonts w:eastAsiaTheme="majorEastAsia" w:cstheme="majorBidi"/>
      <w:color w:val="0F4761" w:themeColor="accent1" w:themeShade="BF"/>
      <w:sz w:val="28"/>
      <w:szCs w:val="3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42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42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42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42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42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42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42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8A4227"/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42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character" w:customStyle="1" w:styleId="SubtitleChar">
    <w:name w:val="Subtitle Char"/>
    <w:basedOn w:val="DefaultParagraphFont"/>
    <w:link w:val="Subtitle"/>
    <w:uiPriority w:val="11"/>
    <w:rsid w:val="008A4227"/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paragraph" w:styleId="Quote">
    <w:name w:val="Quote"/>
    <w:basedOn w:val="Normal"/>
    <w:next w:val="Normal"/>
    <w:link w:val="QuoteChar"/>
    <w:uiPriority w:val="29"/>
    <w:qFormat/>
    <w:rsid w:val="008A42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4227"/>
    <w:rPr>
      <w:rFonts w:cs="Angsana New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42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42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42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4227"/>
    <w:rPr>
      <w:rFonts w:cs="Angsana New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422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A42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Cs w:val="24"/>
      <w14:ligatures w14:val="non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9624E"/>
    <w:pPr>
      <w:spacing w:after="0" w:line="240" w:lineRule="auto"/>
    </w:pPr>
    <w:rPr>
      <w:sz w:val="20"/>
      <w:szCs w:val="25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9624E"/>
    <w:rPr>
      <w:rFonts w:cs="Angsana New"/>
      <w:sz w:val="20"/>
      <w:szCs w:val="25"/>
    </w:rPr>
  </w:style>
  <w:style w:type="character" w:styleId="FootnoteReference">
    <w:name w:val="footnote reference"/>
    <w:basedOn w:val="DefaultParagraphFont"/>
    <w:uiPriority w:val="99"/>
    <w:semiHidden/>
    <w:unhideWhenUsed/>
    <w:rsid w:val="0029624E"/>
    <w:rPr>
      <w:vertAlign w:val="superscript"/>
    </w:rPr>
  </w:style>
  <w:style w:type="paragraph" w:styleId="Footer">
    <w:name w:val="footer"/>
    <w:basedOn w:val="Normal"/>
    <w:link w:val="FooterChar"/>
    <w:uiPriority w:val="99"/>
    <w:unhideWhenUsed/>
    <w:rsid w:val="00681D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1D43"/>
    <w:rPr>
      <w:rFonts w:cs="Angsana New"/>
    </w:rPr>
  </w:style>
  <w:style w:type="character" w:styleId="PageNumber">
    <w:name w:val="page number"/>
    <w:basedOn w:val="DefaultParagraphFont"/>
    <w:uiPriority w:val="99"/>
    <w:semiHidden/>
    <w:unhideWhenUsed/>
    <w:rsid w:val="00681D43"/>
  </w:style>
  <w:style w:type="character" w:styleId="Emphasis">
    <w:name w:val="Emphasis"/>
    <w:basedOn w:val="DefaultParagraphFont"/>
    <w:uiPriority w:val="20"/>
    <w:qFormat/>
    <w:rsid w:val="00F51B5E"/>
    <w:rPr>
      <w:i/>
      <w:iCs/>
    </w:rPr>
  </w:style>
  <w:style w:type="character" w:styleId="Strong">
    <w:name w:val="Strong"/>
    <w:basedOn w:val="DefaultParagraphFont"/>
    <w:uiPriority w:val="22"/>
    <w:qFormat/>
    <w:rsid w:val="004241A5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0627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2726"/>
    <w:rPr>
      <w:rFonts w:cs="Angsana New"/>
    </w:rPr>
  </w:style>
  <w:style w:type="character" w:styleId="Hyperlink">
    <w:name w:val="Hyperlink"/>
    <w:basedOn w:val="DefaultParagraphFont"/>
    <w:uiPriority w:val="99"/>
    <w:unhideWhenUsed/>
    <w:rsid w:val="00BB379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379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A4D6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ata.cerl.org/istc/_search?from=0&amp;query=Legenda+Aurea&amp;sort=chronological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newadvent.org/cathen/08262b.htm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loc.gov/item/48043527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atholicus.eu/en/johannes-mentelin-gods-printer-who-illuminated-europe-before-luther/" TargetMode="External"/><Relationship Id="rId14" Type="http://schemas.openxmlformats.org/officeDocument/2006/relationships/footer" Target="footer2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archive.org/details/legendaaureavulg00jacouoft/page/n13/mode/2up" TargetMode="External"/><Relationship Id="rId3" Type="http://schemas.openxmlformats.org/officeDocument/2006/relationships/hyperlink" Target="https://data.cerl.org/istc/_search?from=0&amp;query=Legenda+Aurea&amp;sort=chronological" TargetMode="External"/><Relationship Id="rId7" Type="http://schemas.openxmlformats.org/officeDocument/2006/relationships/hyperlink" Target="https://sourcebooks.fordham.edu/basis/goldenlegend/GoldenLegend-Volume5.asp" TargetMode="External"/><Relationship Id="rId2" Type="http://schemas.openxmlformats.org/officeDocument/2006/relationships/hyperlink" Target="http://www.newadvent.org/cathen/08262b.htm" TargetMode="External"/><Relationship Id="rId1" Type="http://schemas.openxmlformats.org/officeDocument/2006/relationships/hyperlink" Target="https://research.ebsco.com/linkprocessor/plink?id=f09b03cd-15a9-3121-b435-c63d765b93ef" TargetMode="External"/><Relationship Id="rId6" Type="http://schemas.openxmlformats.org/officeDocument/2006/relationships/hyperlink" Target="https://www.loc.gov/item/48043527/" TargetMode="External"/><Relationship Id="rId11" Type="http://schemas.openxmlformats.org/officeDocument/2006/relationships/hyperlink" Target="https://www.historyofinformation.com/detail.php?entryid=1752" TargetMode="External"/><Relationship Id="rId5" Type="http://schemas.openxmlformats.org/officeDocument/2006/relationships/hyperlink" Target="https://www-journals-uchicago-edu.ezproxy.uwtsd.ac.uk/doi/full/10.1086/721780" TargetMode="External"/><Relationship Id="rId10" Type="http://schemas.openxmlformats.org/officeDocument/2006/relationships/hyperlink" Target="https://catholicus.eu/en/johannes-mentelin-gods-printer-who-illuminated-europe-before-luther/" TargetMode="External"/><Relationship Id="rId4" Type="http://schemas.openxmlformats.org/officeDocument/2006/relationships/hyperlink" Target="https://sourcebooks.fordham.edu/basis/goldenlegend/" TargetMode="External"/><Relationship Id="rId9" Type="http://schemas.openxmlformats.org/officeDocument/2006/relationships/hyperlink" Target="https://solo.bodleian.ox.ac.uk/discovery/fulldisplay?docid=alma990155171610107026&amp;context=L&amp;vid=44OXF_INST:SOLO&amp;lang=en&amp;search_scope=MyInst_and_CI&amp;adaptor=Local%20Search%20Engine&amp;tab=Everything&amp;query=any,contains,Wynkyn%20de%20Worde&amp;facet=searchcreationdate,include,1001%7C,%7C1500&amp;facet=topic,include,Christian%20saints%20Early%20works%20to%201800&amp;offset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4B028F48-D1C6-BC47-8BE7-EA2D6C54D4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300</TotalTime>
  <Pages>6</Pages>
  <Words>1264</Words>
  <Characters>6288</Characters>
  <Application>Microsoft Office Word</Application>
  <DocSecurity>0</DocSecurity>
  <Lines>103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Ingate (2517522)</dc:creator>
  <cp:keywords/>
  <dc:description/>
  <cp:lastModifiedBy>Richard Ingate (2517522)</cp:lastModifiedBy>
  <cp:revision>38</cp:revision>
  <dcterms:created xsi:type="dcterms:W3CDTF">2025-11-09T14:03:00Z</dcterms:created>
  <dcterms:modified xsi:type="dcterms:W3CDTF">2025-11-15T15:27:00Z</dcterms:modified>
</cp:coreProperties>
</file>