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4ABED8" w14:textId="77777777" w:rsidR="001B4584" w:rsidRDefault="001B4584">
      <w:pPr>
        <w:spacing w:before="180" w:after="180"/>
        <w:jc w:val="center"/>
      </w:pPr>
    </w:p>
    <w:p w14:paraId="0DEBBE38" w14:textId="77777777" w:rsidR="00743D94" w:rsidRDefault="00743D94">
      <w:pPr>
        <w:spacing w:before="180" w:after="180"/>
        <w:jc w:val="center"/>
      </w:pPr>
    </w:p>
    <w:p w14:paraId="4F500AF1" w14:textId="77777777" w:rsidR="00743D94" w:rsidRDefault="00743D94">
      <w:pPr>
        <w:spacing w:before="180" w:after="180"/>
        <w:jc w:val="center"/>
      </w:pPr>
    </w:p>
    <w:p w14:paraId="51684953" w14:textId="77777777" w:rsidR="009D5B65" w:rsidRDefault="009D5B65">
      <w:pPr>
        <w:spacing w:before="180" w:after="180"/>
        <w:jc w:val="center"/>
      </w:pPr>
    </w:p>
    <w:p w14:paraId="15114CFB" w14:textId="2F875EC0" w:rsidR="00D92822" w:rsidRDefault="00000000">
      <w:pPr>
        <w:spacing w:before="180" w:after="180"/>
        <w:jc w:val="center"/>
      </w:pPr>
      <w:r>
        <w:rPr>
          <w:noProof/>
        </w:rPr>
        <w:drawing>
          <wp:inline distT="114300" distB="114300" distL="114300" distR="114300" wp14:anchorId="77482053" wp14:editId="250D0B1D">
            <wp:extent cx="3435238" cy="136683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35238" cy="1366838"/>
                    </a:xfrm>
                    <a:prstGeom prst="rect">
                      <a:avLst/>
                    </a:prstGeom>
                    <a:ln/>
                  </pic:spPr>
                </pic:pic>
              </a:graphicData>
            </a:graphic>
          </wp:inline>
        </w:drawing>
      </w:r>
    </w:p>
    <w:p w14:paraId="53C30503" w14:textId="77777777" w:rsidR="00D92822" w:rsidRDefault="00000000">
      <w:pPr>
        <w:spacing w:before="180" w:after="180"/>
        <w:jc w:val="center"/>
        <w:rPr>
          <w:b/>
          <w:sz w:val="32"/>
          <w:szCs w:val="32"/>
        </w:rPr>
      </w:pPr>
      <w:r>
        <w:rPr>
          <w:b/>
          <w:sz w:val="32"/>
          <w:szCs w:val="32"/>
        </w:rPr>
        <w:t>Student Name: Henri William</w:t>
      </w:r>
    </w:p>
    <w:p w14:paraId="7BA41708" w14:textId="77777777" w:rsidR="00D92822" w:rsidRDefault="00000000">
      <w:pPr>
        <w:spacing w:before="180" w:after="180"/>
        <w:jc w:val="center"/>
        <w:rPr>
          <w:b/>
          <w:sz w:val="32"/>
          <w:szCs w:val="32"/>
        </w:rPr>
      </w:pPr>
      <w:r>
        <w:rPr>
          <w:b/>
          <w:sz w:val="32"/>
          <w:szCs w:val="32"/>
        </w:rPr>
        <w:t xml:space="preserve"> </w:t>
      </w:r>
    </w:p>
    <w:p w14:paraId="61149107" w14:textId="5B10BDE7" w:rsidR="00D92822" w:rsidRDefault="00000000">
      <w:pPr>
        <w:spacing w:before="180" w:after="180"/>
        <w:jc w:val="center"/>
        <w:rPr>
          <w:b/>
          <w:sz w:val="32"/>
          <w:szCs w:val="32"/>
        </w:rPr>
      </w:pPr>
      <w:r>
        <w:rPr>
          <w:b/>
          <w:sz w:val="32"/>
          <w:szCs w:val="32"/>
        </w:rPr>
        <w:t>Student ID:</w:t>
      </w:r>
      <w:r w:rsidR="000156DF">
        <w:rPr>
          <w:b/>
          <w:sz w:val="32"/>
          <w:szCs w:val="32"/>
        </w:rPr>
        <w:t>2115861</w:t>
      </w:r>
    </w:p>
    <w:p w14:paraId="6D0CB4F3" w14:textId="77777777" w:rsidR="00D92822" w:rsidRDefault="00000000">
      <w:pPr>
        <w:spacing w:before="180" w:after="180"/>
        <w:jc w:val="center"/>
        <w:rPr>
          <w:sz w:val="32"/>
          <w:szCs w:val="32"/>
        </w:rPr>
      </w:pPr>
      <w:r>
        <w:rPr>
          <w:sz w:val="32"/>
          <w:szCs w:val="32"/>
        </w:rPr>
        <w:t xml:space="preserve"> </w:t>
      </w:r>
    </w:p>
    <w:p w14:paraId="1B86AE57" w14:textId="77777777" w:rsidR="00D92822" w:rsidRDefault="00000000">
      <w:pPr>
        <w:spacing w:before="180" w:after="180"/>
        <w:jc w:val="center"/>
        <w:rPr>
          <w:b/>
          <w:sz w:val="32"/>
          <w:szCs w:val="32"/>
        </w:rPr>
      </w:pPr>
      <w:r>
        <w:rPr>
          <w:b/>
          <w:sz w:val="32"/>
          <w:szCs w:val="32"/>
        </w:rPr>
        <w:t>Module Name: Marketing Management</w:t>
      </w:r>
    </w:p>
    <w:p w14:paraId="18DAEDFD" w14:textId="77777777" w:rsidR="00D92822" w:rsidRDefault="00000000">
      <w:pPr>
        <w:spacing w:before="180" w:after="180"/>
        <w:jc w:val="center"/>
        <w:rPr>
          <w:b/>
          <w:sz w:val="32"/>
          <w:szCs w:val="32"/>
        </w:rPr>
      </w:pPr>
      <w:r>
        <w:rPr>
          <w:b/>
          <w:sz w:val="32"/>
          <w:szCs w:val="32"/>
        </w:rPr>
        <w:t xml:space="preserve"> </w:t>
      </w:r>
    </w:p>
    <w:p w14:paraId="21E8C719" w14:textId="77777777" w:rsidR="00D92822" w:rsidRDefault="00000000">
      <w:pPr>
        <w:spacing w:before="180" w:after="180"/>
        <w:jc w:val="center"/>
        <w:rPr>
          <w:b/>
          <w:sz w:val="32"/>
          <w:szCs w:val="32"/>
        </w:rPr>
      </w:pPr>
      <w:r>
        <w:rPr>
          <w:b/>
          <w:sz w:val="32"/>
          <w:szCs w:val="32"/>
        </w:rPr>
        <w:t>Module Code: LCMB7024</w:t>
      </w:r>
    </w:p>
    <w:p w14:paraId="7A2AC8CB" w14:textId="77777777" w:rsidR="00D92822" w:rsidRDefault="00000000">
      <w:pPr>
        <w:spacing w:before="180" w:after="180"/>
        <w:jc w:val="center"/>
        <w:rPr>
          <w:b/>
          <w:sz w:val="32"/>
          <w:szCs w:val="32"/>
        </w:rPr>
      </w:pPr>
      <w:r>
        <w:rPr>
          <w:b/>
          <w:sz w:val="32"/>
          <w:szCs w:val="32"/>
        </w:rPr>
        <w:t xml:space="preserve"> </w:t>
      </w:r>
    </w:p>
    <w:p w14:paraId="56661539" w14:textId="77777777" w:rsidR="00D92822" w:rsidRDefault="00000000">
      <w:pPr>
        <w:spacing w:before="180" w:after="180"/>
        <w:jc w:val="center"/>
        <w:rPr>
          <w:b/>
          <w:sz w:val="32"/>
          <w:szCs w:val="32"/>
        </w:rPr>
      </w:pPr>
      <w:r>
        <w:rPr>
          <w:b/>
          <w:sz w:val="32"/>
          <w:szCs w:val="32"/>
        </w:rPr>
        <w:t>Lecturer’s Name: Dr Laila Maazouz</w:t>
      </w:r>
    </w:p>
    <w:p w14:paraId="254900C1" w14:textId="77777777" w:rsidR="00D92822" w:rsidRDefault="00000000">
      <w:pPr>
        <w:spacing w:before="180" w:after="180"/>
        <w:jc w:val="center"/>
        <w:rPr>
          <w:b/>
          <w:sz w:val="32"/>
          <w:szCs w:val="32"/>
        </w:rPr>
      </w:pPr>
      <w:r>
        <w:rPr>
          <w:b/>
          <w:sz w:val="32"/>
          <w:szCs w:val="32"/>
        </w:rPr>
        <w:t xml:space="preserve"> </w:t>
      </w:r>
    </w:p>
    <w:p w14:paraId="7CAEA5CE" w14:textId="7BE6A3BD" w:rsidR="00D92822" w:rsidRDefault="00000000">
      <w:pPr>
        <w:spacing w:before="180" w:after="180"/>
        <w:jc w:val="center"/>
        <w:rPr>
          <w:b/>
          <w:sz w:val="32"/>
          <w:szCs w:val="32"/>
        </w:rPr>
      </w:pPr>
      <w:r>
        <w:rPr>
          <w:b/>
          <w:sz w:val="32"/>
          <w:szCs w:val="32"/>
        </w:rPr>
        <w:t>Work Count:</w:t>
      </w:r>
      <w:r w:rsidR="00727C9D">
        <w:rPr>
          <w:b/>
          <w:sz w:val="32"/>
          <w:szCs w:val="32"/>
        </w:rPr>
        <w:t>2500</w:t>
      </w:r>
    </w:p>
    <w:p w14:paraId="531BCACB" w14:textId="77777777" w:rsidR="00D92822" w:rsidRDefault="00000000">
      <w:pPr>
        <w:spacing w:before="180" w:after="180"/>
        <w:jc w:val="center"/>
        <w:rPr>
          <w:b/>
          <w:sz w:val="32"/>
          <w:szCs w:val="32"/>
        </w:rPr>
      </w:pPr>
      <w:r>
        <w:rPr>
          <w:b/>
          <w:sz w:val="32"/>
          <w:szCs w:val="32"/>
        </w:rPr>
        <w:t xml:space="preserve"> </w:t>
      </w:r>
    </w:p>
    <w:p w14:paraId="6C3FAA6E" w14:textId="77777777" w:rsidR="00D92822" w:rsidRDefault="00000000">
      <w:pPr>
        <w:spacing w:before="180" w:after="180"/>
        <w:jc w:val="center"/>
        <w:rPr>
          <w:sz w:val="28"/>
          <w:szCs w:val="28"/>
        </w:rPr>
      </w:pPr>
      <w:r>
        <w:rPr>
          <w:b/>
          <w:sz w:val="32"/>
          <w:szCs w:val="32"/>
        </w:rPr>
        <w:lastRenderedPageBreak/>
        <w:t>Term 1</w:t>
      </w:r>
    </w:p>
    <w:p w14:paraId="617A323F" w14:textId="77777777" w:rsidR="00D92822" w:rsidRDefault="00000000">
      <w:pPr>
        <w:spacing w:before="180" w:after="180"/>
        <w:jc w:val="center"/>
        <w:rPr>
          <w:b/>
        </w:rPr>
      </w:pPr>
      <w:r>
        <w:br w:type="page"/>
      </w:r>
    </w:p>
    <w:p w14:paraId="27E6977F" w14:textId="77777777" w:rsidR="00D92822" w:rsidRDefault="00000000">
      <w:pPr>
        <w:spacing w:before="180" w:after="180"/>
        <w:jc w:val="center"/>
        <w:rPr>
          <w:b/>
        </w:rPr>
      </w:pPr>
      <w:r>
        <w:rPr>
          <w:b/>
        </w:rPr>
        <w:lastRenderedPageBreak/>
        <w:t>Table of Contents</w:t>
      </w:r>
    </w:p>
    <w:sdt>
      <w:sdtPr>
        <w:id w:val="-195844243"/>
        <w:docPartObj>
          <w:docPartGallery w:val="Table of Contents"/>
          <w:docPartUnique/>
        </w:docPartObj>
      </w:sdtPr>
      <w:sdtContent>
        <w:p w14:paraId="544E993C" w14:textId="77777777" w:rsidR="00D92822" w:rsidRDefault="00000000">
          <w:pPr>
            <w:widowControl w:val="0"/>
            <w:tabs>
              <w:tab w:val="right" w:pos="9025"/>
            </w:tabs>
            <w:spacing w:before="60" w:after="0"/>
            <w:jc w:val="left"/>
            <w:rPr>
              <w:color w:val="000000"/>
            </w:rPr>
          </w:pPr>
          <w:r>
            <w:fldChar w:fldCharType="begin"/>
          </w:r>
          <w:r>
            <w:instrText xml:space="preserve"> TOC \h \u \z \t "Heading 1,1,Heading 2,2,Heading 3,3,Heading 4,4,Heading 5,5,Heading 6,6,"</w:instrText>
          </w:r>
          <w:r>
            <w:fldChar w:fldCharType="separate"/>
          </w:r>
          <w:hyperlink w:anchor="_heading=h.bpjzq9j0loqx">
            <w:r w:rsidR="00D92822">
              <w:rPr>
                <w:color w:val="000000"/>
              </w:rPr>
              <w:t>1. Introduction</w:t>
            </w:r>
            <w:r w:rsidR="00D92822">
              <w:rPr>
                <w:color w:val="000000"/>
              </w:rPr>
              <w:tab/>
            </w:r>
          </w:hyperlink>
          <w:r>
            <w:fldChar w:fldCharType="begin"/>
          </w:r>
          <w:r>
            <w:instrText xml:space="preserve"> PAGEREF _heading=h.bpjzq9j0loqx \h </w:instrText>
          </w:r>
          <w:r>
            <w:fldChar w:fldCharType="separate"/>
          </w:r>
          <w:r>
            <w:t>3</w:t>
          </w:r>
          <w:hyperlink w:anchor="_heading=h.bpjzq9j0loqx" w:history="1"/>
        </w:p>
        <w:p w14:paraId="6659722E" w14:textId="77777777" w:rsidR="00D92822" w:rsidRDefault="00000000">
          <w:pPr>
            <w:widowControl w:val="0"/>
            <w:tabs>
              <w:tab w:val="right" w:pos="9025"/>
            </w:tabs>
            <w:spacing w:before="60" w:after="0"/>
            <w:jc w:val="left"/>
            <w:rPr>
              <w:color w:val="000000"/>
            </w:rPr>
          </w:pPr>
          <w:r>
            <w:fldChar w:fldCharType="end"/>
          </w:r>
          <w:hyperlink w:anchor="_heading=h.f9fsn9eu2amk">
            <w:r w:rsidR="00D92822">
              <w:rPr>
                <w:color w:val="000000"/>
              </w:rPr>
              <w:t>2. Task 1: Critical Analysis of the Macro Marketing Environment</w:t>
            </w:r>
            <w:r w:rsidR="00D92822">
              <w:rPr>
                <w:color w:val="000000"/>
              </w:rPr>
              <w:tab/>
            </w:r>
          </w:hyperlink>
          <w:r>
            <w:fldChar w:fldCharType="begin"/>
          </w:r>
          <w:r>
            <w:instrText xml:space="preserve"> PAGEREF _heading=h.f9fsn9eu2amk \h </w:instrText>
          </w:r>
          <w:r>
            <w:fldChar w:fldCharType="separate"/>
          </w:r>
          <w:r>
            <w:t>4</w:t>
          </w:r>
          <w:hyperlink w:anchor="_heading=h.f9fsn9eu2amk" w:history="1"/>
        </w:p>
        <w:p w14:paraId="107E3152" w14:textId="77777777" w:rsidR="00D92822" w:rsidRDefault="00000000">
          <w:pPr>
            <w:widowControl w:val="0"/>
            <w:tabs>
              <w:tab w:val="right" w:pos="9025"/>
            </w:tabs>
            <w:spacing w:before="60" w:after="0"/>
            <w:ind w:left="360"/>
            <w:jc w:val="left"/>
            <w:rPr>
              <w:color w:val="000000"/>
            </w:rPr>
          </w:pPr>
          <w:r>
            <w:fldChar w:fldCharType="end"/>
          </w:r>
          <w:hyperlink w:anchor="_heading=h.mrxk1lngpqhq">
            <w:r w:rsidR="00D92822">
              <w:rPr>
                <w:color w:val="000000"/>
              </w:rPr>
              <w:t>2.1 Overview of the Macro Marketing Environment</w:t>
            </w:r>
            <w:r w:rsidR="00D92822">
              <w:rPr>
                <w:color w:val="000000"/>
              </w:rPr>
              <w:tab/>
            </w:r>
          </w:hyperlink>
          <w:r>
            <w:fldChar w:fldCharType="begin"/>
          </w:r>
          <w:r>
            <w:instrText xml:space="preserve"> PAGEREF _heading=h.mrxk1lngpqhq \h </w:instrText>
          </w:r>
          <w:r>
            <w:fldChar w:fldCharType="separate"/>
          </w:r>
          <w:r>
            <w:t>4</w:t>
          </w:r>
          <w:hyperlink w:anchor="_heading=h.mrxk1lngpqhq" w:history="1"/>
        </w:p>
        <w:p w14:paraId="5436CBC3" w14:textId="77777777" w:rsidR="00D92822" w:rsidRDefault="00000000">
          <w:pPr>
            <w:widowControl w:val="0"/>
            <w:tabs>
              <w:tab w:val="right" w:pos="9025"/>
            </w:tabs>
            <w:spacing w:before="60" w:after="0"/>
            <w:ind w:left="360"/>
            <w:jc w:val="left"/>
            <w:rPr>
              <w:color w:val="000000"/>
            </w:rPr>
          </w:pPr>
          <w:r>
            <w:fldChar w:fldCharType="end"/>
          </w:r>
          <w:hyperlink w:anchor="_heading=h.d34vs3f7zexy">
            <w:r w:rsidR="00D92822">
              <w:rPr>
                <w:color w:val="000000"/>
              </w:rPr>
              <w:t>2.2 Selection of Two External Macro Marketing Actors</w:t>
            </w:r>
            <w:r w:rsidR="00D92822">
              <w:rPr>
                <w:color w:val="000000"/>
              </w:rPr>
              <w:tab/>
            </w:r>
          </w:hyperlink>
          <w:r>
            <w:fldChar w:fldCharType="begin"/>
          </w:r>
          <w:r>
            <w:instrText xml:space="preserve"> PAGEREF _heading=h.d34vs3f7zexy \h </w:instrText>
          </w:r>
          <w:r>
            <w:fldChar w:fldCharType="separate"/>
          </w:r>
          <w:r>
            <w:t>4</w:t>
          </w:r>
          <w:hyperlink w:anchor="_heading=h.d34vs3f7zexy" w:history="1"/>
        </w:p>
        <w:p w14:paraId="5533E1CA" w14:textId="77777777" w:rsidR="00D92822" w:rsidRDefault="00000000">
          <w:pPr>
            <w:widowControl w:val="0"/>
            <w:tabs>
              <w:tab w:val="right" w:pos="9025"/>
            </w:tabs>
            <w:spacing w:before="60" w:after="0"/>
            <w:ind w:left="360"/>
            <w:jc w:val="left"/>
            <w:rPr>
              <w:color w:val="000000"/>
            </w:rPr>
          </w:pPr>
          <w:r>
            <w:fldChar w:fldCharType="end"/>
          </w:r>
          <w:hyperlink w:anchor="_heading=h.412ipfdataz1">
            <w:r w:rsidR="00D92822">
              <w:rPr>
                <w:color w:val="000000"/>
              </w:rPr>
              <w:t>2.3 Critical Analysis of Each Actor</w:t>
            </w:r>
            <w:r w:rsidR="00D92822">
              <w:rPr>
                <w:color w:val="000000"/>
              </w:rPr>
              <w:tab/>
            </w:r>
          </w:hyperlink>
          <w:r>
            <w:fldChar w:fldCharType="begin"/>
          </w:r>
          <w:r>
            <w:instrText xml:space="preserve"> PAGEREF _heading=h.412ipfdataz1 \h </w:instrText>
          </w:r>
          <w:r>
            <w:fldChar w:fldCharType="separate"/>
          </w:r>
          <w:r>
            <w:t>5</w:t>
          </w:r>
          <w:hyperlink w:anchor="_heading=h.412ipfdataz1" w:history="1"/>
        </w:p>
        <w:p w14:paraId="4269D614" w14:textId="77777777" w:rsidR="00D92822" w:rsidRDefault="00000000">
          <w:pPr>
            <w:widowControl w:val="0"/>
            <w:tabs>
              <w:tab w:val="right" w:pos="9025"/>
            </w:tabs>
            <w:spacing w:before="60" w:after="0"/>
            <w:jc w:val="left"/>
            <w:rPr>
              <w:color w:val="000000"/>
            </w:rPr>
          </w:pPr>
          <w:r>
            <w:fldChar w:fldCharType="end"/>
          </w:r>
          <w:hyperlink w:anchor="_heading=h.30vp1ktcjx5t">
            <w:r w:rsidR="00D92822">
              <w:rPr>
                <w:color w:val="000000"/>
              </w:rPr>
              <w:t>3. Task 2: Strategic Responses of Pioneering and Follower Organisations</w:t>
            </w:r>
            <w:r w:rsidR="00D92822">
              <w:rPr>
                <w:color w:val="000000"/>
              </w:rPr>
              <w:tab/>
            </w:r>
          </w:hyperlink>
          <w:r>
            <w:fldChar w:fldCharType="begin"/>
          </w:r>
          <w:r>
            <w:instrText xml:space="preserve"> PAGEREF _heading=h.30vp1ktcjx5t \h </w:instrText>
          </w:r>
          <w:r>
            <w:fldChar w:fldCharType="separate"/>
          </w:r>
          <w:r>
            <w:t>7</w:t>
          </w:r>
          <w:hyperlink w:anchor="_heading=h.30vp1ktcjx5t" w:history="1"/>
        </w:p>
        <w:p w14:paraId="714692FB" w14:textId="77777777" w:rsidR="00D92822" w:rsidRDefault="00000000">
          <w:pPr>
            <w:widowControl w:val="0"/>
            <w:tabs>
              <w:tab w:val="right" w:pos="9025"/>
            </w:tabs>
            <w:spacing w:before="60" w:after="0"/>
            <w:ind w:left="360"/>
            <w:jc w:val="left"/>
            <w:rPr>
              <w:color w:val="000000"/>
            </w:rPr>
          </w:pPr>
          <w:r>
            <w:fldChar w:fldCharType="end"/>
          </w:r>
          <w:hyperlink w:anchor="_heading=h.vsx48v2di4ge">
            <w:r w:rsidR="00D92822">
              <w:rPr>
                <w:color w:val="000000"/>
              </w:rPr>
              <w:t>3.1 Pioneering Organisations’ Strategic Responses</w:t>
            </w:r>
            <w:r w:rsidR="00D92822">
              <w:rPr>
                <w:color w:val="000000"/>
              </w:rPr>
              <w:tab/>
            </w:r>
          </w:hyperlink>
          <w:r>
            <w:fldChar w:fldCharType="begin"/>
          </w:r>
          <w:r>
            <w:instrText xml:space="preserve"> PAGEREF _heading=h.vsx48v2di4ge \h </w:instrText>
          </w:r>
          <w:r>
            <w:fldChar w:fldCharType="separate"/>
          </w:r>
          <w:r>
            <w:t>7</w:t>
          </w:r>
          <w:hyperlink w:anchor="_heading=h.vsx48v2di4ge" w:history="1"/>
        </w:p>
        <w:p w14:paraId="3B819F98" w14:textId="77777777" w:rsidR="00D92822" w:rsidRDefault="00000000">
          <w:pPr>
            <w:widowControl w:val="0"/>
            <w:tabs>
              <w:tab w:val="right" w:pos="9025"/>
            </w:tabs>
            <w:spacing w:before="60" w:after="0"/>
            <w:ind w:left="360"/>
            <w:jc w:val="left"/>
            <w:rPr>
              <w:color w:val="000000"/>
            </w:rPr>
          </w:pPr>
          <w:r>
            <w:fldChar w:fldCharType="end"/>
          </w:r>
          <w:hyperlink w:anchor="_heading=h.vybuh9tmlu7z">
            <w:r w:rsidR="00D92822">
              <w:rPr>
                <w:color w:val="000000"/>
              </w:rPr>
              <w:t>3.3 Follower Organisations’ Strategic Responses</w:t>
            </w:r>
            <w:r w:rsidR="00D92822">
              <w:rPr>
                <w:color w:val="000000"/>
              </w:rPr>
              <w:tab/>
            </w:r>
          </w:hyperlink>
          <w:r>
            <w:fldChar w:fldCharType="begin"/>
          </w:r>
          <w:r>
            <w:instrText xml:space="preserve"> PAGEREF _heading=h.vybuh9tmlu7z \h </w:instrText>
          </w:r>
          <w:r>
            <w:fldChar w:fldCharType="separate"/>
          </w:r>
          <w:r>
            <w:t>8</w:t>
          </w:r>
          <w:hyperlink w:anchor="_heading=h.vybuh9tmlu7z" w:history="1"/>
        </w:p>
        <w:p w14:paraId="76D46029" w14:textId="77777777" w:rsidR="00D92822" w:rsidRDefault="00000000">
          <w:pPr>
            <w:widowControl w:val="0"/>
            <w:tabs>
              <w:tab w:val="right" w:pos="9025"/>
            </w:tabs>
            <w:spacing w:before="60" w:after="0"/>
            <w:ind w:left="360"/>
            <w:jc w:val="left"/>
            <w:rPr>
              <w:color w:val="000000"/>
            </w:rPr>
          </w:pPr>
          <w:r>
            <w:fldChar w:fldCharType="end"/>
          </w:r>
          <w:hyperlink w:anchor="_heading=h.s11izsut84wl">
            <w:r w:rsidR="00D92822">
              <w:rPr>
                <w:color w:val="000000"/>
              </w:rPr>
              <w:t>3.3 Comparative Strategic Implications</w:t>
            </w:r>
            <w:r w:rsidR="00D92822">
              <w:rPr>
                <w:color w:val="000000"/>
              </w:rPr>
              <w:tab/>
            </w:r>
          </w:hyperlink>
          <w:r>
            <w:fldChar w:fldCharType="begin"/>
          </w:r>
          <w:r>
            <w:instrText xml:space="preserve"> PAGEREF _heading=h.s11izsut84wl \h </w:instrText>
          </w:r>
          <w:r>
            <w:fldChar w:fldCharType="separate"/>
          </w:r>
          <w:r>
            <w:t>10</w:t>
          </w:r>
          <w:hyperlink w:anchor="_heading=h.s11izsut84wl" w:history="1"/>
        </w:p>
        <w:p w14:paraId="4C79EBD8" w14:textId="77777777" w:rsidR="00D92822" w:rsidRDefault="00000000">
          <w:pPr>
            <w:widowControl w:val="0"/>
            <w:tabs>
              <w:tab w:val="right" w:pos="9025"/>
            </w:tabs>
            <w:spacing w:before="60" w:after="0"/>
            <w:jc w:val="left"/>
            <w:rPr>
              <w:color w:val="000000"/>
            </w:rPr>
          </w:pPr>
          <w:r>
            <w:fldChar w:fldCharType="end"/>
          </w:r>
          <w:hyperlink w:anchor="_heading=h.wuy2hwplzy2d">
            <w:r w:rsidR="00D92822">
              <w:rPr>
                <w:color w:val="000000"/>
              </w:rPr>
              <w:t>4. Conclusion</w:t>
            </w:r>
            <w:r w:rsidR="00D92822">
              <w:rPr>
                <w:color w:val="000000"/>
              </w:rPr>
              <w:tab/>
            </w:r>
          </w:hyperlink>
          <w:r>
            <w:fldChar w:fldCharType="begin"/>
          </w:r>
          <w:r>
            <w:instrText xml:space="preserve"> PAGEREF _heading=h.wuy2hwplzy2d \h </w:instrText>
          </w:r>
          <w:r>
            <w:fldChar w:fldCharType="separate"/>
          </w:r>
          <w:r>
            <w:t>12</w:t>
          </w:r>
          <w:hyperlink w:anchor="_heading=h.wuy2hwplzy2d" w:history="1"/>
        </w:p>
        <w:p w14:paraId="7C59AD7C" w14:textId="77777777" w:rsidR="00D92822" w:rsidRDefault="00000000">
          <w:pPr>
            <w:widowControl w:val="0"/>
            <w:tabs>
              <w:tab w:val="right" w:pos="9025"/>
            </w:tabs>
            <w:spacing w:before="60" w:after="0"/>
            <w:jc w:val="left"/>
            <w:rPr>
              <w:color w:val="000000"/>
            </w:rPr>
          </w:pPr>
          <w:r>
            <w:fldChar w:fldCharType="end"/>
          </w:r>
          <w:hyperlink w:anchor="_heading=h.nqo3wboqirk3">
            <w:r w:rsidR="00D92822">
              <w:rPr>
                <w:color w:val="000000"/>
              </w:rPr>
              <w:t>5. References</w:t>
            </w:r>
            <w:r w:rsidR="00D92822">
              <w:rPr>
                <w:color w:val="000000"/>
              </w:rPr>
              <w:tab/>
            </w:r>
          </w:hyperlink>
          <w:r>
            <w:fldChar w:fldCharType="begin"/>
          </w:r>
          <w:r>
            <w:instrText xml:space="preserve"> PAGEREF _heading=h.nqo3wboqirk3 \h </w:instrText>
          </w:r>
          <w:r>
            <w:fldChar w:fldCharType="separate"/>
          </w:r>
          <w:r>
            <w:t>13</w:t>
          </w:r>
          <w:r>
            <w:fldChar w:fldCharType="end"/>
          </w:r>
          <w:r>
            <w:fldChar w:fldCharType="end"/>
          </w:r>
        </w:p>
      </w:sdtContent>
    </w:sdt>
    <w:p w14:paraId="17615D18" w14:textId="77777777" w:rsidR="00D92822" w:rsidRDefault="00000000">
      <w:pPr>
        <w:spacing w:before="180" w:after="180"/>
      </w:pPr>
      <w:r>
        <w:br w:type="page"/>
      </w:r>
    </w:p>
    <w:p w14:paraId="0D3D1CB1" w14:textId="77777777" w:rsidR="00D92822" w:rsidRDefault="00000000">
      <w:pPr>
        <w:pStyle w:val="Heading1"/>
      </w:pPr>
      <w:bookmarkStart w:id="0" w:name="_heading=h.bpjzq9j0loqx" w:colFirst="0" w:colLast="0"/>
      <w:bookmarkStart w:id="1" w:name="_Hlk213620680"/>
      <w:bookmarkEnd w:id="0"/>
      <w:r>
        <w:lastRenderedPageBreak/>
        <w:t>1. Introduction</w:t>
      </w:r>
    </w:p>
    <w:p w14:paraId="7C8263E6" w14:textId="77777777" w:rsidR="00D92822" w:rsidRDefault="00000000">
      <w:pPr>
        <w:spacing w:before="180" w:after="180"/>
      </w:pPr>
      <w:r>
        <w:t>The report looks at the influence of the macro-environmental forces on strategic marketing choices in the worldwide technology sector, specifically in the case of pioneer organisation Apple and follower companies Xiaomi and Samsung. Environments scanning is strategic to marketing management since external forces, such as political, economic, social, technological, environmental and legal (PESTEL) forces, have the potential to dramatically shift demand, competitive forces and regulatory limitations in technology markets (Oxford College of Marketing, 2016). The technology sector is defined by faster innovation cycles and high levels of R&amp;D spending and pressure on sustainability and data-governance; these aspects render an explicit macro-level analysis a key to an effective marketing strategy (Kotler and Keller, 2021; McKinsey, 2024).</w:t>
      </w:r>
    </w:p>
    <w:p w14:paraId="313F7833" w14:textId="77777777" w:rsidR="00D92822" w:rsidRDefault="00000000">
      <w:pPr>
        <w:spacing w:before="180" w:after="180"/>
      </w:pPr>
      <w:r>
        <w:t xml:space="preserve">Task 1 examines two chosen macro actors (technological and environmental) and reviews how their present impact can present unique opportunities and threats to pioneers and followers. Task 2 uses the strategic frameworks of the Growth Matrix by Ansoff and both the Generic Strategies of Porter to evaluate how pioneers (Apple) and the followers (Xiaomi/Samsung) react to these external pressures by means of product, market and positioning decisions. The report ends with the summary of strategic implications and the necessity of constant environmental scanning </w:t>
      </w:r>
      <w:proofErr w:type="gramStart"/>
      <w:r>
        <w:t>in order to</w:t>
      </w:r>
      <w:proofErr w:type="gramEnd"/>
      <w:r>
        <w:t xml:space="preserve"> respond to the changes in the fast-altering technology industry through adaptive marketing (Porter, 2008; Apple, 2023).</w:t>
      </w:r>
    </w:p>
    <w:p w14:paraId="6AF309ED" w14:textId="77777777" w:rsidR="00D92822" w:rsidRDefault="00000000">
      <w:pPr>
        <w:pStyle w:val="Heading1"/>
      </w:pPr>
      <w:bookmarkStart w:id="2" w:name="_heading=h.q6undvnnt6nl" w:colFirst="0" w:colLast="0"/>
      <w:bookmarkEnd w:id="1"/>
      <w:bookmarkEnd w:id="2"/>
      <w:r>
        <w:br w:type="page"/>
      </w:r>
    </w:p>
    <w:p w14:paraId="08D0BB4B" w14:textId="77777777" w:rsidR="00D92822" w:rsidRDefault="00000000">
      <w:pPr>
        <w:pStyle w:val="Heading1"/>
      </w:pPr>
      <w:bookmarkStart w:id="3" w:name="_heading=h.f9fsn9eu2amk" w:colFirst="0" w:colLast="0"/>
      <w:bookmarkEnd w:id="3"/>
      <w:r>
        <w:lastRenderedPageBreak/>
        <w:t>2. Task 1: Critical Analysis of the Macro Marketing Environment</w:t>
      </w:r>
    </w:p>
    <w:p w14:paraId="4AADD8D4" w14:textId="77777777" w:rsidR="00D92822" w:rsidRDefault="00000000">
      <w:pPr>
        <w:pStyle w:val="Heading2"/>
      </w:pPr>
      <w:bookmarkStart w:id="4" w:name="_heading=h.mrxk1lngpqhq" w:colFirst="0" w:colLast="0"/>
      <w:bookmarkEnd w:id="4"/>
      <w:r>
        <w:t>2.</w:t>
      </w:r>
      <w:bookmarkStart w:id="5" w:name="_Hlk213620873"/>
      <w:r>
        <w:t>1 Overview of the Macro Marketing Environment</w:t>
      </w:r>
    </w:p>
    <w:p w14:paraId="40B2B196" w14:textId="77777777" w:rsidR="00443640" w:rsidRDefault="00000000">
      <w:pPr>
        <w:spacing w:before="180" w:after="180"/>
      </w:pPr>
      <w:r>
        <w:t>The macro marketing environment includes the general external influences that affect the marketing strategy of an organisation and impacts the demand, competition, regulatory and consumer behaviour (</w:t>
      </w:r>
      <w:proofErr w:type="spellStart"/>
      <w:r>
        <w:t>LibGuides</w:t>
      </w:r>
      <w:proofErr w:type="spellEnd"/>
      <w:r>
        <w:t xml:space="preserve">, 2024). The most common strategic marketing management tools are the PESTEL (Political, Economic, Social, Technological, Environmental, Legal) framework that is used to identify and track these forces and, therefore, assist decision-making concerning seizing opportunities and mitigating threats (Oxford College of Marketing, 2016; </w:t>
      </w:r>
      <w:proofErr w:type="spellStart"/>
      <w:r>
        <w:t>TimesPro</w:t>
      </w:r>
      <w:proofErr w:type="spellEnd"/>
      <w:r>
        <w:t xml:space="preserve">, 2024). Macro-environmental scanning is of particular importance in the technology sector that is highly innovative and exhibits a global supply chain, data-intensive operations, and high capital investment. </w:t>
      </w:r>
    </w:p>
    <w:p w14:paraId="0A6419C8" w14:textId="4727108C" w:rsidR="00D92822" w:rsidRDefault="00000000">
      <w:pPr>
        <w:spacing w:before="180" w:after="180"/>
      </w:pPr>
      <w:r>
        <w:t>Marketing art in this industry therefore must go beyond product and promotion choice, to proactive reaction to macro-trends (Porter, 2008). The further analysis, therefore, is based on the choice of two key macro-actors technological and environmental and their strategic implications to pioneering and follower organisations in the worldwide technology market.</w:t>
      </w:r>
    </w:p>
    <w:p w14:paraId="3D3DBC30" w14:textId="77777777" w:rsidR="00D92822" w:rsidRDefault="00000000">
      <w:pPr>
        <w:pStyle w:val="Heading2"/>
      </w:pPr>
      <w:bookmarkStart w:id="6" w:name="_heading=h.d34vs3f7zexy" w:colFirst="0" w:colLast="0"/>
      <w:bookmarkEnd w:id="5"/>
      <w:bookmarkEnd w:id="6"/>
      <w:r>
        <w:t>2.2 Selection of Two External Macro Marketing Actors</w:t>
      </w:r>
    </w:p>
    <w:p w14:paraId="04694F90" w14:textId="77777777" w:rsidR="00D92822" w:rsidRDefault="00000000">
      <w:pPr>
        <w:spacing w:before="180" w:after="180"/>
      </w:pPr>
      <w:r>
        <w:t>Within the macro-actors of the international technological industry, two external macro-actors worth mentioning include technological change (T) and environmental / sustainability pressure (E).</w:t>
      </w:r>
    </w:p>
    <w:p w14:paraId="571DFDC9" w14:textId="77777777" w:rsidR="00D92822" w:rsidRDefault="00000000">
      <w:pPr>
        <w:spacing w:before="180" w:after="180"/>
      </w:pPr>
      <w:r>
        <w:t xml:space="preserve">First, the technological player is selected </w:t>
      </w:r>
      <w:proofErr w:type="gramStart"/>
      <w:r>
        <w:t>due to the fact that</w:t>
      </w:r>
      <w:proofErr w:type="gramEnd"/>
      <w:r>
        <w:t xml:space="preserve"> the technological industry is inherently premised on the fast pace of innovation (AI, edge computing, IoT, semiconductor design) that influences the market dynamics, cost basis, product life cycle and competitive positioning (McKinsey, 2024). In the case of a company like Apple (innovator) or Samsung/Xiaomi (copies), the rate of technological evolution directly affects the marketing strategy: the development of the product, brand positioning, segmentation, and the time when the product enters the market.</w:t>
      </w:r>
    </w:p>
    <w:p w14:paraId="349DE3E2" w14:textId="77777777" w:rsidR="00D92822" w:rsidRDefault="00000000">
      <w:pPr>
        <w:spacing w:before="180" w:after="180"/>
      </w:pPr>
      <w:r>
        <w:t xml:space="preserve">Secondly, the environmental macro-actor is chosen due to the increasing influence of the growing regulation, stakeholder pressure regarding carbon emissions, e-waste, </w:t>
      </w:r>
      <w:r>
        <w:lastRenderedPageBreak/>
        <w:t>circular economy and sustainable supply chains on the marketing, operations, and brand image of technology firms (Lombardo, 2025; Samsung, 2024). This actor poses limitations as well as opportunities, especially in the context of consumer-electronics companies that have been pressured in the world to minimise their environmental footprint. The two actors are very applicable to the selected industry during this time-horizon (2024-25) and could be used to compare the opportunities and threats experienced by pioneers and followers.</w:t>
      </w:r>
    </w:p>
    <w:p w14:paraId="283C231B" w14:textId="77777777" w:rsidR="00D92822" w:rsidRDefault="00000000">
      <w:pPr>
        <w:pStyle w:val="Heading2"/>
        <w:keepNext w:val="0"/>
        <w:keepLines w:val="0"/>
        <w:spacing w:before="180" w:after="180"/>
      </w:pPr>
      <w:bookmarkStart w:id="7" w:name="_heading=h.412ipfdataz1" w:colFirst="0" w:colLast="0"/>
      <w:bookmarkEnd w:id="7"/>
      <w:r>
        <w:t>2.3 Critical Analysis of Each Actor</w:t>
      </w:r>
    </w:p>
    <w:p w14:paraId="261B79A8" w14:textId="77777777" w:rsidR="00D92822" w:rsidRDefault="00000000">
      <w:pPr>
        <w:spacing w:before="180" w:after="180"/>
        <w:rPr>
          <w:b/>
        </w:rPr>
      </w:pPr>
      <w:r>
        <w:rPr>
          <w:b/>
        </w:rPr>
        <w:t>Technological Actor</w:t>
      </w:r>
    </w:p>
    <w:p w14:paraId="0716FA60" w14:textId="77777777" w:rsidR="00D92822" w:rsidRDefault="00000000">
      <w:pPr>
        <w:spacing w:before="180" w:after="180"/>
      </w:pPr>
      <w:r>
        <w:t>The competitive landscape of the technology sector is changing because of the acceleration of the digital evolution, adoption of AI, scarcity of semiconductors and 5G/6G implementation. The Technology Trends Outlook 2024 by McKinsey notes that companies are being pressured to invest more in cloud, AI/ML and semiconductors despite decreased revenue growth and cost standards (McKinsey, 2024). Similarly, as described by the March 2024 Global Technology Industry Risk Study, data security, regulatory compliance, AI misuse and supply chain disruption are also among the major emerging risks (Marsh, 2024).</w:t>
      </w:r>
    </w:p>
    <w:p w14:paraId="178FEE46" w14:textId="77777777" w:rsidR="00D92822" w:rsidRDefault="00000000">
      <w:pPr>
        <w:spacing w:before="180" w:after="180"/>
      </w:pPr>
      <w:r>
        <w:t>This technological player is a big opportunity for a pioneer company like Apple. As an illustration, Apple has been able to capitalise on the ecosystem lock-in, proprietary silicon (M-series), AR/VR and service bundling, to infiltrate innovation leadership. Premium pricing and premium brand positioning can be achieved through the ability to introduce differentiated technology and support a differentiation strategy (Kotler &amp; Keller, 2021). Nevertheless, it has its threats: the cost of R&amp;D and capital expenditure is high, the risk of obsolescence is high, and it is necessary to remain ahead of nimble competitors.</w:t>
      </w:r>
    </w:p>
    <w:p w14:paraId="07B4AC27" w14:textId="77777777" w:rsidR="00D92822" w:rsidRDefault="00000000">
      <w:pPr>
        <w:spacing w:before="180" w:after="180"/>
      </w:pPr>
      <w:r>
        <w:t xml:space="preserve">However, the implications on the follower companies such as Xiaomi or Samsung are different. The followers tend to have a fast-follower strategy: they use the innovations that are already in place, provide high value at a reduced price, and expand quickly. The technological actor will thereby provide follower firms with the opportunity to emulate, modify and undermine innovators particularly in new markets. As an example, the entry of Xiaomi into the high-end chip design (news reports) indicates </w:t>
      </w:r>
      <w:r>
        <w:lastRenderedPageBreak/>
        <w:t>the shift to the pace of the pioneers. However, the risks to the followers are that they will be trapped by old architectures, marginalised, and exposed to the next-generation advances of pioneers.</w:t>
      </w:r>
    </w:p>
    <w:p w14:paraId="393D1AE7" w14:textId="36014EEF" w:rsidR="00D92822" w:rsidRDefault="00000000">
      <w:pPr>
        <w:spacing w:before="180" w:after="180"/>
      </w:pPr>
      <w:r>
        <w:t xml:space="preserve">In terms of strategy, the pioneers should invest in marketing to reinforce a technological leadership and ecosystem breadth, which may focus on the concept of </w:t>
      </w:r>
      <w:proofErr w:type="gramStart"/>
      <w:r>
        <w:t>future-ready</w:t>
      </w:r>
      <w:proofErr w:type="gramEnd"/>
      <w:r>
        <w:t xml:space="preserve">. They should also deal with the risk of commoditisation of innovation. Value proposition, speed-to-market and cost leadership must be stressed out by the </w:t>
      </w:r>
      <w:proofErr w:type="gramStart"/>
      <w:r>
        <w:t>followers</w:t>
      </w:r>
      <w:proofErr w:type="gramEnd"/>
      <w:r>
        <w:t xml:space="preserve"> but they should not be left behind by </w:t>
      </w:r>
      <w:proofErr w:type="spellStart"/>
      <w:r>
        <w:t>technologica</w:t>
      </w:r>
      <w:proofErr w:type="spellEnd"/>
      <w:r w:rsidR="002C4DDA">
        <w:t xml:space="preserve"> curveballs</w:t>
      </w:r>
      <w:r>
        <w:t>. The technological player requires</w:t>
      </w:r>
      <w:r w:rsidR="002C4DDA">
        <w:t>,</w:t>
      </w:r>
      <w:r>
        <w:t xml:space="preserve"> consequently</w:t>
      </w:r>
      <w:r w:rsidR="002C4DDA">
        <w:t>,</w:t>
      </w:r>
      <w:r>
        <w:t xml:space="preserve"> dynamic marketing potential, fast product-launch cycles and firm brand differentiation among pioneers, and efficient marketing, quick adaptation and affordable communications among followers.</w:t>
      </w:r>
    </w:p>
    <w:p w14:paraId="783DD560" w14:textId="77777777" w:rsidR="00D92822" w:rsidRDefault="00000000">
      <w:pPr>
        <w:spacing w:before="180" w:after="180"/>
        <w:rPr>
          <w:b/>
        </w:rPr>
      </w:pPr>
      <w:r>
        <w:rPr>
          <w:b/>
        </w:rPr>
        <w:t>Environmental Actor</w:t>
      </w:r>
    </w:p>
    <w:p w14:paraId="772FAC52" w14:textId="77777777" w:rsidR="00D92822" w:rsidRDefault="00000000">
      <w:pPr>
        <w:spacing w:before="180" w:after="180"/>
      </w:pPr>
      <w:r>
        <w:t>Ecological issues like climate controls, e-waste management, consumer sustainability demands, green energy requirements and sourcing limitations are turning into a big concern to the technology sector. To give an example, the company pledges to own operations and supplier emissions to be carbon-neutral by 2030, as per the latest report by Apple (2023) (Apple, 2023). In Samsung 2024 Sustainability Report, it is stated that competitive advantage is largely fuelled by environmental risks and geopolitical uncertainties (Samsung, 2024). The 2024 ESG Report of Xiaomi indicates activities of climate-action and recycling (Xiaomi, 2024).</w:t>
      </w:r>
    </w:p>
    <w:p w14:paraId="7AF2CE15" w14:textId="77777777" w:rsidR="00D92822" w:rsidRDefault="00000000">
      <w:pPr>
        <w:spacing w:before="180" w:after="180"/>
      </w:pPr>
      <w:r>
        <w:t xml:space="preserve">In the case of pioneer Apple, the environmental actor presents the possibilities to improve the brand equity positioning as a sustainability leader, attracting environmentally friendly buyers, and differentiation through eco-design and circular economy programmes. It </w:t>
      </w:r>
      <w:proofErr w:type="gramStart"/>
      <w:r>
        <w:t>is able to</w:t>
      </w:r>
      <w:proofErr w:type="gramEnd"/>
      <w:r>
        <w:t xml:space="preserve"> make sustainability part of marketing communications, innovation in packaging and services (e.g. device trade-in, recycling programmes). Nevertheless, it too has threats: the growing complexity of regulation in multiple jurisdictions, the rising cost of sustainable materials, supply-chain upheaval due to environmental incidents and reputational risk in case it is viewed as greenwash.</w:t>
      </w:r>
    </w:p>
    <w:p w14:paraId="4FD8E50D" w14:textId="77777777" w:rsidR="00D92822" w:rsidRDefault="00000000">
      <w:pPr>
        <w:spacing w:before="180" w:after="180"/>
      </w:pPr>
      <w:r>
        <w:t xml:space="preserve">To follower firms like Samsung/Xiaomi, the environmental actor poses the opportunities of taking sustainability as a competitive advantage in cost or value terms or of providing environmentally friendly devices at lower prices or selling sustainability </w:t>
      </w:r>
      <w:r>
        <w:lastRenderedPageBreak/>
        <w:t xml:space="preserve">attributes in emerging markets. Threats, however, are that it may be viewed as less credible sustainability performers than pioneers, will incur greater costs </w:t>
      </w:r>
      <w:proofErr w:type="gramStart"/>
      <w:r>
        <w:t>as a result of</w:t>
      </w:r>
      <w:proofErr w:type="gramEnd"/>
      <w:r>
        <w:t xml:space="preserve"> compliance, and may lose market share to those brands that lead in environmental credentials.</w:t>
      </w:r>
    </w:p>
    <w:p w14:paraId="4ED81371" w14:textId="77777777" w:rsidR="00D92822" w:rsidRDefault="00000000">
      <w:pPr>
        <w:spacing w:before="180" w:after="180"/>
      </w:pPr>
      <w:r>
        <w:t xml:space="preserve">As a strategic move, pioneers must incorporate environmental credentials in their marketing stories, focus on transparency and circular economy activities and use sustainability as a brand premium. The followers are encouraged to incorporate sustainability in operation efficiencies (such as recycling of materials) and inform cost-sensitive markets of cost-effective eco-value </w:t>
      </w:r>
      <w:proofErr w:type="gramStart"/>
      <w:r>
        <w:t>propositions, and</w:t>
      </w:r>
      <w:proofErr w:type="gramEnd"/>
      <w:r>
        <w:t xml:space="preserve"> reduce the gap between sustainability industry leaders and themselves.</w:t>
      </w:r>
    </w:p>
    <w:p w14:paraId="526EA938" w14:textId="77777777" w:rsidR="00D92822" w:rsidRDefault="00000000">
      <w:pPr>
        <w:pStyle w:val="Heading1"/>
      </w:pPr>
      <w:bookmarkStart w:id="8" w:name="_heading=h.30vp1ktcjx5t" w:colFirst="0" w:colLast="0"/>
      <w:bookmarkEnd w:id="8"/>
      <w:r>
        <w:t>3. Task 2: Strategic Responses of Pioneering and Follower Organisations</w:t>
      </w:r>
    </w:p>
    <w:p w14:paraId="7A5EBB02" w14:textId="77777777" w:rsidR="00D92822" w:rsidRDefault="00000000">
      <w:pPr>
        <w:pStyle w:val="Heading2"/>
        <w:keepNext w:val="0"/>
        <w:keepLines w:val="0"/>
        <w:spacing w:before="180" w:after="180"/>
      </w:pPr>
      <w:bookmarkStart w:id="9" w:name="_heading=h.vsx48v2di4ge" w:colFirst="0" w:colLast="0"/>
      <w:bookmarkEnd w:id="9"/>
      <w:r>
        <w:t>3.1 Pioneering Organisations’ Strategic Responses</w:t>
      </w:r>
    </w:p>
    <w:p w14:paraId="1F392A9F" w14:textId="77777777" w:rsidR="00D92822" w:rsidRDefault="00000000">
      <w:r>
        <w:t>Pioneer organisations like Apple hold a first mover position in the world technology sector and usually dominate markets with innovation and brand leadership. Their tactical reaction to exterior difficulties and opportunities could be elaborated with the help of Ansoff Growth Matrix and Porter's Generic Strategies that are indispensable in learning about marketing tactical choice development (Porter, 2008; Ansoff, 1987).</w:t>
      </w:r>
    </w:p>
    <w:p w14:paraId="6F24E901" w14:textId="77777777" w:rsidR="00D92822" w:rsidRDefault="00000000">
      <w:pPr>
        <w:rPr>
          <w:b/>
        </w:rPr>
      </w:pPr>
      <w:r>
        <w:rPr>
          <w:b/>
        </w:rPr>
        <w:t>Ansoff’s Growth Matrix</w:t>
      </w:r>
    </w:p>
    <w:p w14:paraId="760BC3FF" w14:textId="77777777" w:rsidR="00D92822" w:rsidRDefault="00000000">
      <w:r>
        <w:t xml:space="preserve">Apple is a company that has always been seeking product development and diversification. An example of this enhanced development of products would be the constant innovation of the device ecosystem, including the launch of the Vision Pro mixed reality headset in 2024, which merges AI and AR (Apple, 2024). The action will further give Apple a presence in the growing spatial computing market, which is in line with the technological macro factor as indicated above. At the same time, the expansion of Apple into financial services (Apple Pay Later), as well as entertainment (Apple TV+, Apple Arcade) proves that this company can take advantage of inter-sector opportunities </w:t>
      </w:r>
      <w:proofErr w:type="gramStart"/>
      <w:r>
        <w:t>and also</w:t>
      </w:r>
      <w:proofErr w:type="gramEnd"/>
      <w:r>
        <w:t xml:space="preserve"> strengthen the ecosystem lock-in (Bain &amp; Company, 2025).</w:t>
      </w:r>
    </w:p>
    <w:p w14:paraId="3C6AF88F" w14:textId="77777777" w:rsidR="00D92822" w:rsidRDefault="00000000">
      <w:r>
        <w:t xml:space="preserve">These plans will help Apple diversify the technological risk and keep it growing even after smartphones saturate the market. The marketing concept of the pioneer focuses </w:t>
      </w:r>
      <w:r>
        <w:lastRenderedPageBreak/>
        <w:t>on creating value by differentiating based on design, innovation, and brand prestige but the marketing approach does not focus on price competition. This is in line with differentiation strategy as advanced by Porter whereby competitive advantage is built on unique attributes which are perceived by the customers as superior (Porter, 2008).</w:t>
      </w:r>
    </w:p>
    <w:p w14:paraId="6ECE6794" w14:textId="77777777" w:rsidR="00D92822" w:rsidRDefault="00000000">
      <w:pPr>
        <w:rPr>
          <w:b/>
        </w:rPr>
      </w:pPr>
      <w:r>
        <w:rPr>
          <w:b/>
        </w:rPr>
        <w:t>Porter’s Generic Strategies</w:t>
      </w:r>
    </w:p>
    <w:p w14:paraId="7F688C9A" w14:textId="77777777" w:rsidR="00D92822" w:rsidRDefault="00000000">
      <w:r>
        <w:t xml:space="preserve">Apple makes use of broad differentiation </w:t>
      </w:r>
      <w:proofErr w:type="gramStart"/>
      <w:r>
        <w:t>in order to</w:t>
      </w:r>
      <w:proofErr w:type="gramEnd"/>
      <w:r>
        <w:t xml:space="preserve"> charge high prices. An example of a technological leadership marketing message is the A17 Pro chip and Artificial Intelligence-built camera systems of the iPhone 15 Pro (Statista, 2025). Moreover, the environmental performance of the Apple company reinforces its brand image; the 2023 Environmental Progress Report also implies the intentions to achieve carbon-neutral products in 2030 (Apple, 2023). This environmental macro position will appeal to the ethically conscious consumers and boost competitive advantage.</w:t>
      </w:r>
    </w:p>
    <w:p w14:paraId="68E6E941" w14:textId="3C4C6CE8" w:rsidR="00D92822" w:rsidRDefault="00000000">
      <w:r>
        <w:t xml:space="preserve">Nevertheless, the pioneering approach of Apple is also a risk to the company. The intensive expenditure of R&amp;D, the complexity of supply chains, and the obsolescence of the products require sensitive marketing management (McKinsey, 2024). Additionally, the returns to innovations decline as markets become mature and it will be necessary to diversify </w:t>
      </w:r>
      <w:r w:rsidR="00D16300">
        <w:t>into</w:t>
      </w:r>
      <w:r>
        <w:t xml:space="preserve"> software and services to maintain profitability</w:t>
      </w:r>
      <w:bookmarkStart w:id="10" w:name="_heading=h.vybuh9tmlu7z" w:colFirst="0" w:colLast="0"/>
      <w:bookmarkEnd w:id="10"/>
      <w:r w:rsidR="00D16300">
        <w:t>.</w:t>
      </w:r>
    </w:p>
    <w:p w14:paraId="7D8F3F72" w14:textId="77777777" w:rsidR="00D92822" w:rsidRDefault="00000000">
      <w:pPr>
        <w:pStyle w:val="Heading2"/>
        <w:keepNext w:val="0"/>
        <w:keepLines w:val="0"/>
        <w:spacing w:before="180" w:after="180"/>
      </w:pPr>
      <w:r>
        <w:t>3.3 Follower Organisations’ Strategic Responses</w:t>
      </w:r>
    </w:p>
    <w:p w14:paraId="7B81FAA3" w14:textId="77777777" w:rsidR="00D92822" w:rsidRDefault="00000000">
      <w:r>
        <w:t>Follower organisations like Samsung and Xiaomi embrace adaptive strategies to help them exploit the inventions of pioneers as they compete against them in terms of nimbleness and affordability. Ansoff's Matrix and Porter's Generic strategies can also be used to evaluate their response to the same.</w:t>
      </w:r>
    </w:p>
    <w:p w14:paraId="447933BA" w14:textId="77777777" w:rsidR="00D92822" w:rsidRDefault="00000000">
      <w:pPr>
        <w:rPr>
          <w:b/>
        </w:rPr>
      </w:pPr>
      <w:r>
        <w:rPr>
          <w:b/>
        </w:rPr>
        <w:t>Ansoff’s Growth Matrix</w:t>
      </w:r>
    </w:p>
    <w:p w14:paraId="3A27C584" w14:textId="77777777" w:rsidR="00A763A7" w:rsidRDefault="00000000">
      <w:r>
        <w:t xml:space="preserve">Market penetration and product development </w:t>
      </w:r>
      <w:r w:rsidR="00A763A7">
        <w:t>are</w:t>
      </w:r>
      <w:r>
        <w:t xml:space="preserve"> the dominant </w:t>
      </w:r>
      <w:r w:rsidR="00A763A7">
        <w:t>growth strategies among</w:t>
      </w:r>
      <w:r>
        <w:t xml:space="preserve"> followers. Samsung is using the large product range and production efficiencies to enter the international markets within a short time. It usually launches devices </w:t>
      </w:r>
      <w:r w:rsidR="00A763A7">
        <w:t xml:space="preserve">with features </w:t>
      </w:r>
      <w:proofErr w:type="gramStart"/>
      <w:r w:rsidR="00A763A7">
        <w:t>similar to</w:t>
      </w:r>
      <w:proofErr w:type="gramEnd"/>
      <w:r w:rsidR="00A763A7">
        <w:t xml:space="preserve"> Apple's but at lower prices and with shorter intervals, enabling it to capture price-sensitive</w:t>
      </w:r>
    </w:p>
    <w:p w14:paraId="78C251CA" w14:textId="4CFDA821" w:rsidR="00D92822" w:rsidRDefault="00000000">
      <w:r>
        <w:lastRenderedPageBreak/>
        <w:t xml:space="preserve"> segments. According to Samsung Sustainability Report 2024, the company focuses more on AI-powered devices, semiconductor manufacturing, and energy-efficient parts, which will facilitate technological and environmental adjustment (Samsung, 2024). In the meantime, Xiaomi pursues the same pattern but pays much attention to entering the markets of the emerging economies at low prices, flash-sale channels, and online sales (Xiaomi, 2024).</w:t>
      </w:r>
    </w:p>
    <w:p w14:paraId="51C8AFD0" w14:textId="2F346A8C" w:rsidR="00D92822" w:rsidRDefault="00000000">
      <w:r>
        <w:t>Its product development at a reduced cost base allows Xiaomi to copy best innovations quickly</w:t>
      </w:r>
      <w:r w:rsidR="005533CC">
        <w:t>,</w:t>
      </w:r>
      <w:r>
        <w:t xml:space="preserve"> e.g., high quality cameras, AI capabilities and beautiful designs</w:t>
      </w:r>
      <w:r w:rsidR="005533CC">
        <w:t>,</w:t>
      </w:r>
      <w:r>
        <w:t xml:space="preserve"> without losing their target audience, i.e., price sensitive customers. This approach enables followers to compete efficiently without spending large sums of money </w:t>
      </w:r>
      <w:r w:rsidR="005533CC">
        <w:t>on</w:t>
      </w:r>
      <w:r>
        <w:t xml:space="preserve"> research and development</w:t>
      </w:r>
      <w:r w:rsidR="005533CC">
        <w:t>,</w:t>
      </w:r>
      <w:r>
        <w:t xml:space="preserve"> as it happens with pioneers.</w:t>
      </w:r>
    </w:p>
    <w:p w14:paraId="1B0D9B1A" w14:textId="77777777" w:rsidR="00D92822" w:rsidRDefault="00000000">
      <w:pPr>
        <w:rPr>
          <w:b/>
        </w:rPr>
      </w:pPr>
      <w:r>
        <w:rPr>
          <w:b/>
        </w:rPr>
        <w:t>Porter’s Generic Strategies</w:t>
      </w:r>
    </w:p>
    <w:p w14:paraId="7403F46E" w14:textId="6505EBD0" w:rsidR="00D92822" w:rsidRDefault="00000000">
      <w:r>
        <w:t>Based on the Porters framework, cost leadership or hybrid is the main strategy adopted by followers. Samsung uses cost leadership with differentiation</w:t>
      </w:r>
      <w:r w:rsidR="005533CC">
        <w:t>,</w:t>
      </w:r>
      <w:r>
        <w:t xml:space="preserve"> meaning that it has invested heavily in the vertical integration-producing displays, </w:t>
      </w:r>
      <w:r w:rsidR="005533CC">
        <w:t>chips</w:t>
      </w:r>
      <w:r>
        <w:t>, and batteries internally-and therefore, saving costs and ensuring the resilience of its supply chains (Porter, 2008; Statista, 2025). The marketing approach of Samsung focuses on both upscale functions (Galaxy Z Fold 6, Galaxy AI) and affordable prices, as it attracts various segments of the market (Samsung, 2024).</w:t>
      </w:r>
    </w:p>
    <w:p w14:paraId="56C524CF" w14:textId="77777777" w:rsidR="00D92822" w:rsidRDefault="00000000">
      <w:r>
        <w:t>Instead, Xiaomi pursues a cost leadership strategy by keeping its profit margins minimal (approximately 5% on hardware) and making its money through software, services, and advertising (Xiaomi, 2024). This has allowed Xiaomi to offer smartphones of high specification at affordable prices, taking over the rapidly expanding Asian, African, and European markets. In addition, according to the 2024 ESG Report, the company is becoming more concerned with sustainable materials and recycling programmes, which fits into the macro factor of environment (Xiaomi, 2024).</w:t>
      </w:r>
    </w:p>
    <w:p w14:paraId="6421F4FC" w14:textId="527E57C7" w:rsidR="00D92822" w:rsidRDefault="00000000">
      <w:r>
        <w:t>Irrespective of their strengths, the followers experience brand perception, innovation, and profit margin challenges. Their marketing reactions should thus be geared towards agility, affordability</w:t>
      </w:r>
      <w:r w:rsidR="005533CC">
        <w:t>,</w:t>
      </w:r>
      <w:r>
        <w:t xml:space="preserve"> as well as incremental innovation. An example is the Xiaomi </w:t>
      </w:r>
      <w:r>
        <w:lastRenderedPageBreak/>
        <w:t xml:space="preserve">incorporation of AI into smart home products (2024 </w:t>
      </w:r>
      <w:proofErr w:type="spellStart"/>
      <w:r>
        <w:t>AIoT</w:t>
      </w:r>
      <w:proofErr w:type="spellEnd"/>
      <w:r>
        <w:t xml:space="preserve"> strategy) where readings show that the company has transitioned to differentiation through innovation rather than imitation (Xiaomi, 2024). On the same note, Samsung has made marketing bets in AI and sustainability, which depict the status of a follower to a co-leader in certain areas of technology.</w:t>
      </w:r>
    </w:p>
    <w:p w14:paraId="05C054F2" w14:textId="77777777" w:rsidR="00D92822" w:rsidRDefault="00000000">
      <w:pPr>
        <w:pStyle w:val="Heading2"/>
        <w:keepNext w:val="0"/>
        <w:keepLines w:val="0"/>
      </w:pPr>
      <w:bookmarkStart w:id="11" w:name="_heading=h.s11izsut84wl" w:colFirst="0" w:colLast="0"/>
      <w:bookmarkEnd w:id="11"/>
      <w:r>
        <w:t>3.3 Comparative Strategic Implications</w:t>
      </w:r>
    </w:p>
    <w:p w14:paraId="3E8782E2" w14:textId="77777777" w:rsidR="00D92822" w:rsidRDefault="00000000">
      <w:r>
        <w:t>Relative to other first mover types of innovation, such as Apple, first mover innovation, brand equity, and technological ecosystem control bring success, yet at the cost of increased costs and innovation fatigue. Such adherents as Samsung and Xiaomi live on speed, flexibility, and cheapness, but they risk being reliant on the innovation cycles of the pioneers.</w:t>
      </w:r>
    </w:p>
    <w:p w14:paraId="6FB4F011" w14:textId="77777777" w:rsidR="00D92822" w:rsidRDefault="00000000">
      <w:r>
        <w:t>The strategic implications of the technological and environmental macro factors that are examined above are different:</w:t>
      </w:r>
    </w:p>
    <w:p w14:paraId="0B6A9F76" w14:textId="77777777" w:rsidR="00D92822" w:rsidRDefault="00000000">
      <w:pPr>
        <w:numPr>
          <w:ilvl w:val="0"/>
          <w:numId w:val="1"/>
        </w:numPr>
        <w:spacing w:after="0"/>
      </w:pPr>
      <w:r>
        <w:rPr>
          <w:b/>
        </w:rPr>
        <w:t>Technological factor:</w:t>
      </w:r>
    </w:p>
    <w:p w14:paraId="147418E8" w14:textId="77777777" w:rsidR="00D92822" w:rsidRDefault="00000000">
      <w:pPr>
        <w:numPr>
          <w:ilvl w:val="1"/>
          <w:numId w:val="1"/>
        </w:numPr>
        <w:spacing w:before="0" w:after="0"/>
      </w:pPr>
      <w:r>
        <w:t>Radical innovation and differentiation are pursued by pioneers.</w:t>
      </w:r>
    </w:p>
    <w:p w14:paraId="44EC481C" w14:textId="77777777" w:rsidR="00D92822" w:rsidRDefault="00000000">
      <w:pPr>
        <w:numPr>
          <w:ilvl w:val="1"/>
          <w:numId w:val="1"/>
        </w:numPr>
        <w:spacing w:before="0" w:after="0"/>
      </w:pPr>
      <w:r>
        <w:t>Followers lay stress on incremental innovation and cost competitiveness.</w:t>
      </w:r>
    </w:p>
    <w:p w14:paraId="37972D1E" w14:textId="77777777" w:rsidR="00D92822" w:rsidRDefault="00000000">
      <w:pPr>
        <w:numPr>
          <w:ilvl w:val="0"/>
          <w:numId w:val="1"/>
        </w:numPr>
        <w:spacing w:before="0" w:after="0"/>
      </w:pPr>
      <w:r>
        <w:rPr>
          <w:b/>
        </w:rPr>
        <w:t>Environmental factor:</w:t>
      </w:r>
    </w:p>
    <w:p w14:paraId="3DAAB4A9" w14:textId="77777777" w:rsidR="00D92822" w:rsidRDefault="00000000">
      <w:pPr>
        <w:numPr>
          <w:ilvl w:val="1"/>
          <w:numId w:val="1"/>
        </w:numPr>
        <w:spacing w:before="0" w:after="0"/>
      </w:pPr>
      <w:r>
        <w:t>Pioneers use sustainability as an ingredient to their brand name and marketing message.</w:t>
      </w:r>
    </w:p>
    <w:p w14:paraId="58E18C49" w14:textId="77777777" w:rsidR="00D92822" w:rsidRDefault="00000000">
      <w:pPr>
        <w:numPr>
          <w:ilvl w:val="1"/>
          <w:numId w:val="1"/>
        </w:numPr>
        <w:spacing w:before="0"/>
      </w:pPr>
      <w:r>
        <w:t>The followers are adding sustainability as a complying element and a means of operational efficiency but also as a source of value propositions.</w:t>
      </w:r>
    </w:p>
    <w:p w14:paraId="5FCFC501" w14:textId="77777777" w:rsidR="00D92822" w:rsidRDefault="00000000">
      <w:r>
        <w:t>The two teams need continuous environmental scan and marketing strategy agility. To pioneers, the issue is the ability to maintain differentiation; to followers, the issue is the ability to leave imitation behind and embark on marketing with innovation. Hybrid practises, which are a mix of technological innovation and sustainability branding, may be a strategy that will probably characterise the success of the global technology industry in the future.</w:t>
      </w:r>
    </w:p>
    <w:p w14:paraId="76D34463" w14:textId="3D4FAE65" w:rsidR="00D92822" w:rsidRPr="00D23F79" w:rsidRDefault="00000000">
      <w:pPr>
        <w:pStyle w:val="Heading1"/>
        <w:keepNext w:val="0"/>
        <w:keepLines w:val="0"/>
        <w:rPr>
          <w:sz w:val="32"/>
          <w:szCs w:val="32"/>
        </w:rPr>
      </w:pPr>
      <w:bookmarkStart w:id="12" w:name="_heading=h.tujn47ri7xw7" w:colFirst="0" w:colLast="0"/>
      <w:bookmarkEnd w:id="12"/>
      <w:r>
        <w:br w:type="page"/>
      </w:r>
      <w:bookmarkStart w:id="13" w:name="_heading=h.wuy2hwplzy2d" w:colFirst="0" w:colLast="0"/>
      <w:bookmarkEnd w:id="13"/>
      <w:r>
        <w:lastRenderedPageBreak/>
        <w:t>4. Conclusion</w:t>
      </w:r>
    </w:p>
    <w:p w14:paraId="21F37E55" w14:textId="77777777" w:rsidR="00D92822" w:rsidRDefault="00000000">
      <w:r>
        <w:t>This report has discussed critically how the technology industry has been influenced by macro-environmental drivers on strategic marketing decisions using Apple as a pioneer company and Samsung and Xiaomi as followers. In the PESTEL-based analysis, technological advancement and environmental sustainability were identified as the most significant external players since they provide opportunities and threats, which require changing marketing in reaction to them.</w:t>
      </w:r>
    </w:p>
    <w:p w14:paraId="154239CE" w14:textId="77777777" w:rsidR="00D92822" w:rsidRDefault="00000000">
      <w:r>
        <w:t>The innovative nature of Apple shows that innovation, differentiation, and integration of sustainability would be able to maintain long-term competitive advantage even with the high cost and the risk of innovation. As a comparison, Samsung and Xiaomi explain how the follower organisations could use market penetration, cost leadership and incremental innovation to stay competitive in rapidly changing global markets. The implementation of Ansoff Growth Matrix and Porter's Generic Strategies helped to understand that pioneers are dependent on diversification and differentiation, and followers on agility, efficiency, and affordability.</w:t>
      </w:r>
    </w:p>
    <w:p w14:paraId="23A6CCB5" w14:textId="77777777" w:rsidR="00D92822" w:rsidRDefault="00000000">
      <w:pPr>
        <w:pStyle w:val="Heading1"/>
        <w:keepNext w:val="0"/>
        <w:keepLines w:val="0"/>
        <w:rPr>
          <w:sz w:val="32"/>
          <w:szCs w:val="32"/>
        </w:rPr>
      </w:pPr>
      <w:bookmarkStart w:id="14" w:name="_heading=h.drqbbatfqh52" w:colFirst="0" w:colLast="0"/>
      <w:bookmarkEnd w:id="14"/>
      <w:r>
        <w:br w:type="page"/>
      </w:r>
    </w:p>
    <w:p w14:paraId="5107FEF7" w14:textId="77777777" w:rsidR="00D92822" w:rsidRDefault="00000000">
      <w:pPr>
        <w:pStyle w:val="Heading1"/>
      </w:pPr>
      <w:bookmarkStart w:id="15" w:name="_heading=h.nqo3wboqirk3" w:colFirst="0" w:colLast="0"/>
      <w:bookmarkEnd w:id="15"/>
      <w:r>
        <w:lastRenderedPageBreak/>
        <w:t>5. References</w:t>
      </w:r>
    </w:p>
    <w:p w14:paraId="3ACD20F3" w14:textId="77777777" w:rsidR="00D92822" w:rsidRDefault="00000000">
      <w:r>
        <w:t xml:space="preserve">Ansoff, H.I., (1987). </w:t>
      </w:r>
      <w:r>
        <w:rPr>
          <w:i/>
        </w:rPr>
        <w:t>Corporate Strategy.</w:t>
      </w:r>
      <w:r>
        <w:t xml:space="preserve"> Rev. ed. London, Penguin Books. pp. 100-116.</w:t>
      </w:r>
    </w:p>
    <w:p w14:paraId="6A75CE3C" w14:textId="77777777" w:rsidR="00D92822" w:rsidRDefault="00000000">
      <w:r>
        <w:t xml:space="preserve">Apple. (2023). </w:t>
      </w:r>
      <w:r>
        <w:rPr>
          <w:i/>
        </w:rPr>
        <w:t>Environmental Progress Report</w:t>
      </w:r>
      <w:r>
        <w:t>. Available at:</w:t>
      </w:r>
      <w:hyperlink r:id="rId9">
        <w:r w:rsidR="00D92822">
          <w:rPr>
            <w:color w:val="1155CC"/>
            <w:u w:val="single"/>
          </w:rPr>
          <w:t xml:space="preserve"> https://www.apple.com/environment/pdf/Apple_Environmental_Progress_Report_2023.pdf</w:t>
        </w:r>
      </w:hyperlink>
      <w:r>
        <w:t xml:space="preserve"> (Accessed: 28 October 2025).</w:t>
      </w:r>
    </w:p>
    <w:p w14:paraId="4475CA55" w14:textId="77777777" w:rsidR="00D92822" w:rsidRDefault="00000000">
      <w:r>
        <w:t xml:space="preserve">Apple. (2024). </w:t>
      </w:r>
      <w:r>
        <w:rPr>
          <w:i/>
        </w:rPr>
        <w:t>Introducing Apple Vision Pro: The Era of Spatial Computing.</w:t>
      </w:r>
      <w:r>
        <w:t xml:space="preserve"> Available at: </w:t>
      </w:r>
      <w:hyperlink r:id="rId10">
        <w:r w:rsidR="00D92822">
          <w:rPr>
            <w:color w:val="1155CC"/>
            <w:u w:val="single"/>
          </w:rPr>
          <w:t>https://www.apple.com/in/newsroom/2023/06/introducing-apple-vision-pro/</w:t>
        </w:r>
      </w:hyperlink>
      <w:r>
        <w:t xml:space="preserve"> (Accessed: 28 October 2025).</w:t>
      </w:r>
    </w:p>
    <w:p w14:paraId="2E60A4FB" w14:textId="77777777" w:rsidR="00D92822" w:rsidRDefault="00000000">
      <w:r>
        <w:t xml:space="preserve">Kotler, P. and Keller, K.L., (2021). </w:t>
      </w:r>
      <w:r>
        <w:rPr>
          <w:i/>
        </w:rPr>
        <w:t>Marketing Management.</w:t>
      </w:r>
      <w:r>
        <w:t xml:space="preserve"> 16th ed. Pearson.</w:t>
      </w:r>
    </w:p>
    <w:p w14:paraId="4CA5F571" w14:textId="77777777" w:rsidR="00D92822" w:rsidRDefault="00000000">
      <w:proofErr w:type="spellStart"/>
      <w:r>
        <w:t>LibGuides</w:t>
      </w:r>
      <w:proofErr w:type="spellEnd"/>
      <w:r>
        <w:t xml:space="preserve"> 2024. </w:t>
      </w:r>
      <w:r>
        <w:rPr>
          <w:i/>
        </w:rPr>
        <w:t>PESTEL Analysis – Industry Research.</w:t>
      </w:r>
      <w:r>
        <w:t xml:space="preserve"> Available at:</w:t>
      </w:r>
      <w:hyperlink r:id="rId11">
        <w:r w:rsidR="00D92822">
          <w:t xml:space="preserve"> </w:t>
        </w:r>
      </w:hyperlink>
      <w:hyperlink r:id="rId12">
        <w:r w:rsidR="00D92822">
          <w:rPr>
            <w:color w:val="1155CC"/>
            <w:u w:val="single"/>
          </w:rPr>
          <w:t>https://libguides.libraries.wsu.edu/c.php?g=294263&amp;p=4358409</w:t>
        </w:r>
      </w:hyperlink>
      <w:r>
        <w:t xml:space="preserve"> (Accessed: 29 October 2025).</w:t>
      </w:r>
    </w:p>
    <w:p w14:paraId="15C5DC1A" w14:textId="77777777" w:rsidR="00D92822" w:rsidRDefault="00000000">
      <w:r>
        <w:t xml:space="preserve">Lombardo, J. (2025). </w:t>
      </w:r>
      <w:r>
        <w:rPr>
          <w:i/>
        </w:rPr>
        <w:t xml:space="preserve">Apple PESTEL/PESTLE Analysis &amp; Recommendations. </w:t>
      </w:r>
      <w:r>
        <w:t>Available at:</w:t>
      </w:r>
      <w:hyperlink r:id="rId13">
        <w:r w:rsidR="00D92822">
          <w:t xml:space="preserve"> </w:t>
        </w:r>
      </w:hyperlink>
      <w:hyperlink r:id="rId14">
        <w:r w:rsidR="00D92822">
          <w:rPr>
            <w:color w:val="1155CC"/>
            <w:u w:val="single"/>
          </w:rPr>
          <w:t>https://panmore.com/apple-inc-pestel-pestle-analysis-recommendations</w:t>
        </w:r>
      </w:hyperlink>
      <w:r>
        <w:t xml:space="preserve"> (Accessed: 29 October 2025).</w:t>
      </w:r>
    </w:p>
    <w:p w14:paraId="62998212" w14:textId="77777777" w:rsidR="00D92822" w:rsidRDefault="00000000">
      <w:r>
        <w:t>Marsh. (2025). 2025 Technology Industry Risk Report. Available at:</w:t>
      </w:r>
      <w:hyperlink r:id="rId15">
        <w:r w:rsidR="00D92822">
          <w:t xml:space="preserve"> </w:t>
        </w:r>
      </w:hyperlink>
      <w:hyperlink r:id="rId16">
        <w:r w:rsidR="00D92822">
          <w:rPr>
            <w:color w:val="1155CC"/>
            <w:u w:val="single"/>
          </w:rPr>
          <w:t>https://www.marsh.com/en/industries/technology/insights/tech-risk-study.html</w:t>
        </w:r>
      </w:hyperlink>
      <w:r>
        <w:t xml:space="preserve"> (Accessed: 29 October 2025).</w:t>
      </w:r>
    </w:p>
    <w:p w14:paraId="361FE852" w14:textId="77777777" w:rsidR="00D92822" w:rsidRDefault="00000000">
      <w:r>
        <w:t xml:space="preserve">McKinsey &amp; Company. (2024). McKinsey </w:t>
      </w:r>
      <w:r>
        <w:rPr>
          <w:i/>
        </w:rPr>
        <w:t>Technology Trends Outlook 2024.</w:t>
      </w:r>
      <w:r>
        <w:t xml:space="preserve"> McKinsey. Available at:</w:t>
      </w:r>
      <w:hyperlink r:id="rId17">
        <w:r w:rsidR="00D92822">
          <w:t xml:space="preserve"> </w:t>
        </w:r>
      </w:hyperlink>
      <w:hyperlink r:id="rId18">
        <w:r w:rsidR="00D92822">
          <w:rPr>
            <w:color w:val="1155CC"/>
            <w:u w:val="single"/>
          </w:rPr>
          <w:t>https://www.mckinsey.com/capabilities/tech-and-ai/our-insights/the-top-trends-in-tech-2024</w:t>
        </w:r>
      </w:hyperlink>
      <w:r>
        <w:t xml:space="preserve"> (Accessed: 28 October 2025).</w:t>
      </w:r>
    </w:p>
    <w:p w14:paraId="01206E54" w14:textId="77777777" w:rsidR="00D92822" w:rsidRDefault="00000000">
      <w:r>
        <w:t xml:space="preserve">Oxford College of Marketing. (2016). </w:t>
      </w:r>
      <w:r>
        <w:rPr>
          <w:i/>
        </w:rPr>
        <w:t>What is a PESTEL analysis? Oxford College of Marketing Blog.</w:t>
      </w:r>
      <w:r>
        <w:t xml:space="preserve"> Available at:</w:t>
      </w:r>
      <w:hyperlink r:id="rId19">
        <w:r w:rsidR="00D92822">
          <w:t xml:space="preserve"> </w:t>
        </w:r>
      </w:hyperlink>
      <w:hyperlink r:id="rId20">
        <w:r w:rsidR="00D92822">
          <w:rPr>
            <w:color w:val="1155CC"/>
            <w:u w:val="single"/>
          </w:rPr>
          <w:t>https://blog.oxfordcollegeofmarketing.com/2016/06/30/pestel-analysis/</w:t>
        </w:r>
      </w:hyperlink>
      <w:r>
        <w:t xml:space="preserve"> (Accessed: 28 October 2025).</w:t>
      </w:r>
    </w:p>
    <w:p w14:paraId="54354C81" w14:textId="77777777" w:rsidR="00D92822" w:rsidRDefault="00000000">
      <w:r>
        <w:lastRenderedPageBreak/>
        <w:t xml:space="preserve">Porter, M.E., (2008). </w:t>
      </w:r>
      <w:r>
        <w:rPr>
          <w:i/>
        </w:rPr>
        <w:t>Competitive advantage: Creating and sustaining superior performance</w:t>
      </w:r>
      <w:r>
        <w:t>. Simon and Schuster.</w:t>
      </w:r>
    </w:p>
    <w:p w14:paraId="1BC4CF5A" w14:textId="77777777" w:rsidR="00D92822" w:rsidRDefault="00000000">
      <w:r>
        <w:t xml:space="preserve">Samsung. (2024). </w:t>
      </w:r>
      <w:r>
        <w:rPr>
          <w:i/>
        </w:rPr>
        <w:t>Samsung Electronics Releases 2024 Sustainability Report</w:t>
      </w:r>
      <w:r>
        <w:t>. Available at:</w:t>
      </w:r>
      <w:hyperlink r:id="rId21">
        <w:r w:rsidR="00D92822">
          <w:t xml:space="preserve"> </w:t>
        </w:r>
      </w:hyperlink>
      <w:hyperlink r:id="rId22">
        <w:r w:rsidR="00D92822">
          <w:rPr>
            <w:color w:val="1155CC"/>
            <w:u w:val="single"/>
          </w:rPr>
          <w:t>https://news.samsung.com/global/samsung-electronics-releases-2024-sustainability-report</w:t>
        </w:r>
      </w:hyperlink>
      <w:r>
        <w:t xml:space="preserve"> (Accessed: 29 October 2025).</w:t>
      </w:r>
    </w:p>
    <w:p w14:paraId="68537082" w14:textId="77777777" w:rsidR="00D92822" w:rsidRDefault="00000000">
      <w:r>
        <w:t xml:space="preserve">Statista, (2025). </w:t>
      </w:r>
      <w:r>
        <w:rPr>
          <w:i/>
        </w:rPr>
        <w:t>Smartphones - statistics &amp; facts</w:t>
      </w:r>
      <w:r>
        <w:t>. Available at:</w:t>
      </w:r>
      <w:hyperlink r:id="rId23">
        <w:r w:rsidR="00D92822">
          <w:t xml:space="preserve"> </w:t>
        </w:r>
      </w:hyperlink>
      <w:hyperlink r:id="rId24">
        <w:r w:rsidR="00D92822">
          <w:rPr>
            <w:color w:val="1155CC"/>
            <w:u w:val="single"/>
          </w:rPr>
          <w:t>https://www.statista.com/topics/840/smartphones/</w:t>
        </w:r>
      </w:hyperlink>
      <w:r>
        <w:t xml:space="preserve"> (Accessed: 28 October 2025).</w:t>
      </w:r>
    </w:p>
    <w:p w14:paraId="641009A2" w14:textId="77777777" w:rsidR="00D92822" w:rsidRDefault="00000000">
      <w:proofErr w:type="spellStart"/>
      <w:r>
        <w:t>TimesPro</w:t>
      </w:r>
      <w:proofErr w:type="spellEnd"/>
      <w:r>
        <w:t xml:space="preserve">. (2025). </w:t>
      </w:r>
      <w:r>
        <w:rPr>
          <w:i/>
        </w:rPr>
        <w:t xml:space="preserve">What is PESTLE Analysis, and What Are Its Uses </w:t>
      </w:r>
      <w:proofErr w:type="gramStart"/>
      <w:r>
        <w:rPr>
          <w:i/>
        </w:rPr>
        <w:t>And</w:t>
      </w:r>
      <w:proofErr w:type="gramEnd"/>
      <w:r>
        <w:rPr>
          <w:i/>
        </w:rPr>
        <w:t xml:space="preserve"> </w:t>
      </w:r>
      <w:proofErr w:type="gramStart"/>
      <w:r>
        <w:rPr>
          <w:i/>
        </w:rPr>
        <w:t>Components?</w:t>
      </w:r>
      <w:r>
        <w:t>.</w:t>
      </w:r>
      <w:proofErr w:type="gramEnd"/>
      <w:r>
        <w:t xml:space="preserve"> Available at:</w:t>
      </w:r>
      <w:hyperlink r:id="rId25">
        <w:r w:rsidR="00D92822">
          <w:t xml:space="preserve"> </w:t>
        </w:r>
      </w:hyperlink>
      <w:hyperlink r:id="rId26">
        <w:r w:rsidR="00D92822">
          <w:rPr>
            <w:color w:val="1155CC"/>
            <w:u w:val="single"/>
          </w:rPr>
          <w:t>https://timespro.com/blog/what-is-pestle-analysis-and-what-are-its-uses-and-components</w:t>
        </w:r>
      </w:hyperlink>
      <w:r>
        <w:t xml:space="preserve"> (Accessed: 28 October 2025).</w:t>
      </w:r>
    </w:p>
    <w:p w14:paraId="564E86F5" w14:textId="77777777" w:rsidR="00D92822" w:rsidRDefault="00000000">
      <w:r>
        <w:t xml:space="preserve">Xiaomi. (2024). </w:t>
      </w:r>
      <w:r>
        <w:rPr>
          <w:i/>
        </w:rPr>
        <w:t>2024 Xiaomi Corporation Environmental, Social, and Governance Report.</w:t>
      </w:r>
      <w:r>
        <w:t xml:space="preserve"> Available at:</w:t>
      </w:r>
      <w:hyperlink r:id="rId27">
        <w:r w:rsidR="00D92822">
          <w:t xml:space="preserve"> </w:t>
        </w:r>
      </w:hyperlink>
      <w:hyperlink r:id="rId28">
        <w:r w:rsidR="00D92822">
          <w:rPr>
            <w:color w:val="1155CC"/>
            <w:u w:val="single"/>
          </w:rPr>
          <w:t>https://cdn.cnbj1.fds.api.mi-img.com/staticsfile/svhc/2024%20Xiaomi%20Corporation%20Environmental%2C%20Social%2C%20and%20Governance%20Report.pdf</w:t>
        </w:r>
      </w:hyperlink>
      <w:r>
        <w:t xml:space="preserve"> (Accessed: 28 October 2025).</w:t>
      </w:r>
    </w:p>
    <w:p w14:paraId="1D9C4F8E" w14:textId="77777777" w:rsidR="00D92822" w:rsidRDefault="00000000">
      <w:r>
        <w:t xml:space="preserve">Xiaomi. (2024). </w:t>
      </w:r>
      <w:r>
        <w:rPr>
          <w:i/>
        </w:rPr>
        <w:t xml:space="preserve">Q2 2024 Results Announcement. </w:t>
      </w:r>
      <w:r>
        <w:t>Available at:</w:t>
      </w:r>
      <w:hyperlink r:id="rId29">
        <w:r w:rsidR="00D92822">
          <w:t xml:space="preserve"> </w:t>
        </w:r>
      </w:hyperlink>
      <w:hyperlink r:id="rId30">
        <w:r w:rsidR="00D92822">
          <w:rPr>
            <w:color w:val="1155CC"/>
            <w:u w:val="single"/>
          </w:rPr>
          <w:t>https://ir.mi.com/system/files-encrypted/nasdaq_kms/assets/2024/08/21/6-09-16/Xiaomi%20Corp_24Q2_ER_ENG_v22_upload.pdf</w:t>
        </w:r>
      </w:hyperlink>
      <w:r>
        <w:t xml:space="preserve"> (Accessed: 28 October 2025).</w:t>
      </w:r>
    </w:p>
    <w:p w14:paraId="10A4B94E" w14:textId="77777777" w:rsidR="00D92822" w:rsidRDefault="00D92822">
      <w:pPr>
        <w:spacing w:before="180" w:after="180"/>
      </w:pPr>
    </w:p>
    <w:p w14:paraId="1A659A17" w14:textId="77777777" w:rsidR="00D92822" w:rsidRDefault="00D92822">
      <w:pPr>
        <w:spacing w:before="180" w:after="180"/>
      </w:pPr>
    </w:p>
    <w:p w14:paraId="46D51309" w14:textId="77777777" w:rsidR="00D92822" w:rsidRDefault="00D92822">
      <w:pPr>
        <w:spacing w:before="180" w:after="180"/>
      </w:pPr>
    </w:p>
    <w:sectPr w:rsidR="00D92822">
      <w:footerReference w:type="default" r:id="rId3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F7504" w14:textId="77777777" w:rsidR="00721245" w:rsidRDefault="00721245">
      <w:pPr>
        <w:spacing w:before="0" w:after="0" w:line="240" w:lineRule="auto"/>
      </w:pPr>
      <w:r>
        <w:separator/>
      </w:r>
    </w:p>
  </w:endnote>
  <w:endnote w:type="continuationSeparator" w:id="0">
    <w:p w14:paraId="5DC71EF3" w14:textId="77777777" w:rsidR="00721245" w:rsidRDefault="007212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2BCE444-8386-45FA-AA75-72D8304868E9}"/>
  </w:font>
  <w:font w:name="Cambria">
    <w:panose1 w:val="02040503050406030204"/>
    <w:charset w:val="00"/>
    <w:family w:val="roman"/>
    <w:pitch w:val="variable"/>
    <w:sig w:usb0="E00006FF" w:usb1="420024FF" w:usb2="02000000" w:usb3="00000000" w:csb0="0000019F" w:csb1="00000000"/>
    <w:embedRegular r:id="rId2" w:fontKey="{C5F1E488-8BC1-4D30-B461-DB1D04A845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5AED7" w14:textId="77777777" w:rsidR="00D92822" w:rsidRDefault="00000000">
    <w:pPr>
      <w:jc w:val="right"/>
    </w:pPr>
    <w:r>
      <w:fldChar w:fldCharType="begin"/>
    </w:r>
    <w:r>
      <w:instrText>PAGE</w:instrText>
    </w:r>
    <w:r>
      <w:fldChar w:fldCharType="separate"/>
    </w:r>
    <w:r w:rsidR="001B458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EC5C0" w14:textId="77777777" w:rsidR="00721245" w:rsidRDefault="00721245">
      <w:pPr>
        <w:spacing w:before="0" w:after="0" w:line="240" w:lineRule="auto"/>
      </w:pPr>
      <w:r>
        <w:separator/>
      </w:r>
    </w:p>
  </w:footnote>
  <w:footnote w:type="continuationSeparator" w:id="0">
    <w:p w14:paraId="582F40BB" w14:textId="77777777" w:rsidR="00721245" w:rsidRDefault="0072124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6616A"/>
    <w:multiLevelType w:val="multilevel"/>
    <w:tmpl w:val="F9689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1055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822"/>
    <w:rsid w:val="000156DF"/>
    <w:rsid w:val="000342D0"/>
    <w:rsid w:val="001B4584"/>
    <w:rsid w:val="002C4DDA"/>
    <w:rsid w:val="00443640"/>
    <w:rsid w:val="004541B0"/>
    <w:rsid w:val="00483997"/>
    <w:rsid w:val="004E2319"/>
    <w:rsid w:val="005533CC"/>
    <w:rsid w:val="005669D1"/>
    <w:rsid w:val="00721245"/>
    <w:rsid w:val="00727C9D"/>
    <w:rsid w:val="00743D94"/>
    <w:rsid w:val="00782461"/>
    <w:rsid w:val="0087715C"/>
    <w:rsid w:val="009D5B65"/>
    <w:rsid w:val="00A763A7"/>
    <w:rsid w:val="00C17E3F"/>
    <w:rsid w:val="00CF5F5C"/>
    <w:rsid w:val="00D16300"/>
    <w:rsid w:val="00D23F79"/>
    <w:rsid w:val="00D92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616EB"/>
  <w15:docId w15:val="{03E591FB-E2C3-4CD7-A9CE-1EEBDDFB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80" w:after="180"/>
      <w:outlineLvl w:val="0"/>
    </w:pPr>
    <w:rPr>
      <w:b/>
    </w:rPr>
  </w:style>
  <w:style w:type="paragraph" w:styleId="Heading2">
    <w:name w:val="heading 2"/>
    <w:basedOn w:val="Normal"/>
    <w:next w:val="Normal"/>
    <w:uiPriority w:val="9"/>
    <w:unhideWhenUsed/>
    <w:qFormat/>
    <w:pPr>
      <w:keepNext/>
      <w:keepLines/>
      <w:spacing w:after="4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before="0"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panmore.com/apple-inc-pestel-pestle-analysis-recommendations" TargetMode="External"/><Relationship Id="rId18" Type="http://schemas.openxmlformats.org/officeDocument/2006/relationships/hyperlink" Target="https://www.mckinsey.com/capabilities/tech-and-ai/our-insights/the-top-trends-in-tech-2024" TargetMode="External"/><Relationship Id="rId26" Type="http://schemas.openxmlformats.org/officeDocument/2006/relationships/hyperlink" Target="https://timespro.com/blog/what-is-pestle-analysis-and-what-are-its-uses-and-components" TargetMode="External"/><Relationship Id="rId3" Type="http://schemas.openxmlformats.org/officeDocument/2006/relationships/styles" Target="styles.xml"/><Relationship Id="rId21" Type="http://schemas.openxmlformats.org/officeDocument/2006/relationships/hyperlink" Target="https://news.samsung.com/global/samsung-electronics-releases-2024-sustainability-report" TargetMode="External"/><Relationship Id="rId7" Type="http://schemas.openxmlformats.org/officeDocument/2006/relationships/endnotes" Target="endnotes.xml"/><Relationship Id="rId12" Type="http://schemas.openxmlformats.org/officeDocument/2006/relationships/hyperlink" Target="https://libguides.libraries.wsu.edu/c.php?g=294263&amp;p=4358409" TargetMode="External"/><Relationship Id="rId17" Type="http://schemas.openxmlformats.org/officeDocument/2006/relationships/hyperlink" Target="https://www.mckinsey.com/capabilities/tech-and-ai/our-insights/the-top-trends-in-tech-2024" TargetMode="External"/><Relationship Id="rId25" Type="http://schemas.openxmlformats.org/officeDocument/2006/relationships/hyperlink" Target="https://timespro.com/blog/what-is-pestle-analysis-and-what-are-its-uses-and-component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arsh.com/en/industries/technology/insights/tech-risk-study.html" TargetMode="External"/><Relationship Id="rId20" Type="http://schemas.openxmlformats.org/officeDocument/2006/relationships/hyperlink" Target="https://blog.oxfordcollegeofmarketing.com/2016/06/30/pestel-analysis/" TargetMode="External"/><Relationship Id="rId29" Type="http://schemas.openxmlformats.org/officeDocument/2006/relationships/hyperlink" Target="https://ir.mi.com/system/files-encrypted/nasdaq_kms/assets/2024/08/21/6-09-16/Xiaomi%20Corp_24Q2_ER_ENG_v22_uploa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guides.libraries.wsu.edu/c.php?g=294263&amp;p=4358409" TargetMode="External"/><Relationship Id="rId24" Type="http://schemas.openxmlformats.org/officeDocument/2006/relationships/hyperlink" Target="https://www.statista.com/topics/840/smartphon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arsh.com/en/industries/technology/insights/tech-risk-study.html" TargetMode="External"/><Relationship Id="rId23" Type="http://schemas.openxmlformats.org/officeDocument/2006/relationships/hyperlink" Target="https://www.statista.com/topics/840/smartphones/" TargetMode="External"/><Relationship Id="rId28" Type="http://schemas.openxmlformats.org/officeDocument/2006/relationships/hyperlink" Target="https://cdn.cnbj1.fds.api.mi-img.com/staticsfile/svhc/2024%20Xiaomi%20Corporation%20Environmental%2C%20Social%2C%20and%20Governance%20Report.pdf" TargetMode="External"/><Relationship Id="rId10" Type="http://schemas.openxmlformats.org/officeDocument/2006/relationships/hyperlink" Target="https://www.apple.com/in/newsroom/2023/06/introducing-apple-vision-pro/" TargetMode="External"/><Relationship Id="rId19" Type="http://schemas.openxmlformats.org/officeDocument/2006/relationships/hyperlink" Target="https://blog.oxfordcollegeofmarketing.com/2016/06/30/pestel-analys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pple.com/environment/pdf/Apple_Environmental_Progress_Report_2023.pdf" TargetMode="External"/><Relationship Id="rId14" Type="http://schemas.openxmlformats.org/officeDocument/2006/relationships/hyperlink" Target="https://panmore.com/apple-inc-pestel-pestle-analysis-recommendations" TargetMode="External"/><Relationship Id="rId22" Type="http://schemas.openxmlformats.org/officeDocument/2006/relationships/hyperlink" Target="https://news.samsung.com/global/samsung-electronics-releases-2024-sustainability-report" TargetMode="External"/><Relationship Id="rId27" Type="http://schemas.openxmlformats.org/officeDocument/2006/relationships/hyperlink" Target="https://cdn.cnbj1.fds.api.mi-img.com/staticsfile/svhc/2024%20Xiaomi%20Corporation%20Environmental%2C%20Social%2C%20and%20Governance%20Report.pdf" TargetMode="External"/><Relationship Id="rId30" Type="http://schemas.openxmlformats.org/officeDocument/2006/relationships/hyperlink" Target="https://ir.mi.com/system/files-encrypted/nasdaq_kms/assets/2024/08/21/6-09-16/Xiaomi%20Corp_24Q2_ER_ENG_v22_upload.pdf"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AVXdeRRY4TRkDEdUM9s7D44MEQ==">CgMxLjAyDmguYnBqenE5ajBsb3F4Mg5oLnE2dW5kdm5udDZubDIOaC5mOWZzbjlldTJhbWsyDmgubXJ4azFsbmdwcWhxMg5oLmQzNHZzM2Y3emV4eTIOaC40MTJpcGZkYXRhejEyDmguMzB2cDFrdGNqeDV0Mg5oLnZzeDQ4djJkaTRnZTIOaC52eWJ1aDl0bWx1N3oyDmguczExaXpzdXQ4NHdsMg5oLnR1am40N3JpN3h3NzIOaC53dXkyaHdwbHp5MmQyDmguZHJxYmJhdGZxaDUyMg5oLm5xbzN3Ym9xaXJrMzgAciExOWQtV1hDMDE5QVdDX2FYb01HMXktaU9pUkxhX1N2Q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3401</TotalTime>
  <Pages>14</Pages>
  <Words>3370</Words>
  <Characters>21570</Characters>
  <Application>Microsoft Office Word</Application>
  <DocSecurity>0</DocSecurity>
  <Lines>385</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Henri William Rabeh (2115861)</cp:lastModifiedBy>
  <cp:revision>2</cp:revision>
  <dcterms:created xsi:type="dcterms:W3CDTF">2025-11-20T20:23:00Z</dcterms:created>
  <dcterms:modified xsi:type="dcterms:W3CDTF">2025-11-20T20:23:00Z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6ef67fc7-b93b-40ad-9d33-dd6ac73d66bd</vt:lpwstr>
  </property>
</Properties>
</file>