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2768F" w14:textId="7061C761" w:rsidR="00307AD0" w:rsidRDefault="00AF11AB" w:rsidP="007A7AAF">
      <w:pPr>
        <w:spacing w:line="360" w:lineRule="auto"/>
        <w:rPr>
          <w:sz w:val="22"/>
          <w:szCs w:val="22"/>
        </w:rPr>
      </w:pPr>
      <w:r>
        <w:rPr>
          <w:sz w:val="22"/>
          <w:szCs w:val="22"/>
        </w:rPr>
        <w:t>Student Name: Yama Kanteh</w:t>
      </w:r>
    </w:p>
    <w:p w14:paraId="6BD7D641" w14:textId="55379B1A" w:rsidR="00AF11AB" w:rsidRDefault="00AF11AB" w:rsidP="007A7AAF">
      <w:pPr>
        <w:spacing w:line="360" w:lineRule="auto"/>
        <w:rPr>
          <w:sz w:val="22"/>
          <w:szCs w:val="22"/>
        </w:rPr>
      </w:pPr>
      <w:r>
        <w:rPr>
          <w:sz w:val="22"/>
          <w:szCs w:val="22"/>
        </w:rPr>
        <w:t>Student ID number: 2428898</w:t>
      </w:r>
    </w:p>
    <w:p w14:paraId="583625B6" w14:textId="7D77AD9E" w:rsidR="00AF11AB" w:rsidRDefault="00AF11AB" w:rsidP="007A7AAF">
      <w:pPr>
        <w:spacing w:line="360" w:lineRule="auto"/>
        <w:rPr>
          <w:sz w:val="22"/>
          <w:szCs w:val="22"/>
        </w:rPr>
      </w:pPr>
      <w:r>
        <w:rPr>
          <w:sz w:val="22"/>
          <w:szCs w:val="22"/>
        </w:rPr>
        <w:t>Programme: Certificate of Higher Education in Health and Social Care</w:t>
      </w:r>
    </w:p>
    <w:p w14:paraId="46BFB387" w14:textId="717EAA0A" w:rsidR="00AF11AB" w:rsidRDefault="00AF11AB" w:rsidP="007A7AAF">
      <w:pPr>
        <w:spacing w:line="360" w:lineRule="auto"/>
        <w:rPr>
          <w:sz w:val="22"/>
          <w:szCs w:val="22"/>
        </w:rPr>
      </w:pPr>
      <w:r>
        <w:rPr>
          <w:sz w:val="22"/>
          <w:szCs w:val="22"/>
        </w:rPr>
        <w:t>Module: Psychology in Health and Social Care</w:t>
      </w:r>
    </w:p>
    <w:p w14:paraId="08274FC6" w14:textId="57EBC9AF" w:rsidR="00AF11AB" w:rsidRDefault="00AF11AB" w:rsidP="007A7AAF">
      <w:pPr>
        <w:spacing w:line="360" w:lineRule="auto"/>
        <w:rPr>
          <w:sz w:val="22"/>
          <w:szCs w:val="22"/>
        </w:rPr>
      </w:pPr>
      <w:r>
        <w:rPr>
          <w:sz w:val="22"/>
          <w:szCs w:val="22"/>
        </w:rPr>
        <w:t>Module code: LCHS4010</w:t>
      </w:r>
    </w:p>
    <w:p w14:paraId="432A5308" w14:textId="1070C891" w:rsidR="00DB5BB8" w:rsidRDefault="00DB5BB8" w:rsidP="007A7AAF">
      <w:pPr>
        <w:spacing w:line="360" w:lineRule="auto"/>
        <w:rPr>
          <w:sz w:val="22"/>
          <w:szCs w:val="22"/>
        </w:rPr>
      </w:pPr>
      <w:r>
        <w:rPr>
          <w:sz w:val="22"/>
          <w:szCs w:val="22"/>
        </w:rPr>
        <w:t>Lecturer: Muhamm</w:t>
      </w:r>
      <w:r w:rsidR="00276BCC">
        <w:rPr>
          <w:sz w:val="22"/>
          <w:szCs w:val="22"/>
        </w:rPr>
        <w:t>a</w:t>
      </w:r>
      <w:r>
        <w:rPr>
          <w:sz w:val="22"/>
          <w:szCs w:val="22"/>
        </w:rPr>
        <w:t>d Aliyu</w:t>
      </w:r>
    </w:p>
    <w:p w14:paraId="58D4BF47" w14:textId="74BADD55" w:rsidR="00DB5BB8" w:rsidRPr="007A7AAF" w:rsidRDefault="00DB5BB8" w:rsidP="007A7AAF">
      <w:pPr>
        <w:spacing w:line="360" w:lineRule="auto"/>
        <w:rPr>
          <w:sz w:val="22"/>
          <w:szCs w:val="22"/>
        </w:rPr>
      </w:pPr>
      <w:r>
        <w:rPr>
          <w:sz w:val="22"/>
          <w:szCs w:val="22"/>
        </w:rPr>
        <w:t>Assignment Title: Assignment 2: Written Task</w:t>
      </w:r>
    </w:p>
    <w:p w14:paraId="34F24786" w14:textId="51BF67C1" w:rsidR="009B40EA" w:rsidRPr="007A7AAF" w:rsidRDefault="00307AD0" w:rsidP="007A7AAF">
      <w:pPr>
        <w:spacing w:line="360" w:lineRule="auto"/>
        <w:rPr>
          <w:sz w:val="22"/>
          <w:szCs w:val="22"/>
        </w:rPr>
      </w:pPr>
      <w:r w:rsidRPr="007A7AAF">
        <w:rPr>
          <w:sz w:val="22"/>
          <w:szCs w:val="22"/>
        </w:rPr>
        <w:t xml:space="preserve">Adults aged 65 and over represent a diverse segment of our population that have managed to make it to such a life stage. </w:t>
      </w:r>
      <w:r w:rsidR="004513DF" w:rsidRPr="007A7AAF">
        <w:rPr>
          <w:sz w:val="22"/>
          <w:szCs w:val="22"/>
        </w:rPr>
        <w:t>However,</w:t>
      </w:r>
      <w:r w:rsidRPr="007A7AAF">
        <w:rPr>
          <w:sz w:val="22"/>
          <w:szCs w:val="22"/>
        </w:rPr>
        <w:t xml:space="preserve"> with </w:t>
      </w:r>
      <w:r w:rsidR="004513DF" w:rsidRPr="007A7AAF">
        <w:rPr>
          <w:sz w:val="22"/>
          <w:szCs w:val="22"/>
        </w:rPr>
        <w:t xml:space="preserve">age we see an increasing </w:t>
      </w:r>
      <w:r w:rsidRPr="007A7AAF">
        <w:rPr>
          <w:sz w:val="22"/>
          <w:szCs w:val="22"/>
        </w:rPr>
        <w:t>dependen</w:t>
      </w:r>
      <w:r w:rsidR="004513DF" w:rsidRPr="007A7AAF">
        <w:rPr>
          <w:sz w:val="22"/>
          <w:szCs w:val="22"/>
        </w:rPr>
        <w:t>cy</w:t>
      </w:r>
      <w:r w:rsidRPr="007A7AAF">
        <w:rPr>
          <w:sz w:val="22"/>
          <w:szCs w:val="22"/>
        </w:rPr>
        <w:t xml:space="preserve"> on </w:t>
      </w:r>
      <w:r w:rsidR="004513DF" w:rsidRPr="007A7AAF">
        <w:rPr>
          <w:sz w:val="22"/>
          <w:szCs w:val="22"/>
        </w:rPr>
        <w:t>others</w:t>
      </w:r>
      <w:r w:rsidRPr="007A7AAF">
        <w:rPr>
          <w:sz w:val="22"/>
          <w:szCs w:val="22"/>
        </w:rPr>
        <w:t xml:space="preserve"> to tend to their needs as they start to hit major transitions such as retirement which may have a negative impact on how they depict their level of dependency</w:t>
      </w:r>
      <w:r w:rsidR="0098476B" w:rsidRPr="007A7AAF">
        <w:rPr>
          <w:sz w:val="22"/>
          <w:szCs w:val="22"/>
        </w:rPr>
        <w:t xml:space="preserve"> from a social aspect. The most detrimental challenge a person aged 65 and over could go through is the complex psychological changes that we as carers are still trying to grasp. According to the Mental Health Foundation, depression affects around 22% of men and 28% of women aged 65 years and over. Obstacles they may face as someone aged 65 such as declining health</w:t>
      </w:r>
      <w:r w:rsidR="009B40EA" w:rsidRPr="007A7AAF">
        <w:rPr>
          <w:rStyle w:val="FootnoteReference"/>
          <w:sz w:val="22"/>
          <w:szCs w:val="22"/>
        </w:rPr>
        <w:footnoteReference w:id="1"/>
      </w:r>
      <w:r w:rsidR="0098476B" w:rsidRPr="007A7AAF">
        <w:rPr>
          <w:sz w:val="22"/>
          <w:szCs w:val="22"/>
        </w:rPr>
        <w:t xml:space="preserve">, reduced independence and social isolation can govern the feeling of vulnerability which can lead to such psychological conditions </w:t>
      </w:r>
      <w:r w:rsidR="009B40EA" w:rsidRPr="007A7AAF">
        <w:rPr>
          <w:sz w:val="22"/>
          <w:szCs w:val="22"/>
        </w:rPr>
        <w:t xml:space="preserve">such as depression, anxiety and cognitive decline </w:t>
      </w:r>
      <w:r w:rsidR="0098476B" w:rsidRPr="007A7AAF">
        <w:rPr>
          <w:sz w:val="22"/>
          <w:szCs w:val="22"/>
        </w:rPr>
        <w:t>arising.</w:t>
      </w:r>
      <w:r w:rsidR="009B40EA" w:rsidRPr="007A7AAF">
        <w:rPr>
          <w:sz w:val="22"/>
          <w:szCs w:val="22"/>
        </w:rPr>
        <w:t xml:space="preserve"> This is why it is important for health professionals to have knowledge on the psychological effects of aging as well as the physical so proper assessments, care plan formation, intervention planning and ongoing support can be tailored to a resident’s specific needs.</w:t>
      </w:r>
    </w:p>
    <w:p w14:paraId="4204A104" w14:textId="15696641" w:rsidR="009B40EA" w:rsidRPr="007A7AAF" w:rsidRDefault="009B40EA" w:rsidP="007A7AAF">
      <w:pPr>
        <w:spacing w:line="360" w:lineRule="auto"/>
        <w:rPr>
          <w:sz w:val="22"/>
          <w:szCs w:val="22"/>
        </w:rPr>
      </w:pPr>
      <w:r w:rsidRPr="007A7AAF">
        <w:rPr>
          <w:sz w:val="22"/>
          <w:szCs w:val="22"/>
        </w:rPr>
        <w:t xml:space="preserve">This report is going to engage with psychological theories that relates specifically to adults aged 65 and over within the care home setting. We </w:t>
      </w:r>
      <w:r w:rsidR="004513DF" w:rsidRPr="007A7AAF">
        <w:rPr>
          <w:sz w:val="22"/>
          <w:szCs w:val="22"/>
        </w:rPr>
        <w:t>zoom</w:t>
      </w:r>
      <w:r w:rsidRPr="007A7AAF">
        <w:rPr>
          <w:sz w:val="22"/>
          <w:szCs w:val="22"/>
        </w:rPr>
        <w:t xml:space="preserve"> into the theories developed by Erikson and Bowlby as they have gone into depth touching on the developmental process</w:t>
      </w:r>
      <w:r w:rsidR="000B3C06" w:rsidRPr="007A7AAF">
        <w:rPr>
          <w:sz w:val="22"/>
          <w:szCs w:val="22"/>
        </w:rPr>
        <w:t>es</w:t>
      </w:r>
      <w:r w:rsidRPr="007A7AAF">
        <w:rPr>
          <w:sz w:val="22"/>
          <w:szCs w:val="22"/>
        </w:rPr>
        <w:t xml:space="preserve"> of a person and how elderly people have reached the psychological capacity they display and how we can work around that and cater to their current needs.</w:t>
      </w:r>
      <w:r w:rsidR="0053777A" w:rsidRPr="007A7AAF">
        <w:rPr>
          <w:sz w:val="22"/>
          <w:szCs w:val="22"/>
        </w:rPr>
        <w:t xml:space="preserve"> Both theorists offer an insight into how we can appeal to the needs of the elderly both psychologically and emotionally hence why this report will be focusing on these two theorists and how their findings c</w:t>
      </w:r>
      <w:r w:rsidR="00444A30" w:rsidRPr="007A7AAF">
        <w:rPr>
          <w:sz w:val="22"/>
          <w:szCs w:val="22"/>
        </w:rPr>
        <w:t>an be applied practically through the residential care we intend to provide including primary and secondary care, therapeutic and domiciliary support.</w:t>
      </w:r>
    </w:p>
    <w:p w14:paraId="4D163AFC" w14:textId="40BE15C7" w:rsidR="00444A30" w:rsidRPr="007A7AAF" w:rsidRDefault="00444A30" w:rsidP="007A7AAF">
      <w:pPr>
        <w:spacing w:line="360" w:lineRule="auto"/>
        <w:rPr>
          <w:sz w:val="22"/>
          <w:szCs w:val="22"/>
        </w:rPr>
      </w:pPr>
      <w:r w:rsidRPr="007A7AAF">
        <w:rPr>
          <w:sz w:val="22"/>
          <w:szCs w:val="22"/>
        </w:rPr>
        <w:lastRenderedPageBreak/>
        <w:t xml:space="preserve">Firstly, Erik Erikson highlights </w:t>
      </w:r>
      <w:r w:rsidR="00347F17" w:rsidRPr="007A7AAF">
        <w:rPr>
          <w:sz w:val="22"/>
          <w:szCs w:val="22"/>
        </w:rPr>
        <w:t xml:space="preserve">every life stage we go through and categorised them into eight life stages, in this context however it is best we focus on the eighth life stage which Integrity vs Despair. This refers to how individuals that have reached late adulthood will now take time and </w:t>
      </w:r>
      <w:r w:rsidR="00122315" w:rsidRPr="007A7AAF">
        <w:rPr>
          <w:sz w:val="22"/>
          <w:szCs w:val="22"/>
        </w:rPr>
        <w:t>conduct their own personal life review, r</w:t>
      </w:r>
      <w:r w:rsidR="00347F17" w:rsidRPr="007A7AAF">
        <w:rPr>
          <w:sz w:val="22"/>
          <w:szCs w:val="22"/>
        </w:rPr>
        <w:t>eflect</w:t>
      </w:r>
      <w:r w:rsidR="00122315" w:rsidRPr="007A7AAF">
        <w:rPr>
          <w:sz w:val="22"/>
          <w:szCs w:val="22"/>
        </w:rPr>
        <w:t>ing</w:t>
      </w:r>
      <w:r w:rsidR="00347F17" w:rsidRPr="007A7AAF">
        <w:rPr>
          <w:sz w:val="22"/>
          <w:szCs w:val="22"/>
        </w:rPr>
        <w:t xml:space="preserve"> on what they have accomplished</w:t>
      </w:r>
      <w:r w:rsidR="00122315" w:rsidRPr="007A7AAF">
        <w:rPr>
          <w:sz w:val="22"/>
          <w:szCs w:val="22"/>
        </w:rPr>
        <w:t xml:space="preserve"> and built throughout their life shaping them into the person they identify with at this current time. This time of reflection can go one of two ways, if they view the experiences they have gained up until the last stage of life as meaningful, they achieve ego integrity which is that sense of satisfaction and </w:t>
      </w:r>
      <w:r w:rsidR="001147DF" w:rsidRPr="007A7AAF">
        <w:rPr>
          <w:sz w:val="22"/>
          <w:szCs w:val="22"/>
        </w:rPr>
        <w:t>readiness</w:t>
      </w:r>
      <w:r w:rsidR="00122315" w:rsidRPr="007A7AAF">
        <w:rPr>
          <w:sz w:val="22"/>
          <w:szCs w:val="22"/>
        </w:rPr>
        <w:t xml:space="preserve"> to face life’s end as they feel accomplished </w:t>
      </w:r>
      <w:r w:rsidR="001147DF" w:rsidRPr="007A7AAF">
        <w:rPr>
          <w:sz w:val="22"/>
          <w:szCs w:val="22"/>
        </w:rPr>
        <w:t>and that there is nothing else they need to do to make themselves feel accomplished</w:t>
      </w:r>
      <w:r w:rsidR="001147DF" w:rsidRPr="007A7AAF">
        <w:rPr>
          <w:rStyle w:val="FootnoteReference"/>
          <w:sz w:val="22"/>
          <w:szCs w:val="22"/>
        </w:rPr>
        <w:footnoteReference w:id="2"/>
      </w:r>
      <w:r w:rsidR="001147DF" w:rsidRPr="007A7AAF">
        <w:rPr>
          <w:sz w:val="22"/>
          <w:szCs w:val="22"/>
        </w:rPr>
        <w:t>. However, if they feel like they did not get to accomplish everything they could in life or that they gave fallen short of the true essence of living a meaningful life then that is what Erikson would refer to a despair. Despair is marked by regret and resent</w:t>
      </w:r>
      <w:r w:rsidR="008610CF" w:rsidRPr="007A7AAF">
        <w:rPr>
          <w:sz w:val="22"/>
          <w:szCs w:val="22"/>
        </w:rPr>
        <w:t xml:space="preserve"> for</w:t>
      </w:r>
      <w:r w:rsidR="001147DF" w:rsidRPr="007A7AAF">
        <w:rPr>
          <w:sz w:val="22"/>
          <w:szCs w:val="22"/>
        </w:rPr>
        <w:t xml:space="preserve"> what they could have been, this could lead to the</w:t>
      </w:r>
      <w:r w:rsidR="008610CF" w:rsidRPr="007A7AAF">
        <w:rPr>
          <w:sz w:val="22"/>
          <w:szCs w:val="22"/>
        </w:rPr>
        <w:t>m</w:t>
      </w:r>
      <w:r w:rsidR="001147DF" w:rsidRPr="007A7AAF">
        <w:rPr>
          <w:sz w:val="22"/>
          <w:szCs w:val="22"/>
        </w:rPr>
        <w:t xml:space="preserve"> feeling confused, hopeless and nonetheless fearful of death. Older adults with psychological conditions </w:t>
      </w:r>
      <w:r w:rsidR="00217385" w:rsidRPr="007A7AAF">
        <w:rPr>
          <w:sz w:val="22"/>
          <w:szCs w:val="22"/>
        </w:rPr>
        <w:t>may</w:t>
      </w:r>
      <w:r w:rsidR="001147DF" w:rsidRPr="007A7AAF">
        <w:rPr>
          <w:sz w:val="22"/>
          <w:szCs w:val="22"/>
        </w:rPr>
        <w:t xml:space="preserve"> struggle with this pivotal task</w:t>
      </w:r>
      <w:r w:rsidR="00217385" w:rsidRPr="007A7AAF">
        <w:rPr>
          <w:sz w:val="22"/>
          <w:szCs w:val="22"/>
        </w:rPr>
        <w:t xml:space="preserve">, barriers they face such as illness, increased loneliness that can make them feel isolated and alone or the fact that they do not hold the same mental capacity that they had within a previous life stage can really intensify this feeling of despair which is something </w:t>
      </w:r>
      <w:r w:rsidR="008610CF" w:rsidRPr="007A7AAF">
        <w:rPr>
          <w:sz w:val="22"/>
          <w:szCs w:val="22"/>
        </w:rPr>
        <w:t xml:space="preserve"> that should be </w:t>
      </w:r>
      <w:r w:rsidR="00217385" w:rsidRPr="007A7AAF">
        <w:rPr>
          <w:sz w:val="22"/>
          <w:szCs w:val="22"/>
        </w:rPr>
        <w:t>acknowledge and therefore find ways to ease this feeling of despair that may be present within elderly residents within care homes.</w:t>
      </w:r>
    </w:p>
    <w:p w14:paraId="224135DF" w14:textId="4574A987" w:rsidR="00FD213F" w:rsidRPr="007A7AAF" w:rsidRDefault="00217385" w:rsidP="007A7AAF">
      <w:pPr>
        <w:spacing w:line="360" w:lineRule="auto"/>
        <w:rPr>
          <w:sz w:val="22"/>
          <w:szCs w:val="22"/>
        </w:rPr>
      </w:pPr>
      <w:r w:rsidRPr="007A7AAF">
        <w:rPr>
          <w:sz w:val="22"/>
          <w:szCs w:val="22"/>
        </w:rPr>
        <w:t xml:space="preserve">As care workers we can utilise Erikson’s psychological theory to draw up necessary interventions </w:t>
      </w:r>
      <w:r w:rsidR="008610CF" w:rsidRPr="007A7AAF">
        <w:rPr>
          <w:sz w:val="22"/>
          <w:szCs w:val="22"/>
        </w:rPr>
        <w:t>and</w:t>
      </w:r>
      <w:r w:rsidRPr="007A7AAF">
        <w:rPr>
          <w:sz w:val="22"/>
          <w:szCs w:val="22"/>
        </w:rPr>
        <w:t xml:space="preserve"> next steps to facilitating residents with psychological conditions</w:t>
      </w:r>
      <w:r w:rsidR="008610CF" w:rsidRPr="007A7AAF">
        <w:rPr>
          <w:sz w:val="22"/>
          <w:szCs w:val="22"/>
        </w:rPr>
        <w:t xml:space="preserve">, </w:t>
      </w:r>
      <w:r w:rsidRPr="007A7AAF">
        <w:rPr>
          <w:sz w:val="22"/>
          <w:szCs w:val="22"/>
        </w:rPr>
        <w:t xml:space="preserve">tailoring their quality of care to the needs of the residents.  </w:t>
      </w:r>
      <w:r w:rsidR="0018121B" w:rsidRPr="007A7AAF">
        <w:rPr>
          <w:sz w:val="22"/>
          <w:szCs w:val="22"/>
        </w:rPr>
        <w:t xml:space="preserve">The use of Erikson’s theory within care homes can help care workers navigate how to assist residents with dementia achieve that meaningful sense of satisfaction and fulfilment within the last stage of their life. This sense of fulfilment can be manifested in many ways such as facilitating purposeful and engaging activities for residents. </w:t>
      </w:r>
      <w:r w:rsidR="00FD213F" w:rsidRPr="007A7AAF">
        <w:rPr>
          <w:sz w:val="22"/>
          <w:szCs w:val="22"/>
        </w:rPr>
        <w:t xml:space="preserve">It would be very beneficial if staff encouraged </w:t>
      </w:r>
      <w:r w:rsidR="0018121B" w:rsidRPr="007A7AAF">
        <w:rPr>
          <w:sz w:val="22"/>
          <w:szCs w:val="22"/>
        </w:rPr>
        <w:t xml:space="preserve">residents to engage in </w:t>
      </w:r>
      <w:r w:rsidR="00FD213F" w:rsidRPr="007A7AAF">
        <w:rPr>
          <w:sz w:val="22"/>
          <w:szCs w:val="22"/>
        </w:rPr>
        <w:t>activities</w:t>
      </w:r>
      <w:r w:rsidR="0018121B" w:rsidRPr="007A7AAF">
        <w:rPr>
          <w:sz w:val="22"/>
          <w:szCs w:val="22"/>
        </w:rPr>
        <w:t xml:space="preserve"> such as gardening, sewing, </w:t>
      </w:r>
      <w:r w:rsidR="00FD213F" w:rsidRPr="007A7AAF">
        <w:rPr>
          <w:sz w:val="22"/>
          <w:szCs w:val="22"/>
        </w:rPr>
        <w:t>cook</w:t>
      </w:r>
      <w:r w:rsidR="0018121B" w:rsidRPr="007A7AAF">
        <w:rPr>
          <w:sz w:val="22"/>
          <w:szCs w:val="22"/>
        </w:rPr>
        <w:t>ing</w:t>
      </w:r>
      <w:r w:rsidR="00FD213F" w:rsidRPr="007A7AAF">
        <w:rPr>
          <w:sz w:val="22"/>
          <w:szCs w:val="22"/>
        </w:rPr>
        <w:t xml:space="preserve"> or</w:t>
      </w:r>
      <w:r w:rsidR="00821C76">
        <w:rPr>
          <w:sz w:val="22"/>
          <w:szCs w:val="22"/>
        </w:rPr>
        <w:t xml:space="preserve"> even passing on knowledge gained from their life experiences as it may bring them a sense of fulfilment and sense of self</w:t>
      </w:r>
      <w:r w:rsidR="00FD213F" w:rsidRPr="007A7AAF">
        <w:rPr>
          <w:sz w:val="22"/>
          <w:szCs w:val="22"/>
        </w:rPr>
        <w:t xml:space="preserve">. Involving residents in group activities encourages </w:t>
      </w:r>
      <w:r w:rsidR="004513DF" w:rsidRPr="007A7AAF">
        <w:rPr>
          <w:sz w:val="22"/>
          <w:szCs w:val="22"/>
        </w:rPr>
        <w:t xml:space="preserve">emotional well-being, physical health and even cognitive function through </w:t>
      </w:r>
      <w:r w:rsidR="00FD213F" w:rsidRPr="007A7AAF">
        <w:rPr>
          <w:sz w:val="22"/>
          <w:szCs w:val="22"/>
        </w:rPr>
        <w:t>maintaining a social life</w:t>
      </w:r>
      <w:r w:rsidR="004513DF" w:rsidRPr="007A7AAF">
        <w:rPr>
          <w:sz w:val="22"/>
          <w:szCs w:val="22"/>
        </w:rPr>
        <w:t xml:space="preserve"> and </w:t>
      </w:r>
      <w:r w:rsidR="00FD213F" w:rsidRPr="007A7AAF">
        <w:rPr>
          <w:sz w:val="22"/>
          <w:szCs w:val="22"/>
        </w:rPr>
        <w:t>build</w:t>
      </w:r>
      <w:r w:rsidR="004513DF" w:rsidRPr="007A7AAF">
        <w:rPr>
          <w:sz w:val="22"/>
          <w:szCs w:val="22"/>
        </w:rPr>
        <w:t>ing</w:t>
      </w:r>
      <w:r w:rsidR="00FD213F" w:rsidRPr="007A7AAF">
        <w:rPr>
          <w:sz w:val="22"/>
          <w:szCs w:val="22"/>
        </w:rPr>
        <w:t xml:space="preserve"> social connections as it is easy for those of old</w:t>
      </w:r>
      <w:r w:rsidR="004513DF" w:rsidRPr="007A7AAF">
        <w:rPr>
          <w:sz w:val="22"/>
          <w:szCs w:val="22"/>
        </w:rPr>
        <w:t xml:space="preserve">er people, </w:t>
      </w:r>
      <w:r w:rsidR="00FD213F" w:rsidRPr="007A7AAF">
        <w:rPr>
          <w:sz w:val="22"/>
          <w:szCs w:val="22"/>
        </w:rPr>
        <w:t>especially with a psychological health condition like dementia to be isolated and feel alone</w:t>
      </w:r>
      <w:r w:rsidR="004513DF" w:rsidRPr="007A7AAF">
        <w:rPr>
          <w:rStyle w:val="FootnoteReference"/>
          <w:sz w:val="22"/>
          <w:szCs w:val="22"/>
        </w:rPr>
        <w:footnoteReference w:id="3"/>
      </w:r>
      <w:r w:rsidR="00FD213F" w:rsidRPr="007A7AAF">
        <w:rPr>
          <w:sz w:val="22"/>
          <w:szCs w:val="22"/>
        </w:rPr>
        <w:t>.</w:t>
      </w:r>
    </w:p>
    <w:p w14:paraId="6B2EA779" w14:textId="77777777" w:rsidR="00FD213F" w:rsidRPr="007A7AAF" w:rsidRDefault="00FD213F" w:rsidP="007A7AAF">
      <w:pPr>
        <w:spacing w:line="360" w:lineRule="auto"/>
        <w:rPr>
          <w:sz w:val="22"/>
          <w:szCs w:val="22"/>
        </w:rPr>
      </w:pPr>
    </w:p>
    <w:p w14:paraId="04088227" w14:textId="4DAF2578" w:rsidR="00217385" w:rsidRPr="007A7AAF" w:rsidRDefault="00FD213F" w:rsidP="007A7AAF">
      <w:pPr>
        <w:spacing w:line="360" w:lineRule="auto"/>
        <w:rPr>
          <w:sz w:val="22"/>
          <w:szCs w:val="22"/>
        </w:rPr>
      </w:pPr>
      <w:r w:rsidRPr="007A7AAF">
        <w:rPr>
          <w:sz w:val="22"/>
          <w:szCs w:val="22"/>
        </w:rPr>
        <w:t xml:space="preserve">Erikson’s theory provides </w:t>
      </w:r>
      <w:r w:rsidR="00653BC4" w:rsidRPr="007A7AAF">
        <w:rPr>
          <w:sz w:val="22"/>
          <w:szCs w:val="22"/>
        </w:rPr>
        <w:t xml:space="preserve">a general understanding of the emotional needs of </w:t>
      </w:r>
      <w:r w:rsidR="008610CF" w:rsidRPr="007A7AAF">
        <w:rPr>
          <w:sz w:val="22"/>
          <w:szCs w:val="22"/>
        </w:rPr>
        <w:t xml:space="preserve">the </w:t>
      </w:r>
      <w:r w:rsidR="00821C76" w:rsidRPr="007A7AAF">
        <w:rPr>
          <w:sz w:val="22"/>
          <w:szCs w:val="22"/>
        </w:rPr>
        <w:t>elderly;</w:t>
      </w:r>
      <w:r w:rsidR="008610CF" w:rsidRPr="007A7AAF">
        <w:rPr>
          <w:sz w:val="22"/>
          <w:szCs w:val="22"/>
        </w:rPr>
        <w:t xml:space="preserve"> however</w:t>
      </w:r>
      <w:r w:rsidR="000E3328">
        <w:rPr>
          <w:sz w:val="22"/>
          <w:szCs w:val="22"/>
        </w:rPr>
        <w:t>,</w:t>
      </w:r>
      <w:r w:rsidR="00653BC4" w:rsidRPr="007A7AAF">
        <w:rPr>
          <w:sz w:val="22"/>
          <w:szCs w:val="22"/>
        </w:rPr>
        <w:t xml:space="preserve"> the theory is very generic and oversimplified as it </w:t>
      </w:r>
      <w:r w:rsidR="004513DF" w:rsidRPr="007A7AAF">
        <w:rPr>
          <w:sz w:val="22"/>
          <w:szCs w:val="22"/>
        </w:rPr>
        <w:t>categorises</w:t>
      </w:r>
      <w:r w:rsidR="00653BC4" w:rsidRPr="007A7AAF">
        <w:rPr>
          <w:sz w:val="22"/>
          <w:szCs w:val="22"/>
        </w:rPr>
        <w:t xml:space="preserve"> human development of into fixed stages that may not necessarily apply to everyone of that age.</w:t>
      </w:r>
      <w:r w:rsidR="00342AC4" w:rsidRPr="007A7AAF">
        <w:rPr>
          <w:sz w:val="22"/>
          <w:szCs w:val="22"/>
        </w:rPr>
        <w:t xml:space="preserve"> Things that have not been considered that can affect how one reviews their life at the stage of integrity vs despair may depend on the cultural values they have been taught. For example, the elderly are highly respected </w:t>
      </w:r>
      <w:r w:rsidR="004513DF" w:rsidRPr="007A7AAF">
        <w:rPr>
          <w:sz w:val="22"/>
          <w:szCs w:val="22"/>
        </w:rPr>
        <w:t xml:space="preserve">and </w:t>
      </w:r>
      <w:r w:rsidR="00342AC4" w:rsidRPr="007A7AAF">
        <w:rPr>
          <w:sz w:val="22"/>
          <w:szCs w:val="22"/>
        </w:rPr>
        <w:t xml:space="preserve">valued in other cultures as age is associated with wisdom that they have accumulated throughout their lifetime, therefore the idea of reflecting on their life may not apply to every </w:t>
      </w:r>
      <w:r w:rsidR="00911027" w:rsidRPr="007A7AAF">
        <w:rPr>
          <w:sz w:val="22"/>
          <w:szCs w:val="22"/>
        </w:rPr>
        <w:t>e</w:t>
      </w:r>
      <w:r w:rsidR="00342AC4" w:rsidRPr="007A7AAF">
        <w:rPr>
          <w:sz w:val="22"/>
          <w:szCs w:val="22"/>
        </w:rPr>
        <w:t>lder</w:t>
      </w:r>
      <w:r w:rsidR="00911027" w:rsidRPr="007A7AAF">
        <w:rPr>
          <w:sz w:val="22"/>
          <w:szCs w:val="22"/>
        </w:rPr>
        <w:t>ly</w:t>
      </w:r>
      <w:r w:rsidR="00342AC4" w:rsidRPr="007A7AAF">
        <w:rPr>
          <w:sz w:val="22"/>
          <w:szCs w:val="22"/>
        </w:rPr>
        <w:t xml:space="preserve"> person. Erikson</w:t>
      </w:r>
      <w:r w:rsidR="008610CF" w:rsidRPr="007A7AAF">
        <w:rPr>
          <w:sz w:val="22"/>
          <w:szCs w:val="22"/>
        </w:rPr>
        <w:t xml:space="preserve"> also</w:t>
      </w:r>
      <w:r w:rsidR="00342AC4" w:rsidRPr="007A7AAF">
        <w:rPr>
          <w:sz w:val="22"/>
          <w:szCs w:val="22"/>
        </w:rPr>
        <w:t xml:space="preserve"> did not consider the</w:t>
      </w:r>
      <w:r w:rsidR="008610CF" w:rsidRPr="007A7AAF">
        <w:rPr>
          <w:sz w:val="22"/>
          <w:szCs w:val="22"/>
        </w:rPr>
        <w:t xml:space="preserve"> </w:t>
      </w:r>
      <w:r w:rsidR="00342AC4" w:rsidRPr="007A7AAF">
        <w:rPr>
          <w:sz w:val="22"/>
          <w:szCs w:val="22"/>
        </w:rPr>
        <w:t xml:space="preserve">capacity needed to go through this stage, residents with dementia or Alzheimer’s do not have the mental capacity to reflect on their life </w:t>
      </w:r>
      <w:r w:rsidR="00FE1E12" w:rsidRPr="007A7AAF">
        <w:rPr>
          <w:sz w:val="22"/>
          <w:szCs w:val="22"/>
        </w:rPr>
        <w:t>and the suggested activities to help them feel integrity or despair is just not a stage they can transition through.</w:t>
      </w:r>
      <w:r w:rsidR="00342AC4" w:rsidRPr="007A7AAF">
        <w:rPr>
          <w:sz w:val="22"/>
          <w:szCs w:val="22"/>
        </w:rPr>
        <w:t xml:space="preserve">  </w:t>
      </w:r>
      <w:r w:rsidR="008B1B9E" w:rsidRPr="007A7AAF">
        <w:rPr>
          <w:sz w:val="22"/>
          <w:szCs w:val="22"/>
        </w:rPr>
        <w:t>D</w:t>
      </w:r>
      <w:r w:rsidR="00FE1E12" w:rsidRPr="007A7AAF">
        <w:rPr>
          <w:sz w:val="22"/>
          <w:szCs w:val="22"/>
        </w:rPr>
        <w:t>espite these limitations, Eriksons theory offers a clear insight into how carers can construct empathetic and therapeutic care.</w:t>
      </w:r>
    </w:p>
    <w:p w14:paraId="677A3F49" w14:textId="63BB6E7C" w:rsidR="00FE1E12" w:rsidRPr="007A7AAF" w:rsidRDefault="00FE1E12" w:rsidP="007A7AAF">
      <w:pPr>
        <w:spacing w:line="360" w:lineRule="auto"/>
        <w:rPr>
          <w:sz w:val="22"/>
          <w:szCs w:val="22"/>
        </w:rPr>
      </w:pPr>
      <w:r w:rsidRPr="007A7AAF">
        <w:rPr>
          <w:sz w:val="22"/>
          <w:szCs w:val="22"/>
        </w:rPr>
        <w:t xml:space="preserve">John Bowlby’s theory focuses on the emotional </w:t>
      </w:r>
      <w:r w:rsidR="00911027" w:rsidRPr="007A7AAF">
        <w:rPr>
          <w:sz w:val="22"/>
          <w:szCs w:val="22"/>
        </w:rPr>
        <w:t>bonds’</w:t>
      </w:r>
      <w:r w:rsidRPr="007A7AAF">
        <w:rPr>
          <w:sz w:val="22"/>
          <w:szCs w:val="22"/>
        </w:rPr>
        <w:t xml:space="preserve"> individuals form</w:t>
      </w:r>
      <w:r w:rsidR="008B1B9E" w:rsidRPr="007A7AAF">
        <w:rPr>
          <w:sz w:val="22"/>
          <w:szCs w:val="22"/>
        </w:rPr>
        <w:t xml:space="preserve">, </w:t>
      </w:r>
      <w:r w:rsidRPr="007A7AAF">
        <w:rPr>
          <w:sz w:val="22"/>
          <w:szCs w:val="22"/>
        </w:rPr>
        <w:t xml:space="preserve">influencing </w:t>
      </w:r>
      <w:r w:rsidR="008B1B9E" w:rsidRPr="007A7AAF">
        <w:rPr>
          <w:sz w:val="22"/>
          <w:szCs w:val="22"/>
        </w:rPr>
        <w:t xml:space="preserve">their identity </w:t>
      </w:r>
      <w:r w:rsidRPr="007A7AAF">
        <w:rPr>
          <w:sz w:val="22"/>
          <w:szCs w:val="22"/>
        </w:rPr>
        <w:t xml:space="preserve">and how the bonds they create will impact how they create </w:t>
      </w:r>
      <w:r w:rsidR="00F564AC" w:rsidRPr="007A7AAF">
        <w:rPr>
          <w:sz w:val="22"/>
          <w:szCs w:val="22"/>
        </w:rPr>
        <w:t>relationships in</w:t>
      </w:r>
      <w:r w:rsidR="008B1B9E" w:rsidRPr="007A7AAF">
        <w:rPr>
          <w:sz w:val="22"/>
          <w:szCs w:val="22"/>
        </w:rPr>
        <w:t xml:space="preserve"> later</w:t>
      </w:r>
      <w:r w:rsidR="00F564AC" w:rsidRPr="007A7AAF">
        <w:rPr>
          <w:sz w:val="22"/>
          <w:szCs w:val="22"/>
        </w:rPr>
        <w:t xml:space="preserve"> life</w:t>
      </w:r>
      <w:r w:rsidRPr="007A7AAF">
        <w:rPr>
          <w:sz w:val="22"/>
          <w:szCs w:val="22"/>
        </w:rPr>
        <w:t xml:space="preserve">. </w:t>
      </w:r>
      <w:r w:rsidR="00911027" w:rsidRPr="007A7AAF">
        <w:rPr>
          <w:sz w:val="22"/>
          <w:szCs w:val="22"/>
        </w:rPr>
        <w:t xml:space="preserve">He </w:t>
      </w:r>
      <w:r w:rsidRPr="007A7AAF">
        <w:rPr>
          <w:sz w:val="22"/>
          <w:szCs w:val="22"/>
        </w:rPr>
        <w:t xml:space="preserve">focused </w:t>
      </w:r>
      <w:r w:rsidR="00F564AC" w:rsidRPr="007A7AAF">
        <w:rPr>
          <w:sz w:val="22"/>
          <w:szCs w:val="22"/>
        </w:rPr>
        <w:t xml:space="preserve">his attachment theory on early </w:t>
      </w:r>
      <w:r w:rsidR="00911027" w:rsidRPr="007A7AAF">
        <w:rPr>
          <w:sz w:val="22"/>
          <w:szCs w:val="22"/>
        </w:rPr>
        <w:t xml:space="preserve">years, </w:t>
      </w:r>
      <w:r w:rsidR="00F564AC" w:rsidRPr="007A7AAF">
        <w:rPr>
          <w:sz w:val="22"/>
          <w:szCs w:val="22"/>
        </w:rPr>
        <w:t xml:space="preserve">it can be applied </w:t>
      </w:r>
      <w:r w:rsidR="00911027" w:rsidRPr="007A7AAF">
        <w:rPr>
          <w:sz w:val="22"/>
          <w:szCs w:val="22"/>
        </w:rPr>
        <w:t>to</w:t>
      </w:r>
      <w:r w:rsidR="00F564AC" w:rsidRPr="007A7AAF">
        <w:rPr>
          <w:sz w:val="22"/>
          <w:szCs w:val="22"/>
        </w:rPr>
        <w:t xml:space="preserve"> this context as </w:t>
      </w:r>
      <w:r w:rsidR="00911027" w:rsidRPr="007A7AAF">
        <w:rPr>
          <w:sz w:val="22"/>
          <w:szCs w:val="22"/>
        </w:rPr>
        <w:t>e</w:t>
      </w:r>
      <w:r w:rsidR="00F564AC" w:rsidRPr="007A7AAF">
        <w:rPr>
          <w:sz w:val="22"/>
          <w:szCs w:val="22"/>
        </w:rPr>
        <w:t xml:space="preserve">lder individuals </w:t>
      </w:r>
      <w:r w:rsidR="00911027" w:rsidRPr="007A7AAF">
        <w:rPr>
          <w:sz w:val="22"/>
          <w:szCs w:val="22"/>
        </w:rPr>
        <w:t>become</w:t>
      </w:r>
      <w:r w:rsidR="00F564AC" w:rsidRPr="007A7AAF">
        <w:rPr>
          <w:sz w:val="22"/>
          <w:szCs w:val="22"/>
        </w:rPr>
        <w:t xml:space="preserve"> more physically, emotionally and mentally dependent. Attachment styles displayed within earlier stages of life can remerge as people become older and this can influence how they choose to cope with this new transition into elderly life</w:t>
      </w:r>
      <w:r w:rsidR="00E75A0C" w:rsidRPr="007A7AAF">
        <w:rPr>
          <w:sz w:val="22"/>
          <w:szCs w:val="22"/>
        </w:rPr>
        <w:t xml:space="preserve"> and understanding the type of attachment residents have can help care workers decipher their behaviour that would otherwise be interpreted as ‘difficult’</w:t>
      </w:r>
      <w:r w:rsidR="00911027" w:rsidRPr="007A7AAF">
        <w:rPr>
          <w:rStyle w:val="FootnoteReference"/>
          <w:sz w:val="22"/>
          <w:szCs w:val="22"/>
        </w:rPr>
        <w:footnoteReference w:id="4"/>
      </w:r>
      <w:r w:rsidR="00E75A0C" w:rsidRPr="007A7AAF">
        <w:rPr>
          <w:sz w:val="22"/>
          <w:szCs w:val="22"/>
        </w:rPr>
        <w:t>.</w:t>
      </w:r>
    </w:p>
    <w:p w14:paraId="2EA2C9A9" w14:textId="57790B7B" w:rsidR="00E75A0C" w:rsidRPr="007A7AAF" w:rsidRDefault="00E75A0C" w:rsidP="007A7AAF">
      <w:pPr>
        <w:spacing w:line="360" w:lineRule="auto"/>
        <w:rPr>
          <w:sz w:val="22"/>
          <w:szCs w:val="22"/>
        </w:rPr>
      </w:pPr>
      <w:r w:rsidRPr="007A7AAF">
        <w:rPr>
          <w:sz w:val="22"/>
          <w:szCs w:val="22"/>
        </w:rPr>
        <w:t xml:space="preserve">Older adults entering care homes means they will have to learn how to become comfortable living away from </w:t>
      </w:r>
      <w:r w:rsidR="00911027" w:rsidRPr="007A7AAF">
        <w:rPr>
          <w:sz w:val="22"/>
          <w:szCs w:val="22"/>
        </w:rPr>
        <w:t xml:space="preserve">family </w:t>
      </w:r>
      <w:r w:rsidRPr="007A7AAF">
        <w:rPr>
          <w:sz w:val="22"/>
          <w:szCs w:val="22"/>
        </w:rPr>
        <w:t xml:space="preserve">which can be a rough transition. </w:t>
      </w:r>
      <w:r w:rsidR="00911027" w:rsidRPr="007A7AAF">
        <w:rPr>
          <w:sz w:val="22"/>
          <w:szCs w:val="22"/>
        </w:rPr>
        <w:t>C</w:t>
      </w:r>
      <w:r w:rsidRPr="007A7AAF">
        <w:rPr>
          <w:sz w:val="22"/>
          <w:szCs w:val="22"/>
        </w:rPr>
        <w:t xml:space="preserve">are workers need to be prepared to provide emotional support and security to residents until they </w:t>
      </w:r>
      <w:r w:rsidR="00911027" w:rsidRPr="007A7AAF">
        <w:rPr>
          <w:sz w:val="22"/>
          <w:szCs w:val="22"/>
        </w:rPr>
        <w:t>can</w:t>
      </w:r>
      <w:r w:rsidRPr="007A7AAF">
        <w:rPr>
          <w:sz w:val="22"/>
          <w:szCs w:val="22"/>
        </w:rPr>
        <w:t xml:space="preserve"> comfortably come to be familiar with their new surroundings. Things such as being emotionally available for the resident and consistent with the care residents require to allow them to form a healthier attachment style to those they depend on within their life</w:t>
      </w:r>
      <w:r w:rsidR="00911027" w:rsidRPr="007A7AAF">
        <w:rPr>
          <w:sz w:val="22"/>
          <w:szCs w:val="22"/>
        </w:rPr>
        <w:t xml:space="preserve"> and </w:t>
      </w:r>
      <w:r w:rsidRPr="007A7AAF">
        <w:rPr>
          <w:sz w:val="22"/>
          <w:szCs w:val="22"/>
        </w:rPr>
        <w:t>encourage residents maintain social relationships whether that be with family visits or even forming their own social connections within the care home with other residents to give them that sense of identity and to help warp healthy attachment styles</w:t>
      </w:r>
      <w:r w:rsidR="00496CF6" w:rsidRPr="007A7AAF">
        <w:rPr>
          <w:sz w:val="22"/>
          <w:szCs w:val="22"/>
        </w:rPr>
        <w:t xml:space="preserve"> whilst in care</w:t>
      </w:r>
      <w:r w:rsidRPr="007A7AAF">
        <w:rPr>
          <w:sz w:val="22"/>
          <w:szCs w:val="22"/>
        </w:rPr>
        <w:t>.</w:t>
      </w:r>
    </w:p>
    <w:p w14:paraId="03FB077F" w14:textId="1ADB383E" w:rsidR="00496CF6" w:rsidRPr="007A7AAF" w:rsidRDefault="00496CF6" w:rsidP="007A7AAF">
      <w:pPr>
        <w:spacing w:line="360" w:lineRule="auto"/>
        <w:rPr>
          <w:sz w:val="22"/>
          <w:szCs w:val="22"/>
        </w:rPr>
      </w:pPr>
      <w:r w:rsidRPr="007A7AAF">
        <w:rPr>
          <w:sz w:val="22"/>
          <w:szCs w:val="22"/>
        </w:rPr>
        <w:lastRenderedPageBreak/>
        <w:t>Bowlby’s theory encourages person-centred care and helps break down ageist stereotypes correlating the type of attachment style an elderly person may have to the negative age perception of them being needy and difficult</w:t>
      </w:r>
      <w:r w:rsidRPr="007A7AAF">
        <w:rPr>
          <w:rStyle w:val="FootnoteReference"/>
          <w:sz w:val="22"/>
          <w:szCs w:val="22"/>
        </w:rPr>
        <w:footnoteReference w:id="5"/>
      </w:r>
      <w:r w:rsidRPr="007A7AAF">
        <w:rPr>
          <w:sz w:val="22"/>
          <w:szCs w:val="22"/>
        </w:rPr>
        <w:t>. However, this theory was developed to</w:t>
      </w:r>
      <w:r w:rsidR="000B3C06" w:rsidRPr="007A7AAF">
        <w:rPr>
          <w:sz w:val="22"/>
          <w:szCs w:val="22"/>
        </w:rPr>
        <w:t xml:space="preserve"> understand the way children form identity and attachment so applying it to elderly people is something that needs to be done with wariness, assessing the attachment of an elderly person especially those with a psychological health condition can be difficult and </w:t>
      </w:r>
      <w:r w:rsidR="008B1B9E" w:rsidRPr="007A7AAF">
        <w:rPr>
          <w:sz w:val="22"/>
          <w:szCs w:val="22"/>
        </w:rPr>
        <w:t>neglects other factors influencing their development</w:t>
      </w:r>
      <w:r w:rsidR="008B1B9E" w:rsidRPr="007A7AAF">
        <w:rPr>
          <w:rStyle w:val="FootnoteReference"/>
          <w:sz w:val="22"/>
          <w:szCs w:val="22"/>
        </w:rPr>
        <w:footnoteReference w:id="6"/>
      </w:r>
      <w:r w:rsidR="000B3C06" w:rsidRPr="007A7AAF">
        <w:rPr>
          <w:sz w:val="22"/>
          <w:szCs w:val="22"/>
        </w:rPr>
        <w:t>. These limitations do not take away from the value of attachment-centred practice as care homes setting are generally to assist residents with their every need, including their emotional needs as a human being.</w:t>
      </w:r>
    </w:p>
    <w:p w14:paraId="576BF552" w14:textId="343C0BCD" w:rsidR="00496CF6" w:rsidRPr="007A7AAF" w:rsidRDefault="00911027" w:rsidP="007A7AAF">
      <w:pPr>
        <w:spacing w:line="360" w:lineRule="auto"/>
        <w:rPr>
          <w:sz w:val="22"/>
          <w:szCs w:val="22"/>
        </w:rPr>
      </w:pPr>
      <w:r w:rsidRPr="007A7AAF">
        <w:rPr>
          <w:sz w:val="22"/>
          <w:szCs w:val="22"/>
        </w:rPr>
        <w:t xml:space="preserve">This can be difficult for care workers to incorporate these suggestions into their work with limited staff </w:t>
      </w:r>
      <w:r w:rsidR="0047539E" w:rsidRPr="007A7AAF">
        <w:rPr>
          <w:sz w:val="22"/>
          <w:szCs w:val="22"/>
        </w:rPr>
        <w:t>and high workload</w:t>
      </w:r>
      <w:r w:rsidRPr="007A7AAF">
        <w:rPr>
          <w:sz w:val="22"/>
          <w:szCs w:val="22"/>
        </w:rPr>
        <w:t xml:space="preserve">, it would be difficult to </w:t>
      </w:r>
      <w:r w:rsidR="0047539E" w:rsidRPr="007A7AAF">
        <w:rPr>
          <w:sz w:val="22"/>
          <w:szCs w:val="22"/>
        </w:rPr>
        <w:t>form attentive relationships with residents. However, emphasis on multidisciplinary collaboration with therapists and key workers assigned to residents will help the needs of residents be met without workers feeling burnout or under pressure which is vital to ensure the quality of care to residents remains adequate and the well-being of care workers not be compromised.</w:t>
      </w:r>
    </w:p>
    <w:p w14:paraId="3C33A88E" w14:textId="77777777" w:rsidR="007A7AAF" w:rsidRPr="007A7AAF" w:rsidRDefault="008610CF" w:rsidP="007A7AAF">
      <w:pPr>
        <w:spacing w:line="360" w:lineRule="auto"/>
        <w:rPr>
          <w:sz w:val="22"/>
          <w:szCs w:val="22"/>
        </w:rPr>
      </w:pPr>
      <w:r w:rsidRPr="007A7AAF">
        <w:rPr>
          <w:sz w:val="22"/>
          <w:szCs w:val="22"/>
        </w:rPr>
        <w:t xml:space="preserve">To conclude, </w:t>
      </w:r>
      <w:r w:rsidR="0047539E" w:rsidRPr="007A7AAF">
        <w:rPr>
          <w:sz w:val="22"/>
          <w:szCs w:val="22"/>
        </w:rPr>
        <w:t xml:space="preserve">these theories helped understand the importance of psychological well-being of older people living in care homes. With Erikson’s theory engaging with the foregrounds of identity, purpose and life reflection as </w:t>
      </w:r>
      <w:proofErr w:type="spellStart"/>
      <w:proofErr w:type="gramStart"/>
      <w:r w:rsidR="003F7A78" w:rsidRPr="007A7AAF">
        <w:rPr>
          <w:sz w:val="22"/>
          <w:szCs w:val="22"/>
        </w:rPr>
        <w:t>a</w:t>
      </w:r>
      <w:proofErr w:type="spellEnd"/>
      <w:proofErr w:type="gramEnd"/>
      <w:r w:rsidR="003F7A78" w:rsidRPr="007A7AAF">
        <w:rPr>
          <w:sz w:val="22"/>
          <w:szCs w:val="22"/>
        </w:rPr>
        <w:t xml:space="preserve"> element of wellbeing in later life whilst Bowlby reflects on the importance of secure, consistent relationships in an </w:t>
      </w:r>
      <w:r w:rsidR="008C0C9C" w:rsidRPr="007A7AAF">
        <w:rPr>
          <w:sz w:val="22"/>
          <w:szCs w:val="22"/>
        </w:rPr>
        <w:t>individual’s</w:t>
      </w:r>
      <w:r w:rsidR="003F7A78" w:rsidRPr="007A7AAF">
        <w:rPr>
          <w:sz w:val="22"/>
          <w:szCs w:val="22"/>
        </w:rPr>
        <w:t xml:space="preserve"> life maintaining social connections. Applying their findings within a care home setting provides more underst</w:t>
      </w:r>
      <w:r w:rsidR="008C0C9C" w:rsidRPr="007A7AAF">
        <w:rPr>
          <w:sz w:val="22"/>
          <w:szCs w:val="22"/>
        </w:rPr>
        <w:t xml:space="preserve">anding to the quality of care as it highlights the other aspects of care required to adequately care </w:t>
      </w:r>
      <w:r w:rsidR="007A7AAF" w:rsidRPr="007A7AAF">
        <w:rPr>
          <w:sz w:val="22"/>
          <w:szCs w:val="22"/>
        </w:rPr>
        <w:t>for patients</w:t>
      </w:r>
      <w:r w:rsidR="008C0C9C" w:rsidRPr="007A7AAF">
        <w:rPr>
          <w:sz w:val="22"/>
          <w:szCs w:val="22"/>
        </w:rPr>
        <w:t>.</w:t>
      </w:r>
      <w:r w:rsidR="007A7AAF" w:rsidRPr="007A7AAF">
        <w:rPr>
          <w:sz w:val="22"/>
          <w:szCs w:val="22"/>
        </w:rPr>
        <w:t xml:space="preserve"> Overall, it encourages more person-centred and empathetic care for adults aged 65 and over.</w:t>
      </w:r>
    </w:p>
    <w:p w14:paraId="418A1CAC" w14:textId="12AE1A4D" w:rsidR="00FE1E12" w:rsidRDefault="007A7AAF">
      <w:r>
        <w:t xml:space="preserve"> </w:t>
      </w:r>
      <w:r w:rsidR="008C0C9C">
        <w:t xml:space="preserve"> </w:t>
      </w:r>
    </w:p>
    <w:p w14:paraId="3498E0BA" w14:textId="47CD2D33" w:rsidR="00444A30" w:rsidRPr="00DB0064" w:rsidRDefault="007A7AAF">
      <w:pPr>
        <w:rPr>
          <w:u w:val="single"/>
        </w:rPr>
      </w:pPr>
      <w:r w:rsidRPr="00DB0064">
        <w:rPr>
          <w:u w:val="single"/>
        </w:rPr>
        <w:t>Reference List:</w:t>
      </w:r>
    </w:p>
    <w:p w14:paraId="56D06959" w14:textId="6A9BEE63" w:rsidR="00314B09" w:rsidRPr="007829FF" w:rsidRDefault="00314B09" w:rsidP="006C0B4D">
      <w:pPr>
        <w:pStyle w:val="FootnoteText"/>
        <w:spacing w:line="360" w:lineRule="auto"/>
        <w:rPr>
          <w:sz w:val="22"/>
          <w:szCs w:val="22"/>
        </w:rPr>
      </w:pPr>
      <w:r w:rsidRPr="007829FF">
        <w:rPr>
          <w:sz w:val="22"/>
          <w:szCs w:val="22"/>
        </w:rPr>
        <w:t xml:space="preserve">Avasarala, U. (2025). The Attachment Theory: Longevity of Childhood Attachment in Adulthood. Nhsjs.com. Available at: </w:t>
      </w:r>
      <w:r w:rsidR="00DB0064" w:rsidRPr="007829FF">
        <w:rPr>
          <w:sz w:val="22"/>
          <w:szCs w:val="22"/>
        </w:rPr>
        <w:t>https://nhsjs.com/wp-content/uploads/2025/03/The-Attachment-Theory-Longevity-of-Childhood-Attachment-in-Adulthood.pdf(Accessed 2</w:t>
      </w:r>
      <w:r w:rsidR="00DB0064" w:rsidRPr="007829FF">
        <w:rPr>
          <w:sz w:val="22"/>
          <w:szCs w:val="22"/>
          <w:vertAlign w:val="superscript"/>
        </w:rPr>
        <w:t>nd</w:t>
      </w:r>
      <w:r w:rsidR="00DB0064" w:rsidRPr="007829FF">
        <w:rPr>
          <w:sz w:val="22"/>
          <w:szCs w:val="22"/>
        </w:rPr>
        <w:t xml:space="preserve"> November 2025)</w:t>
      </w:r>
    </w:p>
    <w:p w14:paraId="279381F3" w14:textId="77777777" w:rsidR="00DB0064" w:rsidRPr="007829FF" w:rsidRDefault="00DB0064" w:rsidP="00DB0064">
      <w:pPr>
        <w:pStyle w:val="FootnoteText"/>
        <w:rPr>
          <w:sz w:val="22"/>
          <w:szCs w:val="22"/>
        </w:rPr>
      </w:pPr>
    </w:p>
    <w:p w14:paraId="233EAB27" w14:textId="0C689B4F" w:rsidR="00DB0064" w:rsidRPr="006C0B4D" w:rsidRDefault="00DB0064" w:rsidP="006C0B4D">
      <w:pPr>
        <w:spacing w:line="360" w:lineRule="auto"/>
        <w:rPr>
          <w:sz w:val="22"/>
          <w:szCs w:val="22"/>
        </w:rPr>
      </w:pPr>
      <w:r w:rsidRPr="006C0B4D">
        <w:rPr>
          <w:sz w:val="22"/>
          <w:szCs w:val="22"/>
        </w:rPr>
        <w:lastRenderedPageBreak/>
        <w:t>Bodner, E and Cohen-Fridel, S. (2010). Relations between attachment styles, ageism and quality of life in late life. International Psychogeriatrics, 22(08). Pp.1353-1361. (Accessed 12</w:t>
      </w:r>
      <w:r w:rsidRPr="006C0B4D">
        <w:rPr>
          <w:sz w:val="22"/>
          <w:szCs w:val="22"/>
          <w:vertAlign w:val="superscript"/>
        </w:rPr>
        <w:t>th</w:t>
      </w:r>
      <w:r w:rsidRPr="006C0B4D">
        <w:rPr>
          <w:sz w:val="22"/>
          <w:szCs w:val="22"/>
        </w:rPr>
        <w:t xml:space="preserve"> November 2025)</w:t>
      </w:r>
    </w:p>
    <w:p w14:paraId="66F5D538" w14:textId="3FE916EC" w:rsidR="00314B09" w:rsidRPr="006C0B4D" w:rsidRDefault="00314B09" w:rsidP="006C0B4D">
      <w:pPr>
        <w:spacing w:line="360" w:lineRule="auto"/>
        <w:rPr>
          <w:sz w:val="22"/>
          <w:szCs w:val="22"/>
        </w:rPr>
      </w:pPr>
      <w:r w:rsidRPr="006C0B4D">
        <w:rPr>
          <w:sz w:val="22"/>
          <w:szCs w:val="22"/>
        </w:rPr>
        <w:t xml:space="preserve">Care Learning. (2024). Meaningful Activities </w:t>
      </w:r>
      <w:proofErr w:type="gramStart"/>
      <w:r w:rsidRPr="006C0B4D">
        <w:rPr>
          <w:sz w:val="22"/>
          <w:szCs w:val="22"/>
        </w:rPr>
        <w:t>In</w:t>
      </w:r>
      <w:proofErr w:type="gramEnd"/>
      <w:r w:rsidRPr="006C0B4D">
        <w:rPr>
          <w:sz w:val="22"/>
          <w:szCs w:val="22"/>
        </w:rPr>
        <w:t xml:space="preserve"> Care Homes </w:t>
      </w:r>
      <w:proofErr w:type="gramStart"/>
      <w:r w:rsidRPr="006C0B4D">
        <w:rPr>
          <w:sz w:val="22"/>
          <w:szCs w:val="22"/>
        </w:rPr>
        <w:t>With</w:t>
      </w:r>
      <w:proofErr w:type="gramEnd"/>
      <w:r w:rsidRPr="006C0B4D">
        <w:rPr>
          <w:sz w:val="22"/>
          <w:szCs w:val="22"/>
        </w:rPr>
        <w:t xml:space="preserve"> Examples- Care Learning [online] Available at: https://carelearning.org.uk/blog/activity-provision/meaningful-activities-in-care-homes-with-examples/</w:t>
      </w:r>
      <w:r w:rsidR="00DB0064" w:rsidRPr="006C0B4D">
        <w:rPr>
          <w:sz w:val="22"/>
          <w:szCs w:val="22"/>
        </w:rPr>
        <w:t>(Accessed 23</w:t>
      </w:r>
      <w:r w:rsidR="00DB0064" w:rsidRPr="006C0B4D">
        <w:rPr>
          <w:sz w:val="22"/>
          <w:szCs w:val="22"/>
          <w:vertAlign w:val="superscript"/>
        </w:rPr>
        <w:t>rd</w:t>
      </w:r>
      <w:r w:rsidR="00DB0064" w:rsidRPr="006C0B4D">
        <w:rPr>
          <w:sz w:val="22"/>
          <w:szCs w:val="22"/>
        </w:rPr>
        <w:t xml:space="preserve"> November 2025)</w:t>
      </w:r>
    </w:p>
    <w:p w14:paraId="5D74DE47" w14:textId="0DBCB102" w:rsidR="00314B09" w:rsidRPr="006C0B4D" w:rsidRDefault="00314B09" w:rsidP="006C0B4D">
      <w:pPr>
        <w:spacing w:line="360" w:lineRule="auto"/>
        <w:rPr>
          <w:sz w:val="22"/>
          <w:szCs w:val="22"/>
        </w:rPr>
      </w:pPr>
      <w:r w:rsidRPr="006C0B4D">
        <w:rPr>
          <w:sz w:val="22"/>
          <w:szCs w:val="22"/>
        </w:rPr>
        <w:t>McLeod, S. (2025). Erik Erikson’s Stages of Psychosocial Development. [online] Simply Psychology. Available at: https://www.simplypsychology.org/erik-erikson.html</w:t>
      </w:r>
      <w:r w:rsidR="00DB0064" w:rsidRPr="006C0B4D">
        <w:rPr>
          <w:sz w:val="22"/>
          <w:szCs w:val="22"/>
        </w:rPr>
        <w:t>(Accessed 1</w:t>
      </w:r>
      <w:r w:rsidR="00DB0064" w:rsidRPr="006C0B4D">
        <w:rPr>
          <w:sz w:val="22"/>
          <w:szCs w:val="22"/>
          <w:vertAlign w:val="superscript"/>
        </w:rPr>
        <w:t>st</w:t>
      </w:r>
      <w:r w:rsidR="00DB0064" w:rsidRPr="006C0B4D">
        <w:rPr>
          <w:sz w:val="22"/>
          <w:szCs w:val="22"/>
        </w:rPr>
        <w:t xml:space="preserve"> December 2025)</w:t>
      </w:r>
    </w:p>
    <w:p w14:paraId="04410015" w14:textId="29049055" w:rsidR="007A7AAF" w:rsidRPr="006C0B4D" w:rsidRDefault="007A7AAF" w:rsidP="006C0B4D">
      <w:pPr>
        <w:pStyle w:val="FootnoteText"/>
        <w:spacing w:line="360" w:lineRule="auto"/>
        <w:rPr>
          <w:sz w:val="22"/>
          <w:szCs w:val="22"/>
        </w:rPr>
      </w:pPr>
      <w:r w:rsidRPr="006C0B4D">
        <w:rPr>
          <w:sz w:val="22"/>
          <w:szCs w:val="22"/>
        </w:rPr>
        <w:t xml:space="preserve">Mental Health Foundation (2023). Older people: Statistics. [online] www.mentalhealth.org.uk. Available at: </w:t>
      </w:r>
      <w:hyperlink r:id="rId8" w:history="1">
        <w:r w:rsidR="00DB0064" w:rsidRPr="006C0B4D">
          <w:rPr>
            <w:rStyle w:val="Hyperlink"/>
            <w:sz w:val="22"/>
            <w:szCs w:val="22"/>
          </w:rPr>
          <w:t>https://www.mentalhealth.org.uk/explore-mental-health/statistics/older-people-statistics</w:t>
        </w:r>
      </w:hyperlink>
      <w:r w:rsidR="00DB0064" w:rsidRPr="006C0B4D">
        <w:rPr>
          <w:sz w:val="22"/>
          <w:szCs w:val="22"/>
        </w:rPr>
        <w:t>(Accessed 1</w:t>
      </w:r>
      <w:r w:rsidR="00DB0064" w:rsidRPr="006C0B4D">
        <w:rPr>
          <w:sz w:val="22"/>
          <w:szCs w:val="22"/>
          <w:vertAlign w:val="superscript"/>
        </w:rPr>
        <w:t>st</w:t>
      </w:r>
      <w:r w:rsidR="00DB0064" w:rsidRPr="006C0B4D">
        <w:rPr>
          <w:sz w:val="22"/>
          <w:szCs w:val="22"/>
        </w:rPr>
        <w:t xml:space="preserve"> December 2025)</w:t>
      </w:r>
    </w:p>
    <w:p w14:paraId="735D1511" w14:textId="77777777" w:rsidR="007829FF" w:rsidRPr="006C0B4D" w:rsidRDefault="007829FF" w:rsidP="006C0B4D">
      <w:pPr>
        <w:pStyle w:val="FootnoteText"/>
        <w:spacing w:line="360" w:lineRule="auto"/>
        <w:rPr>
          <w:sz w:val="22"/>
          <w:szCs w:val="22"/>
        </w:rPr>
      </w:pPr>
    </w:p>
    <w:p w14:paraId="4C4411F4" w14:textId="580655E5" w:rsidR="00DB0064" w:rsidRPr="006C0B4D" w:rsidRDefault="00DB0064" w:rsidP="006C0B4D">
      <w:pPr>
        <w:pStyle w:val="FootnoteText"/>
        <w:spacing w:line="360" w:lineRule="auto"/>
        <w:rPr>
          <w:sz w:val="22"/>
          <w:szCs w:val="22"/>
        </w:rPr>
      </w:pPr>
      <w:r w:rsidRPr="006C0B4D">
        <w:rPr>
          <w:sz w:val="22"/>
          <w:szCs w:val="22"/>
        </w:rPr>
        <w:t xml:space="preserve">NeuroLaunch (2024). Attachment Theory Criticisms: Examining the Controversies and Limitations. [online] NeuroLaunch.com. Available at: </w:t>
      </w:r>
      <w:hyperlink r:id="rId9" w:history="1">
        <w:r w:rsidRPr="006C0B4D">
          <w:rPr>
            <w:rStyle w:val="Hyperlink"/>
            <w:sz w:val="22"/>
            <w:szCs w:val="22"/>
          </w:rPr>
          <w:t>https://neurolaunch.com/criticisms-of-attachment-theory/</w:t>
        </w:r>
      </w:hyperlink>
      <w:r w:rsidRPr="006C0B4D">
        <w:rPr>
          <w:sz w:val="22"/>
          <w:szCs w:val="22"/>
        </w:rPr>
        <w:t xml:space="preserve"> (Accessed 3</w:t>
      </w:r>
      <w:r w:rsidRPr="006C0B4D">
        <w:rPr>
          <w:sz w:val="22"/>
          <w:szCs w:val="22"/>
          <w:vertAlign w:val="superscript"/>
        </w:rPr>
        <w:t>rd</w:t>
      </w:r>
      <w:r w:rsidRPr="006C0B4D">
        <w:rPr>
          <w:sz w:val="22"/>
          <w:szCs w:val="22"/>
        </w:rPr>
        <w:t xml:space="preserve"> December 2025)</w:t>
      </w:r>
    </w:p>
    <w:p w14:paraId="67E2D638" w14:textId="77777777" w:rsidR="007A7AAF" w:rsidRDefault="007A7AAF"/>
    <w:sectPr w:rsidR="007A7AA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287DE" w14:textId="77777777" w:rsidR="00E31F45" w:rsidRDefault="00E31F45" w:rsidP="009B40EA">
      <w:pPr>
        <w:spacing w:after="0" w:line="240" w:lineRule="auto"/>
      </w:pPr>
      <w:r>
        <w:separator/>
      </w:r>
    </w:p>
  </w:endnote>
  <w:endnote w:type="continuationSeparator" w:id="0">
    <w:p w14:paraId="377BEE76" w14:textId="77777777" w:rsidR="00E31F45" w:rsidRDefault="00E31F45" w:rsidP="009B4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8E00C" w14:textId="77777777" w:rsidR="00E31F45" w:rsidRDefault="00E31F45" w:rsidP="009B40EA">
      <w:pPr>
        <w:spacing w:after="0" w:line="240" w:lineRule="auto"/>
      </w:pPr>
      <w:r>
        <w:separator/>
      </w:r>
    </w:p>
  </w:footnote>
  <w:footnote w:type="continuationSeparator" w:id="0">
    <w:p w14:paraId="4643E993" w14:textId="77777777" w:rsidR="00E31F45" w:rsidRDefault="00E31F45" w:rsidP="009B40EA">
      <w:pPr>
        <w:spacing w:after="0" w:line="240" w:lineRule="auto"/>
      </w:pPr>
      <w:r>
        <w:continuationSeparator/>
      </w:r>
    </w:p>
  </w:footnote>
  <w:footnote w:id="1">
    <w:p w14:paraId="51D6A4A1" w14:textId="28F9BA42" w:rsidR="009B40EA" w:rsidRDefault="009B40EA">
      <w:pPr>
        <w:pStyle w:val="FootnoteText"/>
      </w:pPr>
      <w:r>
        <w:rPr>
          <w:rStyle w:val="FootnoteReference"/>
        </w:rPr>
        <w:footnoteRef/>
      </w:r>
      <w:r>
        <w:t xml:space="preserve"> </w:t>
      </w:r>
      <w:r w:rsidR="007A7AAF">
        <w:t xml:space="preserve">Mental Health Foundation (2023). Older people: Statistics. [online] </w:t>
      </w:r>
      <w:r w:rsidR="007A7AAF" w:rsidRPr="007A7AAF">
        <w:t>www.mentalhealth.org.uk</w:t>
      </w:r>
      <w:r w:rsidR="007A7AAF">
        <w:t xml:space="preserve">. Available at: </w:t>
      </w:r>
      <w:r w:rsidRPr="009B40EA">
        <w:t>https://www.mentalhealth.org.uk/explore-mental-health/statistics/older-people-statistics</w:t>
      </w:r>
    </w:p>
  </w:footnote>
  <w:footnote w:id="2">
    <w:p w14:paraId="0BEFE2F5" w14:textId="5C401BD5" w:rsidR="001147DF" w:rsidRDefault="001147DF">
      <w:pPr>
        <w:pStyle w:val="FootnoteText"/>
      </w:pPr>
      <w:r>
        <w:rPr>
          <w:rStyle w:val="FootnoteReference"/>
        </w:rPr>
        <w:footnoteRef/>
      </w:r>
      <w:r>
        <w:t xml:space="preserve"> </w:t>
      </w:r>
      <w:r w:rsidR="007A7AAF">
        <w:t>McLeod, S. (2025). Erik Erikson’s Stages of Psychosocial Development. [online]</w:t>
      </w:r>
      <w:r w:rsidR="00314B09">
        <w:t xml:space="preserve"> Simply Psychology. Available at: </w:t>
      </w:r>
      <w:r w:rsidRPr="001147DF">
        <w:t>https://www.simplypsychology.org/erik-erikson.html</w:t>
      </w:r>
    </w:p>
  </w:footnote>
  <w:footnote w:id="3">
    <w:p w14:paraId="576DCE02" w14:textId="5D96EC16" w:rsidR="004513DF" w:rsidRDefault="004513DF">
      <w:pPr>
        <w:pStyle w:val="FootnoteText"/>
      </w:pPr>
      <w:r>
        <w:rPr>
          <w:rStyle w:val="FootnoteReference"/>
        </w:rPr>
        <w:footnoteRef/>
      </w:r>
      <w:r w:rsidR="00314B09">
        <w:t xml:space="preserve">Care Learning. (2024). Meaningful Activities </w:t>
      </w:r>
      <w:proofErr w:type="gramStart"/>
      <w:r w:rsidR="00314B09">
        <w:t>In</w:t>
      </w:r>
      <w:proofErr w:type="gramEnd"/>
      <w:r w:rsidR="00314B09">
        <w:t xml:space="preserve"> Care Homes </w:t>
      </w:r>
      <w:proofErr w:type="gramStart"/>
      <w:r w:rsidR="00314B09">
        <w:t>With</w:t>
      </w:r>
      <w:proofErr w:type="gramEnd"/>
      <w:r w:rsidR="00314B09">
        <w:t xml:space="preserve"> Examples- Care Learning [online] Available at:</w:t>
      </w:r>
      <w:r>
        <w:t xml:space="preserve"> </w:t>
      </w:r>
      <w:r w:rsidRPr="004513DF">
        <w:t>https://carelearning.org.uk/blog/activity-provision/meaningful-activities-in-care-homes-with-examples/</w:t>
      </w:r>
    </w:p>
  </w:footnote>
  <w:footnote w:id="4">
    <w:p w14:paraId="6C621D05" w14:textId="1385E82D" w:rsidR="00911027" w:rsidRDefault="00911027">
      <w:pPr>
        <w:pStyle w:val="FootnoteText"/>
      </w:pPr>
      <w:r>
        <w:rPr>
          <w:rStyle w:val="FootnoteReference"/>
        </w:rPr>
        <w:footnoteRef/>
      </w:r>
      <w:r>
        <w:t xml:space="preserve"> </w:t>
      </w:r>
      <w:r w:rsidR="00314B09">
        <w:t xml:space="preserve">Avasarala, U. (2025). The Attachment Theory: Longevity of Childhood Attachment in Adulthood. Nhsjs.com. Available at: </w:t>
      </w:r>
      <w:r w:rsidRPr="00911027">
        <w:t>https://nhsjs.com/wp-content/uploads/2025/03/The-Attachment-Theory-Longevity-of-Childhood-Attachment-in-Adulthood.pdf</w:t>
      </w:r>
    </w:p>
  </w:footnote>
  <w:footnote w:id="5">
    <w:p w14:paraId="022610DE" w14:textId="2A8E8B90" w:rsidR="00496CF6" w:rsidRDefault="00496CF6">
      <w:pPr>
        <w:pStyle w:val="FootnoteText"/>
      </w:pPr>
      <w:r>
        <w:rPr>
          <w:rStyle w:val="FootnoteReference"/>
        </w:rPr>
        <w:footnoteRef/>
      </w:r>
      <w:r>
        <w:t xml:space="preserve"> </w:t>
      </w:r>
      <w:r w:rsidR="00DB0064">
        <w:t xml:space="preserve">Bodner, E and Cohen-Fridel, S. (2010). Relations between attachment styles, ageism and quality of life in late life. International Psychogeriatrics, 22(08). Pp.1353-1361. </w:t>
      </w:r>
    </w:p>
  </w:footnote>
  <w:footnote w:id="6">
    <w:p w14:paraId="67096FD9" w14:textId="206941EB" w:rsidR="008B1B9E" w:rsidRDefault="008B1B9E">
      <w:pPr>
        <w:pStyle w:val="FootnoteText"/>
      </w:pPr>
      <w:r>
        <w:rPr>
          <w:rStyle w:val="FootnoteReference"/>
        </w:rPr>
        <w:footnoteRef/>
      </w:r>
      <w:r w:rsidR="00DB0064">
        <w:t>NeuroLaunch (2024). Attachment Theory Criticisms: Examining the Controversies and Limitations. [online] NeuroLaunch.com. Available at:</w:t>
      </w:r>
      <w:r>
        <w:t xml:space="preserve"> </w:t>
      </w:r>
      <w:r w:rsidRPr="008B1B9E">
        <w:t>https://neurolaunch.com/criticisms-of-attachment-theory/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B0F31"/>
    <w:multiLevelType w:val="multilevel"/>
    <w:tmpl w:val="D7988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3541F3"/>
    <w:multiLevelType w:val="multilevel"/>
    <w:tmpl w:val="904AF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5046C1"/>
    <w:multiLevelType w:val="multilevel"/>
    <w:tmpl w:val="41B63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A93903"/>
    <w:multiLevelType w:val="multilevel"/>
    <w:tmpl w:val="DFB85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94013C"/>
    <w:multiLevelType w:val="multilevel"/>
    <w:tmpl w:val="0270E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CD5415"/>
    <w:multiLevelType w:val="multilevel"/>
    <w:tmpl w:val="F3A6F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A05BA5"/>
    <w:multiLevelType w:val="multilevel"/>
    <w:tmpl w:val="260E3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C76999"/>
    <w:multiLevelType w:val="multilevel"/>
    <w:tmpl w:val="D0445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A478AF"/>
    <w:multiLevelType w:val="multilevel"/>
    <w:tmpl w:val="63320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0C78CB"/>
    <w:multiLevelType w:val="multilevel"/>
    <w:tmpl w:val="ADFAD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8E4148"/>
    <w:multiLevelType w:val="multilevel"/>
    <w:tmpl w:val="7438F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B05D65"/>
    <w:multiLevelType w:val="multilevel"/>
    <w:tmpl w:val="6838B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BA63EC"/>
    <w:multiLevelType w:val="multilevel"/>
    <w:tmpl w:val="281E9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323395"/>
    <w:multiLevelType w:val="multilevel"/>
    <w:tmpl w:val="34CCE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83298E"/>
    <w:multiLevelType w:val="multilevel"/>
    <w:tmpl w:val="BD562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1D5D99"/>
    <w:multiLevelType w:val="multilevel"/>
    <w:tmpl w:val="21120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2014253">
    <w:abstractNumId w:val="9"/>
  </w:num>
  <w:num w:numId="2" w16cid:durableId="503203046">
    <w:abstractNumId w:val="0"/>
  </w:num>
  <w:num w:numId="3" w16cid:durableId="845174494">
    <w:abstractNumId w:val="10"/>
  </w:num>
  <w:num w:numId="4" w16cid:durableId="1174758487">
    <w:abstractNumId w:val="8"/>
  </w:num>
  <w:num w:numId="5" w16cid:durableId="266741120">
    <w:abstractNumId w:val="3"/>
  </w:num>
  <w:num w:numId="6" w16cid:durableId="84036531">
    <w:abstractNumId w:val="11"/>
  </w:num>
  <w:num w:numId="7" w16cid:durableId="1628198723">
    <w:abstractNumId w:val="12"/>
  </w:num>
  <w:num w:numId="8" w16cid:durableId="43332339">
    <w:abstractNumId w:val="13"/>
  </w:num>
  <w:num w:numId="9" w16cid:durableId="341056430">
    <w:abstractNumId w:val="7"/>
  </w:num>
  <w:num w:numId="10" w16cid:durableId="971902419">
    <w:abstractNumId w:val="2"/>
  </w:num>
  <w:num w:numId="11" w16cid:durableId="1459302490">
    <w:abstractNumId w:val="15"/>
  </w:num>
  <w:num w:numId="12" w16cid:durableId="2060665566">
    <w:abstractNumId w:val="1"/>
  </w:num>
  <w:num w:numId="13" w16cid:durableId="797534195">
    <w:abstractNumId w:val="14"/>
  </w:num>
  <w:num w:numId="14" w16cid:durableId="728503528">
    <w:abstractNumId w:val="5"/>
  </w:num>
  <w:num w:numId="15" w16cid:durableId="1979188711">
    <w:abstractNumId w:val="6"/>
  </w:num>
  <w:num w:numId="16" w16cid:durableId="16612287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00C"/>
    <w:rsid w:val="000B3C06"/>
    <w:rsid w:val="000E3328"/>
    <w:rsid w:val="001062B0"/>
    <w:rsid w:val="001147DF"/>
    <w:rsid w:val="00122315"/>
    <w:rsid w:val="0018121B"/>
    <w:rsid w:val="0018724E"/>
    <w:rsid w:val="00217385"/>
    <w:rsid w:val="00270DF7"/>
    <w:rsid w:val="00276BCC"/>
    <w:rsid w:val="002812A9"/>
    <w:rsid w:val="002D00F1"/>
    <w:rsid w:val="00307AD0"/>
    <w:rsid w:val="00314B09"/>
    <w:rsid w:val="00342AC4"/>
    <w:rsid w:val="00347F17"/>
    <w:rsid w:val="003F7A78"/>
    <w:rsid w:val="00444A30"/>
    <w:rsid w:val="004513DF"/>
    <w:rsid w:val="00457E55"/>
    <w:rsid w:val="0047539E"/>
    <w:rsid w:val="00496CF6"/>
    <w:rsid w:val="004A2C6A"/>
    <w:rsid w:val="0053777A"/>
    <w:rsid w:val="00607CFB"/>
    <w:rsid w:val="0064385D"/>
    <w:rsid w:val="00653BC4"/>
    <w:rsid w:val="00676301"/>
    <w:rsid w:val="006C0B4D"/>
    <w:rsid w:val="007829FF"/>
    <w:rsid w:val="007A7AAF"/>
    <w:rsid w:val="00821C76"/>
    <w:rsid w:val="008610CF"/>
    <w:rsid w:val="008B1B9E"/>
    <w:rsid w:val="008C0C9C"/>
    <w:rsid w:val="008C6391"/>
    <w:rsid w:val="00911027"/>
    <w:rsid w:val="0098476B"/>
    <w:rsid w:val="009B40EA"/>
    <w:rsid w:val="009C77D1"/>
    <w:rsid w:val="00AF11AB"/>
    <w:rsid w:val="00C000C4"/>
    <w:rsid w:val="00C03C2A"/>
    <w:rsid w:val="00C9600C"/>
    <w:rsid w:val="00CE138F"/>
    <w:rsid w:val="00DB0064"/>
    <w:rsid w:val="00DB5BB8"/>
    <w:rsid w:val="00E31F45"/>
    <w:rsid w:val="00E3761E"/>
    <w:rsid w:val="00E75A0C"/>
    <w:rsid w:val="00E92EBD"/>
    <w:rsid w:val="00F51A3A"/>
    <w:rsid w:val="00F564AC"/>
    <w:rsid w:val="00FD213F"/>
    <w:rsid w:val="00FE1A2D"/>
    <w:rsid w:val="00FE1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40944"/>
  <w15:chartTrackingRefBased/>
  <w15:docId w15:val="{5B8D3053-3392-4162-832C-750C46C9A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60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60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60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60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60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60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60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60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60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0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60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60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60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60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60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60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60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600C"/>
    <w:rPr>
      <w:rFonts w:eastAsiaTheme="majorEastAsia" w:cstheme="majorBidi"/>
      <w:color w:val="272727" w:themeColor="text1" w:themeTint="D8"/>
    </w:rPr>
  </w:style>
  <w:style w:type="paragraph" w:styleId="Title">
    <w:name w:val="Title"/>
    <w:basedOn w:val="Normal"/>
    <w:next w:val="Normal"/>
    <w:link w:val="TitleChar"/>
    <w:uiPriority w:val="10"/>
    <w:qFormat/>
    <w:rsid w:val="00C960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60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60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60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600C"/>
    <w:pPr>
      <w:spacing w:before="160"/>
      <w:jc w:val="center"/>
    </w:pPr>
    <w:rPr>
      <w:i/>
      <w:iCs/>
      <w:color w:val="404040" w:themeColor="text1" w:themeTint="BF"/>
    </w:rPr>
  </w:style>
  <w:style w:type="character" w:customStyle="1" w:styleId="QuoteChar">
    <w:name w:val="Quote Char"/>
    <w:basedOn w:val="DefaultParagraphFont"/>
    <w:link w:val="Quote"/>
    <w:uiPriority w:val="29"/>
    <w:rsid w:val="00C9600C"/>
    <w:rPr>
      <w:i/>
      <w:iCs/>
      <w:color w:val="404040" w:themeColor="text1" w:themeTint="BF"/>
    </w:rPr>
  </w:style>
  <w:style w:type="paragraph" w:styleId="ListParagraph">
    <w:name w:val="List Paragraph"/>
    <w:basedOn w:val="Normal"/>
    <w:uiPriority w:val="34"/>
    <w:qFormat/>
    <w:rsid w:val="00C9600C"/>
    <w:pPr>
      <w:ind w:left="720"/>
      <w:contextualSpacing/>
    </w:pPr>
  </w:style>
  <w:style w:type="character" w:styleId="IntenseEmphasis">
    <w:name w:val="Intense Emphasis"/>
    <w:basedOn w:val="DefaultParagraphFont"/>
    <w:uiPriority w:val="21"/>
    <w:qFormat/>
    <w:rsid w:val="00C9600C"/>
    <w:rPr>
      <w:i/>
      <w:iCs/>
      <w:color w:val="0F4761" w:themeColor="accent1" w:themeShade="BF"/>
    </w:rPr>
  </w:style>
  <w:style w:type="paragraph" w:styleId="IntenseQuote">
    <w:name w:val="Intense Quote"/>
    <w:basedOn w:val="Normal"/>
    <w:next w:val="Normal"/>
    <w:link w:val="IntenseQuoteChar"/>
    <w:uiPriority w:val="30"/>
    <w:qFormat/>
    <w:rsid w:val="00C960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600C"/>
    <w:rPr>
      <w:i/>
      <w:iCs/>
      <w:color w:val="0F4761" w:themeColor="accent1" w:themeShade="BF"/>
    </w:rPr>
  </w:style>
  <w:style w:type="character" w:styleId="IntenseReference">
    <w:name w:val="Intense Reference"/>
    <w:basedOn w:val="DefaultParagraphFont"/>
    <w:uiPriority w:val="32"/>
    <w:qFormat/>
    <w:rsid w:val="00C9600C"/>
    <w:rPr>
      <w:b/>
      <w:bCs/>
      <w:smallCaps/>
      <w:color w:val="0F4761" w:themeColor="accent1" w:themeShade="BF"/>
      <w:spacing w:val="5"/>
    </w:rPr>
  </w:style>
  <w:style w:type="paragraph" w:styleId="FootnoteText">
    <w:name w:val="footnote text"/>
    <w:basedOn w:val="Normal"/>
    <w:link w:val="FootnoteTextChar"/>
    <w:uiPriority w:val="99"/>
    <w:unhideWhenUsed/>
    <w:rsid w:val="009B40EA"/>
    <w:pPr>
      <w:spacing w:after="0" w:line="240" w:lineRule="auto"/>
    </w:pPr>
    <w:rPr>
      <w:sz w:val="20"/>
      <w:szCs w:val="20"/>
    </w:rPr>
  </w:style>
  <w:style w:type="character" w:customStyle="1" w:styleId="FootnoteTextChar">
    <w:name w:val="Footnote Text Char"/>
    <w:basedOn w:val="DefaultParagraphFont"/>
    <w:link w:val="FootnoteText"/>
    <w:uiPriority w:val="99"/>
    <w:rsid w:val="009B40EA"/>
    <w:rPr>
      <w:sz w:val="20"/>
      <w:szCs w:val="20"/>
    </w:rPr>
  </w:style>
  <w:style w:type="character" w:styleId="FootnoteReference">
    <w:name w:val="footnote reference"/>
    <w:basedOn w:val="DefaultParagraphFont"/>
    <w:uiPriority w:val="99"/>
    <w:semiHidden/>
    <w:unhideWhenUsed/>
    <w:rsid w:val="009B40EA"/>
    <w:rPr>
      <w:vertAlign w:val="superscript"/>
    </w:rPr>
  </w:style>
  <w:style w:type="character" w:styleId="Hyperlink">
    <w:name w:val="Hyperlink"/>
    <w:basedOn w:val="DefaultParagraphFont"/>
    <w:uiPriority w:val="99"/>
    <w:unhideWhenUsed/>
    <w:rsid w:val="009B40EA"/>
    <w:rPr>
      <w:color w:val="467886" w:themeColor="hyperlink"/>
      <w:u w:val="single"/>
    </w:rPr>
  </w:style>
  <w:style w:type="character" w:styleId="UnresolvedMention">
    <w:name w:val="Unresolved Mention"/>
    <w:basedOn w:val="DefaultParagraphFont"/>
    <w:uiPriority w:val="99"/>
    <w:semiHidden/>
    <w:unhideWhenUsed/>
    <w:rsid w:val="009B40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talhealth.org.uk/explore-mental-health/statistics/older-people-statistic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neurolaunch.com/criticisms-of-attachment-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AA49B-56BB-466B-B5FD-FBCAB1AEF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5</Pages>
  <Words>1660</Words>
  <Characters>9465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Yama Kanteh</dc:creator>
  <cp:keywords/>
  <dc:description/>
  <cp:lastModifiedBy>Yama Kanteh</cp:lastModifiedBy>
  <cp:revision>6</cp:revision>
  <dcterms:created xsi:type="dcterms:W3CDTF">2025-12-06T18:49:00Z</dcterms:created>
  <dcterms:modified xsi:type="dcterms:W3CDTF">2025-12-14T19:57:00Z</dcterms:modified>
</cp:coreProperties>
</file>