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472C4" w:themeColor="accent1"/>
        </w:rPr>
        <w:id w:val="1020209135"/>
        <w:docPartObj>
          <w:docPartGallery w:val="Cover Pages"/>
          <w:docPartUnique/>
        </w:docPartObj>
      </w:sdtPr>
      <w:sdtEndPr>
        <w:rPr>
          <w:rFonts w:ascii="Arial" w:eastAsiaTheme="minorHAnsi" w:hAnsi="Arial" w:cs="Arial"/>
          <w:b/>
          <w:color w:val="auto"/>
          <w:sz w:val="24"/>
          <w:szCs w:val="24"/>
          <w:u w:val="single"/>
          <w:lang w:val="en-GB" w:eastAsia="en-GB"/>
        </w:rPr>
      </w:sdtEndPr>
      <w:sdtContent>
        <w:p w14:paraId="07F7C28E" w14:textId="3698C91B" w:rsidR="00801A5C" w:rsidRDefault="00801A5C">
          <w:pPr>
            <w:pStyle w:val="NoSpacing"/>
            <w:spacing w:before="1540" w:after="240"/>
            <w:jc w:val="center"/>
            <w:rPr>
              <w:color w:val="4472C4" w:themeColor="accent1"/>
            </w:rPr>
          </w:pPr>
          <w:r>
            <w:rPr>
              <w:noProof/>
              <w:color w:val="4472C4" w:themeColor="accent1"/>
              <w:lang w:val="en-GB" w:eastAsia="en-GB"/>
            </w:rPr>
            <w:drawing>
              <wp:inline distT="0" distB="0" distL="0" distR="0" wp14:anchorId="4F0208FC" wp14:editId="1C1F9A4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63F109E6520AF46ADE152766237D3D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6EF7C7B" w14:textId="69C99AD4" w:rsidR="00801A5C" w:rsidRDefault="00801A5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Compare and contrast two journal articles</w:t>
              </w:r>
            </w:p>
          </w:sdtContent>
        </w:sdt>
        <w:p w14:paraId="6C874BAE" w14:textId="2319B0E1" w:rsidR="00801A5C" w:rsidRDefault="00526A29">
          <w:pPr>
            <w:pStyle w:val="NoSpacing"/>
            <w:jc w:val="center"/>
            <w:rPr>
              <w:color w:val="4472C4" w:themeColor="accent1"/>
              <w:sz w:val="28"/>
              <w:szCs w:val="28"/>
            </w:rPr>
          </w:pPr>
          <w:r>
            <w:rPr>
              <w:color w:val="4472C4" w:themeColor="accent1"/>
              <w:sz w:val="28"/>
              <w:szCs w:val="28"/>
            </w:rPr>
            <w:t>Article 1 – Economic Impact on Local Events</w:t>
          </w:r>
        </w:p>
        <w:p w14:paraId="038F14B2" w14:textId="09EF7B66" w:rsidR="00526A29" w:rsidRDefault="00526A29">
          <w:pPr>
            <w:pStyle w:val="NoSpacing"/>
            <w:jc w:val="center"/>
            <w:rPr>
              <w:color w:val="4472C4" w:themeColor="accent1"/>
              <w:sz w:val="28"/>
              <w:szCs w:val="28"/>
            </w:rPr>
          </w:pPr>
          <w:r>
            <w:rPr>
              <w:color w:val="4472C4" w:themeColor="accent1"/>
              <w:sz w:val="28"/>
              <w:szCs w:val="28"/>
            </w:rPr>
            <w:t>Article 2 – Economic Impact of Major Sports Events</w:t>
          </w:r>
        </w:p>
        <w:p w14:paraId="1D6F399D" w14:textId="77777777" w:rsidR="00801A5C" w:rsidRDefault="00801A5C">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036EF48F" wp14:editId="52A8C619">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572770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277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336351240"/>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20EFDC4" w14:textId="015AFF24" w:rsidR="00801A5C" w:rsidRDefault="00801A5C">
                                    <w:pPr>
                                      <w:pStyle w:val="NoSpacing"/>
                                      <w:spacing w:after="40"/>
                                      <w:jc w:val="center"/>
                                      <w:rPr>
                                        <w:caps/>
                                        <w:color w:val="4472C4" w:themeColor="accent1"/>
                                        <w:sz w:val="28"/>
                                        <w:szCs w:val="28"/>
                                      </w:rPr>
                                    </w:pPr>
                                    <w:r>
                                      <w:rPr>
                                        <w:caps/>
                                        <w:color w:val="4472C4" w:themeColor="accent1"/>
                                        <w:sz w:val="28"/>
                                        <w:szCs w:val="28"/>
                                      </w:rPr>
                                      <w:t>Olivia griffiths - 1703630</w:t>
                                    </w:r>
                                  </w:p>
                                </w:sdtContent>
                              </w:sdt>
                              <w:p w14:paraId="3429FA68" w14:textId="65A11B7B" w:rsidR="00801A5C" w:rsidRDefault="00801A5C">
                                <w:pPr>
                                  <w:pStyle w:val="NoSpacing"/>
                                  <w:jc w:val="center"/>
                                  <w:rPr>
                                    <w:color w:val="4472C4" w:themeColor="accent1"/>
                                  </w:rPr>
                                </w:pPr>
                                <w:sdt>
                                  <w:sdtPr>
                                    <w:rPr>
                                      <w:caps/>
                                      <w:color w:val="4472C4" w:themeColor="accent1"/>
                                    </w:rPr>
                                    <w:alias w:val="Company"/>
                                    <w:tag w:val=""/>
                                    <w:id w:val="-547919723"/>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49783615" w14:textId="6D29FFE9" w:rsidR="00801A5C" w:rsidRDefault="00801A5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36EF48F" id="_x0000_t202" coordsize="21600,21600" o:spt="202" path="m0,0l0,21600,21600,21600,21600,0xe">
                    <v:stroke joinstyle="miter"/>
                    <v:path gradientshapeok="t" o:connecttype="rect"/>
                  </v:shapetype>
                  <v:shape id="Text Box 142" o:spid="_x0000_s1026" type="#_x0000_t202" style="position:absolute;left:0;text-align:left;margin-left:0;margin-top:0;width:451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" filled="f" stroked="f" strokeweight=".5pt">
                    <v:textbox style="mso-fit-shape-to-text:t" inset="0,0,0,0">
                      <w:txbxContent>
                        <w:sdt>
                          <w:sdtPr>
                            <w:rPr>
                              <w:caps/>
                              <w:color w:val="4472C4" w:themeColor="accent1"/>
                              <w:sz w:val="28"/>
                              <w:szCs w:val="28"/>
                            </w:rPr>
                            <w:alias w:val="Date"/>
                            <w:tag w:val=""/>
                            <w:id w:val="1336351240"/>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20EFDC4" w14:textId="015AFF24" w:rsidR="00801A5C" w:rsidRDefault="00801A5C">
                              <w:pPr>
                                <w:pStyle w:val="NoSpacing"/>
                                <w:spacing w:after="40"/>
                                <w:jc w:val="center"/>
                                <w:rPr>
                                  <w:caps/>
                                  <w:color w:val="4472C4" w:themeColor="accent1"/>
                                  <w:sz w:val="28"/>
                                  <w:szCs w:val="28"/>
                                </w:rPr>
                              </w:pPr>
                              <w:r>
                                <w:rPr>
                                  <w:caps/>
                                  <w:color w:val="4472C4" w:themeColor="accent1"/>
                                  <w:sz w:val="28"/>
                                  <w:szCs w:val="28"/>
                                </w:rPr>
                                <w:t>Olivia griffiths - 1703630</w:t>
                              </w:r>
                            </w:p>
                          </w:sdtContent>
                        </w:sdt>
                        <w:p w14:paraId="3429FA68" w14:textId="65A11B7B" w:rsidR="00801A5C" w:rsidRDefault="00801A5C">
                          <w:pPr>
                            <w:pStyle w:val="NoSpacing"/>
                            <w:jc w:val="center"/>
                            <w:rPr>
                              <w:color w:val="4472C4" w:themeColor="accent1"/>
                            </w:rPr>
                          </w:pPr>
                          <w:sdt>
                            <w:sdtPr>
                              <w:rPr>
                                <w:caps/>
                                <w:color w:val="4472C4" w:themeColor="accent1"/>
                              </w:rPr>
                              <w:alias w:val="Company"/>
                              <w:tag w:val=""/>
                              <w:id w:val="-547919723"/>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49783615" w14:textId="6D29FFE9" w:rsidR="00801A5C" w:rsidRDefault="00801A5C">
                          <w:pPr>
                            <w:pStyle w:val="NoSpacing"/>
                            <w:jc w:val="center"/>
                            <w:rPr>
                              <w:color w:val="4472C4" w:themeColor="accent1"/>
                            </w:rPr>
                          </w:pPr>
                        </w:p>
                      </w:txbxContent>
                    </v:textbox>
                    <w10:wrap anchorx="margin" anchory="page"/>
                  </v:shape>
                </w:pict>
              </mc:Fallback>
            </mc:AlternateContent>
          </w:r>
          <w:r>
            <w:rPr>
              <w:noProof/>
              <w:color w:val="4472C4" w:themeColor="accent1"/>
              <w:lang w:val="en-GB" w:eastAsia="en-GB"/>
            </w:rPr>
            <w:drawing>
              <wp:inline distT="0" distB="0" distL="0" distR="0" wp14:anchorId="2FC4971B" wp14:editId="23E5C17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F1AF8B" w14:textId="77777777" w:rsidR="00801A5C" w:rsidRDefault="00801A5C">
          <w:pPr>
            <w:rPr>
              <w:rFonts w:ascii="Arial" w:hAnsi="Arial" w:cs="Arial"/>
              <w:b/>
              <w:u w:val="single"/>
            </w:rPr>
          </w:pPr>
          <w:r>
            <w:rPr>
              <w:rFonts w:ascii="Arial" w:hAnsi="Arial" w:cs="Arial"/>
              <w:b/>
              <w:u w:val="single"/>
            </w:rPr>
            <w:br w:type="page"/>
          </w:r>
        </w:p>
      </w:sdtContent>
    </w:sdt>
    <w:p w14:paraId="34389BCF" w14:textId="77777777" w:rsidR="00625302" w:rsidRPr="00BA74AD" w:rsidRDefault="00E008DB">
      <w:pPr>
        <w:rPr>
          <w:rFonts w:ascii="Arial" w:hAnsi="Arial" w:cs="Arial"/>
        </w:rPr>
      </w:pPr>
      <w:r w:rsidRPr="00BA74AD">
        <w:rPr>
          <w:rFonts w:ascii="Arial" w:hAnsi="Arial" w:cs="Arial"/>
        </w:rPr>
        <w:lastRenderedPageBreak/>
        <w:t>The two articles being compared and contrasted are:</w:t>
      </w:r>
      <w:r w:rsidR="00625302" w:rsidRPr="00BA74AD">
        <w:rPr>
          <w:rFonts w:ascii="Arial" w:hAnsi="Arial" w:cs="Arial"/>
        </w:rPr>
        <w:t xml:space="preserve"> ‘The economic impact of local sport events: significant, limited or otherwise? A case study of four swimming events’ and ‘The economic impact of major sports events: a review of ten events in the UK.’</w:t>
      </w:r>
    </w:p>
    <w:p w14:paraId="2288114A" w14:textId="1E4CAF7F" w:rsidR="00E008DB" w:rsidRPr="00BA74AD" w:rsidRDefault="00E008DB">
      <w:pPr>
        <w:rPr>
          <w:rFonts w:ascii="Arial" w:hAnsi="Arial" w:cs="Arial"/>
        </w:rPr>
      </w:pPr>
      <w:r w:rsidRPr="00BA74AD">
        <w:rPr>
          <w:rFonts w:ascii="Arial" w:hAnsi="Arial" w:cs="Arial"/>
        </w:rPr>
        <w:t xml:space="preserve">Throughout this comparison the article written by </w:t>
      </w:r>
      <w:r w:rsidR="00625302" w:rsidRPr="00BA74AD">
        <w:rPr>
          <w:rFonts w:ascii="Arial" w:hAnsi="Arial" w:cs="Arial"/>
          <w:color w:val="000000" w:themeColor="text1"/>
        </w:rPr>
        <w:t>Wilson (2006)</w:t>
      </w:r>
      <w:r w:rsidR="00625302" w:rsidRPr="00BA74AD">
        <w:rPr>
          <w:rFonts w:ascii="Arial" w:hAnsi="Arial" w:cs="Arial"/>
          <w:color w:val="000000" w:themeColor="text1"/>
        </w:rPr>
        <w:t xml:space="preserve"> </w:t>
      </w:r>
      <w:r w:rsidRPr="00BA74AD">
        <w:rPr>
          <w:rFonts w:ascii="Arial" w:hAnsi="Arial" w:cs="Arial"/>
          <w:color w:val="000000" w:themeColor="text1"/>
        </w:rPr>
        <w:t>will be referred to as ‘article 1’ and</w:t>
      </w:r>
      <w:r w:rsidR="00625302" w:rsidRPr="00BA74AD">
        <w:rPr>
          <w:rFonts w:ascii="Arial" w:hAnsi="Arial" w:cs="Arial"/>
          <w:color w:val="000000" w:themeColor="text1"/>
        </w:rPr>
        <w:t xml:space="preserve"> </w:t>
      </w:r>
      <w:r w:rsidR="00625302" w:rsidRPr="00BA74AD">
        <w:rPr>
          <w:rFonts w:ascii="Arial" w:hAnsi="Arial" w:cs="Arial"/>
          <w:color w:val="000000" w:themeColor="text1"/>
        </w:rPr>
        <w:t xml:space="preserve">Gratton et al. </w:t>
      </w:r>
      <w:r w:rsidR="00625302" w:rsidRPr="00BA74AD">
        <w:rPr>
          <w:rFonts w:ascii="Arial" w:hAnsi="Arial" w:cs="Arial"/>
          <w:color w:val="000000" w:themeColor="text1"/>
        </w:rPr>
        <w:t>(2006) will</w:t>
      </w:r>
      <w:r w:rsidRPr="00BA74AD">
        <w:rPr>
          <w:rFonts w:ascii="Arial" w:hAnsi="Arial" w:cs="Arial"/>
        </w:rPr>
        <w:t xml:space="preserve"> be referred as ‘article 2’.</w:t>
      </w:r>
    </w:p>
    <w:p w14:paraId="590C1361" w14:textId="72031CC0" w:rsidR="00E008DB" w:rsidRPr="00BA74AD" w:rsidRDefault="00E008DB">
      <w:pPr>
        <w:rPr>
          <w:rFonts w:ascii="Arial" w:hAnsi="Arial" w:cs="Arial"/>
        </w:rPr>
      </w:pPr>
      <w:r w:rsidRPr="00BA74AD">
        <w:rPr>
          <w:rFonts w:ascii="Arial" w:hAnsi="Arial" w:cs="Arial"/>
        </w:rPr>
        <w:t>These</w:t>
      </w:r>
      <w:r w:rsidR="00625302" w:rsidRPr="00BA74AD">
        <w:rPr>
          <w:rFonts w:ascii="Arial" w:hAnsi="Arial" w:cs="Arial"/>
        </w:rPr>
        <w:t xml:space="preserve"> two articles are very similar, both </w:t>
      </w:r>
      <w:r w:rsidR="000E0872" w:rsidRPr="00BA74AD">
        <w:rPr>
          <w:rFonts w:ascii="Arial" w:hAnsi="Arial" w:cs="Arial"/>
        </w:rPr>
        <w:t>are research papers studying UK spo</w:t>
      </w:r>
      <w:r w:rsidR="003D6EC0">
        <w:rPr>
          <w:rFonts w:ascii="Arial" w:hAnsi="Arial" w:cs="Arial"/>
        </w:rPr>
        <w:t xml:space="preserve">rting events, </w:t>
      </w:r>
      <w:r w:rsidR="000E0872" w:rsidRPr="00BA74AD">
        <w:rPr>
          <w:rFonts w:ascii="Arial" w:hAnsi="Arial" w:cs="Arial"/>
        </w:rPr>
        <w:t xml:space="preserve">using questionnaires to try and ascertain the amount by which host cities gain in economic terms from hosting these events. However, </w:t>
      </w:r>
      <w:r w:rsidR="00625302" w:rsidRPr="00BA74AD">
        <w:rPr>
          <w:rFonts w:ascii="Arial" w:hAnsi="Arial" w:cs="Arial"/>
        </w:rPr>
        <w:t>there are also some important differences</w:t>
      </w:r>
      <w:r w:rsidR="000E0872" w:rsidRPr="00BA74AD">
        <w:rPr>
          <w:rFonts w:ascii="Arial" w:hAnsi="Arial" w:cs="Arial"/>
        </w:rPr>
        <w:t xml:space="preserve"> </w:t>
      </w:r>
      <w:r w:rsidR="003D6EC0">
        <w:rPr>
          <w:rFonts w:ascii="Arial" w:hAnsi="Arial" w:cs="Arial"/>
        </w:rPr>
        <w:t>such as</w:t>
      </w:r>
      <w:r w:rsidR="000E0872" w:rsidRPr="00BA74AD">
        <w:rPr>
          <w:rFonts w:ascii="Arial" w:hAnsi="Arial" w:cs="Arial"/>
        </w:rPr>
        <w:t xml:space="preserve"> in the size and scale of the events studied</w:t>
      </w:r>
      <w:r w:rsidR="00625302" w:rsidRPr="00BA74AD">
        <w:rPr>
          <w:rFonts w:ascii="Arial" w:hAnsi="Arial" w:cs="Arial"/>
        </w:rPr>
        <w:t xml:space="preserve">. </w:t>
      </w:r>
    </w:p>
    <w:p w14:paraId="5606D62E" w14:textId="592AE85D" w:rsidR="00861BF8" w:rsidRPr="00BA74AD" w:rsidRDefault="00DA7F27" w:rsidP="00861BF8">
      <w:pPr>
        <w:pStyle w:val="NormalWeb"/>
        <w:rPr>
          <w:rFonts w:ascii="Arial" w:hAnsi="Arial" w:cs="Arial"/>
          <w:color w:val="000000" w:themeColor="text1"/>
        </w:rPr>
      </w:pPr>
      <w:r w:rsidRPr="00BA74AD">
        <w:rPr>
          <w:rFonts w:ascii="Arial" w:hAnsi="Arial" w:cs="Arial"/>
        </w:rPr>
        <w:t xml:space="preserve">These two articles both study a similar time frame looking at events up to 2002 and were both published in 2006. </w:t>
      </w:r>
      <w:r w:rsidR="00D92322" w:rsidRPr="00BA74AD">
        <w:rPr>
          <w:rFonts w:ascii="Arial" w:hAnsi="Arial" w:cs="Arial"/>
        </w:rPr>
        <w:t>This means that they both would have had access to the same previous research</w:t>
      </w:r>
      <w:r w:rsidR="0055420B" w:rsidRPr="00BA74AD">
        <w:rPr>
          <w:rFonts w:ascii="Arial" w:hAnsi="Arial" w:cs="Arial"/>
        </w:rPr>
        <w:t xml:space="preserve"> and meant that they were both looking at the leisure industry at the same point in time</w:t>
      </w:r>
      <w:r w:rsidR="00D92322" w:rsidRPr="00BA74AD">
        <w:rPr>
          <w:rFonts w:ascii="Arial" w:hAnsi="Arial" w:cs="Arial"/>
        </w:rPr>
        <w:t xml:space="preserve">. </w:t>
      </w:r>
      <w:r w:rsidRPr="00BA74AD">
        <w:rPr>
          <w:rFonts w:ascii="Arial" w:hAnsi="Arial" w:cs="Arial"/>
        </w:rPr>
        <w:t xml:space="preserve">However, article 2 looks at events between 1997 and 2002 whereas the four events of article 1 are all between 2001 and 2002. </w:t>
      </w:r>
      <w:r w:rsidR="007F3610" w:rsidRPr="00BA74AD">
        <w:rPr>
          <w:rFonts w:ascii="Arial" w:hAnsi="Arial" w:cs="Arial"/>
        </w:rPr>
        <w:t xml:space="preserve">Both articles were published in </w:t>
      </w:r>
      <w:r w:rsidR="007F3610" w:rsidRPr="00BA74AD">
        <w:rPr>
          <w:rFonts w:ascii="Arial" w:hAnsi="Arial" w:cs="Arial"/>
          <w:color w:val="000000" w:themeColor="text1"/>
        </w:rPr>
        <w:t>peer reviewed academic journals</w:t>
      </w:r>
      <w:r w:rsidR="0065600A" w:rsidRPr="00BA74AD">
        <w:rPr>
          <w:rFonts w:ascii="Arial" w:hAnsi="Arial" w:cs="Arial"/>
          <w:color w:val="000000" w:themeColor="text1"/>
        </w:rPr>
        <w:t xml:space="preserve">, which is important in establishing that these articles have been properly evaluated by other industry experts </w:t>
      </w:r>
      <w:r w:rsidR="00E06D27" w:rsidRPr="00BA74AD">
        <w:rPr>
          <w:rFonts w:ascii="Arial" w:hAnsi="Arial" w:cs="Arial"/>
          <w:color w:val="000000" w:themeColor="text1"/>
        </w:rPr>
        <w:t>(</w:t>
      </w:r>
      <w:r w:rsidR="00861BF8" w:rsidRPr="00BA74AD">
        <w:rPr>
          <w:rFonts w:ascii="Arial" w:hAnsi="Arial" w:cs="Arial"/>
          <w:color w:val="000000" w:themeColor="text1"/>
        </w:rPr>
        <w:t>Cowell, 2014)</w:t>
      </w:r>
      <w:r w:rsidR="0065600A" w:rsidRPr="00BA74AD">
        <w:rPr>
          <w:rFonts w:ascii="Arial" w:hAnsi="Arial" w:cs="Arial"/>
          <w:color w:val="000000" w:themeColor="text1"/>
        </w:rPr>
        <w:t>. T</w:t>
      </w:r>
      <w:r w:rsidR="00861BF8" w:rsidRPr="00BA74AD">
        <w:rPr>
          <w:rFonts w:ascii="Arial" w:hAnsi="Arial" w:cs="Arial"/>
          <w:color w:val="000000" w:themeColor="text1"/>
        </w:rPr>
        <w:t xml:space="preserve">his strengthens the reliability of both articles. </w:t>
      </w:r>
    </w:p>
    <w:p w14:paraId="0C19E8D1" w14:textId="2803DADE" w:rsidR="00DA7F27" w:rsidRPr="00BA74AD" w:rsidRDefault="007F3610">
      <w:pPr>
        <w:rPr>
          <w:rFonts w:ascii="Arial" w:hAnsi="Arial" w:cs="Arial"/>
          <w:color w:val="000000" w:themeColor="text1"/>
        </w:rPr>
      </w:pPr>
      <w:r w:rsidRPr="00BA74AD">
        <w:rPr>
          <w:rFonts w:ascii="Arial" w:hAnsi="Arial" w:cs="Arial"/>
          <w:color w:val="000000" w:themeColor="text1"/>
        </w:rPr>
        <w:t>Article 1 was published in ‘Managing Leisure’ and article 2 in ‘The Sociological Review’.  Both articles were written by academics at Sheffield Hallam University</w:t>
      </w:r>
      <w:r w:rsidR="007B359F" w:rsidRPr="00BA74AD">
        <w:rPr>
          <w:rFonts w:ascii="Arial" w:hAnsi="Arial" w:cs="Arial"/>
          <w:color w:val="000000" w:themeColor="text1"/>
        </w:rPr>
        <w:t xml:space="preserve"> who specialise in sports economics. </w:t>
      </w:r>
      <w:r w:rsidR="00274DBD" w:rsidRPr="00BA74AD">
        <w:rPr>
          <w:rFonts w:ascii="Arial" w:hAnsi="Arial" w:cs="Arial"/>
          <w:color w:val="000000" w:themeColor="text1"/>
        </w:rPr>
        <w:t xml:space="preserve">Article 1 was written as part of Wilson’s studies for an MPhil </w:t>
      </w:r>
      <w:r w:rsidR="00274DBD" w:rsidRPr="00BA74AD">
        <w:rPr>
          <w:rFonts w:ascii="Arial" w:hAnsi="Arial" w:cs="Arial"/>
          <w:color w:val="000000" w:themeColor="text1"/>
        </w:rPr>
        <w:t>(Sheffield Hallam</w:t>
      </w:r>
      <w:r w:rsidR="00DD4A1C" w:rsidRPr="00BA74AD">
        <w:rPr>
          <w:rFonts w:ascii="Arial" w:hAnsi="Arial" w:cs="Arial"/>
          <w:color w:val="000000" w:themeColor="text1"/>
        </w:rPr>
        <w:t>: Wilson,</w:t>
      </w:r>
      <w:r w:rsidR="00274DBD" w:rsidRPr="00BA74AD">
        <w:rPr>
          <w:rFonts w:ascii="Arial" w:hAnsi="Arial" w:cs="Arial"/>
          <w:color w:val="000000" w:themeColor="text1"/>
        </w:rPr>
        <w:t xml:space="preserve"> 2018</w:t>
      </w:r>
      <w:r w:rsidR="00274DBD" w:rsidRPr="00BA74AD">
        <w:rPr>
          <w:rFonts w:ascii="Arial" w:hAnsi="Arial" w:cs="Arial"/>
          <w:color w:val="000000" w:themeColor="text1"/>
        </w:rPr>
        <w:t>)</w:t>
      </w:r>
      <w:r w:rsidR="00DD4A1C" w:rsidRPr="00BA74AD">
        <w:rPr>
          <w:rFonts w:ascii="Arial" w:hAnsi="Arial" w:cs="Arial"/>
          <w:color w:val="000000" w:themeColor="text1"/>
        </w:rPr>
        <w:t xml:space="preserve">, </w:t>
      </w:r>
      <w:r w:rsidR="00274DBD" w:rsidRPr="00BA74AD">
        <w:rPr>
          <w:rFonts w:ascii="Arial" w:hAnsi="Arial" w:cs="Arial"/>
          <w:color w:val="000000" w:themeColor="text1"/>
        </w:rPr>
        <w:t>whereas the three academics who wrote article 2 are established figures with years of experience</w:t>
      </w:r>
      <w:r w:rsidR="00A876F9" w:rsidRPr="00BA74AD">
        <w:rPr>
          <w:rFonts w:ascii="Arial" w:hAnsi="Arial" w:cs="Arial"/>
          <w:color w:val="000000" w:themeColor="text1"/>
        </w:rPr>
        <w:t xml:space="preserve"> in this field</w:t>
      </w:r>
      <w:r w:rsidR="00AE3639" w:rsidRPr="00BA74AD">
        <w:rPr>
          <w:rFonts w:ascii="Arial" w:hAnsi="Arial" w:cs="Arial"/>
          <w:color w:val="000000" w:themeColor="text1"/>
        </w:rPr>
        <w:t xml:space="preserve"> (</w:t>
      </w:r>
      <w:r w:rsidR="00DD4A1C" w:rsidRPr="00BA74AD">
        <w:rPr>
          <w:rFonts w:ascii="Arial" w:hAnsi="Arial" w:cs="Arial"/>
          <w:color w:val="000000" w:themeColor="text1"/>
        </w:rPr>
        <w:t xml:space="preserve">Sheffield Hallam: </w:t>
      </w:r>
      <w:r w:rsidR="00AE3639" w:rsidRPr="00BA74AD">
        <w:rPr>
          <w:rFonts w:ascii="Arial" w:hAnsi="Arial" w:cs="Arial"/>
          <w:color w:val="000000" w:themeColor="text1"/>
        </w:rPr>
        <w:t xml:space="preserve">Gratton, 2018; </w:t>
      </w:r>
      <w:r w:rsidR="00DD4A1C" w:rsidRPr="00BA74AD">
        <w:rPr>
          <w:rFonts w:ascii="Arial" w:hAnsi="Arial" w:cs="Arial"/>
          <w:color w:val="000000" w:themeColor="text1"/>
        </w:rPr>
        <w:t xml:space="preserve">Sheffield Hallam: </w:t>
      </w:r>
      <w:r w:rsidR="00AE3639" w:rsidRPr="00BA74AD">
        <w:rPr>
          <w:rFonts w:ascii="Arial" w:hAnsi="Arial" w:cs="Arial"/>
          <w:color w:val="000000" w:themeColor="text1"/>
        </w:rPr>
        <w:t xml:space="preserve">Coleman, 2018; </w:t>
      </w:r>
      <w:r w:rsidR="00DD4A1C" w:rsidRPr="00BA74AD">
        <w:rPr>
          <w:rFonts w:ascii="Arial" w:hAnsi="Arial" w:cs="Arial"/>
          <w:color w:val="000000" w:themeColor="text1"/>
        </w:rPr>
        <w:t xml:space="preserve">Sheffield Hallam: </w:t>
      </w:r>
      <w:proofErr w:type="spellStart"/>
      <w:r w:rsidR="00AE3639" w:rsidRPr="00BA74AD">
        <w:rPr>
          <w:rFonts w:ascii="Arial" w:hAnsi="Arial" w:cs="Arial"/>
          <w:color w:val="000000" w:themeColor="text1"/>
        </w:rPr>
        <w:t>Shibli</w:t>
      </w:r>
      <w:proofErr w:type="spellEnd"/>
      <w:r w:rsidR="00AE3639" w:rsidRPr="00BA74AD">
        <w:rPr>
          <w:rFonts w:ascii="Arial" w:hAnsi="Arial" w:cs="Arial"/>
          <w:color w:val="000000" w:themeColor="text1"/>
        </w:rPr>
        <w:t xml:space="preserve">, 2018). </w:t>
      </w:r>
      <w:r w:rsidR="003D6EC0">
        <w:rPr>
          <w:rFonts w:ascii="Arial" w:hAnsi="Arial" w:cs="Arial"/>
          <w:color w:val="000000" w:themeColor="text1"/>
        </w:rPr>
        <w:t>Previous studies by a</w:t>
      </w:r>
      <w:r w:rsidR="008D0774" w:rsidRPr="00BA74AD">
        <w:rPr>
          <w:rFonts w:ascii="Arial" w:hAnsi="Arial" w:cs="Arial"/>
          <w:color w:val="000000" w:themeColor="text1"/>
        </w:rPr>
        <w:t xml:space="preserve">ll three writers of article 2 are </w:t>
      </w:r>
      <w:r w:rsidR="00A876F9" w:rsidRPr="00BA74AD">
        <w:rPr>
          <w:rFonts w:ascii="Arial" w:hAnsi="Arial" w:cs="Arial"/>
          <w:color w:val="000000" w:themeColor="text1"/>
        </w:rPr>
        <w:t>referenced in article 1</w:t>
      </w:r>
      <w:r w:rsidR="00274DBD" w:rsidRPr="00BA74AD">
        <w:rPr>
          <w:rFonts w:ascii="Arial" w:hAnsi="Arial" w:cs="Arial"/>
          <w:color w:val="000000" w:themeColor="text1"/>
        </w:rPr>
        <w:t xml:space="preserve">. </w:t>
      </w:r>
    </w:p>
    <w:p w14:paraId="4546FDE0" w14:textId="77777777" w:rsidR="00DA7F27" w:rsidRPr="00BA74AD" w:rsidRDefault="00DA7F27">
      <w:pPr>
        <w:rPr>
          <w:rFonts w:ascii="Arial" w:hAnsi="Arial" w:cs="Arial"/>
          <w:b/>
          <w:u w:val="single"/>
        </w:rPr>
      </w:pPr>
    </w:p>
    <w:p w14:paraId="4F864DC5" w14:textId="36F034FD" w:rsidR="00D23345" w:rsidRPr="00BA74AD" w:rsidRDefault="00841457">
      <w:pPr>
        <w:rPr>
          <w:rFonts w:ascii="Arial" w:hAnsi="Arial" w:cs="Arial"/>
        </w:rPr>
      </w:pPr>
      <w:r w:rsidRPr="00BA74AD">
        <w:rPr>
          <w:rFonts w:ascii="Arial" w:hAnsi="Arial" w:cs="Arial"/>
        </w:rPr>
        <w:t xml:space="preserve">Both articles are structured as academic reports </w:t>
      </w:r>
      <w:r w:rsidR="00093F3A" w:rsidRPr="00BA74AD">
        <w:rPr>
          <w:rFonts w:ascii="Arial" w:hAnsi="Arial" w:cs="Arial"/>
        </w:rPr>
        <w:t xml:space="preserve">and written in an appropriate third person style. They both have an </w:t>
      </w:r>
      <w:r w:rsidRPr="00BA74AD">
        <w:rPr>
          <w:rFonts w:ascii="Arial" w:hAnsi="Arial" w:cs="Arial"/>
        </w:rPr>
        <w:t xml:space="preserve">introduction, literature review, methodology, discussion and conclusion and are both fully referenced. </w:t>
      </w:r>
      <w:r w:rsidR="00D23345" w:rsidRPr="00BA74AD">
        <w:rPr>
          <w:rFonts w:ascii="Arial" w:hAnsi="Arial" w:cs="Arial"/>
        </w:rPr>
        <w:t>However, the review and the discussion are not explicit sections in article 2</w:t>
      </w:r>
      <w:r w:rsidR="003D6EC0">
        <w:rPr>
          <w:rFonts w:ascii="Arial" w:hAnsi="Arial" w:cs="Arial"/>
        </w:rPr>
        <w:t>,</w:t>
      </w:r>
      <w:r w:rsidR="00D23345" w:rsidRPr="00BA74AD">
        <w:rPr>
          <w:rFonts w:ascii="Arial" w:hAnsi="Arial" w:cs="Arial"/>
        </w:rPr>
        <w:t xml:space="preserve"> and also article 2 lacks an abstract. </w:t>
      </w:r>
    </w:p>
    <w:p w14:paraId="6E625EC6" w14:textId="77777777" w:rsidR="00D23345" w:rsidRPr="00BA74AD" w:rsidRDefault="00D23345">
      <w:pPr>
        <w:rPr>
          <w:rFonts w:ascii="Arial" w:hAnsi="Arial" w:cs="Arial"/>
        </w:rPr>
      </w:pPr>
    </w:p>
    <w:p w14:paraId="4DDF8A29" w14:textId="7930D03E" w:rsidR="001A540B" w:rsidRPr="00BA74AD" w:rsidRDefault="003B524C">
      <w:pPr>
        <w:rPr>
          <w:rFonts w:ascii="Arial" w:hAnsi="Arial" w:cs="Arial"/>
        </w:rPr>
      </w:pPr>
      <w:r w:rsidRPr="00BA74AD">
        <w:rPr>
          <w:rFonts w:ascii="Arial" w:hAnsi="Arial" w:cs="Arial"/>
        </w:rPr>
        <w:t xml:space="preserve">Both articles contain a comprehensive </w:t>
      </w:r>
      <w:r w:rsidR="00F305C6" w:rsidRPr="00BA74AD">
        <w:rPr>
          <w:rFonts w:ascii="Arial" w:hAnsi="Arial" w:cs="Arial"/>
        </w:rPr>
        <w:t xml:space="preserve">literature review and both explain how sports events are increasingly seen as beneficial to the host city. </w:t>
      </w:r>
      <w:r w:rsidR="003B2A95" w:rsidRPr="00BA74AD">
        <w:rPr>
          <w:rFonts w:ascii="Arial" w:hAnsi="Arial" w:cs="Arial"/>
        </w:rPr>
        <w:t xml:space="preserve">Article 1 has a more in-depth review of studies from the UK and includes a table explaining the typology used </w:t>
      </w:r>
      <w:r w:rsidR="003D6EC0">
        <w:rPr>
          <w:rFonts w:ascii="Arial" w:hAnsi="Arial" w:cs="Arial"/>
        </w:rPr>
        <w:t>in studies by UK S</w:t>
      </w:r>
      <w:r w:rsidR="003B2A95" w:rsidRPr="00BA74AD">
        <w:rPr>
          <w:rFonts w:ascii="Arial" w:hAnsi="Arial" w:cs="Arial"/>
        </w:rPr>
        <w:t xml:space="preserve">port. </w:t>
      </w:r>
      <w:r w:rsidR="00E11387">
        <w:rPr>
          <w:rFonts w:ascii="Arial" w:hAnsi="Arial" w:cs="Arial"/>
        </w:rPr>
        <w:t>T</w:t>
      </w:r>
      <w:r w:rsidR="00F305C6" w:rsidRPr="00BA74AD">
        <w:rPr>
          <w:rFonts w:ascii="Arial" w:hAnsi="Arial" w:cs="Arial"/>
        </w:rPr>
        <w:t xml:space="preserve">his table references an article written by two of the authors of article 2. </w:t>
      </w:r>
      <w:r w:rsidR="000E0872" w:rsidRPr="00BA74AD">
        <w:rPr>
          <w:rFonts w:ascii="Arial" w:hAnsi="Arial" w:cs="Arial"/>
        </w:rPr>
        <w:t xml:space="preserve">This typology established by Gratton et al. (2000) has categories A-D, </w:t>
      </w:r>
      <w:r w:rsidR="009F313D">
        <w:rPr>
          <w:rFonts w:ascii="Arial" w:hAnsi="Arial" w:cs="Arial"/>
        </w:rPr>
        <w:t xml:space="preserve">Type </w:t>
      </w:r>
      <w:r w:rsidR="000E0872" w:rsidRPr="00BA74AD">
        <w:rPr>
          <w:rFonts w:ascii="Arial" w:hAnsi="Arial" w:cs="Arial"/>
        </w:rPr>
        <w:t>A being major international events</w:t>
      </w:r>
      <w:r w:rsidR="009F313D">
        <w:rPr>
          <w:rFonts w:ascii="Arial" w:hAnsi="Arial" w:cs="Arial"/>
        </w:rPr>
        <w:t>, for example the Olympic Games;</w:t>
      </w:r>
      <w:r w:rsidR="000E0872" w:rsidRPr="00BA74AD">
        <w:rPr>
          <w:rFonts w:ascii="Arial" w:hAnsi="Arial" w:cs="Arial"/>
        </w:rPr>
        <w:t xml:space="preserve"> Type B being major domestic events </w:t>
      </w:r>
      <w:r w:rsidR="009F313D">
        <w:rPr>
          <w:rFonts w:ascii="Arial" w:hAnsi="Arial" w:cs="Arial"/>
        </w:rPr>
        <w:t>such as Six Nations Rugby Tests;</w:t>
      </w:r>
      <w:r w:rsidR="000E0872" w:rsidRPr="00BA74AD">
        <w:rPr>
          <w:rFonts w:ascii="Arial" w:hAnsi="Arial" w:cs="Arial"/>
        </w:rPr>
        <w:t xml:space="preserve"> Type C being international events with limited economic </w:t>
      </w:r>
      <w:r w:rsidR="001A540B" w:rsidRPr="00BA74AD">
        <w:rPr>
          <w:rFonts w:ascii="Arial" w:hAnsi="Arial" w:cs="Arial"/>
        </w:rPr>
        <w:t>activity</w:t>
      </w:r>
      <w:r w:rsidR="000E0872" w:rsidRPr="00BA74AD">
        <w:rPr>
          <w:rFonts w:ascii="Arial" w:hAnsi="Arial" w:cs="Arial"/>
        </w:rPr>
        <w:t xml:space="preserve"> such as some World and </w:t>
      </w:r>
      <w:r w:rsidR="001A540B" w:rsidRPr="00BA74AD">
        <w:rPr>
          <w:rFonts w:ascii="Arial" w:hAnsi="Arial" w:cs="Arial"/>
        </w:rPr>
        <w:t>European</w:t>
      </w:r>
      <w:r w:rsidR="000E0872" w:rsidRPr="00BA74AD">
        <w:rPr>
          <w:rFonts w:ascii="Arial" w:hAnsi="Arial" w:cs="Arial"/>
        </w:rPr>
        <w:t xml:space="preserve"> </w:t>
      </w:r>
      <w:r w:rsidR="001A540B" w:rsidRPr="00BA74AD">
        <w:rPr>
          <w:rFonts w:ascii="Arial" w:hAnsi="Arial" w:cs="Arial"/>
        </w:rPr>
        <w:t>Championships</w:t>
      </w:r>
      <w:r w:rsidR="009F313D">
        <w:rPr>
          <w:rFonts w:ascii="Arial" w:hAnsi="Arial" w:cs="Arial"/>
        </w:rPr>
        <w:t xml:space="preserve">; and </w:t>
      </w:r>
      <w:r w:rsidR="000E0872" w:rsidRPr="00BA74AD">
        <w:rPr>
          <w:rFonts w:ascii="Arial" w:hAnsi="Arial" w:cs="Arial"/>
        </w:rPr>
        <w:t xml:space="preserve">Type D being domestic </w:t>
      </w:r>
      <w:r w:rsidR="001A540B" w:rsidRPr="00BA74AD">
        <w:rPr>
          <w:rFonts w:ascii="Arial" w:hAnsi="Arial" w:cs="Arial"/>
        </w:rPr>
        <w:t>events with limited economic activit</w:t>
      </w:r>
      <w:r w:rsidR="000E0872" w:rsidRPr="00BA74AD">
        <w:rPr>
          <w:rFonts w:ascii="Arial" w:hAnsi="Arial" w:cs="Arial"/>
        </w:rPr>
        <w:t xml:space="preserve">y </w:t>
      </w:r>
      <w:r w:rsidR="001A540B" w:rsidRPr="00BA74AD">
        <w:rPr>
          <w:rFonts w:ascii="Arial" w:hAnsi="Arial" w:cs="Arial"/>
        </w:rPr>
        <w:t xml:space="preserve">such as most national championships. Only Type A and B attract significant media interest. </w:t>
      </w:r>
    </w:p>
    <w:p w14:paraId="1759797B" w14:textId="64A1AF8E" w:rsidR="003B524C" w:rsidRPr="00BA74AD" w:rsidRDefault="0022085D">
      <w:pPr>
        <w:rPr>
          <w:rFonts w:ascii="Arial" w:hAnsi="Arial" w:cs="Arial"/>
        </w:rPr>
      </w:pPr>
      <w:r w:rsidRPr="00BA74AD">
        <w:rPr>
          <w:rFonts w:ascii="Arial" w:hAnsi="Arial" w:cs="Arial"/>
        </w:rPr>
        <w:t xml:space="preserve">Article 2 however, looks at research from the USA and how the staging of events differs from the European strategy for this. </w:t>
      </w:r>
      <w:r w:rsidR="001A540B" w:rsidRPr="00BA74AD">
        <w:rPr>
          <w:rFonts w:ascii="Arial" w:hAnsi="Arial" w:cs="Arial"/>
        </w:rPr>
        <w:t xml:space="preserve">Article 1 only looks at studies of UK events. </w:t>
      </w:r>
    </w:p>
    <w:p w14:paraId="6985072F" w14:textId="77777777" w:rsidR="004C7A20" w:rsidRPr="00BA74AD" w:rsidRDefault="004C7A20" w:rsidP="004C7A20">
      <w:pPr>
        <w:rPr>
          <w:rFonts w:ascii="Arial" w:hAnsi="Arial" w:cs="Arial"/>
          <w:b/>
          <w:u w:val="single"/>
        </w:rPr>
      </w:pPr>
    </w:p>
    <w:p w14:paraId="2F717E9A" w14:textId="77777777" w:rsidR="004C7A20" w:rsidRPr="00BA74AD" w:rsidRDefault="004C7A20" w:rsidP="004C7A20">
      <w:pPr>
        <w:rPr>
          <w:rFonts w:ascii="Arial" w:hAnsi="Arial" w:cs="Arial"/>
        </w:rPr>
      </w:pPr>
      <w:r w:rsidRPr="00BA74AD">
        <w:rPr>
          <w:rFonts w:ascii="Arial" w:hAnsi="Arial" w:cs="Arial"/>
        </w:rPr>
        <w:t xml:space="preserve">The objectives of both articles were to quantify the economic impact of sporting events on their host cities in cases where large infrastructure costs are not required; however, article 2 also uses the Balanced Scorecard approach to discuss wider benefits such as positive marketing for the local area and potential legacy of sporting involvement and development. </w:t>
      </w:r>
    </w:p>
    <w:p w14:paraId="30129C55" w14:textId="17441234" w:rsidR="004C7A20" w:rsidRPr="00BA74AD" w:rsidRDefault="004C7A20" w:rsidP="004C7A20">
      <w:pPr>
        <w:rPr>
          <w:rFonts w:ascii="Arial" w:hAnsi="Arial" w:cs="Arial"/>
          <w:color w:val="000000" w:themeColor="text1"/>
        </w:rPr>
      </w:pPr>
      <w:r w:rsidRPr="00BA74AD">
        <w:rPr>
          <w:rFonts w:ascii="Arial" w:hAnsi="Arial" w:cs="Arial"/>
        </w:rPr>
        <w:t xml:space="preserve">The objectives of article 1 is to extend the research to smaller, local events. It uses </w:t>
      </w:r>
      <w:r w:rsidR="003D6EC0">
        <w:rPr>
          <w:rFonts w:ascii="Arial" w:hAnsi="Arial" w:cs="Arial"/>
        </w:rPr>
        <w:t xml:space="preserve">the </w:t>
      </w:r>
      <w:r w:rsidRPr="00BA74AD">
        <w:rPr>
          <w:rFonts w:ascii="Arial" w:hAnsi="Arial" w:cs="Arial"/>
        </w:rPr>
        <w:t xml:space="preserve">typology </w:t>
      </w:r>
      <w:r w:rsidRPr="00BA74AD">
        <w:rPr>
          <w:rFonts w:ascii="Arial" w:hAnsi="Arial" w:cs="Arial"/>
          <w:color w:val="000000" w:themeColor="text1"/>
        </w:rPr>
        <w:t xml:space="preserve">from Gratton </w:t>
      </w:r>
      <w:r w:rsidR="008B046B" w:rsidRPr="00BA74AD">
        <w:rPr>
          <w:rFonts w:ascii="Arial" w:hAnsi="Arial" w:cs="Arial"/>
          <w:color w:val="000000" w:themeColor="text1"/>
        </w:rPr>
        <w:t>et al. (2000)</w:t>
      </w:r>
      <w:r w:rsidR="008B046B" w:rsidRPr="00BA74AD">
        <w:rPr>
          <w:rFonts w:ascii="Arial" w:eastAsia="Times New Roman" w:hAnsi="Arial" w:cs="Arial"/>
          <w:color w:val="000000" w:themeColor="text1"/>
        </w:rPr>
        <w:t xml:space="preserve"> </w:t>
      </w:r>
      <w:r w:rsidRPr="00BA74AD">
        <w:rPr>
          <w:rFonts w:ascii="Arial" w:hAnsi="Arial" w:cs="Arial"/>
          <w:color w:val="000000" w:themeColor="text1"/>
        </w:rPr>
        <w:t xml:space="preserve">and defines the events being studied as that of type C and D. He identifies that these types as important </w:t>
      </w:r>
      <w:r w:rsidR="003D6EC0">
        <w:rPr>
          <w:rFonts w:ascii="Arial" w:hAnsi="Arial" w:cs="Arial"/>
          <w:color w:val="000000" w:themeColor="text1"/>
        </w:rPr>
        <w:t>because</w:t>
      </w:r>
      <w:r w:rsidRPr="00BA74AD">
        <w:rPr>
          <w:rFonts w:ascii="Arial" w:hAnsi="Arial" w:cs="Arial"/>
          <w:color w:val="000000" w:themeColor="text1"/>
        </w:rPr>
        <w:t xml:space="preserve"> the majority of events staged in the UK fall into these categories and there has been a lack of research in this area. A further objective of article 1 is to confirm the usefulness of this typology for the events on this study. In </w:t>
      </w:r>
      <w:r w:rsidR="009A081E">
        <w:rPr>
          <w:rFonts w:ascii="Arial" w:hAnsi="Arial" w:cs="Arial"/>
          <w:color w:val="000000" w:themeColor="text1"/>
        </w:rPr>
        <w:t xml:space="preserve">contrast, the main </w:t>
      </w:r>
      <w:bookmarkStart w:id="0" w:name="_GoBack"/>
      <w:bookmarkEnd w:id="0"/>
      <w:r w:rsidR="009A081E">
        <w:rPr>
          <w:rFonts w:ascii="Arial" w:hAnsi="Arial" w:cs="Arial"/>
          <w:color w:val="000000" w:themeColor="text1"/>
        </w:rPr>
        <w:t>objective</w:t>
      </w:r>
      <w:r w:rsidRPr="00BA74AD">
        <w:rPr>
          <w:rFonts w:ascii="Arial" w:hAnsi="Arial" w:cs="Arial"/>
          <w:color w:val="000000" w:themeColor="text1"/>
        </w:rPr>
        <w:t xml:space="preserve"> of article 2 is to review existing studies to confirm the economic benefits of the European model of cities attracting major sports events. </w:t>
      </w:r>
    </w:p>
    <w:p w14:paraId="3749E750" w14:textId="77777777" w:rsidR="00321037" w:rsidRPr="00BA74AD" w:rsidRDefault="00321037">
      <w:pPr>
        <w:rPr>
          <w:rFonts w:ascii="Arial" w:hAnsi="Arial" w:cs="Arial"/>
          <w:b/>
          <w:u w:val="single"/>
        </w:rPr>
      </w:pPr>
    </w:p>
    <w:p w14:paraId="293BB6BD" w14:textId="7038F03D" w:rsidR="00321037" w:rsidRPr="00BA74AD" w:rsidRDefault="003D6EC0">
      <w:pPr>
        <w:rPr>
          <w:rFonts w:ascii="Arial" w:hAnsi="Arial" w:cs="Arial"/>
        </w:rPr>
      </w:pPr>
      <w:r>
        <w:rPr>
          <w:rFonts w:ascii="Arial" w:hAnsi="Arial" w:cs="Arial"/>
        </w:rPr>
        <w:t>One important difference</w:t>
      </w:r>
      <w:r w:rsidR="007F5030" w:rsidRPr="00BA74AD">
        <w:rPr>
          <w:rFonts w:ascii="Arial" w:hAnsi="Arial" w:cs="Arial"/>
        </w:rPr>
        <w:t xml:space="preserve"> between the articles is that article 1 is based on primary</w:t>
      </w:r>
      <w:r>
        <w:rPr>
          <w:rFonts w:ascii="Arial" w:hAnsi="Arial" w:cs="Arial"/>
        </w:rPr>
        <w:t xml:space="preserve"> research, w</w:t>
      </w:r>
      <w:r w:rsidR="007F5030" w:rsidRPr="00BA74AD">
        <w:rPr>
          <w:rFonts w:ascii="Arial" w:hAnsi="Arial" w:cs="Arial"/>
        </w:rPr>
        <w:t>hereas article 2 is a synthesis of previous research. However, both used a common methodology from UK Sport and both have used statistical</w:t>
      </w:r>
      <w:r w:rsidR="00C800C0" w:rsidRPr="00BA74AD">
        <w:rPr>
          <w:rFonts w:ascii="Arial" w:hAnsi="Arial" w:cs="Arial"/>
        </w:rPr>
        <w:t xml:space="preserve"> software in their analysis. In both cases this methodology involved a standard questionnaire, </w:t>
      </w:r>
      <w:r w:rsidR="00B15218" w:rsidRPr="00BA74AD">
        <w:rPr>
          <w:rFonts w:ascii="Arial" w:hAnsi="Arial" w:cs="Arial"/>
        </w:rPr>
        <w:t xml:space="preserve">directed at key groups involved with these events. </w:t>
      </w:r>
    </w:p>
    <w:p w14:paraId="6E23D0CA" w14:textId="60B1C12C" w:rsidR="007F5030" w:rsidRPr="00BA74AD" w:rsidRDefault="000B6614">
      <w:pPr>
        <w:rPr>
          <w:rFonts w:ascii="Arial" w:hAnsi="Arial" w:cs="Arial"/>
        </w:rPr>
      </w:pPr>
      <w:r w:rsidRPr="00BA74AD">
        <w:rPr>
          <w:rFonts w:ascii="Arial" w:hAnsi="Arial" w:cs="Arial"/>
        </w:rPr>
        <w:t xml:space="preserve">Article 2 provides a more detailed breakdown of the stages involved in the analysis of the responses. </w:t>
      </w:r>
      <w:r w:rsidR="00A876F9" w:rsidRPr="00BA74AD">
        <w:rPr>
          <w:rFonts w:ascii="Arial" w:hAnsi="Arial" w:cs="Arial"/>
        </w:rPr>
        <w:t xml:space="preserve">In both studies, the target groups included competitors, spectators, volunteers and officials. </w:t>
      </w:r>
    </w:p>
    <w:p w14:paraId="6F0DB8CF" w14:textId="380D3A80" w:rsidR="00061293" w:rsidRPr="00BA74AD" w:rsidRDefault="00A876F9">
      <w:pPr>
        <w:rPr>
          <w:rFonts w:ascii="Arial" w:hAnsi="Arial" w:cs="Arial"/>
        </w:rPr>
      </w:pPr>
      <w:r w:rsidRPr="00BA74AD">
        <w:rPr>
          <w:rFonts w:ascii="Arial" w:hAnsi="Arial" w:cs="Arial"/>
        </w:rPr>
        <w:t>The key differences are in the type of events targeted.</w:t>
      </w:r>
      <w:r w:rsidR="00E00E16">
        <w:rPr>
          <w:rFonts w:ascii="Arial" w:hAnsi="Arial" w:cs="Arial"/>
        </w:rPr>
        <w:t xml:space="preserve"> A</w:t>
      </w:r>
      <w:r w:rsidRPr="00BA74AD">
        <w:rPr>
          <w:rFonts w:ascii="Arial" w:hAnsi="Arial" w:cs="Arial"/>
        </w:rPr>
        <w:t xml:space="preserve">rticle 1 </w:t>
      </w:r>
      <w:r w:rsidR="003D6EC0">
        <w:rPr>
          <w:rFonts w:ascii="Arial" w:hAnsi="Arial" w:cs="Arial"/>
        </w:rPr>
        <w:t>targets</w:t>
      </w:r>
      <w:r w:rsidRPr="00BA74AD">
        <w:rPr>
          <w:rFonts w:ascii="Arial" w:hAnsi="Arial" w:cs="Arial"/>
        </w:rPr>
        <w:t xml:space="preserve"> four local swimming </w:t>
      </w:r>
      <w:r w:rsidR="003D6EC0">
        <w:rPr>
          <w:rFonts w:ascii="Arial" w:hAnsi="Arial" w:cs="Arial"/>
        </w:rPr>
        <w:t xml:space="preserve">events and </w:t>
      </w:r>
      <w:r w:rsidRPr="00BA74AD">
        <w:rPr>
          <w:rFonts w:ascii="Arial" w:hAnsi="Arial" w:cs="Arial"/>
        </w:rPr>
        <w:t xml:space="preserve">article 2 ten much larger and more varied sporting events at the European and World level. </w:t>
      </w:r>
    </w:p>
    <w:p w14:paraId="76C80E42" w14:textId="77777777" w:rsidR="00E008DB" w:rsidRPr="00BA74AD" w:rsidRDefault="00E008DB">
      <w:pPr>
        <w:rPr>
          <w:rFonts w:ascii="Arial" w:hAnsi="Arial" w:cs="Arial"/>
          <w:b/>
          <w:u w:val="single"/>
        </w:rPr>
      </w:pPr>
    </w:p>
    <w:p w14:paraId="69463B57" w14:textId="51BC300B" w:rsidR="009A1B20" w:rsidRPr="00BA74AD" w:rsidRDefault="009A1B20" w:rsidP="009A1B20">
      <w:pPr>
        <w:rPr>
          <w:rFonts w:ascii="Arial" w:hAnsi="Arial" w:cs="Arial"/>
        </w:rPr>
      </w:pPr>
      <w:r w:rsidRPr="00BA74AD">
        <w:rPr>
          <w:rFonts w:ascii="Arial" w:hAnsi="Arial" w:cs="Arial"/>
        </w:rPr>
        <w:t xml:space="preserve">Article 1 records the total spend </w:t>
      </w:r>
      <w:r w:rsidR="003D6EC0">
        <w:rPr>
          <w:rFonts w:ascii="Arial" w:hAnsi="Arial" w:cs="Arial"/>
        </w:rPr>
        <w:t>for the</w:t>
      </w:r>
      <w:r w:rsidRPr="00BA74AD">
        <w:rPr>
          <w:rFonts w:ascii="Arial" w:hAnsi="Arial" w:cs="Arial"/>
        </w:rPr>
        <w:t xml:space="preserve"> four events as they all lasted for two days. </w:t>
      </w:r>
      <w:r w:rsidRPr="00BA74AD">
        <w:rPr>
          <w:rFonts w:ascii="Arial" w:hAnsi="Arial" w:cs="Arial"/>
        </w:rPr>
        <w:t>However,</w:t>
      </w:r>
      <w:r w:rsidRPr="00BA74AD">
        <w:rPr>
          <w:rFonts w:ascii="Arial" w:hAnsi="Arial" w:cs="Arial"/>
        </w:rPr>
        <w:t xml:space="preserve"> article 2 breaks it down to spend per day as the duration of the events varied. </w:t>
      </w:r>
      <w:r w:rsidRPr="00BA74AD">
        <w:rPr>
          <w:rFonts w:ascii="Arial" w:hAnsi="Arial" w:cs="Arial"/>
        </w:rPr>
        <w:t xml:space="preserve">Both articles provide a graphical breakdown of expenditure </w:t>
      </w:r>
      <w:r w:rsidR="00941FFF" w:rsidRPr="00BA74AD">
        <w:rPr>
          <w:rFonts w:ascii="Arial" w:hAnsi="Arial" w:cs="Arial"/>
        </w:rPr>
        <w:t xml:space="preserve">but article 1 is the only one that provides an analysis of category of purchases. </w:t>
      </w:r>
      <w:r w:rsidR="00EA5034" w:rsidRPr="00BA74AD">
        <w:rPr>
          <w:rFonts w:ascii="Arial" w:hAnsi="Arial" w:cs="Arial"/>
        </w:rPr>
        <w:t xml:space="preserve">In both cases the graphs show separate expenditure of competitors, spectators and others involved such as officials and volunteers. </w:t>
      </w:r>
    </w:p>
    <w:p w14:paraId="0E9100E8" w14:textId="70EDF4A9" w:rsidR="00E822E9" w:rsidRPr="00BA74AD" w:rsidRDefault="009A1B20">
      <w:pPr>
        <w:rPr>
          <w:rFonts w:ascii="Arial" w:hAnsi="Arial" w:cs="Arial"/>
          <w:b/>
          <w:u w:val="single"/>
        </w:rPr>
      </w:pPr>
      <w:r w:rsidRPr="00BA74AD">
        <w:rPr>
          <w:rFonts w:ascii="Arial" w:hAnsi="Arial" w:cs="Arial"/>
          <w:b/>
          <w:u w:val="single"/>
        </w:rPr>
        <w:t xml:space="preserve"> </w:t>
      </w:r>
    </w:p>
    <w:p w14:paraId="604CA574" w14:textId="3B8C056A" w:rsidR="00E008DB" w:rsidRPr="00BA74AD" w:rsidRDefault="00E822E9">
      <w:pPr>
        <w:rPr>
          <w:rFonts w:ascii="Arial" w:hAnsi="Arial" w:cs="Arial"/>
        </w:rPr>
      </w:pPr>
      <w:r w:rsidRPr="00BA74AD">
        <w:rPr>
          <w:rFonts w:ascii="Arial" w:hAnsi="Arial" w:cs="Arial"/>
        </w:rPr>
        <w:t>Article 1 has a detailed analysis of the timings of the events which is absent from article 2. It looks at whether the day (weekend or midweek), time period (one day or two day) or time of year, e.g</w:t>
      </w:r>
      <w:r w:rsidR="00491B10" w:rsidRPr="00BA74AD">
        <w:rPr>
          <w:rFonts w:ascii="Arial" w:hAnsi="Arial" w:cs="Arial"/>
        </w:rPr>
        <w:t>.</w:t>
      </w:r>
      <w:r w:rsidRPr="00BA74AD">
        <w:rPr>
          <w:rFonts w:ascii="Arial" w:hAnsi="Arial" w:cs="Arial"/>
        </w:rPr>
        <w:t xml:space="preserve"> Easter holiday</w:t>
      </w:r>
      <w:r w:rsidR="003D6EC0">
        <w:rPr>
          <w:rFonts w:ascii="Arial" w:hAnsi="Arial" w:cs="Arial"/>
        </w:rPr>
        <w:t>,</w:t>
      </w:r>
      <w:r w:rsidRPr="00BA74AD">
        <w:rPr>
          <w:rFonts w:ascii="Arial" w:hAnsi="Arial" w:cs="Arial"/>
        </w:rPr>
        <w:t xml:space="preserve"> will affect patterns of spending. </w:t>
      </w:r>
    </w:p>
    <w:p w14:paraId="7DDF685A" w14:textId="519728FB" w:rsidR="00491B10" w:rsidRPr="00BA74AD" w:rsidRDefault="00663E29">
      <w:pPr>
        <w:rPr>
          <w:rFonts w:ascii="Arial" w:hAnsi="Arial" w:cs="Arial"/>
        </w:rPr>
      </w:pPr>
      <w:r w:rsidRPr="00BA74AD">
        <w:rPr>
          <w:rFonts w:ascii="Arial" w:hAnsi="Arial" w:cs="Arial"/>
        </w:rPr>
        <w:t xml:space="preserve">Article 1 also has a detailed discussion about how smaller sports events are usually more competitor driven, however the research concluded that this was not the case as the competitors were under the age of 16 and it was their parents who were spending the money as well as paying for the commercial accommodation. </w:t>
      </w:r>
    </w:p>
    <w:p w14:paraId="43ACE921" w14:textId="06389A7E" w:rsidR="00685348" w:rsidRPr="00BA74AD" w:rsidRDefault="00685348">
      <w:pPr>
        <w:rPr>
          <w:rFonts w:ascii="Arial" w:hAnsi="Arial" w:cs="Arial"/>
        </w:rPr>
      </w:pPr>
      <w:r w:rsidRPr="00BA74AD">
        <w:rPr>
          <w:rFonts w:ascii="Arial" w:hAnsi="Arial" w:cs="Arial"/>
        </w:rPr>
        <w:t xml:space="preserve">In contrast, article 2 divided its 10 events into 5 that were competitor driven and 5 that were spectator </w:t>
      </w:r>
      <w:r w:rsidR="003469D6" w:rsidRPr="00BA74AD">
        <w:rPr>
          <w:rFonts w:ascii="Arial" w:hAnsi="Arial" w:cs="Arial"/>
        </w:rPr>
        <w:t xml:space="preserve">driven and concluded that the first group were likely to have a lower economic impact. </w:t>
      </w:r>
    </w:p>
    <w:p w14:paraId="39A075B1" w14:textId="77777777" w:rsidR="00E008DB" w:rsidRPr="00BA74AD" w:rsidRDefault="00E008DB">
      <w:pPr>
        <w:rPr>
          <w:rFonts w:ascii="Arial" w:hAnsi="Arial" w:cs="Arial"/>
          <w:b/>
          <w:u w:val="single"/>
        </w:rPr>
      </w:pPr>
    </w:p>
    <w:p w14:paraId="3BE7AEBF" w14:textId="022FD40D" w:rsidR="003930BC" w:rsidRPr="00BA74AD" w:rsidRDefault="00E7500C">
      <w:pPr>
        <w:rPr>
          <w:rFonts w:ascii="Arial" w:hAnsi="Arial" w:cs="Arial"/>
        </w:rPr>
      </w:pPr>
      <w:r w:rsidRPr="00BA74AD">
        <w:rPr>
          <w:rFonts w:ascii="Arial" w:hAnsi="Arial" w:cs="Arial"/>
        </w:rPr>
        <w:t>Both studies come to broadly similar conclusions that the events studied had a positive economic impact on th</w:t>
      </w:r>
      <w:r w:rsidR="00EA5034" w:rsidRPr="00BA74AD">
        <w:rPr>
          <w:rFonts w:ascii="Arial" w:hAnsi="Arial" w:cs="Arial"/>
        </w:rPr>
        <w:t xml:space="preserve">e host cities and both conclude that the main source of expenditure </w:t>
      </w:r>
      <w:r w:rsidR="00E96D8C" w:rsidRPr="00BA74AD">
        <w:rPr>
          <w:rFonts w:ascii="Arial" w:hAnsi="Arial" w:cs="Arial"/>
        </w:rPr>
        <w:t>wa</w:t>
      </w:r>
      <w:r w:rsidR="003930BC" w:rsidRPr="00BA74AD">
        <w:rPr>
          <w:rFonts w:ascii="Arial" w:hAnsi="Arial" w:cs="Arial"/>
        </w:rPr>
        <w:t xml:space="preserve">s the spectators, however, this was much more pronounced in the major sporting events studied in article 2. </w:t>
      </w:r>
    </w:p>
    <w:p w14:paraId="566AC866" w14:textId="77777777" w:rsidR="00AC5E2C" w:rsidRPr="00BA74AD" w:rsidRDefault="003930BC" w:rsidP="003930BC">
      <w:pPr>
        <w:rPr>
          <w:rFonts w:ascii="Arial" w:hAnsi="Arial" w:cs="Arial"/>
        </w:rPr>
      </w:pPr>
      <w:r w:rsidRPr="00BA74AD">
        <w:rPr>
          <w:rFonts w:ascii="Arial" w:hAnsi="Arial" w:cs="Arial"/>
        </w:rPr>
        <w:t xml:space="preserve">Both studies have conclusions which suggest </w:t>
      </w:r>
      <w:r w:rsidRPr="00BA74AD">
        <w:rPr>
          <w:rFonts w:ascii="Arial" w:hAnsi="Arial" w:cs="Arial"/>
        </w:rPr>
        <w:t>changes to the methodology</w:t>
      </w:r>
      <w:r w:rsidRPr="00BA74AD">
        <w:rPr>
          <w:rFonts w:ascii="Arial" w:hAnsi="Arial" w:cs="Arial"/>
        </w:rPr>
        <w:t xml:space="preserve"> or pointers to further studies. Article 1 defines a new Type E </w:t>
      </w:r>
      <w:r w:rsidR="008E2015" w:rsidRPr="00BA74AD">
        <w:rPr>
          <w:rFonts w:ascii="Arial" w:hAnsi="Arial" w:cs="Arial"/>
        </w:rPr>
        <w:t xml:space="preserve">for minor events with no media interest and </w:t>
      </w:r>
      <w:r w:rsidRPr="00BA74AD">
        <w:rPr>
          <w:rFonts w:ascii="Arial" w:hAnsi="Arial" w:cs="Arial"/>
        </w:rPr>
        <w:t>Article 2 concludes that future studies should concentrate on the legacy of events in the longer term.</w:t>
      </w:r>
    </w:p>
    <w:p w14:paraId="601912C1" w14:textId="265BDE63" w:rsidR="00AC5E2C" w:rsidRPr="00BA74AD" w:rsidRDefault="00AC5E2C" w:rsidP="003930BC">
      <w:pPr>
        <w:rPr>
          <w:rFonts w:ascii="Arial" w:hAnsi="Arial" w:cs="Arial"/>
        </w:rPr>
      </w:pPr>
      <w:r w:rsidRPr="00BA74AD">
        <w:rPr>
          <w:rFonts w:ascii="Arial" w:hAnsi="Arial" w:cs="Arial"/>
        </w:rPr>
        <w:t>Both have conclusions about how to maximise the economic gain from sporting events. Article 1 compares the amount of economic gain from COSDOM compared to the three other events studied and concludes that one of the major factors in the difference in income was due to the capacity of the venue as it allows for more spectators. Article 1 also points out tha</w:t>
      </w:r>
      <w:r w:rsidR="0057704A" w:rsidRPr="00BA74AD">
        <w:rPr>
          <w:rFonts w:ascii="Arial" w:hAnsi="Arial" w:cs="Arial"/>
        </w:rPr>
        <w:t xml:space="preserve">t the timing is important for example, school holiday or weekends will allow families to stay overnight, and events held earlier in the year are better attended as competition is high for placings in the year. </w:t>
      </w:r>
    </w:p>
    <w:p w14:paraId="78EB71B9" w14:textId="0B7A446B" w:rsidR="003930BC" w:rsidRPr="00BA74AD" w:rsidRDefault="00AC5E2C" w:rsidP="003930BC">
      <w:pPr>
        <w:rPr>
          <w:rFonts w:ascii="Arial" w:hAnsi="Arial" w:cs="Arial"/>
        </w:rPr>
      </w:pPr>
      <w:r w:rsidRPr="00BA74AD">
        <w:rPr>
          <w:rFonts w:ascii="Arial" w:hAnsi="Arial" w:cs="Arial"/>
        </w:rPr>
        <w:t xml:space="preserve">Article 2 </w:t>
      </w:r>
      <w:r w:rsidR="00405D46" w:rsidRPr="00BA74AD">
        <w:rPr>
          <w:rFonts w:ascii="Arial" w:hAnsi="Arial" w:cs="Arial"/>
        </w:rPr>
        <w:t>has the following points; the event must attract people</w:t>
      </w:r>
      <w:r w:rsidR="00451EE3" w:rsidRPr="00BA74AD">
        <w:rPr>
          <w:rFonts w:ascii="Arial" w:hAnsi="Arial" w:cs="Arial"/>
        </w:rPr>
        <w:t xml:space="preserve"> from outside the local area and </w:t>
      </w:r>
      <w:r w:rsidR="00405D46" w:rsidRPr="00BA74AD">
        <w:rPr>
          <w:rFonts w:ascii="Arial" w:hAnsi="Arial" w:cs="Arial"/>
        </w:rPr>
        <w:t>commercial accommodation</w:t>
      </w:r>
      <w:r w:rsidR="00451EE3" w:rsidRPr="00BA74AD">
        <w:rPr>
          <w:rFonts w:ascii="Arial" w:hAnsi="Arial" w:cs="Arial"/>
        </w:rPr>
        <w:t xml:space="preserve"> must be available. It also states that the sporting level of the event is not necessarily related to the economic impact and junior event</w:t>
      </w:r>
      <w:r w:rsidR="0025431D" w:rsidRPr="00BA74AD">
        <w:rPr>
          <w:rFonts w:ascii="Arial" w:hAnsi="Arial" w:cs="Arial"/>
        </w:rPr>
        <w:t>s</w:t>
      </w:r>
      <w:r w:rsidR="00451EE3" w:rsidRPr="00BA74AD">
        <w:rPr>
          <w:rFonts w:ascii="Arial" w:hAnsi="Arial" w:cs="Arial"/>
        </w:rPr>
        <w:t xml:space="preserve"> are likely to be less significant due to low numbers of spectators. </w:t>
      </w:r>
    </w:p>
    <w:p w14:paraId="041A7B07" w14:textId="77777777" w:rsidR="00AC5E2C" w:rsidRPr="00BA74AD" w:rsidRDefault="00AC5E2C" w:rsidP="003930BC">
      <w:pPr>
        <w:rPr>
          <w:rFonts w:ascii="Arial" w:hAnsi="Arial" w:cs="Arial"/>
        </w:rPr>
      </w:pPr>
    </w:p>
    <w:p w14:paraId="437844F6" w14:textId="09120A1C" w:rsidR="008E2015" w:rsidRPr="00BA74AD" w:rsidRDefault="008E2015" w:rsidP="003930BC">
      <w:pPr>
        <w:rPr>
          <w:rFonts w:ascii="Arial" w:hAnsi="Arial" w:cs="Arial"/>
        </w:rPr>
      </w:pPr>
      <w:r w:rsidRPr="00BA74AD">
        <w:rPr>
          <w:rFonts w:ascii="Arial" w:hAnsi="Arial" w:cs="Arial"/>
        </w:rPr>
        <w:t xml:space="preserve">Finally, both studies are very positive in their outlook and used their results to recommend that the hosting of sports events is beneficial and should be encouraged in the future. In the case of article 1 this is because Type D and E events are easier to stage regularly </w:t>
      </w:r>
      <w:r w:rsidR="00BB3FA2" w:rsidRPr="00BA74AD">
        <w:rPr>
          <w:rFonts w:ascii="Arial" w:hAnsi="Arial" w:cs="Arial"/>
        </w:rPr>
        <w:t xml:space="preserve">despite limited economic impact. </w:t>
      </w:r>
    </w:p>
    <w:p w14:paraId="7A10D11E" w14:textId="77777777" w:rsidR="00E7500C" w:rsidRPr="00BA74AD" w:rsidRDefault="00E7500C">
      <w:pPr>
        <w:rPr>
          <w:rFonts w:ascii="Arial" w:hAnsi="Arial" w:cs="Arial"/>
          <w:b/>
          <w:u w:val="single"/>
        </w:rPr>
      </w:pPr>
    </w:p>
    <w:p w14:paraId="5DAC3473" w14:textId="5A0139CB" w:rsidR="00FB4555" w:rsidRPr="00BA74AD" w:rsidRDefault="00FB4555">
      <w:pPr>
        <w:rPr>
          <w:rFonts w:ascii="Arial" w:hAnsi="Arial" w:cs="Arial"/>
        </w:rPr>
      </w:pPr>
      <w:r w:rsidRPr="00BA74AD">
        <w:rPr>
          <w:rFonts w:ascii="Arial" w:hAnsi="Arial" w:cs="Arial"/>
        </w:rPr>
        <w:t xml:space="preserve">These articles were both successful for a number </w:t>
      </w:r>
      <w:r w:rsidR="00F876CD" w:rsidRPr="00BA74AD">
        <w:rPr>
          <w:rFonts w:ascii="Arial" w:hAnsi="Arial" w:cs="Arial"/>
        </w:rPr>
        <w:t xml:space="preserve">of reasons. First of all, they influenced further </w:t>
      </w:r>
      <w:r w:rsidR="00F876CD" w:rsidRPr="00BA74AD">
        <w:rPr>
          <w:rFonts w:ascii="Arial" w:hAnsi="Arial" w:cs="Arial"/>
          <w:color w:val="000000" w:themeColor="text1"/>
        </w:rPr>
        <w:t xml:space="preserve">research, for example, Gibson et al. (2012) </w:t>
      </w:r>
      <w:r w:rsidR="0065600A" w:rsidRPr="00BA74AD">
        <w:rPr>
          <w:rFonts w:ascii="Arial" w:hAnsi="Arial" w:cs="Arial"/>
          <w:color w:val="000000" w:themeColor="text1"/>
        </w:rPr>
        <w:t xml:space="preserve">references article 1 and agrees with Wilson that small- scale events in the sports tourism industry require another category, Type E and can provide proportionally more economic benefits because they are held in smaller host venues. </w:t>
      </w:r>
      <w:r w:rsidR="00287C8D" w:rsidRPr="00BA74AD">
        <w:rPr>
          <w:rFonts w:ascii="Arial" w:hAnsi="Arial" w:cs="Arial"/>
          <w:color w:val="000000" w:themeColor="text1"/>
        </w:rPr>
        <w:t xml:space="preserve">Article 2 </w:t>
      </w:r>
      <w:r w:rsidR="00F06B6C" w:rsidRPr="00BA74AD">
        <w:rPr>
          <w:rFonts w:ascii="Arial" w:hAnsi="Arial" w:cs="Arial"/>
          <w:color w:val="000000" w:themeColor="text1"/>
        </w:rPr>
        <w:t xml:space="preserve">was quoted in Clark and Kearns (2016) when assessing </w:t>
      </w:r>
      <w:r w:rsidR="00F06B6C" w:rsidRPr="00BA74AD">
        <w:rPr>
          <w:rFonts w:ascii="Arial" w:hAnsi="Arial" w:cs="Arial"/>
        </w:rPr>
        <w:t xml:space="preserve">the impact of the Glasgow 2014 Commonwealth Games. </w:t>
      </w:r>
      <w:r w:rsidR="0027186A" w:rsidRPr="00BA74AD">
        <w:rPr>
          <w:rFonts w:ascii="Arial" w:hAnsi="Arial" w:cs="Arial"/>
        </w:rPr>
        <w:t>However, both articles rely heavily on questionnaires and this raises the problem that people may not be honest due to the desire to present a positive image (</w:t>
      </w:r>
      <w:proofErr w:type="spellStart"/>
      <w:r w:rsidR="0027186A" w:rsidRPr="00BA74AD">
        <w:rPr>
          <w:rFonts w:ascii="Arial" w:hAnsi="Arial" w:cs="Arial"/>
        </w:rPr>
        <w:t>Mcleod</w:t>
      </w:r>
      <w:proofErr w:type="spellEnd"/>
      <w:r w:rsidR="0027186A" w:rsidRPr="00BA74AD">
        <w:rPr>
          <w:rFonts w:ascii="Arial" w:hAnsi="Arial" w:cs="Arial"/>
        </w:rPr>
        <w:t>, 2018)</w:t>
      </w:r>
      <w:r w:rsidR="00526A29" w:rsidRPr="00BA74AD">
        <w:rPr>
          <w:rFonts w:ascii="Arial" w:hAnsi="Arial" w:cs="Arial"/>
        </w:rPr>
        <w:t>.</w:t>
      </w:r>
    </w:p>
    <w:p w14:paraId="255F2E1B" w14:textId="33DE4180" w:rsidR="00355E4A" w:rsidRPr="00BA74AD" w:rsidRDefault="00826426">
      <w:pPr>
        <w:rPr>
          <w:rFonts w:ascii="Arial" w:hAnsi="Arial" w:cs="Arial"/>
        </w:rPr>
      </w:pPr>
      <w:r w:rsidRPr="00BA74AD">
        <w:rPr>
          <w:rFonts w:ascii="Arial" w:hAnsi="Arial" w:cs="Arial"/>
        </w:rPr>
        <w:t>Also,</w:t>
      </w:r>
      <w:r w:rsidR="00355E4A" w:rsidRPr="00BA74AD">
        <w:rPr>
          <w:rFonts w:ascii="Arial" w:hAnsi="Arial" w:cs="Arial"/>
        </w:rPr>
        <w:t xml:space="preserve"> both these articles could have proved useful to </w:t>
      </w:r>
      <w:r w:rsidR="002657B6" w:rsidRPr="00BA74AD">
        <w:rPr>
          <w:rFonts w:ascii="Arial" w:hAnsi="Arial" w:cs="Arial"/>
        </w:rPr>
        <w:t xml:space="preserve">leisure </w:t>
      </w:r>
      <w:r w:rsidR="00355E4A" w:rsidRPr="00BA74AD">
        <w:rPr>
          <w:rFonts w:ascii="Arial" w:hAnsi="Arial" w:cs="Arial"/>
        </w:rPr>
        <w:t xml:space="preserve">industry managers </w:t>
      </w:r>
      <w:r w:rsidRPr="00BA74AD">
        <w:rPr>
          <w:rFonts w:ascii="Arial" w:hAnsi="Arial" w:cs="Arial"/>
        </w:rPr>
        <w:t xml:space="preserve">as they are original research that highlights the circumstances in which major events and smaller regional events can be predicted as being economically beneficial. </w:t>
      </w:r>
      <w:r w:rsidR="0027186A" w:rsidRPr="00BA74AD">
        <w:rPr>
          <w:rFonts w:ascii="Arial" w:hAnsi="Arial" w:cs="Arial"/>
        </w:rPr>
        <w:t xml:space="preserve">The positive conclusions of both articles can be seen as an encouragement to host such events. </w:t>
      </w:r>
      <w:r w:rsidRPr="00BA74AD">
        <w:rPr>
          <w:rFonts w:ascii="Arial" w:hAnsi="Arial" w:cs="Arial"/>
        </w:rPr>
        <w:t>Article 1 could be especially useful in this r</w:t>
      </w:r>
      <w:r w:rsidR="0027186A" w:rsidRPr="00BA74AD">
        <w:rPr>
          <w:rFonts w:ascii="Arial" w:hAnsi="Arial" w:cs="Arial"/>
        </w:rPr>
        <w:t>espect</w:t>
      </w:r>
      <w:r w:rsidRPr="00BA74AD">
        <w:rPr>
          <w:rFonts w:ascii="Arial" w:hAnsi="Arial" w:cs="Arial"/>
        </w:rPr>
        <w:t xml:space="preserve"> because smaller events and host cities do not</w:t>
      </w:r>
      <w:r w:rsidR="002657B6" w:rsidRPr="00BA74AD">
        <w:rPr>
          <w:rFonts w:ascii="Arial" w:hAnsi="Arial" w:cs="Arial"/>
        </w:rPr>
        <w:t xml:space="preserve"> have the </w:t>
      </w:r>
      <w:r w:rsidRPr="00BA74AD">
        <w:rPr>
          <w:rFonts w:ascii="Arial" w:hAnsi="Arial" w:cs="Arial"/>
        </w:rPr>
        <w:t xml:space="preserve">budget to carry out their own market research </w:t>
      </w:r>
      <w:r w:rsidR="002657B6" w:rsidRPr="00BA74AD">
        <w:rPr>
          <w:rFonts w:ascii="Arial" w:hAnsi="Arial" w:cs="Arial"/>
        </w:rPr>
        <w:t xml:space="preserve">and are less able to take economic risks. </w:t>
      </w:r>
    </w:p>
    <w:p w14:paraId="3ED07389" w14:textId="77777777" w:rsidR="0025431D" w:rsidRPr="00BA74AD" w:rsidRDefault="0025431D">
      <w:pPr>
        <w:spacing w:line="240" w:lineRule="auto"/>
        <w:rPr>
          <w:rFonts w:ascii="Arial" w:hAnsi="Arial" w:cs="Arial"/>
          <w:b/>
          <w:u w:val="single"/>
        </w:rPr>
      </w:pPr>
      <w:r w:rsidRPr="00BA74AD">
        <w:rPr>
          <w:rFonts w:ascii="Arial" w:hAnsi="Arial" w:cs="Arial"/>
          <w:b/>
          <w:u w:val="single"/>
        </w:rPr>
        <w:br w:type="page"/>
      </w:r>
    </w:p>
    <w:p w14:paraId="5BCFDFA4" w14:textId="6C9F8579" w:rsidR="00E008DB" w:rsidRPr="00BA74AD" w:rsidRDefault="00274DBD">
      <w:pPr>
        <w:rPr>
          <w:rFonts w:ascii="Arial" w:hAnsi="Arial" w:cs="Arial"/>
          <w:u w:val="single"/>
        </w:rPr>
      </w:pPr>
      <w:r w:rsidRPr="00BA74AD">
        <w:rPr>
          <w:rFonts w:ascii="Arial" w:hAnsi="Arial" w:cs="Arial"/>
          <w:u w:val="single"/>
        </w:rPr>
        <w:t>References</w:t>
      </w:r>
    </w:p>
    <w:p w14:paraId="50C37656" w14:textId="77777777" w:rsidR="00274DBD" w:rsidRPr="00BA74AD" w:rsidRDefault="00274DBD">
      <w:pPr>
        <w:rPr>
          <w:rFonts w:ascii="Arial" w:hAnsi="Arial" w:cs="Arial"/>
        </w:rPr>
      </w:pPr>
    </w:p>
    <w:p w14:paraId="298627BF" w14:textId="77777777" w:rsidR="00C40852" w:rsidRPr="00BA74AD" w:rsidRDefault="00C40852"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Clark, J. and Kearns, A. (2016). Going for gold: A prospective assessment of the economic impacts of the Commonwealth Games 2014 on the East End of Glasgow.</w:t>
      </w:r>
      <w:r w:rsidRPr="00BA74AD">
        <w:rPr>
          <w:rStyle w:val="apple-converted-space"/>
          <w:rFonts w:ascii="Arial" w:hAnsi="Arial" w:cs="Arial"/>
          <w:color w:val="000000"/>
        </w:rPr>
        <w:t> </w:t>
      </w:r>
      <w:r w:rsidRPr="00BA74AD">
        <w:rPr>
          <w:rFonts w:ascii="Arial" w:hAnsi="Arial" w:cs="Arial"/>
          <w:i/>
          <w:iCs/>
          <w:color w:val="000000"/>
        </w:rPr>
        <w:t>Environment and Planning C: Government and Policy</w:t>
      </w:r>
      <w:r w:rsidRPr="00BA74AD">
        <w:rPr>
          <w:rFonts w:ascii="Arial" w:hAnsi="Arial" w:cs="Arial"/>
          <w:color w:val="000000"/>
        </w:rPr>
        <w:t>, 34(8), pp.1474-1500.</w:t>
      </w:r>
    </w:p>
    <w:p w14:paraId="1AAF9C5C" w14:textId="77777777" w:rsidR="00C40852" w:rsidRPr="00BA74AD" w:rsidRDefault="00C40852"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Cowell, J. (2014). Importance of Peer Review.</w:t>
      </w:r>
      <w:r w:rsidRPr="00BA74AD">
        <w:rPr>
          <w:rStyle w:val="apple-converted-space"/>
          <w:rFonts w:ascii="Arial" w:hAnsi="Arial" w:cs="Arial"/>
          <w:color w:val="000000"/>
        </w:rPr>
        <w:t> </w:t>
      </w:r>
      <w:r w:rsidRPr="00BA74AD">
        <w:rPr>
          <w:rFonts w:ascii="Arial" w:hAnsi="Arial" w:cs="Arial"/>
          <w:i/>
          <w:iCs/>
          <w:color w:val="000000"/>
        </w:rPr>
        <w:t>The Journal of School Nursing</w:t>
      </w:r>
      <w:r w:rsidRPr="00BA74AD">
        <w:rPr>
          <w:rFonts w:ascii="Arial" w:hAnsi="Arial" w:cs="Arial"/>
          <w:color w:val="000000"/>
        </w:rPr>
        <w:t>, 30(6), pp.394-395.</w:t>
      </w:r>
    </w:p>
    <w:p w14:paraId="5E0E4452" w14:textId="77777777" w:rsidR="00C40852" w:rsidRPr="00BA74AD" w:rsidRDefault="00C40852"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 xml:space="preserve">Gibson, H., </w:t>
      </w:r>
      <w:proofErr w:type="spellStart"/>
      <w:r w:rsidRPr="00BA74AD">
        <w:rPr>
          <w:rFonts w:ascii="Arial" w:hAnsi="Arial" w:cs="Arial"/>
          <w:color w:val="000000"/>
        </w:rPr>
        <w:t>Kaplanidou</w:t>
      </w:r>
      <w:proofErr w:type="spellEnd"/>
      <w:r w:rsidRPr="00BA74AD">
        <w:rPr>
          <w:rFonts w:ascii="Arial" w:hAnsi="Arial" w:cs="Arial"/>
          <w:color w:val="000000"/>
        </w:rPr>
        <w:t>, K. and Kang, S. (2012). Small-scale event sport tourism: A case study in sustainable tourism.</w:t>
      </w:r>
      <w:r w:rsidRPr="00BA74AD">
        <w:rPr>
          <w:rStyle w:val="apple-converted-space"/>
          <w:rFonts w:ascii="Arial" w:hAnsi="Arial" w:cs="Arial"/>
          <w:color w:val="000000"/>
        </w:rPr>
        <w:t> </w:t>
      </w:r>
      <w:r w:rsidRPr="00BA74AD">
        <w:rPr>
          <w:rFonts w:ascii="Arial" w:hAnsi="Arial" w:cs="Arial"/>
          <w:i/>
          <w:iCs/>
          <w:color w:val="000000"/>
        </w:rPr>
        <w:t>Sport Management Review</w:t>
      </w:r>
      <w:r w:rsidRPr="00BA74AD">
        <w:rPr>
          <w:rFonts w:ascii="Arial" w:hAnsi="Arial" w:cs="Arial"/>
          <w:color w:val="000000"/>
        </w:rPr>
        <w:t>, 15(2), pp.160-170.</w:t>
      </w:r>
    </w:p>
    <w:p w14:paraId="645FE1E4" w14:textId="77777777" w:rsidR="00C40852" w:rsidRPr="00BA74AD" w:rsidRDefault="00C40852"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 xml:space="preserve">Gratton, C., Dobson, N. and </w:t>
      </w:r>
      <w:proofErr w:type="spellStart"/>
      <w:r w:rsidRPr="00BA74AD">
        <w:rPr>
          <w:rFonts w:ascii="Arial" w:hAnsi="Arial" w:cs="Arial"/>
          <w:color w:val="000000"/>
        </w:rPr>
        <w:t>Shibli</w:t>
      </w:r>
      <w:proofErr w:type="spellEnd"/>
      <w:r w:rsidRPr="00BA74AD">
        <w:rPr>
          <w:rFonts w:ascii="Arial" w:hAnsi="Arial" w:cs="Arial"/>
          <w:color w:val="000000"/>
        </w:rPr>
        <w:t>, S. (2000). The economic importance of major sports events: a case-study of six events.</w:t>
      </w:r>
      <w:r w:rsidRPr="00BA74AD">
        <w:rPr>
          <w:rStyle w:val="apple-converted-space"/>
          <w:rFonts w:ascii="Arial" w:hAnsi="Arial" w:cs="Arial"/>
          <w:color w:val="000000"/>
        </w:rPr>
        <w:t> </w:t>
      </w:r>
      <w:r w:rsidRPr="00BA74AD">
        <w:rPr>
          <w:rFonts w:ascii="Arial" w:hAnsi="Arial" w:cs="Arial"/>
          <w:i/>
          <w:iCs/>
          <w:color w:val="000000"/>
        </w:rPr>
        <w:t>Managing Leisure</w:t>
      </w:r>
      <w:r w:rsidRPr="00BA74AD">
        <w:rPr>
          <w:rFonts w:ascii="Arial" w:hAnsi="Arial" w:cs="Arial"/>
          <w:color w:val="000000"/>
        </w:rPr>
        <w:t>, 5(1), pp.17-28.</w:t>
      </w:r>
    </w:p>
    <w:p w14:paraId="4D69DB71" w14:textId="77777777" w:rsidR="00C40852" w:rsidRPr="00BA74AD" w:rsidRDefault="00C40852"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 xml:space="preserve">Gratton, C., </w:t>
      </w:r>
      <w:proofErr w:type="spellStart"/>
      <w:r w:rsidRPr="00BA74AD">
        <w:rPr>
          <w:rFonts w:ascii="Arial" w:hAnsi="Arial" w:cs="Arial"/>
          <w:color w:val="000000"/>
        </w:rPr>
        <w:t>Shibli</w:t>
      </w:r>
      <w:proofErr w:type="spellEnd"/>
      <w:r w:rsidRPr="00BA74AD">
        <w:rPr>
          <w:rFonts w:ascii="Arial" w:hAnsi="Arial" w:cs="Arial"/>
          <w:color w:val="000000"/>
        </w:rPr>
        <w:t>, S. and Coleman, R. (2006). The Economic Impact of Major Sports Events: A Review of Ten Events in the UK.</w:t>
      </w:r>
      <w:r w:rsidRPr="00BA74AD">
        <w:rPr>
          <w:rStyle w:val="apple-converted-space"/>
          <w:rFonts w:ascii="Arial" w:hAnsi="Arial" w:cs="Arial"/>
          <w:color w:val="000000"/>
        </w:rPr>
        <w:t> </w:t>
      </w:r>
      <w:r w:rsidRPr="00BA74AD">
        <w:rPr>
          <w:rFonts w:ascii="Arial" w:hAnsi="Arial" w:cs="Arial"/>
          <w:i/>
          <w:iCs/>
          <w:color w:val="000000"/>
        </w:rPr>
        <w:t>The Sociological Review</w:t>
      </w:r>
      <w:r w:rsidRPr="00BA74AD">
        <w:rPr>
          <w:rFonts w:ascii="Arial" w:hAnsi="Arial" w:cs="Arial"/>
          <w:color w:val="000000"/>
        </w:rPr>
        <w:t>, 54(2_suppl), pp.41-58.</w:t>
      </w:r>
    </w:p>
    <w:p w14:paraId="360C2586" w14:textId="50B063DB" w:rsidR="00C40852" w:rsidRPr="00BA74AD" w:rsidRDefault="00DD4A1C"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Sheffield Hallam:</w:t>
      </w:r>
      <w:r w:rsidRPr="00BA74AD">
        <w:rPr>
          <w:rFonts w:ascii="Arial" w:hAnsi="Arial" w:cs="Arial"/>
          <w:color w:val="000000"/>
        </w:rPr>
        <w:t xml:space="preserve"> Coleman </w:t>
      </w:r>
      <w:r w:rsidR="00C40852" w:rsidRPr="00BA74AD">
        <w:rPr>
          <w:rFonts w:ascii="Arial" w:hAnsi="Arial" w:cs="Arial"/>
          <w:color w:val="000000"/>
        </w:rPr>
        <w:t>(2018).</w:t>
      </w:r>
      <w:r w:rsidR="00C40852" w:rsidRPr="00BA74AD">
        <w:rPr>
          <w:rStyle w:val="apple-converted-space"/>
          <w:rFonts w:ascii="Arial" w:hAnsi="Arial" w:cs="Arial"/>
          <w:color w:val="000000"/>
        </w:rPr>
        <w:t> </w:t>
      </w:r>
      <w:r w:rsidR="00C40852" w:rsidRPr="00BA74AD">
        <w:rPr>
          <w:rFonts w:ascii="Arial" w:hAnsi="Arial" w:cs="Arial"/>
          <w:i/>
          <w:iCs/>
          <w:color w:val="000000"/>
        </w:rPr>
        <w:t>Richard Coleman | Sheffield Hallam University</w:t>
      </w:r>
      <w:r w:rsidR="00C40852" w:rsidRPr="00BA74AD">
        <w:rPr>
          <w:rFonts w:ascii="Arial" w:hAnsi="Arial" w:cs="Arial"/>
          <w:color w:val="000000"/>
        </w:rPr>
        <w:t>. [online] Available at: https://www.shu.ac.uk/about-us/our-people/staff-profiles/richard-coleman [Accessed 1 Feb. 2018].</w:t>
      </w:r>
    </w:p>
    <w:p w14:paraId="298BBBD4" w14:textId="3DC97881" w:rsidR="00DD4A1C" w:rsidRPr="00BA74AD" w:rsidRDefault="00DD4A1C" w:rsidP="00DD4A1C">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Sheffield Hallam: Gratton</w:t>
      </w:r>
      <w:r w:rsidRPr="00BA74AD">
        <w:rPr>
          <w:rFonts w:ascii="Arial" w:hAnsi="Arial" w:cs="Arial"/>
          <w:color w:val="000000"/>
        </w:rPr>
        <w:t xml:space="preserve"> (2018). </w:t>
      </w:r>
      <w:r w:rsidRPr="00BA74AD">
        <w:rPr>
          <w:rFonts w:ascii="Arial" w:hAnsi="Arial" w:cs="Arial"/>
          <w:color w:val="000000"/>
        </w:rPr>
        <w:t xml:space="preserve">Chris Gratton </w:t>
      </w:r>
      <w:r w:rsidRPr="00BA74AD">
        <w:rPr>
          <w:rFonts w:ascii="Arial" w:hAnsi="Arial" w:cs="Arial"/>
          <w:i/>
          <w:iCs/>
          <w:color w:val="000000"/>
        </w:rPr>
        <w:t>| Sheffield Hallam University</w:t>
      </w:r>
      <w:r w:rsidRPr="00BA74AD">
        <w:rPr>
          <w:rFonts w:ascii="Arial" w:hAnsi="Arial" w:cs="Arial"/>
          <w:i/>
          <w:iCs/>
          <w:color w:val="000000"/>
        </w:rPr>
        <w:t>.</w:t>
      </w:r>
      <w:r w:rsidRPr="00BA74AD">
        <w:rPr>
          <w:rFonts w:ascii="Arial" w:hAnsi="Arial" w:cs="Arial"/>
          <w:color w:val="000000"/>
        </w:rPr>
        <w:t xml:space="preserve"> </w:t>
      </w:r>
      <w:r w:rsidRPr="00BA74AD">
        <w:rPr>
          <w:rFonts w:ascii="Arial" w:hAnsi="Arial" w:cs="Arial"/>
          <w:color w:val="000000"/>
        </w:rPr>
        <w:t>[online] Available at: https://www4.shu.ac.uk/research/sirc/staff/professor-chris-gratton [Accessed 1 Feb. 2018].</w:t>
      </w:r>
    </w:p>
    <w:p w14:paraId="56AE476D" w14:textId="7D373DBE" w:rsidR="00DD4A1C" w:rsidRPr="00BA74AD" w:rsidRDefault="00DD4A1C" w:rsidP="00DD4A1C">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 xml:space="preserve">Sheffield Hallam: </w:t>
      </w:r>
      <w:proofErr w:type="spellStart"/>
      <w:r w:rsidRPr="00BA74AD">
        <w:rPr>
          <w:rFonts w:ascii="Arial" w:hAnsi="Arial" w:cs="Arial"/>
          <w:color w:val="000000"/>
        </w:rPr>
        <w:t>Shibli</w:t>
      </w:r>
      <w:proofErr w:type="spellEnd"/>
      <w:r w:rsidRPr="00BA74AD">
        <w:rPr>
          <w:rFonts w:ascii="Arial" w:hAnsi="Arial" w:cs="Arial"/>
          <w:color w:val="000000"/>
        </w:rPr>
        <w:t xml:space="preserve"> (2018).</w:t>
      </w:r>
      <w:r w:rsidRPr="00BA74AD">
        <w:rPr>
          <w:rStyle w:val="apple-converted-space"/>
          <w:rFonts w:ascii="Arial" w:hAnsi="Arial" w:cs="Arial"/>
          <w:color w:val="000000"/>
        </w:rPr>
        <w:t> </w:t>
      </w:r>
      <w:r w:rsidRPr="00BA74AD">
        <w:rPr>
          <w:rFonts w:ascii="Arial" w:hAnsi="Arial" w:cs="Arial"/>
          <w:i/>
          <w:iCs/>
          <w:color w:val="000000"/>
        </w:rPr>
        <w:t xml:space="preserve">Professor Simon </w:t>
      </w:r>
      <w:proofErr w:type="spellStart"/>
      <w:r w:rsidRPr="00BA74AD">
        <w:rPr>
          <w:rFonts w:ascii="Arial" w:hAnsi="Arial" w:cs="Arial"/>
          <w:i/>
          <w:iCs/>
          <w:color w:val="000000"/>
        </w:rPr>
        <w:t>Shibli</w:t>
      </w:r>
      <w:proofErr w:type="spellEnd"/>
      <w:r w:rsidRPr="00BA74AD">
        <w:rPr>
          <w:rFonts w:ascii="Arial" w:hAnsi="Arial" w:cs="Arial"/>
          <w:i/>
          <w:iCs/>
          <w:color w:val="000000"/>
        </w:rPr>
        <w:t xml:space="preserve"> | Sheffield Hallam University</w:t>
      </w:r>
      <w:r w:rsidRPr="00BA74AD">
        <w:rPr>
          <w:rFonts w:ascii="Arial" w:hAnsi="Arial" w:cs="Arial"/>
          <w:color w:val="000000"/>
        </w:rPr>
        <w:t>. [online] Available at: https://www.shu.ac.uk/about-us/our-people/staff-profiles/simon-shibli [Accessed 1 Feb. 2018].</w:t>
      </w:r>
    </w:p>
    <w:p w14:paraId="0B0861C5" w14:textId="26C0E225" w:rsidR="00C40852" w:rsidRPr="00BA74AD" w:rsidRDefault="00DD4A1C"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Sheffield Hallam:</w:t>
      </w:r>
      <w:r w:rsidRPr="00BA74AD">
        <w:rPr>
          <w:rFonts w:ascii="Arial" w:hAnsi="Arial" w:cs="Arial"/>
          <w:color w:val="000000"/>
        </w:rPr>
        <w:t xml:space="preserve"> Wilson</w:t>
      </w:r>
      <w:r w:rsidR="00C40852" w:rsidRPr="00BA74AD">
        <w:rPr>
          <w:rFonts w:ascii="Arial" w:hAnsi="Arial" w:cs="Arial"/>
          <w:color w:val="000000"/>
        </w:rPr>
        <w:t xml:space="preserve"> (2018).</w:t>
      </w:r>
      <w:r w:rsidR="00C40852" w:rsidRPr="00BA74AD">
        <w:rPr>
          <w:rStyle w:val="apple-converted-space"/>
          <w:rFonts w:ascii="Arial" w:hAnsi="Arial" w:cs="Arial"/>
          <w:color w:val="000000"/>
        </w:rPr>
        <w:t> </w:t>
      </w:r>
      <w:r w:rsidR="00C40852" w:rsidRPr="00BA74AD">
        <w:rPr>
          <w:rFonts w:ascii="Arial" w:hAnsi="Arial" w:cs="Arial"/>
          <w:i/>
          <w:iCs/>
          <w:color w:val="000000"/>
        </w:rPr>
        <w:t>Rob Wilson | Sheffield Hallam University</w:t>
      </w:r>
      <w:r w:rsidR="00C40852" w:rsidRPr="00BA74AD">
        <w:rPr>
          <w:rFonts w:ascii="Arial" w:hAnsi="Arial" w:cs="Arial"/>
          <w:color w:val="000000"/>
        </w:rPr>
        <w:t>. [online] Available at: https://www.shu.ac.uk/about-us/our-people/staff-profiles/robert-wilson [Accessed 1 Feb. 2018].</w:t>
      </w:r>
    </w:p>
    <w:p w14:paraId="5B9B7F1B" w14:textId="77777777" w:rsidR="00C40852" w:rsidRPr="00BA74AD" w:rsidRDefault="00C40852"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Simplypsychology.org. (2018).</w:t>
      </w:r>
      <w:r w:rsidRPr="00BA74AD">
        <w:rPr>
          <w:rStyle w:val="apple-converted-space"/>
          <w:rFonts w:ascii="Arial" w:hAnsi="Arial" w:cs="Arial"/>
          <w:color w:val="000000"/>
        </w:rPr>
        <w:t> </w:t>
      </w:r>
      <w:r w:rsidRPr="00BA74AD">
        <w:rPr>
          <w:rFonts w:ascii="Arial" w:hAnsi="Arial" w:cs="Arial"/>
          <w:i/>
          <w:iCs/>
          <w:color w:val="000000"/>
        </w:rPr>
        <w:t>Questionnaire | Simply Psychology</w:t>
      </w:r>
      <w:r w:rsidRPr="00BA74AD">
        <w:rPr>
          <w:rFonts w:ascii="Arial" w:hAnsi="Arial" w:cs="Arial"/>
          <w:color w:val="000000"/>
        </w:rPr>
        <w:t>. [online] Available at: https://www.simplypsychology.org/questionnaires.html [Accessed 12 Jan. 2018].</w:t>
      </w:r>
    </w:p>
    <w:p w14:paraId="77682604" w14:textId="77777777" w:rsidR="00C40852" w:rsidRPr="00BA74AD" w:rsidRDefault="00C40852" w:rsidP="00C40852">
      <w:pPr>
        <w:pStyle w:val="NormalWeb"/>
        <w:shd w:val="clear" w:color="auto" w:fill="FFFFFF"/>
        <w:spacing w:before="0" w:beforeAutospacing="0" w:after="180" w:afterAutospacing="0"/>
        <w:ind w:left="450" w:hanging="450"/>
        <w:rPr>
          <w:rFonts w:ascii="Arial" w:hAnsi="Arial" w:cs="Arial"/>
          <w:color w:val="000000"/>
        </w:rPr>
      </w:pPr>
      <w:r w:rsidRPr="00BA74AD">
        <w:rPr>
          <w:rFonts w:ascii="Arial" w:hAnsi="Arial" w:cs="Arial"/>
          <w:color w:val="000000"/>
        </w:rPr>
        <w:t>Wilson, R. (2006). The economic impact of local sport events: significant, limited or otherwise? A case study of four swimming events.</w:t>
      </w:r>
      <w:r w:rsidRPr="00BA74AD">
        <w:rPr>
          <w:rStyle w:val="apple-converted-space"/>
          <w:rFonts w:ascii="Arial" w:hAnsi="Arial" w:cs="Arial"/>
          <w:color w:val="000000"/>
        </w:rPr>
        <w:t> </w:t>
      </w:r>
      <w:r w:rsidRPr="00BA74AD">
        <w:rPr>
          <w:rFonts w:ascii="Arial" w:hAnsi="Arial" w:cs="Arial"/>
          <w:i/>
          <w:iCs/>
          <w:color w:val="000000"/>
        </w:rPr>
        <w:t>Managing Leisure</w:t>
      </w:r>
      <w:r w:rsidRPr="00BA74AD">
        <w:rPr>
          <w:rFonts w:ascii="Arial" w:hAnsi="Arial" w:cs="Arial"/>
          <w:color w:val="000000"/>
        </w:rPr>
        <w:t>, 11(1), pp.57-70.</w:t>
      </w:r>
    </w:p>
    <w:p w14:paraId="4ADFDD8F" w14:textId="77777777" w:rsidR="002A0363" w:rsidRPr="00BA74AD" w:rsidRDefault="002A0363" w:rsidP="0036052E">
      <w:pPr>
        <w:pStyle w:val="NormalWeb"/>
        <w:rPr>
          <w:rFonts w:ascii="Arial" w:hAnsi="Arial" w:cs="Arial"/>
          <w:b/>
          <w:u w:val="single"/>
        </w:rPr>
      </w:pPr>
    </w:p>
    <w:p w14:paraId="71876747" w14:textId="77777777" w:rsidR="00C40852" w:rsidRPr="00BA74AD" w:rsidRDefault="00C40852" w:rsidP="0036052E">
      <w:pPr>
        <w:pStyle w:val="NormalWeb"/>
        <w:rPr>
          <w:rFonts w:ascii="Arial" w:hAnsi="Arial" w:cs="Arial"/>
          <w:b/>
          <w:u w:val="single"/>
        </w:rPr>
      </w:pPr>
    </w:p>
    <w:p w14:paraId="72920A7F" w14:textId="77777777" w:rsidR="00C40852" w:rsidRPr="00BA74AD" w:rsidRDefault="00C40852" w:rsidP="0036052E">
      <w:pPr>
        <w:pStyle w:val="NormalWeb"/>
        <w:rPr>
          <w:rFonts w:ascii="Arial" w:hAnsi="Arial" w:cs="Arial"/>
          <w:b/>
          <w:u w:val="single"/>
        </w:rPr>
      </w:pPr>
    </w:p>
    <w:p w14:paraId="5A52A68F" w14:textId="77777777" w:rsidR="00C40852" w:rsidRPr="00BA74AD" w:rsidRDefault="00C40852" w:rsidP="0036052E">
      <w:pPr>
        <w:pStyle w:val="NormalWeb"/>
        <w:rPr>
          <w:rFonts w:ascii="Arial" w:hAnsi="Arial" w:cs="Arial"/>
          <w:b/>
          <w:u w:val="single"/>
        </w:rPr>
      </w:pPr>
    </w:p>
    <w:p w14:paraId="67A9A624" w14:textId="77777777" w:rsidR="00C40852" w:rsidRPr="00BA74AD" w:rsidRDefault="00C40852" w:rsidP="0036052E">
      <w:pPr>
        <w:pStyle w:val="NormalWeb"/>
        <w:rPr>
          <w:rFonts w:ascii="Arial" w:hAnsi="Arial" w:cs="Arial"/>
          <w:b/>
          <w:u w:val="single"/>
        </w:rPr>
      </w:pPr>
    </w:p>
    <w:p w14:paraId="72A239B3" w14:textId="77777777" w:rsidR="005B3AD0" w:rsidRPr="00BA74AD" w:rsidRDefault="005B3AD0" w:rsidP="0036052E">
      <w:pPr>
        <w:pStyle w:val="NormalWeb"/>
        <w:rPr>
          <w:rFonts w:ascii="Arial" w:hAnsi="Arial" w:cs="Arial"/>
          <w:b/>
          <w:u w:val="single"/>
        </w:rPr>
      </w:pPr>
    </w:p>
    <w:p w14:paraId="548C7F20" w14:textId="77777777" w:rsidR="005B3AD0" w:rsidRPr="00BA74AD" w:rsidRDefault="005B3AD0" w:rsidP="0036052E">
      <w:pPr>
        <w:pStyle w:val="NormalWeb"/>
        <w:rPr>
          <w:rFonts w:ascii="Arial" w:hAnsi="Arial" w:cs="Arial"/>
          <w:b/>
          <w:u w:val="single"/>
        </w:rPr>
      </w:pPr>
    </w:p>
    <w:p w14:paraId="2CF5D0DC" w14:textId="77777777" w:rsidR="005B3AD0" w:rsidRPr="00BA74AD" w:rsidRDefault="005B3AD0" w:rsidP="0036052E">
      <w:pPr>
        <w:pStyle w:val="NormalWeb"/>
        <w:rPr>
          <w:rFonts w:ascii="Arial" w:hAnsi="Arial" w:cs="Arial"/>
          <w:b/>
          <w:u w:val="single"/>
        </w:rPr>
      </w:pPr>
    </w:p>
    <w:p w14:paraId="6D5A406A" w14:textId="77777777" w:rsidR="005B3AD0" w:rsidRPr="00BA74AD" w:rsidRDefault="005B3AD0" w:rsidP="0036052E">
      <w:pPr>
        <w:pStyle w:val="NormalWeb"/>
        <w:rPr>
          <w:rFonts w:ascii="Arial" w:hAnsi="Arial" w:cs="Arial"/>
          <w:b/>
          <w:u w:val="single"/>
        </w:rPr>
      </w:pPr>
    </w:p>
    <w:p w14:paraId="3A662110" w14:textId="77777777" w:rsidR="005B3AD0" w:rsidRPr="00BA74AD" w:rsidRDefault="005B3AD0" w:rsidP="0036052E">
      <w:pPr>
        <w:pStyle w:val="NormalWeb"/>
        <w:rPr>
          <w:rFonts w:ascii="Arial" w:hAnsi="Arial" w:cs="Arial"/>
          <w:b/>
          <w:u w:val="single"/>
        </w:rPr>
      </w:pPr>
    </w:p>
    <w:p w14:paraId="7B0F34B5" w14:textId="77777777" w:rsidR="005B3AD0" w:rsidRPr="00BA74AD" w:rsidRDefault="005B3AD0" w:rsidP="0036052E">
      <w:pPr>
        <w:pStyle w:val="NormalWeb"/>
        <w:rPr>
          <w:rFonts w:ascii="Arial" w:hAnsi="Arial" w:cs="Arial"/>
          <w:b/>
          <w:u w:val="single"/>
        </w:rPr>
      </w:pPr>
    </w:p>
    <w:p w14:paraId="1165F20D" w14:textId="77777777" w:rsidR="005B3AD0" w:rsidRPr="00BA74AD" w:rsidRDefault="005B3AD0" w:rsidP="0036052E">
      <w:pPr>
        <w:pStyle w:val="NormalWeb"/>
        <w:rPr>
          <w:rFonts w:ascii="Arial" w:hAnsi="Arial" w:cs="Arial"/>
          <w:b/>
          <w:u w:val="single"/>
        </w:rPr>
      </w:pPr>
    </w:p>
    <w:p w14:paraId="0F039E97" w14:textId="77777777" w:rsidR="005B3AD0" w:rsidRPr="00BA74AD" w:rsidRDefault="005B3AD0" w:rsidP="0036052E">
      <w:pPr>
        <w:pStyle w:val="NormalWeb"/>
        <w:rPr>
          <w:rFonts w:ascii="Arial" w:hAnsi="Arial" w:cs="Arial"/>
          <w:b/>
          <w:u w:val="single"/>
        </w:rPr>
      </w:pPr>
    </w:p>
    <w:p w14:paraId="18E7AD5F" w14:textId="77777777" w:rsidR="005B3AD0" w:rsidRPr="00BA74AD" w:rsidRDefault="005B3AD0" w:rsidP="0036052E">
      <w:pPr>
        <w:pStyle w:val="NormalWeb"/>
        <w:rPr>
          <w:rFonts w:ascii="Arial" w:hAnsi="Arial" w:cs="Arial"/>
          <w:b/>
          <w:u w:val="single"/>
        </w:rPr>
      </w:pPr>
    </w:p>
    <w:p w14:paraId="0AF2D6ED" w14:textId="77777777" w:rsidR="005B3AD0" w:rsidRPr="00BA74AD" w:rsidRDefault="005B3AD0" w:rsidP="0036052E">
      <w:pPr>
        <w:pStyle w:val="NormalWeb"/>
        <w:rPr>
          <w:rFonts w:ascii="Arial" w:hAnsi="Arial" w:cs="Arial"/>
          <w:b/>
          <w:u w:val="single"/>
        </w:rPr>
      </w:pPr>
    </w:p>
    <w:p w14:paraId="755AD5AE" w14:textId="77777777" w:rsidR="005B3AD0" w:rsidRPr="00BA74AD" w:rsidRDefault="005B3AD0">
      <w:pPr>
        <w:spacing w:line="240" w:lineRule="auto"/>
        <w:rPr>
          <w:rFonts w:ascii="Arial" w:hAnsi="Arial" w:cs="Arial"/>
          <w:u w:val="single"/>
        </w:rPr>
      </w:pPr>
      <w:r w:rsidRPr="00BA74AD">
        <w:rPr>
          <w:rFonts w:ascii="Arial" w:hAnsi="Arial" w:cs="Arial"/>
          <w:u w:val="single"/>
        </w:rPr>
        <w:br w:type="page"/>
      </w:r>
    </w:p>
    <w:p w14:paraId="1D67BADE" w14:textId="3EFC6FD3" w:rsidR="0036052E" w:rsidRPr="00BA74AD" w:rsidRDefault="0049182C">
      <w:pPr>
        <w:rPr>
          <w:rFonts w:ascii="Arial" w:hAnsi="Arial" w:cs="Arial"/>
          <w:u w:val="single"/>
        </w:rPr>
      </w:pPr>
      <w:r w:rsidRPr="00BA74AD">
        <w:rPr>
          <w:rFonts w:ascii="Arial" w:hAnsi="Arial" w:cs="Arial"/>
          <w:u w:val="single"/>
        </w:rPr>
        <w:t xml:space="preserve">Bibliography- </w:t>
      </w:r>
    </w:p>
    <w:p w14:paraId="6DDA3EB4" w14:textId="77777777" w:rsidR="00E06D27" w:rsidRPr="00BA74AD" w:rsidRDefault="00E06D27" w:rsidP="00E06D27">
      <w:pPr>
        <w:rPr>
          <w:rFonts w:ascii="Arial" w:hAnsi="Arial" w:cs="Arial"/>
        </w:rPr>
      </w:pPr>
    </w:p>
    <w:p w14:paraId="68A4764D" w14:textId="160CF6E9" w:rsidR="00E06D27" w:rsidRPr="00BA74AD" w:rsidRDefault="00E06D27" w:rsidP="00E06D27">
      <w:pPr>
        <w:rPr>
          <w:rFonts w:ascii="Arial" w:hAnsi="Arial" w:cs="Arial"/>
        </w:rPr>
      </w:pPr>
      <w:proofErr w:type="spellStart"/>
      <w:r w:rsidRPr="00BA74AD">
        <w:rPr>
          <w:rFonts w:ascii="Arial" w:hAnsi="Arial" w:cs="Arial"/>
        </w:rPr>
        <w:t>Djaballah</w:t>
      </w:r>
      <w:proofErr w:type="spellEnd"/>
      <w:r w:rsidRPr="00BA74AD">
        <w:rPr>
          <w:rFonts w:ascii="Arial" w:hAnsi="Arial" w:cs="Arial"/>
        </w:rPr>
        <w:t xml:space="preserve">, M., </w:t>
      </w:r>
      <w:proofErr w:type="spellStart"/>
      <w:r w:rsidRPr="00BA74AD">
        <w:rPr>
          <w:rFonts w:ascii="Arial" w:hAnsi="Arial" w:cs="Arial"/>
        </w:rPr>
        <w:t>Hautbois</w:t>
      </w:r>
      <w:proofErr w:type="spellEnd"/>
      <w:r w:rsidRPr="00BA74AD">
        <w:rPr>
          <w:rFonts w:ascii="Arial" w:hAnsi="Arial" w:cs="Arial"/>
        </w:rPr>
        <w:t xml:space="preserve">, C. and </w:t>
      </w:r>
      <w:proofErr w:type="spellStart"/>
      <w:r w:rsidRPr="00BA74AD">
        <w:rPr>
          <w:rFonts w:ascii="Arial" w:hAnsi="Arial" w:cs="Arial"/>
        </w:rPr>
        <w:t>Desbordes</w:t>
      </w:r>
      <w:proofErr w:type="spellEnd"/>
      <w:r w:rsidRPr="00BA74AD">
        <w:rPr>
          <w:rFonts w:ascii="Arial" w:hAnsi="Arial" w:cs="Arial"/>
        </w:rPr>
        <w:t>, M. (</w:t>
      </w:r>
      <w:r w:rsidR="00526A29" w:rsidRPr="00BA74AD">
        <w:rPr>
          <w:rFonts w:ascii="Arial" w:hAnsi="Arial" w:cs="Arial"/>
        </w:rPr>
        <w:t>2015). Non-mega sporting events’</w:t>
      </w:r>
      <w:r w:rsidRPr="00BA74AD">
        <w:rPr>
          <w:rFonts w:ascii="Arial" w:hAnsi="Arial" w:cs="Arial"/>
        </w:rPr>
        <w:t xml:space="preserve"> social impacts: a </w:t>
      </w:r>
      <w:proofErr w:type="spellStart"/>
      <w:r w:rsidRPr="00BA74AD">
        <w:rPr>
          <w:rFonts w:ascii="Arial" w:hAnsi="Arial" w:cs="Arial"/>
        </w:rPr>
        <w:t>sensemaking</w:t>
      </w:r>
      <w:proofErr w:type="spellEnd"/>
      <w:r w:rsidRPr="00BA74AD">
        <w:rPr>
          <w:rFonts w:ascii="Arial" w:hAnsi="Arial" w:cs="Arial"/>
        </w:rPr>
        <w:t xml:space="preserve"> approach of local governments' perceptions and strategies. European Sport Management Quarterly, 15(1), pp.48-76.</w:t>
      </w:r>
    </w:p>
    <w:p w14:paraId="21DABCC2" w14:textId="77777777" w:rsidR="00E06D27" w:rsidRPr="00BA74AD" w:rsidRDefault="00E06D27">
      <w:pPr>
        <w:rPr>
          <w:rFonts w:ascii="Arial" w:hAnsi="Arial" w:cs="Arial"/>
        </w:rPr>
      </w:pPr>
    </w:p>
    <w:p w14:paraId="04AA0A52" w14:textId="393E2716" w:rsidR="00E06D27" w:rsidRPr="00BA74AD" w:rsidRDefault="00E06D27">
      <w:pPr>
        <w:rPr>
          <w:rFonts w:ascii="Arial" w:hAnsi="Arial" w:cs="Arial"/>
        </w:rPr>
      </w:pPr>
      <w:r w:rsidRPr="00BA74AD">
        <w:rPr>
          <w:rFonts w:ascii="Arial" w:hAnsi="Arial" w:cs="Arial"/>
        </w:rPr>
        <w:t>Jones, C. (2001). Mega-events and host-region impacts: determining the true worth of the 1999 Rugby World Cup. International Journal of Tourism Research, 3(3), pp.241-251.</w:t>
      </w:r>
    </w:p>
    <w:p w14:paraId="206E3CAE" w14:textId="77777777" w:rsidR="00E06D27" w:rsidRPr="00BA74AD" w:rsidRDefault="00E06D27">
      <w:pPr>
        <w:rPr>
          <w:rFonts w:ascii="Arial" w:hAnsi="Arial" w:cs="Arial"/>
        </w:rPr>
      </w:pPr>
    </w:p>
    <w:p w14:paraId="479A63B7" w14:textId="369A5B5F" w:rsidR="0065152E" w:rsidRPr="00BA74AD" w:rsidRDefault="00880DB3">
      <w:pPr>
        <w:rPr>
          <w:rFonts w:ascii="Arial" w:hAnsi="Arial" w:cs="Arial"/>
        </w:rPr>
      </w:pPr>
      <w:r w:rsidRPr="00BA74AD">
        <w:rPr>
          <w:rFonts w:ascii="Arial" w:hAnsi="Arial" w:cs="Arial"/>
        </w:rPr>
        <w:t>Sheffield Hallam (</w:t>
      </w:r>
      <w:r w:rsidR="00E06D27" w:rsidRPr="00BA74AD">
        <w:rPr>
          <w:rFonts w:ascii="Arial" w:hAnsi="Arial" w:cs="Arial"/>
        </w:rPr>
        <w:t>2018). Measuring the success of major sporting events and festivals | Sheffield Hallam University. [online] Available at: https://www.shu.ac.uk/research/research-excellence-framework/ref-case-studies/sport/measuring-the-success-of-major-sporting-events-and-festivals [Accessed 3 Feb. 2018].</w:t>
      </w:r>
    </w:p>
    <w:p w14:paraId="101AD3B7" w14:textId="77777777" w:rsidR="00C40852" w:rsidRPr="00BA74AD" w:rsidRDefault="00C40852">
      <w:pPr>
        <w:rPr>
          <w:rFonts w:ascii="Arial" w:hAnsi="Arial" w:cs="Arial"/>
        </w:rPr>
      </w:pPr>
    </w:p>
    <w:p w14:paraId="7038CD53" w14:textId="01F1F822" w:rsidR="00C40852" w:rsidRPr="00BA74AD" w:rsidRDefault="00E06D27">
      <w:pPr>
        <w:rPr>
          <w:rFonts w:ascii="Arial" w:hAnsi="Arial" w:cs="Arial"/>
        </w:rPr>
      </w:pPr>
      <w:r w:rsidRPr="00BA74AD">
        <w:rPr>
          <w:rFonts w:ascii="Arial" w:hAnsi="Arial" w:cs="Arial"/>
        </w:rPr>
        <w:t>Wright, R. (2007). Planning for the great unknown: the challenge of promoting spectator-driven sports event tourism. International Journal of Tourism Research, 9(5), pp.345-359.</w:t>
      </w:r>
    </w:p>
    <w:p w14:paraId="085B4C01" w14:textId="77777777" w:rsidR="00E06D27" w:rsidRPr="00BA74AD" w:rsidRDefault="00E06D27">
      <w:pPr>
        <w:rPr>
          <w:rFonts w:ascii="Arial" w:hAnsi="Arial" w:cs="Arial"/>
        </w:rPr>
      </w:pPr>
    </w:p>
    <w:p w14:paraId="411A6AAE" w14:textId="77777777" w:rsidR="00C6160D" w:rsidRPr="00BA74AD" w:rsidRDefault="00C6160D">
      <w:pPr>
        <w:rPr>
          <w:rFonts w:ascii="Arial" w:hAnsi="Arial" w:cs="Arial"/>
        </w:rPr>
      </w:pPr>
    </w:p>
    <w:p w14:paraId="2D7B7964" w14:textId="77777777" w:rsidR="00C6160D" w:rsidRPr="00BA74AD" w:rsidRDefault="00C6160D">
      <w:pPr>
        <w:rPr>
          <w:rFonts w:ascii="Arial" w:hAnsi="Arial" w:cs="Arial"/>
        </w:rPr>
      </w:pPr>
    </w:p>
    <w:p w14:paraId="74ECC58B" w14:textId="77777777" w:rsidR="00C6160D" w:rsidRPr="00BA74AD" w:rsidRDefault="00C6160D">
      <w:pPr>
        <w:rPr>
          <w:rFonts w:ascii="Arial" w:hAnsi="Arial" w:cs="Arial"/>
        </w:rPr>
      </w:pPr>
    </w:p>
    <w:p w14:paraId="3A636BFE" w14:textId="77777777" w:rsidR="00C6160D" w:rsidRPr="00BA74AD" w:rsidRDefault="00C6160D">
      <w:pPr>
        <w:rPr>
          <w:rFonts w:ascii="Arial" w:hAnsi="Arial" w:cs="Arial"/>
        </w:rPr>
      </w:pPr>
    </w:p>
    <w:p w14:paraId="1332CAEA" w14:textId="77777777" w:rsidR="00C6160D" w:rsidRPr="00BA74AD" w:rsidRDefault="00C6160D">
      <w:pPr>
        <w:rPr>
          <w:rFonts w:ascii="Arial" w:hAnsi="Arial" w:cs="Arial"/>
        </w:rPr>
      </w:pPr>
    </w:p>
    <w:p w14:paraId="1E9F2C1B" w14:textId="77777777" w:rsidR="00C6160D" w:rsidRPr="00BA74AD" w:rsidRDefault="00C6160D">
      <w:pPr>
        <w:rPr>
          <w:rFonts w:ascii="Arial" w:hAnsi="Arial" w:cs="Arial"/>
        </w:rPr>
      </w:pPr>
    </w:p>
    <w:p w14:paraId="5B6BCB05" w14:textId="77777777" w:rsidR="00C6160D" w:rsidRPr="00BA74AD" w:rsidRDefault="00C6160D">
      <w:pPr>
        <w:rPr>
          <w:rFonts w:ascii="Arial" w:hAnsi="Arial" w:cs="Arial"/>
        </w:rPr>
      </w:pPr>
    </w:p>
    <w:p w14:paraId="51585608" w14:textId="77777777" w:rsidR="00C6160D" w:rsidRPr="00BA74AD" w:rsidRDefault="00C6160D">
      <w:pPr>
        <w:rPr>
          <w:rFonts w:ascii="Arial" w:hAnsi="Arial" w:cs="Arial"/>
        </w:rPr>
      </w:pPr>
    </w:p>
    <w:p w14:paraId="44E95B3B" w14:textId="77777777" w:rsidR="00C6160D" w:rsidRPr="00BA74AD" w:rsidRDefault="00C6160D">
      <w:pPr>
        <w:rPr>
          <w:rFonts w:ascii="Arial" w:hAnsi="Arial" w:cs="Arial"/>
        </w:rPr>
      </w:pPr>
    </w:p>
    <w:p w14:paraId="475DB69B" w14:textId="77777777" w:rsidR="00C6160D" w:rsidRPr="00BA74AD" w:rsidRDefault="00C6160D">
      <w:pPr>
        <w:rPr>
          <w:rFonts w:ascii="Arial" w:hAnsi="Arial" w:cs="Arial"/>
        </w:rPr>
      </w:pPr>
    </w:p>
    <w:p w14:paraId="71333FC8" w14:textId="77777777" w:rsidR="00C6160D" w:rsidRPr="00BA74AD" w:rsidRDefault="00C6160D">
      <w:pPr>
        <w:rPr>
          <w:rFonts w:ascii="Arial" w:hAnsi="Arial" w:cs="Arial"/>
        </w:rPr>
      </w:pPr>
    </w:p>
    <w:p w14:paraId="4291F4B3" w14:textId="77777777" w:rsidR="00C40852" w:rsidRPr="00BA74AD" w:rsidRDefault="00C40852" w:rsidP="00801A5C">
      <w:pPr>
        <w:rPr>
          <w:rFonts w:ascii="Arial" w:hAnsi="Arial" w:cs="Arial"/>
        </w:rPr>
      </w:pPr>
    </w:p>
    <w:sectPr w:rsidR="00C40852" w:rsidRPr="00BA74AD" w:rsidSect="00801A5C">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8DB"/>
    <w:rsid w:val="000116B4"/>
    <w:rsid w:val="00061293"/>
    <w:rsid w:val="00093F3A"/>
    <w:rsid w:val="000A0B20"/>
    <w:rsid w:val="000B6614"/>
    <w:rsid w:val="000E0872"/>
    <w:rsid w:val="00111F44"/>
    <w:rsid w:val="001A5083"/>
    <w:rsid w:val="001A540B"/>
    <w:rsid w:val="001D6897"/>
    <w:rsid w:val="001F6685"/>
    <w:rsid w:val="00214F71"/>
    <w:rsid w:val="0022085D"/>
    <w:rsid w:val="0025431D"/>
    <w:rsid w:val="002657B6"/>
    <w:rsid w:val="0027186A"/>
    <w:rsid w:val="00274DBD"/>
    <w:rsid w:val="00287C8D"/>
    <w:rsid w:val="002A0363"/>
    <w:rsid w:val="002B494F"/>
    <w:rsid w:val="002D6B6E"/>
    <w:rsid w:val="00321037"/>
    <w:rsid w:val="00345DE6"/>
    <w:rsid w:val="003469D6"/>
    <w:rsid w:val="00351A36"/>
    <w:rsid w:val="00355E4A"/>
    <w:rsid w:val="0036052E"/>
    <w:rsid w:val="00377953"/>
    <w:rsid w:val="003930BC"/>
    <w:rsid w:val="003B2A95"/>
    <w:rsid w:val="003B524C"/>
    <w:rsid w:val="003D6EC0"/>
    <w:rsid w:val="00405D46"/>
    <w:rsid w:val="004113BA"/>
    <w:rsid w:val="00426BE5"/>
    <w:rsid w:val="00451EE3"/>
    <w:rsid w:val="00457BEF"/>
    <w:rsid w:val="00471E7B"/>
    <w:rsid w:val="0049182C"/>
    <w:rsid w:val="00491B10"/>
    <w:rsid w:val="004C7A20"/>
    <w:rsid w:val="00517093"/>
    <w:rsid w:val="00526A29"/>
    <w:rsid w:val="0055420B"/>
    <w:rsid w:val="00571C60"/>
    <w:rsid w:val="0057704A"/>
    <w:rsid w:val="0059298A"/>
    <w:rsid w:val="005B3AD0"/>
    <w:rsid w:val="005F781C"/>
    <w:rsid w:val="00625302"/>
    <w:rsid w:val="00637EFA"/>
    <w:rsid w:val="00640756"/>
    <w:rsid w:val="0065152E"/>
    <w:rsid w:val="0065600A"/>
    <w:rsid w:val="00663E29"/>
    <w:rsid w:val="00685348"/>
    <w:rsid w:val="00685ACE"/>
    <w:rsid w:val="00692374"/>
    <w:rsid w:val="007544EA"/>
    <w:rsid w:val="007B359F"/>
    <w:rsid w:val="007F3610"/>
    <w:rsid w:val="007F4475"/>
    <w:rsid w:val="007F5030"/>
    <w:rsid w:val="00801A5C"/>
    <w:rsid w:val="00826426"/>
    <w:rsid w:val="008372D5"/>
    <w:rsid w:val="00841457"/>
    <w:rsid w:val="00861BF8"/>
    <w:rsid w:val="00880DB3"/>
    <w:rsid w:val="008B046B"/>
    <w:rsid w:val="008D0774"/>
    <w:rsid w:val="008E2015"/>
    <w:rsid w:val="00927DDB"/>
    <w:rsid w:val="009326A5"/>
    <w:rsid w:val="00941FFF"/>
    <w:rsid w:val="009601BF"/>
    <w:rsid w:val="009A081E"/>
    <w:rsid w:val="009A1B20"/>
    <w:rsid w:val="009C69D7"/>
    <w:rsid w:val="009D198A"/>
    <w:rsid w:val="009F313D"/>
    <w:rsid w:val="00A819E4"/>
    <w:rsid w:val="00A876F9"/>
    <w:rsid w:val="00AB376C"/>
    <w:rsid w:val="00AC5E2C"/>
    <w:rsid w:val="00AE3639"/>
    <w:rsid w:val="00B15218"/>
    <w:rsid w:val="00BA74AD"/>
    <w:rsid w:val="00BB3FA2"/>
    <w:rsid w:val="00C40852"/>
    <w:rsid w:val="00C6160D"/>
    <w:rsid w:val="00C800C0"/>
    <w:rsid w:val="00D23345"/>
    <w:rsid w:val="00D863F9"/>
    <w:rsid w:val="00D92322"/>
    <w:rsid w:val="00DA7F27"/>
    <w:rsid w:val="00DD4A1C"/>
    <w:rsid w:val="00E008DB"/>
    <w:rsid w:val="00E00E16"/>
    <w:rsid w:val="00E06D27"/>
    <w:rsid w:val="00E11387"/>
    <w:rsid w:val="00E12CD2"/>
    <w:rsid w:val="00E44F5B"/>
    <w:rsid w:val="00E548B6"/>
    <w:rsid w:val="00E7500C"/>
    <w:rsid w:val="00E822E9"/>
    <w:rsid w:val="00E96D8C"/>
    <w:rsid w:val="00EA5034"/>
    <w:rsid w:val="00EA5F59"/>
    <w:rsid w:val="00EB2A9D"/>
    <w:rsid w:val="00EE313A"/>
    <w:rsid w:val="00F06B6C"/>
    <w:rsid w:val="00F169A0"/>
    <w:rsid w:val="00F305C6"/>
    <w:rsid w:val="00F876CD"/>
    <w:rsid w:val="00FB4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7ACB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3AD0"/>
    <w:pPr>
      <w:spacing w:line="360" w:lineRule="auto"/>
    </w:pPr>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4F71"/>
    <w:pPr>
      <w:spacing w:before="100" w:beforeAutospacing="1" w:after="100" w:afterAutospacing="1"/>
    </w:pPr>
  </w:style>
  <w:style w:type="character" w:styleId="Hyperlink">
    <w:name w:val="Hyperlink"/>
    <w:basedOn w:val="DefaultParagraphFont"/>
    <w:uiPriority w:val="99"/>
    <w:unhideWhenUsed/>
    <w:rsid w:val="0036052E"/>
    <w:rPr>
      <w:color w:val="0563C1" w:themeColor="hyperlink"/>
      <w:u w:val="single"/>
    </w:rPr>
  </w:style>
  <w:style w:type="character" w:customStyle="1" w:styleId="apple-converted-space">
    <w:name w:val="apple-converted-space"/>
    <w:basedOn w:val="DefaultParagraphFont"/>
    <w:rsid w:val="002A0363"/>
  </w:style>
  <w:style w:type="character" w:styleId="FollowedHyperlink">
    <w:name w:val="FollowedHyperlink"/>
    <w:basedOn w:val="DefaultParagraphFont"/>
    <w:uiPriority w:val="99"/>
    <w:semiHidden/>
    <w:unhideWhenUsed/>
    <w:rsid w:val="00861BF8"/>
    <w:rPr>
      <w:color w:val="954F72" w:themeColor="followedHyperlink"/>
      <w:u w:val="single"/>
    </w:rPr>
  </w:style>
  <w:style w:type="character" w:styleId="Strong">
    <w:name w:val="Strong"/>
    <w:basedOn w:val="DefaultParagraphFont"/>
    <w:uiPriority w:val="22"/>
    <w:qFormat/>
    <w:rsid w:val="008B046B"/>
    <w:rPr>
      <w:b/>
      <w:bCs/>
    </w:rPr>
  </w:style>
  <w:style w:type="character" w:customStyle="1" w:styleId="selectable">
    <w:name w:val="selectable"/>
    <w:basedOn w:val="DefaultParagraphFont"/>
    <w:rsid w:val="00426BE5"/>
  </w:style>
  <w:style w:type="paragraph" w:styleId="NoSpacing">
    <w:name w:val="No Spacing"/>
    <w:link w:val="NoSpacingChar"/>
    <w:uiPriority w:val="1"/>
    <w:qFormat/>
    <w:rsid w:val="00801A5C"/>
    <w:rPr>
      <w:rFonts w:eastAsiaTheme="minorEastAsia"/>
      <w:sz w:val="22"/>
      <w:szCs w:val="22"/>
      <w:lang w:val="en-US" w:eastAsia="zh-CN"/>
    </w:rPr>
  </w:style>
  <w:style w:type="character" w:customStyle="1" w:styleId="NoSpacingChar">
    <w:name w:val="No Spacing Char"/>
    <w:basedOn w:val="DefaultParagraphFont"/>
    <w:link w:val="NoSpacing"/>
    <w:uiPriority w:val="1"/>
    <w:rsid w:val="00801A5C"/>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24806">
      <w:bodyDiv w:val="1"/>
      <w:marLeft w:val="0"/>
      <w:marRight w:val="0"/>
      <w:marTop w:val="0"/>
      <w:marBottom w:val="0"/>
      <w:divBdr>
        <w:top w:val="none" w:sz="0" w:space="0" w:color="auto"/>
        <w:left w:val="none" w:sz="0" w:space="0" w:color="auto"/>
        <w:bottom w:val="none" w:sz="0" w:space="0" w:color="auto"/>
        <w:right w:val="none" w:sz="0" w:space="0" w:color="auto"/>
      </w:divBdr>
    </w:div>
    <w:div w:id="221141975">
      <w:bodyDiv w:val="1"/>
      <w:marLeft w:val="0"/>
      <w:marRight w:val="0"/>
      <w:marTop w:val="0"/>
      <w:marBottom w:val="0"/>
      <w:divBdr>
        <w:top w:val="none" w:sz="0" w:space="0" w:color="auto"/>
        <w:left w:val="none" w:sz="0" w:space="0" w:color="auto"/>
        <w:bottom w:val="none" w:sz="0" w:space="0" w:color="auto"/>
        <w:right w:val="none" w:sz="0" w:space="0" w:color="auto"/>
      </w:divBdr>
      <w:divsChild>
        <w:div w:id="47725606">
          <w:marLeft w:val="0"/>
          <w:marRight w:val="0"/>
          <w:marTop w:val="0"/>
          <w:marBottom w:val="0"/>
          <w:divBdr>
            <w:top w:val="none" w:sz="0" w:space="0" w:color="auto"/>
            <w:left w:val="none" w:sz="0" w:space="0" w:color="auto"/>
            <w:bottom w:val="none" w:sz="0" w:space="0" w:color="auto"/>
            <w:right w:val="none" w:sz="0" w:space="0" w:color="auto"/>
          </w:divBdr>
          <w:divsChild>
            <w:div w:id="1974169127">
              <w:marLeft w:val="0"/>
              <w:marRight w:val="0"/>
              <w:marTop w:val="0"/>
              <w:marBottom w:val="0"/>
              <w:divBdr>
                <w:top w:val="none" w:sz="0" w:space="0" w:color="auto"/>
                <w:left w:val="none" w:sz="0" w:space="0" w:color="auto"/>
                <w:bottom w:val="none" w:sz="0" w:space="0" w:color="auto"/>
                <w:right w:val="none" w:sz="0" w:space="0" w:color="auto"/>
              </w:divBdr>
              <w:divsChild>
                <w:div w:id="161540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581174">
      <w:bodyDiv w:val="1"/>
      <w:marLeft w:val="0"/>
      <w:marRight w:val="0"/>
      <w:marTop w:val="0"/>
      <w:marBottom w:val="0"/>
      <w:divBdr>
        <w:top w:val="none" w:sz="0" w:space="0" w:color="auto"/>
        <w:left w:val="none" w:sz="0" w:space="0" w:color="auto"/>
        <w:bottom w:val="none" w:sz="0" w:space="0" w:color="auto"/>
        <w:right w:val="none" w:sz="0" w:space="0" w:color="auto"/>
      </w:divBdr>
    </w:div>
    <w:div w:id="285964281">
      <w:bodyDiv w:val="1"/>
      <w:marLeft w:val="0"/>
      <w:marRight w:val="0"/>
      <w:marTop w:val="0"/>
      <w:marBottom w:val="0"/>
      <w:divBdr>
        <w:top w:val="none" w:sz="0" w:space="0" w:color="auto"/>
        <w:left w:val="none" w:sz="0" w:space="0" w:color="auto"/>
        <w:bottom w:val="none" w:sz="0" w:space="0" w:color="auto"/>
        <w:right w:val="none" w:sz="0" w:space="0" w:color="auto"/>
      </w:divBdr>
      <w:divsChild>
        <w:div w:id="923226935">
          <w:marLeft w:val="0"/>
          <w:marRight w:val="0"/>
          <w:marTop w:val="0"/>
          <w:marBottom w:val="0"/>
          <w:divBdr>
            <w:top w:val="none" w:sz="0" w:space="0" w:color="auto"/>
            <w:left w:val="none" w:sz="0" w:space="0" w:color="auto"/>
            <w:bottom w:val="none" w:sz="0" w:space="0" w:color="auto"/>
            <w:right w:val="none" w:sz="0" w:space="0" w:color="auto"/>
          </w:divBdr>
          <w:divsChild>
            <w:div w:id="2112120003">
              <w:marLeft w:val="0"/>
              <w:marRight w:val="0"/>
              <w:marTop w:val="0"/>
              <w:marBottom w:val="0"/>
              <w:divBdr>
                <w:top w:val="none" w:sz="0" w:space="0" w:color="auto"/>
                <w:left w:val="none" w:sz="0" w:space="0" w:color="auto"/>
                <w:bottom w:val="none" w:sz="0" w:space="0" w:color="auto"/>
                <w:right w:val="none" w:sz="0" w:space="0" w:color="auto"/>
              </w:divBdr>
              <w:divsChild>
                <w:div w:id="212376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030311">
      <w:bodyDiv w:val="1"/>
      <w:marLeft w:val="0"/>
      <w:marRight w:val="0"/>
      <w:marTop w:val="0"/>
      <w:marBottom w:val="0"/>
      <w:divBdr>
        <w:top w:val="none" w:sz="0" w:space="0" w:color="auto"/>
        <w:left w:val="none" w:sz="0" w:space="0" w:color="auto"/>
        <w:bottom w:val="none" w:sz="0" w:space="0" w:color="auto"/>
        <w:right w:val="none" w:sz="0" w:space="0" w:color="auto"/>
      </w:divBdr>
      <w:divsChild>
        <w:div w:id="773941356">
          <w:marLeft w:val="0"/>
          <w:marRight w:val="0"/>
          <w:marTop w:val="0"/>
          <w:marBottom w:val="0"/>
          <w:divBdr>
            <w:top w:val="none" w:sz="0" w:space="0" w:color="auto"/>
            <w:left w:val="none" w:sz="0" w:space="0" w:color="auto"/>
            <w:bottom w:val="none" w:sz="0" w:space="0" w:color="auto"/>
            <w:right w:val="none" w:sz="0" w:space="0" w:color="auto"/>
          </w:divBdr>
        </w:div>
        <w:div w:id="348609423">
          <w:marLeft w:val="0"/>
          <w:marRight w:val="0"/>
          <w:marTop w:val="0"/>
          <w:marBottom w:val="0"/>
          <w:divBdr>
            <w:top w:val="none" w:sz="0" w:space="0" w:color="auto"/>
            <w:left w:val="none" w:sz="0" w:space="0" w:color="auto"/>
            <w:bottom w:val="none" w:sz="0" w:space="0" w:color="auto"/>
            <w:right w:val="none" w:sz="0" w:space="0" w:color="auto"/>
          </w:divBdr>
        </w:div>
      </w:divsChild>
    </w:div>
    <w:div w:id="512767202">
      <w:bodyDiv w:val="1"/>
      <w:marLeft w:val="0"/>
      <w:marRight w:val="0"/>
      <w:marTop w:val="0"/>
      <w:marBottom w:val="0"/>
      <w:divBdr>
        <w:top w:val="none" w:sz="0" w:space="0" w:color="auto"/>
        <w:left w:val="none" w:sz="0" w:space="0" w:color="auto"/>
        <w:bottom w:val="none" w:sz="0" w:space="0" w:color="auto"/>
        <w:right w:val="none" w:sz="0" w:space="0" w:color="auto"/>
      </w:divBdr>
    </w:div>
    <w:div w:id="627472622">
      <w:bodyDiv w:val="1"/>
      <w:marLeft w:val="0"/>
      <w:marRight w:val="0"/>
      <w:marTop w:val="0"/>
      <w:marBottom w:val="0"/>
      <w:divBdr>
        <w:top w:val="none" w:sz="0" w:space="0" w:color="auto"/>
        <w:left w:val="none" w:sz="0" w:space="0" w:color="auto"/>
        <w:bottom w:val="none" w:sz="0" w:space="0" w:color="auto"/>
        <w:right w:val="none" w:sz="0" w:space="0" w:color="auto"/>
      </w:divBdr>
    </w:div>
    <w:div w:id="666324725">
      <w:bodyDiv w:val="1"/>
      <w:marLeft w:val="0"/>
      <w:marRight w:val="0"/>
      <w:marTop w:val="0"/>
      <w:marBottom w:val="0"/>
      <w:divBdr>
        <w:top w:val="none" w:sz="0" w:space="0" w:color="auto"/>
        <w:left w:val="none" w:sz="0" w:space="0" w:color="auto"/>
        <w:bottom w:val="none" w:sz="0" w:space="0" w:color="auto"/>
        <w:right w:val="none" w:sz="0" w:space="0" w:color="auto"/>
      </w:divBdr>
      <w:divsChild>
        <w:div w:id="779376787">
          <w:marLeft w:val="0"/>
          <w:marRight w:val="0"/>
          <w:marTop w:val="0"/>
          <w:marBottom w:val="0"/>
          <w:divBdr>
            <w:top w:val="none" w:sz="0" w:space="0" w:color="auto"/>
            <w:left w:val="none" w:sz="0" w:space="0" w:color="auto"/>
            <w:bottom w:val="none" w:sz="0" w:space="0" w:color="auto"/>
            <w:right w:val="none" w:sz="0" w:space="0" w:color="auto"/>
          </w:divBdr>
          <w:divsChild>
            <w:div w:id="616644894">
              <w:marLeft w:val="0"/>
              <w:marRight w:val="0"/>
              <w:marTop w:val="0"/>
              <w:marBottom w:val="0"/>
              <w:divBdr>
                <w:top w:val="none" w:sz="0" w:space="0" w:color="auto"/>
                <w:left w:val="none" w:sz="0" w:space="0" w:color="auto"/>
                <w:bottom w:val="none" w:sz="0" w:space="0" w:color="auto"/>
                <w:right w:val="none" w:sz="0" w:space="0" w:color="auto"/>
              </w:divBdr>
              <w:divsChild>
                <w:div w:id="131599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065532">
      <w:bodyDiv w:val="1"/>
      <w:marLeft w:val="0"/>
      <w:marRight w:val="0"/>
      <w:marTop w:val="0"/>
      <w:marBottom w:val="0"/>
      <w:divBdr>
        <w:top w:val="none" w:sz="0" w:space="0" w:color="auto"/>
        <w:left w:val="none" w:sz="0" w:space="0" w:color="auto"/>
        <w:bottom w:val="none" w:sz="0" w:space="0" w:color="auto"/>
        <w:right w:val="none" w:sz="0" w:space="0" w:color="auto"/>
      </w:divBdr>
    </w:div>
    <w:div w:id="705787426">
      <w:bodyDiv w:val="1"/>
      <w:marLeft w:val="0"/>
      <w:marRight w:val="0"/>
      <w:marTop w:val="0"/>
      <w:marBottom w:val="0"/>
      <w:divBdr>
        <w:top w:val="none" w:sz="0" w:space="0" w:color="auto"/>
        <w:left w:val="none" w:sz="0" w:space="0" w:color="auto"/>
        <w:bottom w:val="none" w:sz="0" w:space="0" w:color="auto"/>
        <w:right w:val="none" w:sz="0" w:space="0" w:color="auto"/>
      </w:divBdr>
    </w:div>
    <w:div w:id="940919026">
      <w:bodyDiv w:val="1"/>
      <w:marLeft w:val="0"/>
      <w:marRight w:val="0"/>
      <w:marTop w:val="0"/>
      <w:marBottom w:val="0"/>
      <w:divBdr>
        <w:top w:val="none" w:sz="0" w:space="0" w:color="auto"/>
        <w:left w:val="none" w:sz="0" w:space="0" w:color="auto"/>
        <w:bottom w:val="none" w:sz="0" w:space="0" w:color="auto"/>
        <w:right w:val="none" w:sz="0" w:space="0" w:color="auto"/>
      </w:divBdr>
    </w:div>
    <w:div w:id="990333341">
      <w:bodyDiv w:val="1"/>
      <w:marLeft w:val="0"/>
      <w:marRight w:val="0"/>
      <w:marTop w:val="0"/>
      <w:marBottom w:val="0"/>
      <w:divBdr>
        <w:top w:val="none" w:sz="0" w:space="0" w:color="auto"/>
        <w:left w:val="none" w:sz="0" w:space="0" w:color="auto"/>
        <w:bottom w:val="none" w:sz="0" w:space="0" w:color="auto"/>
        <w:right w:val="none" w:sz="0" w:space="0" w:color="auto"/>
      </w:divBdr>
      <w:divsChild>
        <w:div w:id="354550002">
          <w:marLeft w:val="0"/>
          <w:marRight w:val="0"/>
          <w:marTop w:val="0"/>
          <w:marBottom w:val="0"/>
          <w:divBdr>
            <w:top w:val="none" w:sz="0" w:space="0" w:color="auto"/>
            <w:left w:val="none" w:sz="0" w:space="0" w:color="auto"/>
            <w:bottom w:val="none" w:sz="0" w:space="0" w:color="auto"/>
            <w:right w:val="none" w:sz="0" w:space="0" w:color="auto"/>
          </w:divBdr>
          <w:divsChild>
            <w:div w:id="1461455243">
              <w:marLeft w:val="0"/>
              <w:marRight w:val="0"/>
              <w:marTop w:val="0"/>
              <w:marBottom w:val="0"/>
              <w:divBdr>
                <w:top w:val="none" w:sz="0" w:space="0" w:color="auto"/>
                <w:left w:val="none" w:sz="0" w:space="0" w:color="auto"/>
                <w:bottom w:val="none" w:sz="0" w:space="0" w:color="auto"/>
                <w:right w:val="none" w:sz="0" w:space="0" w:color="auto"/>
              </w:divBdr>
              <w:divsChild>
                <w:div w:id="184531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143968">
      <w:bodyDiv w:val="1"/>
      <w:marLeft w:val="0"/>
      <w:marRight w:val="0"/>
      <w:marTop w:val="0"/>
      <w:marBottom w:val="0"/>
      <w:divBdr>
        <w:top w:val="none" w:sz="0" w:space="0" w:color="auto"/>
        <w:left w:val="none" w:sz="0" w:space="0" w:color="auto"/>
        <w:bottom w:val="none" w:sz="0" w:space="0" w:color="auto"/>
        <w:right w:val="none" w:sz="0" w:space="0" w:color="auto"/>
      </w:divBdr>
      <w:divsChild>
        <w:div w:id="1772048759">
          <w:marLeft w:val="0"/>
          <w:marRight w:val="0"/>
          <w:marTop w:val="0"/>
          <w:marBottom w:val="0"/>
          <w:divBdr>
            <w:top w:val="none" w:sz="0" w:space="0" w:color="auto"/>
            <w:left w:val="none" w:sz="0" w:space="0" w:color="auto"/>
            <w:bottom w:val="none" w:sz="0" w:space="0" w:color="auto"/>
            <w:right w:val="none" w:sz="0" w:space="0" w:color="auto"/>
          </w:divBdr>
        </w:div>
        <w:div w:id="1386028863">
          <w:marLeft w:val="0"/>
          <w:marRight w:val="0"/>
          <w:marTop w:val="0"/>
          <w:marBottom w:val="0"/>
          <w:divBdr>
            <w:top w:val="none" w:sz="0" w:space="0" w:color="auto"/>
            <w:left w:val="none" w:sz="0" w:space="0" w:color="auto"/>
            <w:bottom w:val="none" w:sz="0" w:space="0" w:color="auto"/>
            <w:right w:val="none" w:sz="0" w:space="0" w:color="auto"/>
          </w:divBdr>
        </w:div>
        <w:div w:id="1166243319">
          <w:marLeft w:val="0"/>
          <w:marRight w:val="0"/>
          <w:marTop w:val="0"/>
          <w:marBottom w:val="0"/>
          <w:divBdr>
            <w:top w:val="none" w:sz="0" w:space="0" w:color="auto"/>
            <w:left w:val="none" w:sz="0" w:space="0" w:color="auto"/>
            <w:bottom w:val="none" w:sz="0" w:space="0" w:color="auto"/>
            <w:right w:val="none" w:sz="0" w:space="0" w:color="auto"/>
          </w:divBdr>
        </w:div>
        <w:div w:id="1615559467">
          <w:marLeft w:val="0"/>
          <w:marRight w:val="0"/>
          <w:marTop w:val="0"/>
          <w:marBottom w:val="0"/>
          <w:divBdr>
            <w:top w:val="none" w:sz="0" w:space="0" w:color="auto"/>
            <w:left w:val="none" w:sz="0" w:space="0" w:color="auto"/>
            <w:bottom w:val="none" w:sz="0" w:space="0" w:color="auto"/>
            <w:right w:val="none" w:sz="0" w:space="0" w:color="auto"/>
          </w:divBdr>
          <w:divsChild>
            <w:div w:id="61383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119">
      <w:bodyDiv w:val="1"/>
      <w:marLeft w:val="0"/>
      <w:marRight w:val="0"/>
      <w:marTop w:val="0"/>
      <w:marBottom w:val="0"/>
      <w:divBdr>
        <w:top w:val="none" w:sz="0" w:space="0" w:color="auto"/>
        <w:left w:val="none" w:sz="0" w:space="0" w:color="auto"/>
        <w:bottom w:val="none" w:sz="0" w:space="0" w:color="auto"/>
        <w:right w:val="none" w:sz="0" w:space="0" w:color="auto"/>
      </w:divBdr>
    </w:div>
    <w:div w:id="1260404843">
      <w:bodyDiv w:val="1"/>
      <w:marLeft w:val="0"/>
      <w:marRight w:val="0"/>
      <w:marTop w:val="0"/>
      <w:marBottom w:val="0"/>
      <w:divBdr>
        <w:top w:val="none" w:sz="0" w:space="0" w:color="auto"/>
        <w:left w:val="none" w:sz="0" w:space="0" w:color="auto"/>
        <w:bottom w:val="none" w:sz="0" w:space="0" w:color="auto"/>
        <w:right w:val="none" w:sz="0" w:space="0" w:color="auto"/>
      </w:divBdr>
    </w:div>
    <w:div w:id="1276205989">
      <w:bodyDiv w:val="1"/>
      <w:marLeft w:val="0"/>
      <w:marRight w:val="0"/>
      <w:marTop w:val="0"/>
      <w:marBottom w:val="0"/>
      <w:divBdr>
        <w:top w:val="none" w:sz="0" w:space="0" w:color="auto"/>
        <w:left w:val="none" w:sz="0" w:space="0" w:color="auto"/>
        <w:bottom w:val="none" w:sz="0" w:space="0" w:color="auto"/>
        <w:right w:val="none" w:sz="0" w:space="0" w:color="auto"/>
      </w:divBdr>
    </w:div>
    <w:div w:id="1288514134">
      <w:bodyDiv w:val="1"/>
      <w:marLeft w:val="0"/>
      <w:marRight w:val="0"/>
      <w:marTop w:val="0"/>
      <w:marBottom w:val="0"/>
      <w:divBdr>
        <w:top w:val="none" w:sz="0" w:space="0" w:color="auto"/>
        <w:left w:val="none" w:sz="0" w:space="0" w:color="auto"/>
        <w:bottom w:val="none" w:sz="0" w:space="0" w:color="auto"/>
        <w:right w:val="none" w:sz="0" w:space="0" w:color="auto"/>
      </w:divBdr>
    </w:div>
    <w:div w:id="1373532962">
      <w:bodyDiv w:val="1"/>
      <w:marLeft w:val="0"/>
      <w:marRight w:val="0"/>
      <w:marTop w:val="0"/>
      <w:marBottom w:val="0"/>
      <w:divBdr>
        <w:top w:val="none" w:sz="0" w:space="0" w:color="auto"/>
        <w:left w:val="none" w:sz="0" w:space="0" w:color="auto"/>
        <w:bottom w:val="none" w:sz="0" w:space="0" w:color="auto"/>
        <w:right w:val="none" w:sz="0" w:space="0" w:color="auto"/>
      </w:divBdr>
    </w:div>
    <w:div w:id="1526023023">
      <w:bodyDiv w:val="1"/>
      <w:marLeft w:val="0"/>
      <w:marRight w:val="0"/>
      <w:marTop w:val="0"/>
      <w:marBottom w:val="0"/>
      <w:divBdr>
        <w:top w:val="none" w:sz="0" w:space="0" w:color="auto"/>
        <w:left w:val="none" w:sz="0" w:space="0" w:color="auto"/>
        <w:bottom w:val="none" w:sz="0" w:space="0" w:color="auto"/>
        <w:right w:val="none" w:sz="0" w:space="0" w:color="auto"/>
      </w:divBdr>
      <w:divsChild>
        <w:div w:id="1215972889">
          <w:marLeft w:val="0"/>
          <w:marRight w:val="0"/>
          <w:marTop w:val="0"/>
          <w:marBottom w:val="0"/>
          <w:divBdr>
            <w:top w:val="none" w:sz="0" w:space="0" w:color="auto"/>
            <w:left w:val="none" w:sz="0" w:space="0" w:color="auto"/>
            <w:bottom w:val="none" w:sz="0" w:space="0" w:color="auto"/>
            <w:right w:val="none" w:sz="0" w:space="0" w:color="auto"/>
          </w:divBdr>
          <w:divsChild>
            <w:div w:id="1507939576">
              <w:marLeft w:val="0"/>
              <w:marRight w:val="0"/>
              <w:marTop w:val="0"/>
              <w:marBottom w:val="0"/>
              <w:divBdr>
                <w:top w:val="none" w:sz="0" w:space="0" w:color="auto"/>
                <w:left w:val="none" w:sz="0" w:space="0" w:color="auto"/>
                <w:bottom w:val="none" w:sz="0" w:space="0" w:color="auto"/>
                <w:right w:val="none" w:sz="0" w:space="0" w:color="auto"/>
              </w:divBdr>
              <w:divsChild>
                <w:div w:id="25074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851308">
      <w:bodyDiv w:val="1"/>
      <w:marLeft w:val="0"/>
      <w:marRight w:val="0"/>
      <w:marTop w:val="0"/>
      <w:marBottom w:val="0"/>
      <w:divBdr>
        <w:top w:val="none" w:sz="0" w:space="0" w:color="auto"/>
        <w:left w:val="none" w:sz="0" w:space="0" w:color="auto"/>
        <w:bottom w:val="none" w:sz="0" w:space="0" w:color="auto"/>
        <w:right w:val="none" w:sz="0" w:space="0" w:color="auto"/>
      </w:divBdr>
    </w:div>
    <w:div w:id="1996831582">
      <w:bodyDiv w:val="1"/>
      <w:marLeft w:val="0"/>
      <w:marRight w:val="0"/>
      <w:marTop w:val="0"/>
      <w:marBottom w:val="0"/>
      <w:divBdr>
        <w:top w:val="none" w:sz="0" w:space="0" w:color="auto"/>
        <w:left w:val="none" w:sz="0" w:space="0" w:color="auto"/>
        <w:bottom w:val="none" w:sz="0" w:space="0" w:color="auto"/>
        <w:right w:val="none" w:sz="0" w:space="0" w:color="auto"/>
      </w:divBdr>
    </w:div>
    <w:div w:id="2027904658">
      <w:bodyDiv w:val="1"/>
      <w:marLeft w:val="0"/>
      <w:marRight w:val="0"/>
      <w:marTop w:val="0"/>
      <w:marBottom w:val="0"/>
      <w:divBdr>
        <w:top w:val="none" w:sz="0" w:space="0" w:color="auto"/>
        <w:left w:val="none" w:sz="0" w:space="0" w:color="auto"/>
        <w:bottom w:val="none" w:sz="0" w:space="0" w:color="auto"/>
        <w:right w:val="none" w:sz="0" w:space="0" w:color="auto"/>
      </w:divBdr>
    </w:div>
    <w:div w:id="2112699408">
      <w:bodyDiv w:val="1"/>
      <w:marLeft w:val="0"/>
      <w:marRight w:val="0"/>
      <w:marTop w:val="0"/>
      <w:marBottom w:val="0"/>
      <w:divBdr>
        <w:top w:val="none" w:sz="0" w:space="0" w:color="auto"/>
        <w:left w:val="none" w:sz="0" w:space="0" w:color="auto"/>
        <w:bottom w:val="none" w:sz="0" w:space="0" w:color="auto"/>
        <w:right w:val="none" w:sz="0" w:space="0" w:color="auto"/>
      </w:divBdr>
    </w:div>
    <w:div w:id="21231103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glossaryDocument" Target="glossary/document.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63F109E6520AF46ADE152766237D3D4"/>
        <w:category>
          <w:name w:val="General"/>
          <w:gallery w:val="placeholder"/>
        </w:category>
        <w:types>
          <w:type w:val="bbPlcHdr"/>
        </w:types>
        <w:behaviors>
          <w:behavior w:val="content"/>
        </w:behaviors>
        <w:guid w:val="{8F2D0686-31CD-294D-924A-FA48FB6973B1}"/>
      </w:docPartPr>
      <w:docPartBody>
        <w:p w:rsidR="00000000" w:rsidRDefault="00EB54E7" w:rsidP="00EB54E7">
          <w:pPr>
            <w:pStyle w:val="263F109E6520AF46ADE152766237D3D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4E7"/>
    <w:rsid w:val="00EB54E7"/>
    <w:rsid w:val="00EF6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3F109E6520AF46ADE152766237D3D4">
    <w:name w:val="263F109E6520AF46ADE152766237D3D4"/>
    <w:rsid w:val="00EB54E7"/>
  </w:style>
  <w:style w:type="paragraph" w:customStyle="1" w:styleId="8A1C24823325154E9D629E4B0C3CAA3A">
    <w:name w:val="8A1C24823325154E9D629E4B0C3CAA3A"/>
    <w:rsid w:val="00EB54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Olivia griffiths - 1703630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1840</Words>
  <Characters>10490</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Compare and contrast two journal articles</dc:title>
  <dc:subject/>
  <dc:creator>Olivia Griffiths</dc:creator>
  <cp:keywords/>
  <dc:description/>
  <cp:lastModifiedBy>Olivia Griffiths</cp:lastModifiedBy>
  <cp:revision>2</cp:revision>
  <cp:lastPrinted>2018-02-04T22:28:00Z</cp:lastPrinted>
  <dcterms:created xsi:type="dcterms:W3CDTF">2018-02-04T23:22:00Z</dcterms:created>
  <dcterms:modified xsi:type="dcterms:W3CDTF">2018-02-04T23:22:00Z</dcterms:modified>
</cp:coreProperties>
</file>