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54AB47D7"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6052E6">
        <w:rPr>
          <w:rFonts w:ascii="Arial" w:hAnsi="Arial" w:cs="Arial"/>
          <w:sz w:val="28"/>
          <w:szCs w:val="28"/>
          <w:lang w:val="nl-NL"/>
        </w:rPr>
        <w:t xml:space="preserve">Emilia Dunguiongue </w:t>
      </w:r>
    </w:p>
    <w:p w14:paraId="00429E76" w14:textId="16689296"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6052E6">
        <w:rPr>
          <w:rFonts w:ascii="Arial" w:hAnsi="Arial" w:cs="Arial"/>
          <w:sz w:val="28"/>
          <w:szCs w:val="28"/>
          <w:lang w:val="nl-NL"/>
        </w:rPr>
        <w:t>2328855</w:t>
      </w:r>
    </w:p>
    <w:p w14:paraId="16C5D4A2" w14:textId="77777777" w:rsidR="00ED1049" w:rsidRPr="00814A9E" w:rsidRDefault="00ED1049" w:rsidP="000C7D8D">
      <w:pPr>
        <w:tabs>
          <w:tab w:val="left" w:pos="6540"/>
        </w:tabs>
        <w:spacing w:line="360" w:lineRule="auto"/>
        <w:rPr>
          <w:rFonts w:ascii="Arial" w:hAnsi="Arial" w:cs="Arial"/>
          <w:sz w:val="28"/>
          <w:szCs w:val="28"/>
          <w:lang w:val="nl-NL"/>
        </w:rPr>
      </w:pPr>
    </w:p>
    <w:p w14:paraId="3E7B146F" w14:textId="61A6835A"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267F99">
        <w:rPr>
          <w:rFonts w:ascii="Arial" w:hAnsi="Arial" w:cs="Arial"/>
          <w:sz w:val="28"/>
          <w:szCs w:val="28"/>
          <w:lang w:val="nl-NL"/>
        </w:rPr>
        <w:t xml:space="preserve">independent project </w:t>
      </w:r>
    </w:p>
    <w:p w14:paraId="12CBB668" w14:textId="57525964"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1A3552">
        <w:rPr>
          <w:rFonts w:ascii="Arial" w:hAnsi="Arial" w:cs="Arial"/>
          <w:sz w:val="28"/>
          <w:szCs w:val="28"/>
        </w:rPr>
        <w:t>BMHP</w:t>
      </w:r>
      <w:r w:rsidR="00672616">
        <w:rPr>
          <w:rFonts w:ascii="Arial" w:hAnsi="Arial" w:cs="Arial"/>
          <w:sz w:val="28"/>
          <w:szCs w:val="28"/>
        </w:rPr>
        <w:t>6020</w:t>
      </w:r>
    </w:p>
    <w:p w14:paraId="2C2175CB" w14:textId="4244B86F"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147277">
        <w:rPr>
          <w:rFonts w:ascii="Arial" w:hAnsi="Arial" w:cs="Arial"/>
          <w:sz w:val="28"/>
          <w:szCs w:val="28"/>
        </w:rPr>
        <w:t xml:space="preserve">jolly </w:t>
      </w:r>
      <w:proofErr w:type="spellStart"/>
      <w:r w:rsidR="00147277">
        <w:rPr>
          <w:rFonts w:ascii="Arial" w:hAnsi="Arial" w:cs="Arial"/>
          <w:sz w:val="28"/>
          <w:szCs w:val="28"/>
        </w:rPr>
        <w:t>Nwankwo</w:t>
      </w:r>
      <w:proofErr w:type="spellEnd"/>
      <w:r w:rsidR="00147277">
        <w:rPr>
          <w:rFonts w:ascii="Arial" w:hAnsi="Arial" w:cs="Arial"/>
          <w:sz w:val="28"/>
          <w:szCs w:val="28"/>
        </w:rPr>
        <w:t xml:space="preserve"> </w:t>
      </w: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EB6F36" w14:paraId="600B3A42" w14:textId="77777777" w:rsidTr="00EB6F36">
        <w:trPr>
          <w:trHeight w:val="2393"/>
          <w:jc w:val="center"/>
        </w:trPr>
        <w:tc>
          <w:tcPr>
            <w:tcW w:w="4534" w:type="dxa"/>
          </w:tcPr>
          <w:p w14:paraId="505098AA" w14:textId="77777777" w:rsidR="00EB6F36" w:rsidRDefault="00EB6F36" w:rsidP="00B67824">
            <w:pPr>
              <w:rPr>
                <w:rFonts w:ascii="Arial" w:hAnsi="Arial" w:cs="Arial"/>
                <w:noProof/>
              </w:rPr>
            </w:pPr>
          </w:p>
          <w:p w14:paraId="7C84B224" w14:textId="0CFEB08E" w:rsidR="00346FFA" w:rsidRPr="00EB6F36" w:rsidRDefault="00EB6F36" w:rsidP="00B67824">
            <w:pPr>
              <w:rPr>
                <w:rFonts w:ascii="Arial" w:hAnsi="Arial" w:cs="Arial"/>
                <w:noProof/>
              </w:rPr>
            </w:pPr>
            <w:r>
              <w:rPr>
                <w:rFonts w:ascii="Arial" w:hAnsi="Arial" w:cs="Arial"/>
                <w:noProof/>
              </w:rPr>
              <w:t xml:space="preserve"> </w:t>
            </w:r>
            <w:r w:rsidR="009636F0" w:rsidRPr="009636F0">
              <w:rPr>
                <w:rFonts w:ascii="Arial" w:hAnsi="Arial" w:cs="Arial"/>
                <w:noProof/>
              </w:rPr>
              <w:drawing>
                <wp:anchor distT="0" distB="0" distL="114300" distR="114300" simplePos="0" relativeHeight="251661312" behindDoc="0" locked="0" layoutInCell="1" allowOverlap="1" wp14:anchorId="21C7E2AC" wp14:editId="0C4FA4F9">
                  <wp:simplePos x="0" y="0"/>
                  <wp:positionH relativeFrom="column">
                    <wp:posOffset>-6350</wp:posOffset>
                  </wp:positionH>
                  <wp:positionV relativeFrom="paragraph">
                    <wp:posOffset>306705</wp:posOffset>
                  </wp:positionV>
                  <wp:extent cx="2730500" cy="1818640"/>
                  <wp:effectExtent l="0" t="0" r="0" b="0"/>
                  <wp:wrapTopAndBottom/>
                  <wp:docPr id="162773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73685" name=""/>
                          <pic:cNvPicPr/>
                        </pic:nvPicPr>
                        <pic:blipFill>
                          <a:blip r:embed="rId13"/>
                          <a:stretch>
                            <a:fillRect/>
                          </a:stretch>
                        </pic:blipFill>
                        <pic:spPr>
                          <a:xfrm>
                            <a:off x="0" y="0"/>
                            <a:ext cx="2730500" cy="1818640"/>
                          </a:xfrm>
                          <a:prstGeom prst="rect">
                            <a:avLst/>
                          </a:prstGeom>
                        </pic:spPr>
                      </pic:pic>
                    </a:graphicData>
                  </a:graphic>
                </wp:anchor>
              </w:drawing>
            </w:r>
          </w:p>
        </w:tc>
        <w:tc>
          <w:tcPr>
            <w:tcW w:w="416" w:type="dxa"/>
            <w:vMerge w:val="restart"/>
          </w:tcPr>
          <w:p w14:paraId="09B2FC2D" w14:textId="77777777" w:rsidR="00346FFA" w:rsidRPr="00EB6F36" w:rsidRDefault="00346FFA" w:rsidP="00B67824">
            <w:pPr>
              <w:rPr>
                <w:rFonts w:ascii="Arial" w:hAnsi="Arial" w:cs="Arial"/>
                <w:noProof/>
              </w:rPr>
            </w:pPr>
          </w:p>
        </w:tc>
        <w:tc>
          <w:tcPr>
            <w:tcW w:w="4500" w:type="dxa"/>
            <w:vMerge w:val="restart"/>
          </w:tcPr>
          <w:p w14:paraId="52452C64" w14:textId="410A126A" w:rsidR="00EB6F36" w:rsidRPr="00EB6F36" w:rsidRDefault="00996D52" w:rsidP="0033200E">
            <w:pPr>
              <w:pStyle w:val="Heading1"/>
              <w:rPr>
                <w:rFonts w:ascii="Arial" w:hAnsi="Arial" w:cs="Arial"/>
              </w:rPr>
            </w:pPr>
            <w:r>
              <w:rPr>
                <w:rFonts w:ascii="Arial" w:hAnsi="Arial" w:cs="Arial"/>
              </w:rPr>
              <w:t>Aim</w:t>
            </w:r>
          </w:p>
          <w:p w14:paraId="006FD568" w14:textId="77777777" w:rsidR="00935D96" w:rsidRPr="00935D96" w:rsidRDefault="00935D96" w:rsidP="00935D96">
            <w:pPr>
              <w:spacing w:after="0"/>
              <w:rPr>
                <w:rFonts w:ascii="Arial" w:eastAsia="Times New Roman" w:hAnsi="Arial" w:cs="Arial"/>
                <w:color w:val="000000"/>
                <w:sz w:val="24"/>
                <w:szCs w:val="24"/>
                <w:lang w:val="en-GB" w:eastAsia="en-GB"/>
              </w:rPr>
            </w:pPr>
            <w:r w:rsidRPr="00935D96">
              <w:rPr>
                <w:rFonts w:ascii="Arial" w:eastAsia="Times New Roman" w:hAnsi="Arial" w:cs="Arial"/>
                <w:color w:val="000000"/>
                <w:sz w:val="24"/>
                <w:szCs w:val="24"/>
                <w:lang w:val="en-GB" w:eastAsia="en-GB"/>
              </w:rPr>
              <w:t>The aim of this research is to explore how social isolation affects the mental health and emotional wellbeing of older people in the United Kingdom, focusing on implications for health and social care services. The study will examine links between limited social interaction, loneliness, depressive symptoms, anxiety and reduced quality of life. It will also consider how person-centred care, community support and social prescribing may improve older adults’ wellbeing.</w:t>
            </w:r>
          </w:p>
          <w:p w14:paraId="5D5AB053" w14:textId="77777777" w:rsidR="00935D96" w:rsidRPr="00935D96" w:rsidRDefault="00935D96" w:rsidP="00935D96">
            <w:pPr>
              <w:spacing w:after="0"/>
              <w:rPr>
                <w:rFonts w:ascii="Arial" w:eastAsia="Times New Roman" w:hAnsi="Arial" w:cs="Arial"/>
                <w:color w:val="000000"/>
                <w:sz w:val="24"/>
                <w:szCs w:val="24"/>
                <w:lang w:val="en-GB" w:eastAsia="en-GB"/>
              </w:rPr>
            </w:pPr>
            <w:r w:rsidRPr="00935D96">
              <w:rPr>
                <w:rFonts w:ascii="Arial" w:eastAsia="Times New Roman" w:hAnsi="Arial" w:cs="Arial"/>
                <w:color w:val="000000"/>
                <w:sz w:val="24"/>
                <w:szCs w:val="24"/>
                <w:lang w:val="en-GB" w:eastAsia="en-GB"/>
              </w:rPr>
              <w:t>Social isolation and loneliness are related but different concepts. Social isolation concerns limited social contact, whereas loneliness describes the distress experienced when relationships do not meet an individual's emotional needs (Age UK, 2024). </w:t>
            </w:r>
          </w:p>
          <w:p w14:paraId="646D5584" w14:textId="553A24E9" w:rsidR="00EB6F36" w:rsidRPr="00EB6F36" w:rsidRDefault="00EB6F36" w:rsidP="00EB6F36">
            <w:pPr>
              <w:rPr>
                <w:rFonts w:ascii="Arial" w:hAnsi="Arial" w:cs="Arial"/>
              </w:rPr>
            </w:pPr>
          </w:p>
        </w:tc>
        <w:tc>
          <w:tcPr>
            <w:tcW w:w="360" w:type="dxa"/>
            <w:vMerge w:val="restart"/>
          </w:tcPr>
          <w:p w14:paraId="51769EE4" w14:textId="77777777" w:rsidR="00346FFA" w:rsidRPr="00EB6F36" w:rsidRDefault="00346FFA" w:rsidP="00B67824">
            <w:pPr>
              <w:rPr>
                <w:rFonts w:ascii="Arial" w:hAnsi="Arial" w:cs="Arial"/>
                <w:noProof/>
              </w:rPr>
            </w:pPr>
          </w:p>
        </w:tc>
        <w:tc>
          <w:tcPr>
            <w:tcW w:w="4590" w:type="dxa"/>
            <w:vAlign w:val="center"/>
          </w:tcPr>
          <w:p w14:paraId="4EBA66EC" w14:textId="4D5B141D" w:rsidR="00346FFA" w:rsidRPr="00EB6F36" w:rsidRDefault="00EB6F36" w:rsidP="00EB6F36">
            <w:pPr>
              <w:rPr>
                <w:rFonts w:ascii="Arial" w:hAnsi="Arial" w:cs="Arial"/>
                <w:noProof/>
              </w:rPr>
            </w:pPr>
            <w:r w:rsidRPr="00EB6F36">
              <w:rPr>
                <w:rFonts w:ascii="Arial" w:hAnsi="Arial" w:cs="Arial"/>
                <w:noProof/>
              </w:rPr>
              <w:t xml:space="preserve"> </w:t>
            </w:r>
            <w:r w:rsidR="004E4BCC" w:rsidRPr="004E4BCC">
              <w:rPr>
                <w:rFonts w:ascii="Arial" w:hAnsi="Arial" w:cs="Arial"/>
                <w:noProof/>
              </w:rPr>
              <w:drawing>
                <wp:anchor distT="0" distB="0" distL="114300" distR="114300" simplePos="0" relativeHeight="251663360" behindDoc="0" locked="0" layoutInCell="1" allowOverlap="1" wp14:anchorId="3A1F6D3C" wp14:editId="62AE6253">
                  <wp:simplePos x="0" y="0"/>
                  <wp:positionH relativeFrom="column">
                    <wp:posOffset>-5080</wp:posOffset>
                  </wp:positionH>
                  <wp:positionV relativeFrom="paragraph">
                    <wp:posOffset>1379220</wp:posOffset>
                  </wp:positionV>
                  <wp:extent cx="2766695" cy="1844675"/>
                  <wp:effectExtent l="0" t="0" r="1905" b="0"/>
                  <wp:wrapTopAndBottom/>
                  <wp:docPr id="1180301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01995" name=""/>
                          <pic:cNvPicPr/>
                        </pic:nvPicPr>
                        <pic:blipFill>
                          <a:blip r:embed="rId14"/>
                          <a:stretch>
                            <a:fillRect/>
                          </a:stretch>
                        </pic:blipFill>
                        <pic:spPr>
                          <a:xfrm>
                            <a:off x="0" y="0"/>
                            <a:ext cx="2766695" cy="1844675"/>
                          </a:xfrm>
                          <a:prstGeom prst="rect">
                            <a:avLst/>
                          </a:prstGeom>
                        </pic:spPr>
                      </pic:pic>
                    </a:graphicData>
                  </a:graphic>
                </wp:anchor>
              </w:drawing>
            </w:r>
          </w:p>
        </w:tc>
      </w:tr>
      <w:tr w:rsidR="00346FFA" w:rsidRPr="00EB6F36" w14:paraId="6595EC5A" w14:textId="77777777" w:rsidTr="00EB6F36">
        <w:trPr>
          <w:trHeight w:val="272"/>
          <w:jc w:val="center"/>
        </w:trPr>
        <w:tc>
          <w:tcPr>
            <w:tcW w:w="4534" w:type="dxa"/>
          </w:tcPr>
          <w:p w14:paraId="29C6DD9B" w14:textId="5AB45E3A" w:rsidR="00346FFA" w:rsidRPr="00EB6F36" w:rsidRDefault="00E43061" w:rsidP="00B67824">
            <w:pPr>
              <w:rPr>
                <w:rFonts w:ascii="Arial" w:hAnsi="Arial" w:cs="Arial"/>
                <w:noProof/>
              </w:rPr>
            </w:pPr>
            <w:r>
              <w:rPr>
                <w:rFonts w:ascii="Arial" w:hAnsi="Arial" w:cs="Arial"/>
                <w:noProof/>
              </w:rPr>
              <w:t>Figure 1</w:t>
            </w:r>
          </w:p>
        </w:tc>
        <w:tc>
          <w:tcPr>
            <w:tcW w:w="416" w:type="dxa"/>
            <w:vMerge/>
          </w:tcPr>
          <w:p w14:paraId="4D303ECD" w14:textId="77777777" w:rsidR="00346FFA" w:rsidRPr="00EB6F36" w:rsidRDefault="00346FFA" w:rsidP="00B67824">
            <w:pPr>
              <w:rPr>
                <w:rFonts w:ascii="Arial" w:hAnsi="Arial" w:cs="Arial"/>
                <w:noProof/>
              </w:rPr>
            </w:pPr>
          </w:p>
        </w:tc>
        <w:tc>
          <w:tcPr>
            <w:tcW w:w="4500"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360" w:type="dxa"/>
            <w:vMerge/>
          </w:tcPr>
          <w:p w14:paraId="6D8737FD" w14:textId="77777777" w:rsidR="00346FFA" w:rsidRPr="00EB6F36" w:rsidRDefault="00346FFA" w:rsidP="00B67824">
            <w:pPr>
              <w:rPr>
                <w:rFonts w:ascii="Arial" w:hAnsi="Arial" w:cs="Arial"/>
                <w:noProof/>
              </w:rPr>
            </w:pPr>
          </w:p>
        </w:tc>
        <w:tc>
          <w:tcPr>
            <w:tcW w:w="4590" w:type="dxa"/>
          </w:tcPr>
          <w:p w14:paraId="777BDB38" w14:textId="02D9DD61" w:rsidR="00346FFA" w:rsidRPr="00EB6F36" w:rsidRDefault="00E43061" w:rsidP="00346FFA">
            <w:pPr>
              <w:pStyle w:val="NoSpacing"/>
              <w:rPr>
                <w:rFonts w:ascii="Arial" w:hAnsi="Arial" w:cs="Arial"/>
              </w:rPr>
            </w:pPr>
            <w:r>
              <w:rPr>
                <w:rFonts w:ascii="Arial" w:hAnsi="Arial" w:cs="Arial"/>
              </w:rPr>
              <w:t>Figu</w:t>
            </w:r>
            <w:r w:rsidR="00C92FEA">
              <w:rPr>
                <w:rFonts w:ascii="Arial" w:hAnsi="Arial" w:cs="Arial"/>
              </w:rPr>
              <w:t>re 2</w:t>
            </w:r>
          </w:p>
        </w:tc>
      </w:tr>
      <w:tr w:rsidR="004642F0" w:rsidRPr="00EB6F36" w14:paraId="6C436F7A" w14:textId="77777777" w:rsidTr="00EB6F36">
        <w:trPr>
          <w:trHeight w:val="473"/>
          <w:jc w:val="center"/>
        </w:trPr>
        <w:tc>
          <w:tcPr>
            <w:tcW w:w="4534" w:type="dxa"/>
            <w:vMerge w:val="restart"/>
          </w:tcPr>
          <w:p w14:paraId="5DC46BF7" w14:textId="6826CBA5" w:rsidR="00EB6F36" w:rsidRPr="00EB6F36" w:rsidRDefault="00822116" w:rsidP="006F73A2">
            <w:pPr>
              <w:pStyle w:val="Heading1"/>
              <w:rPr>
                <w:rFonts w:ascii="Arial" w:hAnsi="Arial" w:cs="Arial"/>
              </w:rPr>
            </w:pPr>
            <w:r>
              <w:rPr>
                <w:rFonts w:ascii="Arial" w:hAnsi="Arial" w:cs="Arial"/>
              </w:rPr>
              <w:t>Methodology</w:t>
            </w:r>
          </w:p>
          <w:p w14:paraId="14B39009" w14:textId="77777777" w:rsidR="00A80FDC" w:rsidRPr="00A80FDC" w:rsidRDefault="00A80FDC" w:rsidP="00A80FDC">
            <w:pPr>
              <w:spacing w:after="0"/>
              <w:rPr>
                <w:rFonts w:ascii="Arial" w:eastAsia="Times New Roman" w:hAnsi="Arial" w:cs="Arial"/>
                <w:color w:val="000000"/>
                <w:sz w:val="24"/>
                <w:szCs w:val="24"/>
                <w:lang w:val="en-GB" w:eastAsia="en-GB"/>
              </w:rPr>
            </w:pPr>
            <w:r w:rsidRPr="00A80FDC">
              <w:rPr>
                <w:rFonts w:ascii="Arial" w:eastAsia="Times New Roman" w:hAnsi="Arial" w:cs="Arial"/>
                <w:color w:val="000000"/>
                <w:sz w:val="24"/>
                <w:szCs w:val="24"/>
                <w:lang w:val="en-GB" w:eastAsia="en-GB"/>
              </w:rPr>
              <w:t xml:space="preserve">This project will use a qualitative secondary research design to explore existing evidence rather than recruit </w:t>
            </w:r>
            <w:r w:rsidRPr="00A80FDC">
              <w:rPr>
                <w:rFonts w:ascii="Arial" w:eastAsia="Times New Roman" w:hAnsi="Arial" w:cs="Arial"/>
                <w:color w:val="000000"/>
                <w:sz w:val="24"/>
                <w:szCs w:val="24"/>
                <w:lang w:val="en-GB" w:eastAsia="en-GB"/>
              </w:rPr>
              <w:lastRenderedPageBreak/>
              <w:t>participants or conduct interviews. A qualitative approach is suitable because it supports an in-depth understanding of older people's experiences, social circumstances and barriers to accessing support.</w:t>
            </w:r>
          </w:p>
          <w:p w14:paraId="47A95900" w14:textId="346CA20B" w:rsidR="00A80FDC" w:rsidRPr="00A80FDC" w:rsidRDefault="00A80FDC" w:rsidP="00A80FDC">
            <w:pPr>
              <w:spacing w:after="0"/>
              <w:rPr>
                <w:rFonts w:ascii="Arial" w:eastAsia="Times New Roman" w:hAnsi="Arial" w:cs="Arial"/>
                <w:color w:val="000000"/>
                <w:sz w:val="24"/>
                <w:szCs w:val="24"/>
                <w:lang w:val="en-GB" w:eastAsia="en-GB"/>
              </w:rPr>
            </w:pPr>
            <w:r w:rsidRPr="00A80FDC">
              <w:rPr>
                <w:rFonts w:ascii="Arial" w:eastAsia="Times New Roman" w:hAnsi="Arial" w:cs="Arial"/>
                <w:color w:val="000000"/>
                <w:sz w:val="24"/>
                <w:szCs w:val="24"/>
                <w:lang w:val="en-GB" w:eastAsia="en-GB"/>
              </w:rPr>
              <w:t>The study will examine UK-focused publications produced between 2016 and 2026</w:t>
            </w:r>
            <w:r w:rsidR="00522A23">
              <w:rPr>
                <w:rFonts w:ascii="Arial" w:eastAsia="Times New Roman" w:hAnsi="Arial" w:cs="Arial"/>
                <w:color w:val="000000"/>
                <w:sz w:val="24"/>
                <w:szCs w:val="24"/>
                <w:lang w:val="en-GB" w:eastAsia="en-GB"/>
              </w:rPr>
              <w:t>.</w:t>
            </w:r>
            <w:r w:rsidRPr="00A80FDC">
              <w:rPr>
                <w:rFonts w:ascii="Arial" w:eastAsia="Times New Roman" w:hAnsi="Arial" w:cs="Arial"/>
                <w:color w:val="000000"/>
                <w:sz w:val="24"/>
                <w:szCs w:val="24"/>
                <w:lang w:val="en-GB" w:eastAsia="en-GB"/>
              </w:rPr>
              <w:t>Sources will include peer-reviewed journal articles, government reports, NHS publications and research available through PubMed and Google Scholar. A structured literature review will enable comparison of evidence concerning mental health outcomes, community participation and social care provision.</w:t>
            </w:r>
          </w:p>
          <w:p w14:paraId="46C82386" w14:textId="77777777" w:rsidR="00A80FDC" w:rsidRPr="00A80FDC" w:rsidRDefault="00A80FDC" w:rsidP="00A80FDC">
            <w:pPr>
              <w:spacing w:after="0"/>
              <w:rPr>
                <w:rFonts w:ascii="Arial" w:eastAsia="Times New Roman" w:hAnsi="Arial" w:cs="Arial"/>
                <w:color w:val="000000"/>
                <w:sz w:val="24"/>
                <w:szCs w:val="24"/>
                <w:lang w:val="en-GB" w:eastAsia="en-GB"/>
              </w:rPr>
            </w:pPr>
            <w:r w:rsidRPr="00A80FDC">
              <w:rPr>
                <w:rFonts w:ascii="Arial" w:eastAsia="Times New Roman" w:hAnsi="Arial" w:cs="Arial"/>
                <w:color w:val="000000"/>
                <w:sz w:val="24"/>
                <w:szCs w:val="24"/>
                <w:lang w:val="en-GB" w:eastAsia="en-GB"/>
              </w:rPr>
              <w:t>The Department for Culture, Media and Sport's evidence review identifies continuing gaps in knowledge about loneliness and the effectiveness of interventions, supporting the need for critical examination of existing</w:t>
            </w:r>
          </w:p>
          <w:p w14:paraId="766CB3C2" w14:textId="24E786B8" w:rsidR="00EB6F36" w:rsidRPr="00EB6F36" w:rsidRDefault="00EB6F36" w:rsidP="00EB6F36">
            <w:pPr>
              <w:rPr>
                <w:rFonts w:ascii="Arial" w:hAnsi="Arial" w:cs="Arial"/>
              </w:rPr>
            </w:pPr>
          </w:p>
        </w:tc>
        <w:tc>
          <w:tcPr>
            <w:tcW w:w="416"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4500" w:type="dxa"/>
            <w:vMerge/>
            <w:vAlign w:val="center"/>
          </w:tcPr>
          <w:p w14:paraId="7D78FDF6" w14:textId="77777777" w:rsidR="004642F0" w:rsidRPr="00EB6F36" w:rsidRDefault="004642F0" w:rsidP="00B67824">
            <w:pPr>
              <w:pStyle w:val="NoSpacing"/>
              <w:jc w:val="center"/>
              <w:rPr>
                <w:rFonts w:ascii="Arial" w:hAnsi="Arial" w:cs="Arial"/>
                <w:noProof/>
              </w:rPr>
            </w:pPr>
          </w:p>
        </w:tc>
        <w:tc>
          <w:tcPr>
            <w:tcW w:w="360"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4590" w:type="dxa"/>
            <w:vMerge w:val="restart"/>
          </w:tcPr>
          <w:p w14:paraId="7C994393" w14:textId="01303BC5" w:rsidR="00B67824" w:rsidRPr="00EB6F36" w:rsidRDefault="00E70AAA" w:rsidP="00F37523">
            <w:pPr>
              <w:pStyle w:val="Heading1"/>
              <w:rPr>
                <w:rStyle w:val="Heading1Char"/>
                <w:rFonts w:ascii="Arial" w:hAnsi="Arial" w:cs="Arial"/>
                <w:b/>
              </w:rPr>
            </w:pPr>
            <w:r>
              <w:t xml:space="preserve">Data Analysis Methods </w:t>
            </w:r>
          </w:p>
          <w:p w14:paraId="75716722" w14:textId="77777777" w:rsidR="00D96316" w:rsidRPr="00D96316" w:rsidRDefault="00D96316" w:rsidP="00D96316">
            <w:pPr>
              <w:spacing w:after="0"/>
              <w:rPr>
                <w:rFonts w:ascii="Arial" w:eastAsia="Times New Roman" w:hAnsi="Arial" w:cs="Arial"/>
                <w:color w:val="000000"/>
                <w:sz w:val="24"/>
                <w:szCs w:val="24"/>
                <w:lang w:val="en-GB" w:eastAsia="en-GB"/>
              </w:rPr>
            </w:pPr>
            <w:r w:rsidRPr="00D96316">
              <w:rPr>
                <w:rFonts w:ascii="Arial" w:eastAsia="Times New Roman" w:hAnsi="Arial" w:cs="Arial"/>
                <w:color w:val="000000"/>
                <w:sz w:val="24"/>
                <w:szCs w:val="24"/>
                <w:lang w:val="en-GB" w:eastAsia="en-GB"/>
              </w:rPr>
              <w:t xml:space="preserve">The selected literature will be analysed using thematic analysis. The researcher will read each source carefully, identify </w:t>
            </w:r>
            <w:r w:rsidRPr="00D96316">
              <w:rPr>
                <w:rFonts w:ascii="Arial" w:eastAsia="Times New Roman" w:hAnsi="Arial" w:cs="Arial"/>
                <w:color w:val="000000"/>
                <w:sz w:val="24"/>
                <w:szCs w:val="24"/>
                <w:lang w:val="en-GB" w:eastAsia="en-GB"/>
              </w:rPr>
              <w:lastRenderedPageBreak/>
              <w:t>meaningful findings, develop initial codes and organise related codes into broader themes. Potential themes include depressive symptoms, bereavement, reduced independence, barriers to community participation and the effectiveness of social support.</w:t>
            </w:r>
          </w:p>
          <w:p w14:paraId="1A8E6E47" w14:textId="77777777" w:rsidR="00D96316" w:rsidRPr="00D96316" w:rsidRDefault="00D96316" w:rsidP="00D96316">
            <w:pPr>
              <w:spacing w:after="0"/>
              <w:rPr>
                <w:rFonts w:ascii="Arial" w:eastAsia="Times New Roman" w:hAnsi="Arial" w:cs="Arial"/>
                <w:color w:val="000000"/>
                <w:sz w:val="24"/>
                <w:szCs w:val="24"/>
                <w:lang w:val="en-GB" w:eastAsia="en-GB"/>
              </w:rPr>
            </w:pPr>
            <w:r w:rsidRPr="00D96316">
              <w:rPr>
                <w:rFonts w:ascii="Arial" w:eastAsia="Times New Roman" w:hAnsi="Arial" w:cs="Arial"/>
                <w:color w:val="000000"/>
                <w:sz w:val="24"/>
                <w:szCs w:val="24"/>
                <w:lang w:val="en-GB" w:eastAsia="en-GB"/>
              </w:rPr>
              <w:t>Findings will be compared across community settings, residential care and health services. The analysis will consider differences between authors' conclusions and assess research quality, credibility and relevance to UK practice.</w:t>
            </w:r>
          </w:p>
          <w:p w14:paraId="6529550F" w14:textId="77777777" w:rsidR="00D96316" w:rsidRPr="00D96316" w:rsidRDefault="00D96316" w:rsidP="00D96316">
            <w:pPr>
              <w:spacing w:after="0"/>
              <w:rPr>
                <w:rFonts w:ascii="Arial" w:eastAsia="Times New Roman" w:hAnsi="Arial" w:cs="Arial"/>
                <w:color w:val="000000"/>
                <w:sz w:val="24"/>
                <w:szCs w:val="24"/>
                <w:lang w:val="en-GB" w:eastAsia="en-GB"/>
              </w:rPr>
            </w:pPr>
            <w:r w:rsidRPr="00D96316">
              <w:rPr>
                <w:rFonts w:ascii="Arial" w:eastAsia="Times New Roman" w:hAnsi="Arial" w:cs="Arial"/>
                <w:color w:val="000000"/>
                <w:sz w:val="24"/>
                <w:szCs w:val="24"/>
                <w:lang w:val="en-GB" w:eastAsia="en-GB"/>
              </w:rPr>
              <w:t>Li et al. (2024) found that local-authority anti-loneliness strategies had no significant overall effect on loneliness or depressive symptoms, indicating that interventions require careful evaluation rather than assumptions of effectiveness. </w:t>
            </w:r>
          </w:p>
          <w:p w14:paraId="7DB11449" w14:textId="77777777" w:rsidR="00D96316" w:rsidRPr="00D96316" w:rsidRDefault="00D96316" w:rsidP="00D96316">
            <w:pPr>
              <w:spacing w:after="0"/>
              <w:rPr>
                <w:rFonts w:ascii="Arial" w:eastAsia="Times New Roman" w:hAnsi="Arial" w:cs="Arial"/>
                <w:color w:val="000000"/>
                <w:sz w:val="24"/>
                <w:szCs w:val="24"/>
                <w:lang w:val="en-GB" w:eastAsia="en-GB"/>
              </w:rPr>
            </w:pPr>
            <w:r w:rsidRPr="00D96316">
              <w:rPr>
                <w:rFonts w:ascii="Arial" w:eastAsia="Times New Roman" w:hAnsi="Arial" w:cs="Arial"/>
                <w:color w:val="000000"/>
                <w:sz w:val="24"/>
                <w:szCs w:val="24"/>
                <w:lang w:val="en-GB" w:eastAsia="en-GB"/>
              </w:rPr>
              <w:t>The findings will inform recommendations for integrated care, early identification of emotional distress and collaborative working between social workers, nurses, general practitioners and voluntary organisations.</w:t>
            </w:r>
          </w:p>
          <w:p w14:paraId="27E9F559" w14:textId="77777777" w:rsidR="00D96316" w:rsidRDefault="00D96316" w:rsidP="00EB6F36">
            <w:pPr>
              <w:rPr>
                <w:rFonts w:ascii="Arial" w:hAnsi="Arial" w:cs="Arial"/>
              </w:rPr>
            </w:pPr>
          </w:p>
          <w:p w14:paraId="3B0643C3" w14:textId="77777777" w:rsidR="00EB6F36" w:rsidRDefault="00EB6F36" w:rsidP="00EB6F36">
            <w:pPr>
              <w:rPr>
                <w:rFonts w:ascii="Arial" w:hAnsi="Arial" w:cs="Arial"/>
              </w:rPr>
            </w:pPr>
          </w:p>
          <w:p w14:paraId="0531830E" w14:textId="77777777" w:rsidR="00EB6F36" w:rsidRDefault="00EB6F36" w:rsidP="00EB6F36">
            <w:pPr>
              <w:rPr>
                <w:rFonts w:ascii="Arial" w:hAnsi="Arial" w:cs="Arial"/>
              </w:rPr>
            </w:pPr>
          </w:p>
          <w:p w14:paraId="01A90E3F" w14:textId="77777777" w:rsidR="00EB6F36" w:rsidRPr="00EB6F36" w:rsidRDefault="00EB6F36" w:rsidP="00EB6F36">
            <w:pPr>
              <w:rPr>
                <w:rFonts w:ascii="Arial" w:hAnsi="Arial" w:cs="Arial"/>
              </w:rPr>
            </w:pPr>
          </w:p>
          <w:p w14:paraId="5029E604" w14:textId="40437777" w:rsidR="00B67824" w:rsidRDefault="007F0240" w:rsidP="00D40B6C">
            <w:pPr>
              <w:pStyle w:val="Heading1"/>
              <w:rPr>
                <w:rFonts w:ascii="Arial" w:hAnsi="Arial" w:cs="Arial"/>
              </w:rPr>
            </w:pPr>
            <w:r>
              <w:t xml:space="preserve">Ethical Considerations </w:t>
            </w:r>
          </w:p>
          <w:p w14:paraId="5C8EA44A" w14:textId="77777777" w:rsidR="004C6524" w:rsidRPr="004C6524" w:rsidRDefault="004C6524" w:rsidP="004C6524">
            <w:pPr>
              <w:spacing w:after="0"/>
              <w:rPr>
                <w:rFonts w:ascii="Arial" w:eastAsia="Times New Roman" w:hAnsi="Arial" w:cs="Arial"/>
                <w:color w:val="000000"/>
                <w:sz w:val="24"/>
                <w:szCs w:val="24"/>
                <w:lang w:val="en-GB" w:eastAsia="en-GB"/>
              </w:rPr>
            </w:pPr>
            <w:r w:rsidRPr="004C6524">
              <w:rPr>
                <w:rFonts w:ascii="Arial" w:eastAsia="Times New Roman" w:hAnsi="Arial" w:cs="Arial"/>
                <w:color w:val="000000"/>
                <w:sz w:val="24"/>
                <w:szCs w:val="24"/>
                <w:lang w:val="en-GB" w:eastAsia="en-GB"/>
              </w:rPr>
              <w:t xml:space="preserve">The researcher will represent older people's experiences respectfully, </w:t>
            </w:r>
            <w:r w:rsidRPr="004C6524">
              <w:rPr>
                <w:rFonts w:ascii="Arial" w:eastAsia="Times New Roman" w:hAnsi="Arial" w:cs="Arial"/>
                <w:color w:val="000000"/>
                <w:sz w:val="24"/>
                <w:szCs w:val="24"/>
                <w:lang w:val="en-GB" w:eastAsia="en-GB"/>
              </w:rPr>
              <w:lastRenderedPageBreak/>
              <w:t xml:space="preserve">avoiding ageist assumptions that loneliness is inevitable in later life. </w:t>
            </w:r>
            <w:proofErr w:type="spellStart"/>
            <w:r w:rsidRPr="004C6524">
              <w:rPr>
                <w:rFonts w:ascii="Arial" w:eastAsia="Times New Roman" w:hAnsi="Arial" w:cs="Arial"/>
                <w:color w:val="000000"/>
                <w:sz w:val="24"/>
                <w:szCs w:val="24"/>
                <w:lang w:val="en-GB" w:eastAsia="en-GB"/>
              </w:rPr>
              <w:t>Naughton-Doe</w:t>
            </w:r>
            <w:proofErr w:type="spellEnd"/>
            <w:r w:rsidRPr="004C6524">
              <w:rPr>
                <w:rFonts w:ascii="Arial" w:eastAsia="Times New Roman" w:hAnsi="Arial" w:cs="Arial"/>
                <w:color w:val="000000"/>
                <w:sz w:val="24"/>
                <w:szCs w:val="24"/>
                <w:lang w:val="en-GB" w:eastAsia="en-GB"/>
              </w:rPr>
              <w:t xml:space="preserve"> et al. (2024) discuss ethical challenges associated with researching loneliness, including stigma and emotional vulnerability, reinforcing the importance of sensitive interpretation. </w:t>
            </w:r>
          </w:p>
          <w:p w14:paraId="67419D85" w14:textId="77777777" w:rsidR="004C6524" w:rsidRPr="004C6524" w:rsidRDefault="004C6524" w:rsidP="004C6524">
            <w:pPr>
              <w:spacing w:after="0"/>
              <w:rPr>
                <w:rFonts w:ascii="Arial" w:eastAsia="Times New Roman" w:hAnsi="Arial" w:cs="Arial"/>
                <w:color w:val="000000"/>
                <w:sz w:val="24"/>
                <w:szCs w:val="24"/>
                <w:lang w:val="en-GB" w:eastAsia="en-GB"/>
              </w:rPr>
            </w:pPr>
            <w:r w:rsidRPr="004C6524">
              <w:rPr>
                <w:rFonts w:ascii="Arial" w:eastAsia="Times New Roman" w:hAnsi="Arial" w:cs="Arial"/>
                <w:color w:val="000000"/>
                <w:sz w:val="24"/>
                <w:szCs w:val="24"/>
                <w:lang w:val="en-GB" w:eastAsia="en-GB"/>
              </w:rPr>
              <w:t>Confidentiality will be respected when discussing published personal accounts, and copyright requirements will be observed. The review will report contradictory findings honestly and acknowledge limitations, including publication bias, restricted access to full-text articles and limited transferability between UK regions.</w:t>
            </w:r>
          </w:p>
          <w:p w14:paraId="5B44F412" w14:textId="77777777" w:rsidR="004C6524" w:rsidRPr="004C6524" w:rsidRDefault="004C6524" w:rsidP="004C6524">
            <w:pPr>
              <w:spacing w:after="0"/>
              <w:rPr>
                <w:rFonts w:ascii="Arial" w:eastAsia="Times New Roman" w:hAnsi="Arial" w:cs="Arial"/>
                <w:color w:val="000000"/>
                <w:sz w:val="24"/>
                <w:szCs w:val="24"/>
                <w:lang w:val="en-GB" w:eastAsia="en-GB"/>
              </w:rPr>
            </w:pPr>
            <w:r w:rsidRPr="004C6524">
              <w:rPr>
                <w:rFonts w:ascii="Arial" w:eastAsia="Times New Roman" w:hAnsi="Arial" w:cs="Arial"/>
                <w:color w:val="000000"/>
                <w:sz w:val="24"/>
                <w:szCs w:val="24"/>
                <w:lang w:val="en-GB" w:eastAsia="en-GB"/>
              </w:rPr>
              <w:t>Finally, the research will consider equality, dignity, safeguarding and person-centred care. The UK Government's loneliness strategy emphasises collaboration across public services and communities to strengthen social connections (DCMS, 2018). </w:t>
            </w:r>
          </w:p>
          <w:p w14:paraId="4D4507A7" w14:textId="36DAB73F" w:rsidR="002E6346" w:rsidRPr="00EB6F36" w:rsidRDefault="002E6346" w:rsidP="00990E76">
            <w:pPr>
              <w:rPr>
                <w:rFonts w:ascii="Arial" w:hAnsi="Arial" w:cs="Arial"/>
              </w:rPr>
            </w:pPr>
          </w:p>
        </w:tc>
      </w:tr>
      <w:tr w:rsidR="004642F0" w:rsidRPr="00EB6F36" w14:paraId="7D852EB3" w14:textId="77777777" w:rsidTr="00EB6F36">
        <w:trPr>
          <w:trHeight w:val="60"/>
          <w:jc w:val="center"/>
        </w:trPr>
        <w:tc>
          <w:tcPr>
            <w:tcW w:w="4534" w:type="dxa"/>
            <w:vMerge/>
          </w:tcPr>
          <w:p w14:paraId="7218850B" w14:textId="77777777" w:rsidR="004642F0" w:rsidRPr="00EB6F36" w:rsidRDefault="004642F0" w:rsidP="00B67824">
            <w:pPr>
              <w:rPr>
                <w:rFonts w:ascii="Arial" w:hAnsi="Arial" w:cs="Arial"/>
                <w:noProof/>
              </w:rPr>
            </w:pPr>
          </w:p>
        </w:tc>
        <w:tc>
          <w:tcPr>
            <w:tcW w:w="416" w:type="dxa"/>
            <w:vMerge/>
          </w:tcPr>
          <w:p w14:paraId="31B4DC3A" w14:textId="77777777" w:rsidR="004642F0" w:rsidRPr="00EB6F36" w:rsidRDefault="004642F0" w:rsidP="00B67824">
            <w:pPr>
              <w:rPr>
                <w:rFonts w:ascii="Arial" w:hAnsi="Arial" w:cs="Arial"/>
                <w:noProof/>
              </w:rPr>
            </w:pPr>
          </w:p>
        </w:tc>
        <w:tc>
          <w:tcPr>
            <w:tcW w:w="4500" w:type="dxa"/>
          </w:tcPr>
          <w:p w14:paraId="02715FD6" w14:textId="77777777" w:rsidR="004642F0" w:rsidRPr="00EB6F36" w:rsidRDefault="004642F0" w:rsidP="00C46111">
            <w:pPr>
              <w:rPr>
                <w:rFonts w:ascii="Arial" w:hAnsi="Arial" w:cs="Arial"/>
                <w:noProof/>
              </w:rPr>
            </w:pPr>
          </w:p>
        </w:tc>
        <w:tc>
          <w:tcPr>
            <w:tcW w:w="360" w:type="dxa"/>
            <w:vMerge/>
          </w:tcPr>
          <w:p w14:paraId="52764226" w14:textId="77777777" w:rsidR="004642F0" w:rsidRPr="00EB6F36" w:rsidRDefault="004642F0" w:rsidP="00B67824">
            <w:pPr>
              <w:rPr>
                <w:rFonts w:ascii="Arial" w:hAnsi="Arial" w:cs="Arial"/>
                <w:noProof/>
              </w:rPr>
            </w:pPr>
          </w:p>
        </w:tc>
        <w:tc>
          <w:tcPr>
            <w:tcW w:w="4590" w:type="dxa"/>
            <w:vMerge/>
          </w:tcPr>
          <w:p w14:paraId="1DD4887F" w14:textId="77777777" w:rsidR="004642F0" w:rsidRPr="00EB6F36" w:rsidRDefault="004642F0" w:rsidP="004642F0">
            <w:pPr>
              <w:rPr>
                <w:rFonts w:ascii="Arial" w:hAnsi="Arial" w:cs="Arial"/>
                <w:sz w:val="21"/>
              </w:rPr>
            </w:pPr>
          </w:p>
        </w:tc>
      </w:tr>
      <w:tr w:rsidR="004642F0" w:rsidRPr="00EB6F36" w14:paraId="6FE6E81E" w14:textId="77777777" w:rsidTr="00EB6F36">
        <w:trPr>
          <w:trHeight w:val="6431"/>
          <w:jc w:val="center"/>
        </w:trPr>
        <w:tc>
          <w:tcPr>
            <w:tcW w:w="4534" w:type="dxa"/>
            <w:vMerge/>
          </w:tcPr>
          <w:p w14:paraId="795D7C90" w14:textId="77777777" w:rsidR="004642F0" w:rsidRPr="00EB6F36" w:rsidRDefault="004642F0" w:rsidP="00B67824">
            <w:pPr>
              <w:rPr>
                <w:rFonts w:ascii="Arial" w:hAnsi="Arial" w:cs="Arial"/>
                <w:noProof/>
              </w:rPr>
            </w:pPr>
          </w:p>
        </w:tc>
        <w:tc>
          <w:tcPr>
            <w:tcW w:w="416" w:type="dxa"/>
            <w:vMerge/>
          </w:tcPr>
          <w:p w14:paraId="1280A41D" w14:textId="77777777" w:rsidR="004642F0" w:rsidRPr="00EB6F36" w:rsidRDefault="004642F0" w:rsidP="00B67824">
            <w:pPr>
              <w:rPr>
                <w:rFonts w:ascii="Arial" w:hAnsi="Arial" w:cs="Arial"/>
                <w:noProof/>
              </w:rPr>
            </w:pPr>
          </w:p>
        </w:tc>
        <w:tc>
          <w:tcPr>
            <w:tcW w:w="4500" w:type="dxa"/>
          </w:tcPr>
          <w:p w14:paraId="0B3AA333" w14:textId="0246DE5C" w:rsidR="00605135" w:rsidRDefault="001058CD" w:rsidP="0007705A">
            <w:pPr>
              <w:pStyle w:val="Heading1"/>
              <w:rPr>
                <w:rFonts w:ascii="Arial" w:hAnsi="Arial" w:cs="Arial"/>
              </w:rPr>
            </w:pPr>
            <w:r>
              <w:t xml:space="preserve">Data Collection </w:t>
            </w:r>
            <w:r w:rsidR="0007705A">
              <w:t xml:space="preserve">Methods </w:t>
            </w:r>
          </w:p>
          <w:p w14:paraId="30DECBD5" w14:textId="7E670E89" w:rsidR="002B6412" w:rsidRPr="002B6412" w:rsidRDefault="002B6412" w:rsidP="002B6412">
            <w:pPr>
              <w:spacing w:after="0"/>
              <w:rPr>
                <w:rFonts w:ascii="Arial" w:eastAsia="Times New Roman" w:hAnsi="Arial" w:cs="Arial"/>
                <w:color w:val="000000"/>
                <w:sz w:val="24"/>
                <w:szCs w:val="24"/>
                <w:lang w:val="en-GB" w:eastAsia="en-GB"/>
              </w:rPr>
            </w:pPr>
            <w:r w:rsidRPr="002B6412">
              <w:rPr>
                <w:rFonts w:ascii="Arial" w:eastAsia="Times New Roman" w:hAnsi="Arial" w:cs="Arial"/>
                <w:color w:val="000000"/>
                <w:sz w:val="24"/>
                <w:szCs w:val="24"/>
                <w:lang w:val="en-GB" w:eastAsia="en-GB"/>
              </w:rPr>
              <w:t>Inclusion criteria will comprise English-language publications dated 2016–2026 that examine older adults' mental health, social relationships or support services in the UK, alongside irrelevant publications and sources lacking sufficient methodological detail.</w:t>
            </w:r>
          </w:p>
          <w:p w14:paraId="6E3E6652" w14:textId="77777777" w:rsidR="002B6412" w:rsidRPr="002B6412" w:rsidRDefault="002B6412" w:rsidP="002B6412">
            <w:pPr>
              <w:spacing w:after="0"/>
              <w:rPr>
                <w:rFonts w:ascii="Arial" w:eastAsia="Times New Roman" w:hAnsi="Arial" w:cs="Arial"/>
                <w:color w:val="000000"/>
                <w:sz w:val="24"/>
                <w:szCs w:val="24"/>
                <w:lang w:val="en-GB" w:eastAsia="en-GB"/>
              </w:rPr>
            </w:pPr>
            <w:r w:rsidRPr="002B6412">
              <w:rPr>
                <w:rFonts w:ascii="Arial" w:eastAsia="Times New Roman" w:hAnsi="Arial" w:cs="Arial"/>
                <w:color w:val="000000"/>
                <w:sz w:val="24"/>
                <w:szCs w:val="24"/>
                <w:lang w:val="en-GB" w:eastAsia="en-GB"/>
              </w:rPr>
              <w:t xml:space="preserve">A search log will record databases, keywords, eligibility decisions and reasons for exclusion. Particular attention will be given to qualitative interviews and peer-reviewed studies. </w:t>
            </w:r>
            <w:proofErr w:type="spellStart"/>
            <w:r w:rsidRPr="002B6412">
              <w:rPr>
                <w:rFonts w:ascii="Arial" w:eastAsia="Times New Roman" w:hAnsi="Arial" w:cs="Arial"/>
                <w:color w:val="000000"/>
                <w:sz w:val="24"/>
                <w:szCs w:val="24"/>
                <w:lang w:val="en-GB" w:eastAsia="en-GB"/>
              </w:rPr>
              <w:t>Kharicha</w:t>
            </w:r>
            <w:proofErr w:type="spellEnd"/>
            <w:r w:rsidRPr="002B6412">
              <w:rPr>
                <w:rFonts w:ascii="Arial" w:eastAsia="Times New Roman" w:hAnsi="Arial" w:cs="Arial"/>
                <w:color w:val="000000"/>
                <w:sz w:val="24"/>
                <w:szCs w:val="24"/>
                <w:lang w:val="en-GB" w:eastAsia="en-GB"/>
              </w:rPr>
              <w:t xml:space="preserve"> et al. (2017) explored older people's views of primary care and community interventions, providing useful evidence about acceptable support for people experiencing loneliness. </w:t>
            </w:r>
          </w:p>
          <w:p w14:paraId="6AE83D9D" w14:textId="77777777" w:rsidR="002B6412" w:rsidRPr="002B6412" w:rsidRDefault="002B6412" w:rsidP="002B6412">
            <w:pPr>
              <w:spacing w:after="0"/>
              <w:rPr>
                <w:rFonts w:ascii="Arial" w:eastAsia="Times New Roman" w:hAnsi="Arial" w:cs="Arial"/>
                <w:color w:val="000000"/>
                <w:sz w:val="24"/>
                <w:szCs w:val="24"/>
                <w:lang w:val="en-GB" w:eastAsia="en-GB"/>
              </w:rPr>
            </w:pPr>
            <w:r w:rsidRPr="002B6412">
              <w:rPr>
                <w:rFonts w:ascii="Arial" w:eastAsia="Times New Roman" w:hAnsi="Arial" w:cs="Arial"/>
                <w:color w:val="000000"/>
                <w:sz w:val="24"/>
                <w:szCs w:val="24"/>
                <w:lang w:val="en-GB" w:eastAsia="en-GB"/>
              </w:rPr>
              <w:t xml:space="preserve">Neves, Sanders and </w:t>
            </w:r>
            <w:proofErr w:type="spellStart"/>
            <w:r w:rsidRPr="002B6412">
              <w:rPr>
                <w:rFonts w:ascii="Arial" w:eastAsia="Times New Roman" w:hAnsi="Arial" w:cs="Arial"/>
                <w:color w:val="000000"/>
                <w:sz w:val="24"/>
                <w:szCs w:val="24"/>
                <w:lang w:val="en-GB" w:eastAsia="en-GB"/>
              </w:rPr>
              <w:t>Kokanović</w:t>
            </w:r>
            <w:proofErr w:type="spellEnd"/>
            <w:r w:rsidRPr="002B6412">
              <w:rPr>
                <w:rFonts w:ascii="Arial" w:eastAsia="Times New Roman" w:hAnsi="Arial" w:cs="Arial"/>
                <w:color w:val="000000"/>
                <w:sz w:val="24"/>
                <w:szCs w:val="24"/>
                <w:lang w:val="en-GB" w:eastAsia="en-GB"/>
              </w:rPr>
              <w:t xml:space="preserve"> (2019) also examined loneliness among older people living in care homes, highlighting the importance of considering residents' relationships and experiences when planning social care. </w:t>
            </w:r>
          </w:p>
          <w:p w14:paraId="6C24B37D" w14:textId="77777777" w:rsidR="00EB6F36" w:rsidRPr="00EB6F36" w:rsidRDefault="00EB6F36" w:rsidP="00C46111">
            <w:pPr>
              <w:rPr>
                <w:rFonts w:ascii="Arial" w:hAnsi="Arial" w:cs="Arial"/>
                <w:noProof/>
              </w:rPr>
            </w:pPr>
          </w:p>
        </w:tc>
        <w:tc>
          <w:tcPr>
            <w:tcW w:w="360" w:type="dxa"/>
            <w:vMerge/>
          </w:tcPr>
          <w:p w14:paraId="5706C323" w14:textId="77777777" w:rsidR="004642F0" w:rsidRPr="00EB6F36" w:rsidRDefault="004642F0" w:rsidP="00B67824">
            <w:pPr>
              <w:rPr>
                <w:rFonts w:ascii="Arial" w:hAnsi="Arial" w:cs="Arial"/>
                <w:noProof/>
              </w:rPr>
            </w:pPr>
          </w:p>
        </w:tc>
        <w:tc>
          <w:tcPr>
            <w:tcW w:w="4590" w:type="dxa"/>
            <w:vMerge/>
          </w:tcPr>
          <w:p w14:paraId="3978F1F4" w14:textId="77777777" w:rsidR="004642F0" w:rsidRPr="00EB6F36" w:rsidRDefault="004642F0" w:rsidP="004642F0">
            <w:pPr>
              <w:rPr>
                <w:rFonts w:ascii="Arial" w:hAnsi="Arial" w:cs="Arial"/>
                <w:sz w:val="21"/>
              </w:rPr>
            </w:pPr>
          </w:p>
        </w:tc>
      </w:tr>
    </w:tbl>
    <w:p w14:paraId="0863B5DF" w14:textId="77777777" w:rsidR="00B67824" w:rsidRDefault="00B67824" w:rsidP="00C46111"/>
    <w:p w14:paraId="489BBCE1" w14:textId="030ECDA7" w:rsidR="00ED1049" w:rsidRDefault="00ED1049" w:rsidP="00C46111">
      <w:pPr>
        <w:rPr>
          <w:rFonts w:ascii="Arial" w:hAnsi="Arial" w:cs="Arial"/>
          <w:b/>
          <w:bCs/>
          <w:sz w:val="28"/>
          <w:szCs w:val="28"/>
        </w:rPr>
      </w:pPr>
      <w:r w:rsidRPr="00ED1049">
        <w:rPr>
          <w:rFonts w:ascii="Arial" w:hAnsi="Arial" w:cs="Arial"/>
          <w:b/>
          <w:bCs/>
          <w:sz w:val="28"/>
          <w:szCs w:val="28"/>
        </w:rPr>
        <w:t>References</w:t>
      </w:r>
    </w:p>
    <w:p w14:paraId="124273A8" w14:textId="77777777" w:rsidR="00327F2D" w:rsidRDefault="00EB6F36" w:rsidP="00C46111">
      <w:pPr>
        <w:rPr>
          <w:rFonts w:ascii="Arial" w:hAnsi="Arial" w:cs="Arial"/>
          <w:sz w:val="24"/>
          <w:szCs w:val="24"/>
        </w:rPr>
      </w:pPr>
      <w:r>
        <w:rPr>
          <w:rFonts w:ascii="Arial" w:hAnsi="Arial" w:cs="Arial"/>
          <w:sz w:val="24"/>
          <w:szCs w:val="24"/>
        </w:rPr>
        <w:t xml:space="preserve">   </w:t>
      </w:r>
    </w:p>
    <w:p w14:paraId="02397D77" w14:textId="77777777" w:rsidR="008C183E" w:rsidRPr="008C183E" w:rsidRDefault="008C183E" w:rsidP="008C183E">
      <w:pPr>
        <w:rPr>
          <w:rFonts w:ascii="Arial" w:hAnsi="Arial" w:cs="Arial"/>
          <w:sz w:val="24"/>
          <w:szCs w:val="24"/>
        </w:rPr>
      </w:pPr>
      <w:r w:rsidRPr="008C183E">
        <w:rPr>
          <w:rFonts w:ascii="Arial" w:hAnsi="Arial" w:cs="Arial"/>
          <w:sz w:val="24"/>
          <w:szCs w:val="24"/>
        </w:rPr>
        <w:t>Age UK (2024) You are not alone in feeling lonely: Parliamentary briefing on loneliness in later life. Available at: https://www.ageuk.org.uk/siteassets/documents/reports-and-publications/reports-and-briefings/loneliness/you-are-not-alone-in-feeling-lonely---parliamentary-briefing-.pdf (Accessed: 12 October 2026).</w:t>
      </w:r>
    </w:p>
    <w:p w14:paraId="728EFD51" w14:textId="77777777" w:rsidR="008C183E" w:rsidRPr="008C183E" w:rsidRDefault="008C183E" w:rsidP="008C183E">
      <w:pPr>
        <w:rPr>
          <w:rFonts w:ascii="Arial" w:hAnsi="Arial" w:cs="Arial"/>
          <w:sz w:val="24"/>
          <w:szCs w:val="24"/>
        </w:rPr>
      </w:pPr>
    </w:p>
    <w:p w14:paraId="72990A61" w14:textId="77777777" w:rsidR="008C183E" w:rsidRPr="008C183E" w:rsidRDefault="008C183E" w:rsidP="008C183E">
      <w:pPr>
        <w:rPr>
          <w:rFonts w:ascii="Arial" w:hAnsi="Arial" w:cs="Arial"/>
          <w:sz w:val="24"/>
          <w:szCs w:val="24"/>
        </w:rPr>
      </w:pPr>
      <w:r w:rsidRPr="008C183E">
        <w:rPr>
          <w:rFonts w:ascii="Arial" w:hAnsi="Arial" w:cs="Arial"/>
          <w:sz w:val="24"/>
          <w:szCs w:val="24"/>
        </w:rPr>
        <w:t>Department for Culture, Media and Sport (DCMS) (2018) A connected society: A strategy for tackling loneliness. Available at: https://www.gov.uk/government/publications/a-connected-society-a-strategy-for-tackling-loneliness (Accessed: 12 October 2026).</w:t>
      </w:r>
    </w:p>
    <w:p w14:paraId="7430290A" w14:textId="77777777" w:rsidR="008C183E" w:rsidRPr="008C183E" w:rsidRDefault="008C183E" w:rsidP="008C183E">
      <w:pPr>
        <w:rPr>
          <w:rFonts w:ascii="Arial" w:hAnsi="Arial" w:cs="Arial"/>
          <w:sz w:val="24"/>
          <w:szCs w:val="24"/>
        </w:rPr>
      </w:pPr>
    </w:p>
    <w:p w14:paraId="4A414BDF" w14:textId="76A363EF" w:rsidR="00327F2D" w:rsidRDefault="008C183E" w:rsidP="00C46111">
      <w:pPr>
        <w:rPr>
          <w:rFonts w:ascii="Arial" w:hAnsi="Arial" w:cs="Arial"/>
          <w:sz w:val="24"/>
          <w:szCs w:val="24"/>
        </w:rPr>
      </w:pPr>
      <w:r w:rsidRPr="008C183E">
        <w:rPr>
          <w:rFonts w:ascii="Arial" w:hAnsi="Arial" w:cs="Arial"/>
          <w:sz w:val="24"/>
          <w:szCs w:val="24"/>
        </w:rPr>
        <w:t>Department for Culture, Media and Sport (DCMS) (2023) Tackling loneliness evidence review: Main report. Available at: https://www.gov.uk/government/publications/tackling-loneliness-evidence-review/tackling-loneliness-evidence-review-full-report (Accessed: 12 October 2026).</w:t>
      </w:r>
    </w:p>
    <w:p w14:paraId="4FB433FF" w14:textId="77777777" w:rsidR="00327F2D" w:rsidRDefault="00327F2D" w:rsidP="00C46111">
      <w:pPr>
        <w:rPr>
          <w:rFonts w:ascii="Arial" w:hAnsi="Arial" w:cs="Arial"/>
          <w:sz w:val="24"/>
          <w:szCs w:val="24"/>
        </w:rPr>
      </w:pPr>
    </w:p>
    <w:p w14:paraId="12ACB74D" w14:textId="77777777" w:rsidR="008C183E" w:rsidRDefault="008C183E" w:rsidP="00C46111">
      <w:pPr>
        <w:rPr>
          <w:rFonts w:ascii="Arial" w:hAnsi="Arial" w:cs="Arial"/>
          <w:sz w:val="24"/>
          <w:szCs w:val="24"/>
        </w:rPr>
      </w:pPr>
    </w:p>
    <w:p w14:paraId="364E780A" w14:textId="32737719"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56BFDC50" w:rsidR="00EB6F36" w:rsidRPr="00EB6F36" w:rsidRDefault="00A07575" w:rsidP="00C46111">
      <w:pPr>
        <w:rPr>
          <w:rFonts w:ascii="Arial" w:hAnsi="Arial" w:cs="Arial"/>
          <w:sz w:val="24"/>
          <w:szCs w:val="24"/>
        </w:rPr>
      </w:pPr>
      <w:proofErr w:type="spellStart"/>
      <w:r>
        <w:rPr>
          <w:rFonts w:ascii="Arial" w:eastAsia="Times New Roman" w:hAnsi="Arial" w:cs="Arial"/>
          <w:color w:val="000000"/>
        </w:rPr>
        <w:t>Kharicha</w:t>
      </w:r>
      <w:proofErr w:type="spellEnd"/>
      <w:r>
        <w:rPr>
          <w:rFonts w:ascii="Arial" w:eastAsia="Times New Roman" w:hAnsi="Arial" w:cs="Arial"/>
          <w:color w:val="000000"/>
        </w:rPr>
        <w:t>, K. et al. (2017) ‘What do older people experiencing loneliness think about primary care or community based interventions to reduce loneliness? A qualitative study in England’, Health &amp; Social Care in the Community, 25(6), pp. 1733–1742. Available at:</w:t>
      </w:r>
      <w:r>
        <w:rPr>
          <w:rStyle w:val="apple-converted-space"/>
          <w:rFonts w:ascii="Arial" w:eastAsia="Times New Roman" w:hAnsi="Arial" w:cs="Arial"/>
          <w:color w:val="000000"/>
        </w:rPr>
        <w:t> </w:t>
      </w:r>
      <w:hyperlink r:id="rId15" w:tgtFrame="_blank" w:history="1">
        <w:r>
          <w:rPr>
            <w:rStyle w:val="Hyperlink"/>
            <w:rFonts w:ascii="Arial" w:eastAsia="Times New Roman" w:hAnsi="Arial" w:cs="Arial"/>
            <w:color w:val="4285F4"/>
          </w:rPr>
          <w:t>https://doi.org/10.1111/hsc.12438.</w:t>
        </w:r>
        <w:r>
          <w:rPr>
            <w:rFonts w:ascii="Arial" w:eastAsia="Times New Roman" w:hAnsi="Arial" w:cs="Arial"/>
            <w:color w:val="4285F4"/>
            <w:u w:val="single"/>
          </w:rPr>
          <w:br/>
        </w:r>
        <w:r>
          <w:rPr>
            <w:rFonts w:ascii="Arial" w:eastAsia="Times New Roman" w:hAnsi="Arial" w:cs="Arial"/>
            <w:color w:val="4285F4"/>
            <w:u w:val="single"/>
          </w:rPr>
          <w:br/>
        </w:r>
      </w:hyperlink>
      <w:r>
        <w:rPr>
          <w:rFonts w:ascii="Arial" w:eastAsia="Times New Roman" w:hAnsi="Arial" w:cs="Arial"/>
          <w:color w:val="000000"/>
        </w:rPr>
        <w:t>Li, L. et al. (2024) ‘Has the UK Campaign to End Loneliness Reduced Loneliness and Improved Mental Health in Older Age? A Difference-in-Differences Design’, The American Journal of Geriatric Psychiatry, 32(3), pp. 358–372. Available at:</w:t>
      </w:r>
      <w:r>
        <w:rPr>
          <w:rStyle w:val="apple-converted-space"/>
          <w:rFonts w:ascii="Arial" w:eastAsia="Times New Roman" w:hAnsi="Arial" w:cs="Arial"/>
          <w:color w:val="000000"/>
        </w:rPr>
        <w:t> </w:t>
      </w:r>
      <w:hyperlink r:id="rId16" w:tgtFrame="_blank" w:history="1">
        <w:r>
          <w:rPr>
            <w:rStyle w:val="Hyperlink"/>
            <w:rFonts w:ascii="Arial" w:eastAsia="Times New Roman" w:hAnsi="Arial" w:cs="Arial"/>
            <w:color w:val="4285F4"/>
          </w:rPr>
          <w:t>https://doi.org/10.1016/j.jagp.2023.10.007.</w:t>
        </w:r>
        <w:r>
          <w:rPr>
            <w:rFonts w:ascii="Arial" w:eastAsia="Times New Roman" w:hAnsi="Arial" w:cs="Arial"/>
            <w:color w:val="4285F4"/>
            <w:u w:val="single"/>
          </w:rPr>
          <w:br/>
        </w:r>
        <w:r>
          <w:rPr>
            <w:rFonts w:ascii="Arial" w:eastAsia="Times New Roman" w:hAnsi="Arial" w:cs="Arial"/>
            <w:color w:val="4285F4"/>
            <w:u w:val="single"/>
          </w:rPr>
          <w:br/>
        </w:r>
      </w:hyperlink>
      <w:proofErr w:type="spellStart"/>
      <w:r>
        <w:rPr>
          <w:rFonts w:ascii="Arial" w:eastAsia="Times New Roman" w:hAnsi="Arial" w:cs="Arial"/>
          <w:color w:val="000000"/>
        </w:rPr>
        <w:t>Naughton-Doe</w:t>
      </w:r>
      <w:proofErr w:type="spellEnd"/>
      <w:r>
        <w:rPr>
          <w:rFonts w:ascii="Arial" w:eastAsia="Times New Roman" w:hAnsi="Arial" w:cs="Arial"/>
          <w:color w:val="000000"/>
        </w:rPr>
        <w:t xml:space="preserve">, R. et al. (2024) ‘Ethical issues when interviewing older people about loneliness: reflections and recommendations for an effective methodological approach’, </w:t>
      </w:r>
      <w:proofErr w:type="spellStart"/>
      <w:r>
        <w:rPr>
          <w:rFonts w:ascii="Arial" w:eastAsia="Times New Roman" w:hAnsi="Arial" w:cs="Arial"/>
          <w:color w:val="000000"/>
        </w:rPr>
        <w:t>Ageing</w:t>
      </w:r>
      <w:proofErr w:type="spellEnd"/>
      <w:r>
        <w:rPr>
          <w:rFonts w:ascii="Arial" w:eastAsia="Times New Roman" w:hAnsi="Arial" w:cs="Arial"/>
          <w:color w:val="000000"/>
        </w:rPr>
        <w:t xml:space="preserve"> &amp; Society, 44(7), pp. 1681–1699. Available at:</w:t>
      </w:r>
      <w:r>
        <w:rPr>
          <w:rStyle w:val="apple-converted-space"/>
          <w:rFonts w:ascii="Arial" w:eastAsia="Times New Roman" w:hAnsi="Arial" w:cs="Arial"/>
          <w:color w:val="000000"/>
        </w:rPr>
        <w:t> </w:t>
      </w:r>
      <w:hyperlink r:id="rId17" w:tgtFrame="_blank" w:history="1">
        <w:r>
          <w:rPr>
            <w:rStyle w:val="Hyperlink"/>
            <w:rFonts w:ascii="Arial" w:eastAsia="Times New Roman" w:hAnsi="Arial" w:cs="Arial"/>
            <w:color w:val="4285F4"/>
          </w:rPr>
          <w:t>https://doi.org/10.1017/S0144686X2200099X.</w:t>
        </w:r>
        <w:r>
          <w:rPr>
            <w:rFonts w:ascii="Arial" w:eastAsia="Times New Roman" w:hAnsi="Arial" w:cs="Arial"/>
            <w:color w:val="4285F4"/>
            <w:u w:val="single"/>
          </w:rPr>
          <w:br/>
        </w:r>
        <w:r>
          <w:rPr>
            <w:rFonts w:ascii="Arial" w:eastAsia="Times New Roman" w:hAnsi="Arial" w:cs="Arial"/>
            <w:color w:val="4285F4"/>
            <w:u w:val="single"/>
          </w:rPr>
          <w:br/>
        </w:r>
      </w:hyperlink>
      <w:r>
        <w:rPr>
          <w:rFonts w:ascii="Arial" w:eastAsia="Times New Roman" w:hAnsi="Arial" w:cs="Arial"/>
          <w:color w:val="000000"/>
        </w:rPr>
        <w:t xml:space="preserve">Neves, B.B., Sanders, A. and </w:t>
      </w:r>
      <w:proofErr w:type="spellStart"/>
      <w:r>
        <w:rPr>
          <w:rFonts w:ascii="Arial" w:eastAsia="Times New Roman" w:hAnsi="Arial" w:cs="Arial"/>
          <w:color w:val="000000"/>
        </w:rPr>
        <w:t>Kokanović</w:t>
      </w:r>
      <w:proofErr w:type="spellEnd"/>
      <w:r>
        <w:rPr>
          <w:rFonts w:ascii="Arial" w:eastAsia="Times New Roman" w:hAnsi="Arial" w:cs="Arial"/>
          <w:color w:val="000000"/>
        </w:rPr>
        <w:t>, R. (2019) ‘“It's the worst bloody feeling in the world”: Experiences of loneliness and social isolation among older people living in care homes’, Journal of Aging Studies, 49, pp. 74–84. Available at:</w:t>
      </w:r>
      <w:r>
        <w:rPr>
          <w:rStyle w:val="apple-converted-space"/>
          <w:rFonts w:ascii="Arial" w:eastAsia="Times New Roman" w:hAnsi="Arial" w:cs="Arial"/>
          <w:color w:val="000000"/>
        </w:rPr>
        <w:t> </w:t>
      </w:r>
      <w:hyperlink r:id="rId18" w:tgtFrame="_blank" w:history="1">
        <w:r>
          <w:rPr>
            <w:rStyle w:val="Hyperlink"/>
            <w:rFonts w:ascii="Arial" w:eastAsia="Times New Roman" w:hAnsi="Arial" w:cs="Arial"/>
            <w:color w:val="4285F4"/>
          </w:rPr>
          <w:t>https://doi.org/10.1016/j.jaging.2019.100785.</w:t>
        </w:r>
      </w:hyperlink>
      <w:r>
        <w:rPr>
          <w:rFonts w:ascii="Arial" w:eastAsia="Times New Roman" w:hAnsi="Arial" w:cs="Arial"/>
          <w:color w:val="000000"/>
        </w:rPr>
        <w:t> </w:t>
      </w:r>
    </w:p>
    <w:sectPr w:rsidR="00EB6F36" w:rsidRPr="00EB6F36" w:rsidSect="00C46111">
      <w:headerReference w:type="default" r:id="rId19"/>
      <w:headerReference w:type="first" r:id="rId20"/>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AA3887" w14:textId="77777777" w:rsidR="00C348A8" w:rsidRDefault="00C348A8" w:rsidP="00D210FA">
      <w:pPr>
        <w:spacing w:after="0"/>
      </w:pPr>
      <w:r>
        <w:separator/>
      </w:r>
    </w:p>
  </w:endnote>
  <w:endnote w:type="continuationSeparator" w:id="0">
    <w:p w14:paraId="0342F620" w14:textId="77777777" w:rsidR="00C348A8" w:rsidRDefault="00C348A8"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3B7645" w14:textId="77777777" w:rsidR="00C348A8" w:rsidRDefault="00C348A8" w:rsidP="00D210FA">
      <w:pPr>
        <w:spacing w:after="0"/>
      </w:pPr>
      <w:r>
        <w:separator/>
      </w:r>
    </w:p>
  </w:footnote>
  <w:footnote w:type="continuationSeparator" w:id="0">
    <w:p w14:paraId="0A5C8793" w14:textId="77777777" w:rsidR="00C348A8" w:rsidRDefault="00C348A8"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5"/>
  </w:num>
  <w:num w:numId="4" w16cid:durableId="67852329">
    <w:abstractNumId w:val="6"/>
  </w:num>
  <w:num w:numId="5" w16cid:durableId="825783799">
    <w:abstractNumId w:val="3"/>
  </w:num>
  <w:num w:numId="6" w16cid:durableId="1203637911">
    <w:abstractNumId w:val="2"/>
  </w:num>
  <w:num w:numId="7" w16cid:durableId="139311788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27541"/>
    <w:rsid w:val="00061977"/>
    <w:rsid w:val="0007705A"/>
    <w:rsid w:val="0008782A"/>
    <w:rsid w:val="000A065A"/>
    <w:rsid w:val="000B2DE3"/>
    <w:rsid w:val="000C7D8D"/>
    <w:rsid w:val="001058CD"/>
    <w:rsid w:val="00106FC5"/>
    <w:rsid w:val="00120DEC"/>
    <w:rsid w:val="00123C19"/>
    <w:rsid w:val="00147277"/>
    <w:rsid w:val="0015259D"/>
    <w:rsid w:val="001A3552"/>
    <w:rsid w:val="001C55B6"/>
    <w:rsid w:val="001D6CC4"/>
    <w:rsid w:val="001F5B84"/>
    <w:rsid w:val="00206405"/>
    <w:rsid w:val="00220042"/>
    <w:rsid w:val="00230814"/>
    <w:rsid w:val="00253267"/>
    <w:rsid w:val="00256A29"/>
    <w:rsid w:val="00267F99"/>
    <w:rsid w:val="002806E1"/>
    <w:rsid w:val="002823CD"/>
    <w:rsid w:val="00287787"/>
    <w:rsid w:val="00291685"/>
    <w:rsid w:val="002B0A3D"/>
    <w:rsid w:val="002B6412"/>
    <w:rsid w:val="002C7F23"/>
    <w:rsid w:val="002D2F87"/>
    <w:rsid w:val="002E6346"/>
    <w:rsid w:val="003007A7"/>
    <w:rsid w:val="003257E1"/>
    <w:rsid w:val="00325DEC"/>
    <w:rsid w:val="00327F2D"/>
    <w:rsid w:val="003306E3"/>
    <w:rsid w:val="0033200E"/>
    <w:rsid w:val="00346FFA"/>
    <w:rsid w:val="00363499"/>
    <w:rsid w:val="003A3069"/>
    <w:rsid w:val="003B7D19"/>
    <w:rsid w:val="003C20B5"/>
    <w:rsid w:val="003E545F"/>
    <w:rsid w:val="003F03D2"/>
    <w:rsid w:val="003F1E1A"/>
    <w:rsid w:val="004045E5"/>
    <w:rsid w:val="00405A17"/>
    <w:rsid w:val="00421496"/>
    <w:rsid w:val="00422C27"/>
    <w:rsid w:val="0044367C"/>
    <w:rsid w:val="004642F0"/>
    <w:rsid w:val="004C6524"/>
    <w:rsid w:val="004E4BCC"/>
    <w:rsid w:val="00500564"/>
    <w:rsid w:val="0051102B"/>
    <w:rsid w:val="00522A23"/>
    <w:rsid w:val="00540F7D"/>
    <w:rsid w:val="005838BC"/>
    <w:rsid w:val="005B57E1"/>
    <w:rsid w:val="005E61E0"/>
    <w:rsid w:val="005F0F31"/>
    <w:rsid w:val="006024ED"/>
    <w:rsid w:val="00605135"/>
    <w:rsid w:val="006052E6"/>
    <w:rsid w:val="0061793F"/>
    <w:rsid w:val="0062123A"/>
    <w:rsid w:val="00625F8C"/>
    <w:rsid w:val="00631239"/>
    <w:rsid w:val="006605F8"/>
    <w:rsid w:val="006676A1"/>
    <w:rsid w:val="00672616"/>
    <w:rsid w:val="006833BD"/>
    <w:rsid w:val="006D2642"/>
    <w:rsid w:val="006E2D42"/>
    <w:rsid w:val="006F73A2"/>
    <w:rsid w:val="00720FEE"/>
    <w:rsid w:val="007445F6"/>
    <w:rsid w:val="00764B6F"/>
    <w:rsid w:val="007C7319"/>
    <w:rsid w:val="007D43B3"/>
    <w:rsid w:val="007E33B8"/>
    <w:rsid w:val="007F0240"/>
    <w:rsid w:val="007F20B4"/>
    <w:rsid w:val="007F525E"/>
    <w:rsid w:val="00822116"/>
    <w:rsid w:val="0082695D"/>
    <w:rsid w:val="0083044C"/>
    <w:rsid w:val="0085182D"/>
    <w:rsid w:val="00867E5F"/>
    <w:rsid w:val="008709F5"/>
    <w:rsid w:val="00877A91"/>
    <w:rsid w:val="00884E86"/>
    <w:rsid w:val="00887172"/>
    <w:rsid w:val="008927FF"/>
    <w:rsid w:val="008B0F18"/>
    <w:rsid w:val="008C183E"/>
    <w:rsid w:val="008E3921"/>
    <w:rsid w:val="0090027B"/>
    <w:rsid w:val="00905238"/>
    <w:rsid w:val="00935D96"/>
    <w:rsid w:val="0094702A"/>
    <w:rsid w:val="009636F0"/>
    <w:rsid w:val="00967DAB"/>
    <w:rsid w:val="0098142D"/>
    <w:rsid w:val="00990E76"/>
    <w:rsid w:val="00991A53"/>
    <w:rsid w:val="00996D52"/>
    <w:rsid w:val="00996F4E"/>
    <w:rsid w:val="009F2489"/>
    <w:rsid w:val="009F3CDA"/>
    <w:rsid w:val="009F71FE"/>
    <w:rsid w:val="00A07575"/>
    <w:rsid w:val="00A31F33"/>
    <w:rsid w:val="00A70A62"/>
    <w:rsid w:val="00A71DA8"/>
    <w:rsid w:val="00A80FDC"/>
    <w:rsid w:val="00AB1210"/>
    <w:rsid w:val="00AB770D"/>
    <w:rsid w:val="00AF2088"/>
    <w:rsid w:val="00AF2715"/>
    <w:rsid w:val="00AF5FB0"/>
    <w:rsid w:val="00B0080A"/>
    <w:rsid w:val="00B0538C"/>
    <w:rsid w:val="00B16662"/>
    <w:rsid w:val="00B37AB8"/>
    <w:rsid w:val="00B418DE"/>
    <w:rsid w:val="00B47FE7"/>
    <w:rsid w:val="00B67824"/>
    <w:rsid w:val="00BE15BA"/>
    <w:rsid w:val="00C20ED0"/>
    <w:rsid w:val="00C348A8"/>
    <w:rsid w:val="00C46111"/>
    <w:rsid w:val="00C83332"/>
    <w:rsid w:val="00C92FEA"/>
    <w:rsid w:val="00C95E04"/>
    <w:rsid w:val="00CC0A8F"/>
    <w:rsid w:val="00CC24B6"/>
    <w:rsid w:val="00CD3A64"/>
    <w:rsid w:val="00CE08CD"/>
    <w:rsid w:val="00D01E27"/>
    <w:rsid w:val="00D0664A"/>
    <w:rsid w:val="00D210FA"/>
    <w:rsid w:val="00D22EBA"/>
    <w:rsid w:val="00D30F1D"/>
    <w:rsid w:val="00D40B6C"/>
    <w:rsid w:val="00D57231"/>
    <w:rsid w:val="00D87B48"/>
    <w:rsid w:val="00D91203"/>
    <w:rsid w:val="00D94FD1"/>
    <w:rsid w:val="00D96316"/>
    <w:rsid w:val="00DA0197"/>
    <w:rsid w:val="00E41692"/>
    <w:rsid w:val="00E43061"/>
    <w:rsid w:val="00E51C16"/>
    <w:rsid w:val="00E55D74"/>
    <w:rsid w:val="00E70AAA"/>
    <w:rsid w:val="00E73C7E"/>
    <w:rsid w:val="00E81234"/>
    <w:rsid w:val="00E9037E"/>
    <w:rsid w:val="00EA120D"/>
    <w:rsid w:val="00EA49C3"/>
    <w:rsid w:val="00EB5E14"/>
    <w:rsid w:val="00EB6F36"/>
    <w:rsid w:val="00ED1049"/>
    <w:rsid w:val="00EE19D9"/>
    <w:rsid w:val="00EF26FC"/>
    <w:rsid w:val="00F37523"/>
    <w:rsid w:val="00F50168"/>
    <w:rsid w:val="00F50D34"/>
    <w:rsid w:val="00F61360"/>
    <w:rsid w:val="00FA1AB2"/>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customStyle="1" w:styleId="apple-converted-space">
    <w:name w:val="apple-converted-space"/>
    <w:basedOn w:val="DefaultParagraphFont"/>
    <w:rsid w:val="00A07575"/>
  </w:style>
  <w:style w:type="character" w:styleId="Hyperlink">
    <w:name w:val="Hyperlink"/>
    <w:basedOn w:val="DefaultParagraphFont"/>
    <w:uiPriority w:val="99"/>
    <w:semiHidden/>
    <w:unhideWhenUsed/>
    <w:rsid w:val="00A075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doi.org/10.1016/j.jaging.2019.100785."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doi.org/10.1017/S0144686X2200099X." TargetMode="External"/><Relationship Id="rId2" Type="http://schemas.openxmlformats.org/officeDocument/2006/relationships/customXml" Target="../customXml/item2.xml"/><Relationship Id="rId16" Type="http://schemas.openxmlformats.org/officeDocument/2006/relationships/hyperlink" Target="https://doi.org/10.1016/j.jagp.2023.10.007."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11/hsc.12438."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www.w3.org/2000/xmlns/"/>
    <ds:schemaRef ds:uri="71af3243-3dd4-4a8d-8c0d-dd76da1f02a5"/>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Education%20brochure.dotx</Template>
  <TotalTime>0</TotalTime>
  <Pages>5</Pages>
  <Words>1047</Words>
  <Characters>5969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2026-10-12T15:44:00Z</dcterms:created>
  <dcterms:modified xsi:type="dcterms:W3CDTF">2026-10-12T15:44:00Z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