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rsidR="00631658" w:rsidRDefault="00860015" w:rsidP="00860015">
      <w:pPr>
        <w:jc w:val="center"/>
        <w:rPr>
          <w:u w:val="single"/>
        </w:rPr>
      </w:pPr>
      <w:r>
        <w:rPr>
          <w:u w:val="single"/>
        </w:rPr>
        <w:t>James Forder CLAH 4007: Timeline 1</w:t>
      </w:r>
    </w:p>
    <w:p w:rsidR="00860015" w:rsidRPr="00631658" w:rsidRDefault="00860015" w:rsidP="005D08C0">
      <w:pPr>
        <w:pStyle w:val="ListParagraph"/>
        <w:numPr>
          <w:ilvl w:val="0"/>
          <w:numId w:val="1"/>
        </w:numPr>
        <w:spacing w:line="480" w:lineRule="auto"/>
        <w:rPr>
          <w:b/>
          <w:u w:val="single"/>
        </w:rPr>
      </w:pPr>
      <w:r w:rsidRPr="00860015">
        <w:rPr>
          <w:b/>
        </w:rPr>
        <w:t>Greek Colonisation</w:t>
      </w:r>
      <w:r>
        <w:rPr>
          <w:b/>
        </w:rPr>
        <w:t xml:space="preserve"> (c.</w:t>
      </w:r>
      <w:r w:rsidR="003F3175">
        <w:rPr>
          <w:b/>
        </w:rPr>
        <w:t>800</w:t>
      </w:r>
      <w:r>
        <w:rPr>
          <w:b/>
        </w:rPr>
        <w:t>-</w:t>
      </w:r>
      <w:r w:rsidR="003F3175">
        <w:rPr>
          <w:b/>
        </w:rPr>
        <w:t>600</w:t>
      </w:r>
      <w:r>
        <w:rPr>
          <w:b/>
        </w:rPr>
        <w:t xml:space="preserve"> B.C.): </w:t>
      </w:r>
      <w:r w:rsidR="006212D3">
        <w:t xml:space="preserve">Factions began to emerge in cities, men were driven into exile and founded new cities. Greece eventually became fully settled, and Poleis sent out </w:t>
      </w:r>
      <w:r w:rsidR="006212D3">
        <w:rPr>
          <w:i/>
        </w:rPr>
        <w:t>apoiklai</w:t>
      </w:r>
      <w:r w:rsidR="006212D3">
        <w:t xml:space="preserve"> to settle Ionia, Greek Islands, Sicily and Italy. (Thuc. 1.12) Accounts of colonisation were used for political or personal agendas, such as Thucydides’ desire to demonstrate why the Peloponnesian War was the most important war of the time. </w:t>
      </w:r>
      <w:r w:rsidR="003F3175" w:rsidRPr="003F3175">
        <w:rPr>
          <w:noProof/>
        </w:rPr>
        <w:t>(Wilson 2006</w:t>
      </w:r>
      <w:r w:rsidR="003F3175">
        <w:rPr>
          <w:noProof/>
        </w:rPr>
        <w:t xml:space="preserve">: </w:t>
      </w:r>
      <w:r w:rsidR="003F3175" w:rsidRPr="003F3175">
        <w:rPr>
          <w:noProof/>
        </w:rPr>
        <w:t>31)</w:t>
      </w:r>
      <w:r w:rsidR="003F3175">
        <w:rPr>
          <w:noProof/>
        </w:rPr>
        <w:t xml:space="preserve"> Recognised as an important part of the Greek world and culture, sharing in religious ceremonies of mother-cities </w:t>
      </w:r>
      <w:r w:rsidR="003F3175" w:rsidRPr="00F65642">
        <w:rPr>
          <w:noProof/>
        </w:rPr>
        <w:t>and</w:t>
      </w:r>
      <w:r w:rsidR="003F3175">
        <w:rPr>
          <w:noProof/>
        </w:rPr>
        <w:t xml:space="preserve"> competing on equal terms at panhellenic festivals. </w:t>
      </w:r>
      <w:r w:rsidR="003F3175" w:rsidRPr="003F3175">
        <w:rPr>
          <w:noProof/>
        </w:rPr>
        <w:t>(Dillon &amp; Garland 2013</w:t>
      </w:r>
      <w:r w:rsidR="003F3175">
        <w:rPr>
          <w:noProof/>
        </w:rPr>
        <w:t>:</w:t>
      </w:r>
      <w:r w:rsidR="003F3175" w:rsidRPr="003F3175">
        <w:rPr>
          <w:noProof/>
        </w:rPr>
        <w:t xml:space="preserve"> 45</w:t>
      </w:r>
      <w:r w:rsidR="00631658">
        <w:rPr>
          <w:noProof/>
        </w:rPr>
        <w:t>)</w:t>
      </w:r>
      <w:bookmarkStart w:id="0" w:name="_GoBack"/>
      <w:bookmarkEnd w:id="0"/>
    </w:p>
    <w:p w:rsidR="00631658" w:rsidRPr="00631658" w:rsidRDefault="00631658" w:rsidP="005D08C0">
      <w:pPr>
        <w:pStyle w:val="ListParagraph"/>
        <w:numPr>
          <w:ilvl w:val="0"/>
          <w:numId w:val="1"/>
        </w:numPr>
        <w:spacing w:line="480" w:lineRule="auto"/>
        <w:rPr>
          <w:b/>
        </w:rPr>
      </w:pPr>
      <w:r w:rsidRPr="00631658">
        <w:rPr>
          <w:b/>
        </w:rPr>
        <w:t>Foundation of the Kingdom of Macedon (808 B.C.):</w:t>
      </w:r>
      <w:r w:rsidR="00991736">
        <w:rPr>
          <w:b/>
        </w:rPr>
        <w:t xml:space="preserve"> </w:t>
      </w:r>
      <w:r w:rsidR="00991736">
        <w:t xml:space="preserve">Supposedly </w:t>
      </w:r>
      <w:r w:rsidR="007816C4">
        <w:t>ruled</w:t>
      </w:r>
      <w:r w:rsidR="00991736">
        <w:t xml:space="preserve"> by descendants of Temenus of Argos, claiming descendance from Herakles and Zeus. (Hdt. 8.137) </w:t>
      </w:r>
      <w:r w:rsidR="007816C4">
        <w:t>This myth was used by Alexander I to participate in the Olympic Games. (Errington 1990: 3)</w:t>
      </w:r>
    </w:p>
    <w:p w:rsidR="00D20C55" w:rsidRPr="00803DB8" w:rsidRDefault="00D20C55" w:rsidP="005D08C0">
      <w:pPr>
        <w:pStyle w:val="ListParagraph"/>
        <w:numPr>
          <w:ilvl w:val="0"/>
          <w:numId w:val="1"/>
        </w:numPr>
        <w:spacing w:line="480" w:lineRule="auto"/>
        <w:rPr>
          <w:b/>
        </w:rPr>
      </w:pPr>
      <w:r w:rsidRPr="00D20C55">
        <w:rPr>
          <w:b/>
        </w:rPr>
        <w:t>Foundation of Syracuse (734/3 B.C.):</w:t>
      </w:r>
      <w:r>
        <w:rPr>
          <w:b/>
        </w:rPr>
        <w:t xml:space="preserve"> </w:t>
      </w:r>
      <w:r>
        <w:t>Corinthian colony</w:t>
      </w:r>
      <w:r w:rsidR="00394C94">
        <w:t xml:space="preserve"> in Sicily founded by Archias. (Plut. De. Virt. Mor. 772e-773b)</w:t>
      </w:r>
      <w:r w:rsidR="006549BE">
        <w:t xml:space="preserve"> The main Greek polis in Sicily, a centre of culture. (Pomeroy et. al. 2004: 66) Also founded its own poleis, in the shape of Akrai, Camarina and Casmenae. (Dillon &amp; Garland 2013: 59)</w:t>
      </w:r>
      <w:r w:rsidR="00D20BF1">
        <w:t xml:space="preserve"> Had ambitions to gain hegemony over all of Sicily in the 5</w:t>
      </w:r>
      <w:r w:rsidR="00D20BF1" w:rsidRPr="00D20BF1">
        <w:rPr>
          <w:vertAlign w:val="superscript"/>
        </w:rPr>
        <w:t>th</w:t>
      </w:r>
      <w:r w:rsidR="00D20BF1">
        <w:t xml:space="preserve"> Century. (Hornblower 2002: 53-54)</w:t>
      </w:r>
    </w:p>
    <w:p w:rsidR="00803DB8" w:rsidRPr="00352736" w:rsidRDefault="00803DB8" w:rsidP="005D08C0">
      <w:pPr>
        <w:pStyle w:val="ListParagraph"/>
        <w:numPr>
          <w:ilvl w:val="0"/>
          <w:numId w:val="1"/>
        </w:numPr>
        <w:spacing w:line="480" w:lineRule="auto"/>
        <w:rPr>
          <w:b/>
        </w:rPr>
      </w:pPr>
      <w:r>
        <w:rPr>
          <w:b/>
        </w:rPr>
        <w:t xml:space="preserve">Lelantine War (710-650 B.C.): </w:t>
      </w:r>
      <w:r>
        <w:t>War between Chalcis and E</w:t>
      </w:r>
      <w:r w:rsidR="00FC04B8">
        <w:t>retria. The first conflict in which the Hellenic world was split between the two sides. (Thuc. 1.15) It was fought over the possession of the fertile Lelentos River plain. (Pomeroy et. at. 2004: 88) The historical accounts of the war are likely exaggerated and romanticised, but the war was likely a real event. (Ducrey n.d.)</w:t>
      </w:r>
    </w:p>
    <w:p w:rsidR="00352736" w:rsidRPr="007D1775" w:rsidRDefault="00352736" w:rsidP="005D08C0">
      <w:pPr>
        <w:pStyle w:val="ListParagraph"/>
        <w:numPr>
          <w:ilvl w:val="0"/>
          <w:numId w:val="1"/>
        </w:numPr>
        <w:spacing w:line="480" w:lineRule="auto"/>
      </w:pPr>
      <w:r>
        <w:rPr>
          <w:b/>
        </w:rPr>
        <w:t xml:space="preserve">Archaic Period (700-490 B.C.): </w:t>
      </w:r>
      <w:r w:rsidR="007D1775" w:rsidRPr="007D1775">
        <w:t xml:space="preserve">Notable for the development </w:t>
      </w:r>
      <w:r w:rsidR="007D1775">
        <w:t xml:space="preserve">of black figure pottery. (fig. 1) The Archaic period is in a way pre-history, with no historical writings from </w:t>
      </w:r>
      <w:r w:rsidR="007D1775">
        <w:lastRenderedPageBreak/>
        <w:t xml:space="preserve">the period. (Pomeroy et. al. 2004: 6) </w:t>
      </w:r>
      <w:r w:rsidR="007F40CA">
        <w:t xml:space="preserve">Started with the repopulation of the </w:t>
      </w:r>
      <w:r w:rsidR="00FD3617">
        <w:t>Greek countryside, following the collapse of the Mycenaean society. (Forrest 1986: 14)</w:t>
      </w:r>
    </w:p>
    <w:p w:rsidR="007F31B9" w:rsidRPr="007F31B9" w:rsidRDefault="007F31B9" w:rsidP="005D08C0">
      <w:pPr>
        <w:pStyle w:val="ListParagraph"/>
        <w:numPr>
          <w:ilvl w:val="0"/>
          <w:numId w:val="1"/>
        </w:numPr>
        <w:spacing w:line="480" w:lineRule="auto"/>
      </w:pPr>
      <w:r>
        <w:rPr>
          <w:b/>
        </w:rPr>
        <w:t>Draconian Constitution (late 7</w:t>
      </w:r>
      <w:r w:rsidRPr="007F31B9">
        <w:rPr>
          <w:b/>
          <w:vertAlign w:val="superscript"/>
        </w:rPr>
        <w:t>th</w:t>
      </w:r>
      <w:r>
        <w:rPr>
          <w:b/>
        </w:rPr>
        <w:t xml:space="preserve"> Century B.C.): </w:t>
      </w:r>
      <w:r w:rsidRPr="007F31B9">
        <w:t xml:space="preserve">This constitution </w:t>
      </w:r>
      <w:r>
        <w:t>was written to reduce feuds between aristocratic families. Some reforms include the concept of intentional and unintentional homicide</w:t>
      </w:r>
      <w:r w:rsidR="00EC49CC">
        <w:t xml:space="preserve"> and debt bondage. (Arist. Ath. Pol. 3-4) The laws were extremely severe, with the death penalty for most offences. (Pomeroy et. al 2004: 113) He may have just been clarifying details, rather than writing an entirely new constitution. (Dillon &amp; Garland 2013: 302)</w:t>
      </w:r>
    </w:p>
    <w:p w:rsidR="005B099F" w:rsidRPr="00D20C55" w:rsidRDefault="005B099F" w:rsidP="005D08C0">
      <w:pPr>
        <w:pStyle w:val="ListParagraph"/>
        <w:numPr>
          <w:ilvl w:val="0"/>
          <w:numId w:val="1"/>
        </w:numPr>
        <w:spacing w:line="480" w:lineRule="auto"/>
        <w:rPr>
          <w:b/>
        </w:rPr>
      </w:pPr>
      <w:r>
        <w:rPr>
          <w:b/>
        </w:rPr>
        <w:t>Solon Reforms (early 6</w:t>
      </w:r>
      <w:r w:rsidRPr="005B099F">
        <w:rPr>
          <w:b/>
          <w:vertAlign w:val="superscript"/>
        </w:rPr>
        <w:t>th</w:t>
      </w:r>
      <w:r>
        <w:rPr>
          <w:b/>
        </w:rPr>
        <w:t xml:space="preserve"> </w:t>
      </w:r>
      <w:r w:rsidR="007F31B9">
        <w:rPr>
          <w:b/>
        </w:rPr>
        <w:t>C</w:t>
      </w:r>
      <w:r>
        <w:rPr>
          <w:b/>
        </w:rPr>
        <w:t xml:space="preserve">entury B.C.): </w:t>
      </w:r>
      <w:r>
        <w:t xml:space="preserve">Replaced the laws of Draco, making loans against people’s security illegal. (Arist. Ath. Pol. </w:t>
      </w:r>
      <w:r w:rsidR="007F31B9">
        <w:t>5-13) Draconian laws for homicide were the only laws that remained in use from the period. (Dillon &amp; Garland 2013: 309) Over time, the reforms mitigated the risk of Attica being divided into ‘haves and have-nots’, creating a ‘sliding scale of privilege that contained something for everyone’. (Pomeroy et. al. 2004: 114)</w:t>
      </w:r>
    </w:p>
    <w:p w:rsidR="00337464" w:rsidRPr="009C52E3" w:rsidRDefault="009358E5" w:rsidP="005D08C0">
      <w:pPr>
        <w:pStyle w:val="ListParagraph"/>
        <w:numPr>
          <w:ilvl w:val="0"/>
          <w:numId w:val="1"/>
        </w:numPr>
        <w:spacing w:line="480" w:lineRule="auto"/>
        <w:rPr>
          <w:b/>
          <w:u w:val="single"/>
        </w:rPr>
      </w:pPr>
      <w:r>
        <w:rPr>
          <w:b/>
        </w:rPr>
        <w:t>Classical Period (5</w:t>
      </w:r>
      <w:r w:rsidRPr="009358E5">
        <w:rPr>
          <w:b/>
          <w:vertAlign w:val="superscript"/>
        </w:rPr>
        <w:t>th</w:t>
      </w:r>
      <w:r>
        <w:rPr>
          <w:b/>
        </w:rPr>
        <w:t>-4</w:t>
      </w:r>
      <w:r w:rsidRPr="009358E5">
        <w:rPr>
          <w:b/>
          <w:vertAlign w:val="superscript"/>
        </w:rPr>
        <w:t>th</w:t>
      </w:r>
      <w:r>
        <w:rPr>
          <w:b/>
        </w:rPr>
        <w:t xml:space="preserve"> Century B.C.)</w:t>
      </w:r>
      <w:r w:rsidR="00337464">
        <w:rPr>
          <w:b/>
        </w:rPr>
        <w:t xml:space="preserve">: </w:t>
      </w:r>
      <w:r w:rsidR="00337464">
        <w:t xml:space="preserve">Notable for the development of Red Figure vase paintings (fig. </w:t>
      </w:r>
      <w:r w:rsidR="007D1775">
        <w:t>2</w:t>
      </w:r>
      <w:r w:rsidR="00337464">
        <w:t>), “Both an icon and an enigma”, architectural styles are a reference point for modern western architecture</w:t>
      </w:r>
      <w:r w:rsidR="00F65642">
        <w:t xml:space="preserve">. </w:t>
      </w:r>
      <w:r w:rsidR="00F65642" w:rsidRPr="00F65642">
        <w:rPr>
          <w:noProof/>
        </w:rPr>
        <w:t>(Osborne 2000</w:t>
      </w:r>
      <w:r w:rsidR="00F65642">
        <w:rPr>
          <w:noProof/>
        </w:rPr>
        <w:t>:</w:t>
      </w:r>
      <w:r w:rsidR="00F65642" w:rsidRPr="00F65642">
        <w:rPr>
          <w:noProof/>
        </w:rPr>
        <w:t xml:space="preserve"> 1)</w:t>
      </w:r>
      <w:r w:rsidR="00F65642">
        <w:rPr>
          <w:noProof/>
        </w:rPr>
        <w:t xml:space="preserve"> The sources are fuller than any other period in ancient Greece, art and culture flourished, particularly in Athens. </w:t>
      </w:r>
      <w:r w:rsidR="00F65642" w:rsidRPr="00F65642">
        <w:rPr>
          <w:noProof/>
        </w:rPr>
        <w:t>(Pomeroy, et al</w:t>
      </w:r>
      <w:r w:rsidR="00F65642">
        <w:rPr>
          <w:noProof/>
        </w:rPr>
        <w:t>.</w:t>
      </w:r>
      <w:r w:rsidR="00F65642" w:rsidRPr="00F65642">
        <w:rPr>
          <w:noProof/>
        </w:rPr>
        <w:t xml:space="preserve"> 2004</w:t>
      </w:r>
      <w:r w:rsidR="00F65642">
        <w:rPr>
          <w:noProof/>
        </w:rPr>
        <w:t xml:space="preserve">: </w:t>
      </w:r>
      <w:r w:rsidR="00F65642" w:rsidRPr="00F65642">
        <w:rPr>
          <w:noProof/>
        </w:rPr>
        <w:t>6-7)</w:t>
      </w:r>
    </w:p>
    <w:p w:rsidR="00675418" w:rsidRPr="00675418" w:rsidRDefault="009C52E3" w:rsidP="005D08C0">
      <w:pPr>
        <w:pStyle w:val="ListParagraph"/>
        <w:numPr>
          <w:ilvl w:val="0"/>
          <w:numId w:val="1"/>
        </w:numPr>
        <w:spacing w:line="480" w:lineRule="auto"/>
        <w:rPr>
          <w:b/>
          <w:u w:val="single"/>
        </w:rPr>
      </w:pPr>
      <w:r>
        <w:rPr>
          <w:b/>
        </w:rPr>
        <w:t xml:space="preserve">Hippias, son of Peisistratus (c. 528-490 B.C.): </w:t>
      </w:r>
      <w:r>
        <w:t>Tyrant of Athens, possibly ruled alone</w:t>
      </w:r>
      <w:r w:rsidR="007E4948">
        <w:t>,</w:t>
      </w:r>
      <w:r>
        <w:t xml:space="preserve"> (Thuc. 1.20) or joint ruled with his brother </w:t>
      </w:r>
      <w:r w:rsidR="007E4948">
        <w:t>Hipparchus. (Aristot. Ath. Pol. 17-18) Adorned their court with celebrated writers. (Pomeroy et. al. 2004: 120) Deposed by Kleomenes after besieging the acropolis in 510/11. (Dillon &amp; Garland 2013: 256)</w:t>
      </w:r>
    </w:p>
    <w:p w:rsidR="00954240" w:rsidRPr="004E232B" w:rsidRDefault="00954240" w:rsidP="005D08C0">
      <w:pPr>
        <w:pStyle w:val="ListParagraph"/>
        <w:numPr>
          <w:ilvl w:val="0"/>
          <w:numId w:val="1"/>
        </w:numPr>
        <w:spacing w:line="480" w:lineRule="auto"/>
        <w:rPr>
          <w:b/>
          <w:u w:val="single"/>
        </w:rPr>
      </w:pPr>
      <w:r>
        <w:rPr>
          <w:b/>
        </w:rPr>
        <w:t xml:space="preserve">Darius I (522-486 B.C.): </w:t>
      </w:r>
      <w:r>
        <w:t xml:space="preserve">King of Persia. Ambitious man who wanted to leave a legacy for future generations. (Hdt. 4.166) </w:t>
      </w:r>
      <w:r w:rsidR="004E232B">
        <w:t xml:space="preserve">Was fond of Greeks, apart from those who </w:t>
      </w:r>
      <w:r w:rsidR="004E232B">
        <w:lastRenderedPageBreak/>
        <w:t>defeated him. (Forrest 1986: 36) Sent messengers to mainland Greece demanding ‘earth and water’ or expect a war or reprisal. (Cankwell 2003: 101)</w:t>
      </w:r>
    </w:p>
    <w:p w:rsidR="004E232B" w:rsidRPr="001B6AE1" w:rsidRDefault="004E232B" w:rsidP="005D08C0">
      <w:pPr>
        <w:pStyle w:val="ListParagraph"/>
        <w:numPr>
          <w:ilvl w:val="0"/>
          <w:numId w:val="1"/>
        </w:numPr>
        <w:spacing w:line="480" w:lineRule="auto"/>
        <w:rPr>
          <w:b/>
          <w:u w:val="single"/>
        </w:rPr>
      </w:pPr>
      <w:r>
        <w:rPr>
          <w:b/>
        </w:rPr>
        <w:t xml:space="preserve">Xerxes (519-466 B.C.): </w:t>
      </w:r>
      <w:r>
        <w:t xml:space="preserve">Successor to Darius, appointed before Darius’ attempt to attack Egypt and Athens. (Hdt. 7.2-3) Wanted to finish what his father started by successfully invading Greece. (Dillon &amp; Garland 2013: 389) </w:t>
      </w:r>
      <w:r w:rsidR="009C52E3">
        <w:t>Also sent the ‘earth and water’ demands, which many poleis, such as Thebes and Thessaly accepted. (Pomeroy et. al. 2004: 132)</w:t>
      </w:r>
    </w:p>
    <w:p w:rsidR="001B6AE1" w:rsidRPr="001B6AE1" w:rsidRDefault="001B6AE1" w:rsidP="005D08C0">
      <w:pPr>
        <w:pStyle w:val="ListParagraph"/>
        <w:numPr>
          <w:ilvl w:val="0"/>
          <w:numId w:val="1"/>
        </w:numPr>
        <w:spacing w:line="480" w:lineRule="auto"/>
        <w:rPr>
          <w:b/>
        </w:rPr>
      </w:pPr>
      <w:r w:rsidRPr="001B6AE1">
        <w:rPr>
          <w:b/>
        </w:rPr>
        <w:t>Miltiades the Younger (c.550-489 B.C.):</w:t>
      </w:r>
      <w:r>
        <w:rPr>
          <w:b/>
        </w:rPr>
        <w:t xml:space="preserve"> </w:t>
      </w:r>
      <w:r>
        <w:t xml:space="preserve">One of the main generals in the Battle of Marathon, argued in favour of a swift attack. (Hdt. 6.109) Died of gangrene in prison after his failed attempt at </w:t>
      </w:r>
      <w:r w:rsidR="006E3C0B">
        <w:t>taking over the island of Paros. (Dillon &amp; Garland 2013: 112) His son Cimon also eventually became a military commander. (Martin 1996: 108)</w:t>
      </w:r>
    </w:p>
    <w:p w:rsidR="00E356E4" w:rsidRPr="00675418" w:rsidRDefault="00BD777C" w:rsidP="005D08C0">
      <w:pPr>
        <w:pStyle w:val="ListParagraph"/>
        <w:numPr>
          <w:ilvl w:val="0"/>
          <w:numId w:val="1"/>
        </w:numPr>
        <w:spacing w:line="480" w:lineRule="auto"/>
        <w:rPr>
          <w:b/>
          <w:u w:val="single"/>
        </w:rPr>
      </w:pPr>
      <w:r>
        <w:rPr>
          <w:b/>
        </w:rPr>
        <w:t xml:space="preserve">Cleisthenes Reforms (508/7 B.C.): </w:t>
      </w:r>
      <w:r w:rsidR="0044031E">
        <w:t>Offered citizen rights to the masses, established direct democratic rule over Athens, divided the population into ten tribes, rather than four, increased the size of the council and divided the polis into thirty portions. (Aristot. Ath. Pol. 20-21). Supposedly had a low opinion of others, especially Ionians. Reforms were to differ Athens from Ionian tribes. (Hdt. 5.69).</w:t>
      </w:r>
      <w:r w:rsidR="008231C5">
        <w:t xml:space="preserve"> Herodotus’ interpretation is considered a misunderstanding of their nature. </w:t>
      </w:r>
      <w:r w:rsidR="008231C5" w:rsidRPr="008231C5">
        <w:rPr>
          <w:noProof/>
        </w:rPr>
        <w:t>(Dillon &amp; Garland 2013</w:t>
      </w:r>
      <w:r w:rsidR="008231C5">
        <w:rPr>
          <w:noProof/>
        </w:rPr>
        <w:t>:</w:t>
      </w:r>
      <w:r w:rsidR="008231C5" w:rsidRPr="008231C5">
        <w:rPr>
          <w:noProof/>
        </w:rPr>
        <w:t xml:space="preserve"> 267)</w:t>
      </w:r>
      <w:r w:rsidR="00695D25">
        <w:t xml:space="preserve"> Similar reforms in Corinth, the work of oligarchs, may suggest that the reforms were not particularly democratic in reality. </w:t>
      </w:r>
      <w:r w:rsidR="00695D25" w:rsidRPr="00695D25">
        <w:rPr>
          <w:noProof/>
        </w:rPr>
        <w:t>(Hornblower 2002</w:t>
      </w:r>
      <w:r w:rsidR="00695D25">
        <w:rPr>
          <w:noProof/>
        </w:rPr>
        <w:t>:</w:t>
      </w:r>
      <w:r w:rsidR="00695D25" w:rsidRPr="00695D25">
        <w:rPr>
          <w:noProof/>
        </w:rPr>
        <w:t xml:space="preserve"> 114)</w:t>
      </w:r>
    </w:p>
    <w:p w:rsidR="00675418" w:rsidRPr="00457621" w:rsidRDefault="00675418" w:rsidP="005D08C0">
      <w:pPr>
        <w:pStyle w:val="ListParagraph"/>
        <w:numPr>
          <w:ilvl w:val="0"/>
          <w:numId w:val="1"/>
        </w:numPr>
        <w:spacing w:line="480" w:lineRule="auto"/>
        <w:rPr>
          <w:b/>
        </w:rPr>
      </w:pPr>
      <w:r w:rsidRPr="00675418">
        <w:rPr>
          <w:b/>
        </w:rPr>
        <w:t>Themistokles (c. 524-459 B.C.):</w:t>
      </w:r>
      <w:r>
        <w:rPr>
          <w:b/>
        </w:rPr>
        <w:t xml:space="preserve"> </w:t>
      </w:r>
      <w:r>
        <w:t xml:space="preserve">Athenian politician and general, fought in the Battle of Marathon, (Plut. Arist. </w:t>
      </w:r>
      <w:r w:rsidR="005A5299">
        <w:t xml:space="preserve">5.3) supposedly the crowd at an Olympic Games spent the whole day staring at and admiring him. (Plut. Them. 17) Was the man most responsible for keeping the Battle of Salamis in confined waters, which ultimately led </w:t>
      </w:r>
      <w:r w:rsidR="005A5299">
        <w:lastRenderedPageBreak/>
        <w:t>to victory. (Cankwell 2005: 101) Was hostile towards the aristocratic elements of Athenian politics. (Pomeroy et. al. 2004: 131)</w:t>
      </w:r>
    </w:p>
    <w:p w:rsidR="00457621" w:rsidRPr="00675418" w:rsidRDefault="00457621" w:rsidP="005D08C0">
      <w:pPr>
        <w:pStyle w:val="ListParagraph"/>
        <w:numPr>
          <w:ilvl w:val="0"/>
          <w:numId w:val="1"/>
        </w:numPr>
        <w:spacing w:line="480" w:lineRule="auto"/>
        <w:rPr>
          <w:b/>
        </w:rPr>
      </w:pPr>
      <w:r>
        <w:rPr>
          <w:b/>
        </w:rPr>
        <w:t xml:space="preserve">Revolt of Aristagoras (499 B.C.): </w:t>
      </w:r>
      <w:r>
        <w:t>Aristagoras, leader of Miletus, met with his supporters and encouraged them to revolt against Darius. (Hdt. 5.36) Aristagoras relinquished his position as tyrant and established a democracy in Miletus. (Dillon &amp; Garland 2013: 375) The failure of the revolt is commonly associated with a lack of unity and to treachery. (Cankwell 2005: 63)</w:t>
      </w:r>
    </w:p>
    <w:p w:rsidR="00C47F32" w:rsidRPr="006F166E" w:rsidRDefault="00E356E4" w:rsidP="005D08C0">
      <w:pPr>
        <w:pStyle w:val="ListParagraph"/>
        <w:numPr>
          <w:ilvl w:val="0"/>
          <w:numId w:val="1"/>
        </w:numPr>
        <w:spacing w:line="480" w:lineRule="auto"/>
        <w:rPr>
          <w:b/>
          <w:u w:val="single"/>
        </w:rPr>
      </w:pPr>
      <w:r>
        <w:rPr>
          <w:b/>
        </w:rPr>
        <w:t>Battle of Marathon (490 B.</w:t>
      </w:r>
      <w:r>
        <w:rPr>
          <w:noProof/>
        </w:rPr>
        <w:t>C</w:t>
      </w:r>
      <w:r w:rsidRPr="00A51C58">
        <w:rPr>
          <w:b/>
          <w:noProof/>
        </w:rPr>
        <w:t>.):</w:t>
      </w:r>
      <w:r>
        <w:rPr>
          <w:noProof/>
        </w:rPr>
        <w:t xml:space="preserve"> </w:t>
      </w:r>
      <w:r w:rsidR="00A51C58">
        <w:rPr>
          <w:noProof/>
        </w:rPr>
        <w:t xml:space="preserve"> Culmination of</w:t>
      </w:r>
      <w:r w:rsidR="00695D25">
        <w:rPr>
          <w:noProof/>
        </w:rPr>
        <w:t xml:space="preserve"> </w:t>
      </w:r>
      <w:r w:rsidR="00A51C58">
        <w:rPr>
          <w:noProof/>
        </w:rPr>
        <w:t>the first Persian invasion of Greece. The Athenian army was arranged in the same length as the Persian, with the strongest on the flanks and weakest in the centre. They were the first Greeks to charge enemy forces at a run. Fighting was drawn out, the centre was defeated by the Persians, the flanks defeated the Persians, creating an encirclement, driving Persian forces to the sea. (Hdt. 6.111-113) The Persians’ aim was to incorporate mainland Greece into the empire, the Persian cavalry makes no appearance in Herodotus’ account of the battle</w:t>
      </w:r>
      <w:r w:rsidR="00C47F32">
        <w:rPr>
          <w:noProof/>
        </w:rPr>
        <w:t xml:space="preserve">, withdrawal may have started before the battle started. </w:t>
      </w:r>
      <w:r w:rsidR="00C47F32" w:rsidRPr="00C47F32">
        <w:rPr>
          <w:noProof/>
        </w:rPr>
        <w:t>(Cankwell 2005</w:t>
      </w:r>
      <w:r w:rsidR="00C47F32">
        <w:rPr>
          <w:noProof/>
        </w:rPr>
        <w:t>: 87-89</w:t>
      </w:r>
      <w:r w:rsidR="00C47F32" w:rsidRPr="00C47F32">
        <w:rPr>
          <w:noProof/>
        </w:rPr>
        <w:t>)</w:t>
      </w:r>
      <w:r w:rsidR="00C47F32">
        <w:rPr>
          <w:noProof/>
        </w:rPr>
        <w:t xml:space="preserve"> Aftermath led to a change in political leadership, ambitious men shifted their interest from the position of archon, to that of the strategoi, and ostracism was used for the first time. </w:t>
      </w:r>
      <w:r w:rsidR="00C47F32" w:rsidRPr="00C47F32">
        <w:rPr>
          <w:noProof/>
        </w:rPr>
        <w:t>(Pomeroy, et al. 2004</w:t>
      </w:r>
      <w:r w:rsidR="00C47F32">
        <w:rPr>
          <w:noProof/>
        </w:rPr>
        <w:t>: 131-132</w:t>
      </w:r>
      <w:r w:rsidR="00C47F32" w:rsidRPr="00C47F32">
        <w:rPr>
          <w:noProof/>
        </w:rPr>
        <w:t>)</w:t>
      </w:r>
    </w:p>
    <w:p w:rsidR="006F166E" w:rsidRPr="00CD6F99" w:rsidRDefault="006F166E" w:rsidP="005D08C0">
      <w:pPr>
        <w:pStyle w:val="ListParagraph"/>
        <w:numPr>
          <w:ilvl w:val="0"/>
          <w:numId w:val="1"/>
        </w:numPr>
        <w:spacing w:line="480" w:lineRule="auto"/>
        <w:rPr>
          <w:b/>
          <w:u w:val="single"/>
        </w:rPr>
      </w:pPr>
      <w:r>
        <w:rPr>
          <w:b/>
        </w:rPr>
        <w:t xml:space="preserve">First Ostracism (488 B.C.): </w:t>
      </w:r>
      <w:r w:rsidR="00CC5C0F">
        <w:t xml:space="preserve">Two years after the Battle of Marathon, Hipparchus, son of a former tyrant was ostracised. (Aristot. Ath. Pol. 22) May not have been the first attempted, but rather the first successful ostracism. </w:t>
      </w:r>
      <w:r w:rsidR="00CC5C0F" w:rsidRPr="00CC5C0F">
        <w:rPr>
          <w:noProof/>
        </w:rPr>
        <w:t>(Pomeroy, et al. 2004</w:t>
      </w:r>
      <w:r w:rsidR="00CC5C0F">
        <w:rPr>
          <w:noProof/>
        </w:rPr>
        <w:t>: 132</w:t>
      </w:r>
      <w:r w:rsidR="00CC5C0F" w:rsidRPr="00CC5C0F">
        <w:rPr>
          <w:noProof/>
        </w:rPr>
        <w:t>)</w:t>
      </w:r>
      <w:r w:rsidR="00CC5C0F">
        <w:rPr>
          <w:noProof/>
        </w:rPr>
        <w:t xml:space="preserve"> </w:t>
      </w:r>
      <w:r w:rsidR="00AD7F44">
        <w:rPr>
          <w:noProof/>
        </w:rPr>
        <w:t xml:space="preserve">Names were written down on </w:t>
      </w:r>
      <w:r w:rsidR="00AD7F44">
        <w:rPr>
          <w:i/>
          <w:noProof/>
        </w:rPr>
        <w:t>Ostraka,</w:t>
      </w:r>
      <w:r w:rsidR="00AD7F44">
        <w:rPr>
          <w:noProof/>
        </w:rPr>
        <w:t xml:space="preserve"> (fig. </w:t>
      </w:r>
      <w:r w:rsidR="007D1775">
        <w:rPr>
          <w:noProof/>
        </w:rPr>
        <w:t>3</w:t>
      </w:r>
      <w:r w:rsidR="00AD7F44">
        <w:rPr>
          <w:noProof/>
        </w:rPr>
        <w:t xml:space="preserve">) requiring at least 6,000 votes to enact. (Plut. Arist. 7.5) </w:t>
      </w:r>
      <w:r w:rsidR="00377423">
        <w:rPr>
          <w:noProof/>
        </w:rPr>
        <w:t xml:space="preserve">A result of increased political confidence in Athens. </w:t>
      </w:r>
      <w:r w:rsidR="00377423" w:rsidRPr="00377423">
        <w:rPr>
          <w:noProof/>
        </w:rPr>
        <w:t>(Forrest 1986</w:t>
      </w:r>
      <w:r w:rsidR="00377423">
        <w:rPr>
          <w:noProof/>
        </w:rPr>
        <w:t>: 35</w:t>
      </w:r>
      <w:r w:rsidR="00377423" w:rsidRPr="00377423">
        <w:rPr>
          <w:noProof/>
        </w:rPr>
        <w:t>)</w:t>
      </w:r>
    </w:p>
    <w:p w:rsidR="00CD6F99" w:rsidRPr="005D7ADE" w:rsidRDefault="00CD6F99" w:rsidP="005D08C0">
      <w:pPr>
        <w:pStyle w:val="ListParagraph"/>
        <w:numPr>
          <w:ilvl w:val="0"/>
          <w:numId w:val="1"/>
        </w:numPr>
        <w:spacing w:line="480" w:lineRule="auto"/>
        <w:rPr>
          <w:b/>
          <w:u w:val="single"/>
        </w:rPr>
      </w:pPr>
      <w:r>
        <w:rPr>
          <w:b/>
        </w:rPr>
        <w:t>Battle of Thermopylae (480 B.C.):</w:t>
      </w:r>
      <w:r>
        <w:t xml:space="preserve"> 300 Spartans, 500 Tegeans, 500 Mantineans, 1,120 Arcadians, 400 Corinthians, 200 from Phleious, 80 Mycenaeans, 700 Thespians </w:t>
      </w:r>
      <w:r>
        <w:lastRenderedPageBreak/>
        <w:t xml:space="preserve">and 400 Thebans, along with the Athenian and Aeginetan navies, </w:t>
      </w:r>
      <w:r w:rsidR="00B82BD9">
        <w:t xml:space="preserve">faced off against the Persian army at the pass of Thermopylae. Xerxes expected a quick victory, however the Greek forces held out for days, including an attack from Xerxes’ </w:t>
      </w:r>
      <w:r w:rsidR="00B82BD9">
        <w:rPr>
          <w:i/>
        </w:rPr>
        <w:t>Immortals</w:t>
      </w:r>
      <w:r w:rsidR="00B82BD9">
        <w:t xml:space="preserve">, due to the narrow passage restricting the Persians’ movements, negating their numerical advantage, only gaining victory when Ephialtes told them about a mountain path around the pass, </w:t>
      </w:r>
      <w:r w:rsidR="00133A5A">
        <w:t xml:space="preserve">the Greeks guarding the path were unprepared and scattered, allowing them to surround the remaining Greek forces. (Hdt. 7.199-226) </w:t>
      </w:r>
      <w:r w:rsidR="000E0B24">
        <w:t xml:space="preserve">The discovery of the mountain pass was a result of luck; the way into the rest of Greece lay open following victory, however Xerxes, thinking the satrapy was secured, concentrated on defeating remaining Greek forces behind the pass. </w:t>
      </w:r>
      <w:r w:rsidR="000E0B24" w:rsidRPr="000E0B24">
        <w:rPr>
          <w:noProof/>
        </w:rPr>
        <w:t>(Cankwell 2005</w:t>
      </w:r>
      <w:r w:rsidR="000E0B24">
        <w:rPr>
          <w:noProof/>
        </w:rPr>
        <w:t>: 103-106</w:t>
      </w:r>
      <w:r w:rsidR="000E0B24" w:rsidRPr="000E0B24">
        <w:rPr>
          <w:noProof/>
        </w:rPr>
        <w:t>)</w:t>
      </w:r>
      <w:r w:rsidR="000E0B24">
        <w:rPr>
          <w:noProof/>
        </w:rPr>
        <w:t xml:space="preserve"> </w:t>
      </w:r>
      <w:r w:rsidR="0000521D">
        <w:rPr>
          <w:noProof/>
        </w:rPr>
        <w:t xml:space="preserve">Every member of the Greek alliance, except those who were ordered to leave, were killed in the last stand. </w:t>
      </w:r>
      <w:r w:rsidR="0000521D" w:rsidRPr="0000521D">
        <w:rPr>
          <w:noProof/>
        </w:rPr>
        <w:t>(Dillon &amp; Garland 2013</w:t>
      </w:r>
      <w:r w:rsidR="0000521D">
        <w:rPr>
          <w:noProof/>
        </w:rPr>
        <w:t>: 397</w:t>
      </w:r>
      <w:r w:rsidR="0000521D" w:rsidRPr="0000521D">
        <w:rPr>
          <w:noProof/>
        </w:rPr>
        <w:t>)</w:t>
      </w:r>
      <w:r w:rsidR="0000521D">
        <w:rPr>
          <w:noProof/>
        </w:rPr>
        <w:t xml:space="preserve"> Notably portrayed in a very stylised, fantastical fashion in the film </w:t>
      </w:r>
      <w:r w:rsidR="0000521D">
        <w:rPr>
          <w:i/>
          <w:noProof/>
        </w:rPr>
        <w:t>300.</w:t>
      </w:r>
      <w:r w:rsidR="0000521D">
        <w:rPr>
          <w:noProof/>
        </w:rPr>
        <w:t xml:space="preserve"> </w:t>
      </w:r>
      <w:sdt>
        <w:sdtPr>
          <w:rPr>
            <w:noProof/>
          </w:rPr>
          <w:id w:val="-1576190089"/>
          <w:citation/>
        </w:sdtPr>
        <w:sdtEndPr/>
        <w:sdtContent>
          <w:r w:rsidR="0000521D">
            <w:rPr>
              <w:noProof/>
            </w:rPr>
            <w:fldChar w:fldCharType="begin"/>
          </w:r>
          <w:r w:rsidR="0000521D">
            <w:rPr>
              <w:noProof/>
            </w:rPr>
            <w:instrText xml:space="preserve"> CITATION Zac06 \l 2057 </w:instrText>
          </w:r>
          <w:r w:rsidR="0000521D">
            <w:rPr>
              <w:noProof/>
            </w:rPr>
            <w:fldChar w:fldCharType="separate"/>
          </w:r>
          <w:r w:rsidR="001B7BEE" w:rsidRPr="001B7BEE">
            <w:rPr>
              <w:noProof/>
            </w:rPr>
            <w:t>(300, 2006)</w:t>
          </w:r>
          <w:r w:rsidR="0000521D">
            <w:rPr>
              <w:noProof/>
            </w:rPr>
            <w:fldChar w:fldCharType="end"/>
          </w:r>
        </w:sdtContent>
      </w:sdt>
    </w:p>
    <w:p w:rsidR="002E1F6F" w:rsidRPr="009D2F23" w:rsidRDefault="006A08BB" w:rsidP="005D08C0">
      <w:pPr>
        <w:pStyle w:val="ListParagraph"/>
        <w:numPr>
          <w:ilvl w:val="0"/>
          <w:numId w:val="1"/>
        </w:numPr>
        <w:spacing w:line="480" w:lineRule="auto"/>
        <w:rPr>
          <w:b/>
          <w:u w:val="single"/>
        </w:rPr>
      </w:pPr>
      <w:r>
        <w:rPr>
          <w:b/>
        </w:rPr>
        <w:t xml:space="preserve">Battle of Himera (480 B.C.): </w:t>
      </w:r>
      <w:r>
        <w:t>Carthaginian invasion of Sicily, supposedly on the same day as the Battle of Salamis</w:t>
      </w:r>
      <w:r w:rsidR="002E1F6F">
        <w:t xml:space="preserve">. Allegedly prevented Gelon from sending aid to mainland Greece. Sicilians successfully repelled the Carthaginians. (Hdt. 7.165-167) Fought after the expulsion of a pro-Carthaginian tyrant, Terillos. </w:t>
      </w:r>
      <w:r w:rsidR="002E1F6F" w:rsidRPr="002E1F6F">
        <w:rPr>
          <w:noProof/>
        </w:rPr>
        <w:t>(Dillon &amp; Garland 2013</w:t>
      </w:r>
      <w:r w:rsidR="002E1F6F">
        <w:rPr>
          <w:noProof/>
        </w:rPr>
        <w:t>: 284</w:t>
      </w:r>
      <w:r w:rsidR="002E1F6F" w:rsidRPr="002E1F6F">
        <w:rPr>
          <w:noProof/>
        </w:rPr>
        <w:t>)</w:t>
      </w:r>
      <w:r w:rsidR="009A599A">
        <w:rPr>
          <w:noProof/>
        </w:rPr>
        <w:t xml:space="preserve"> </w:t>
      </w:r>
      <w:r w:rsidR="00D2253F">
        <w:rPr>
          <w:noProof/>
        </w:rPr>
        <w:t xml:space="preserve">Released pressure for the Greeks to the West. </w:t>
      </w:r>
      <w:r w:rsidR="00D2253F" w:rsidRPr="00D2253F">
        <w:rPr>
          <w:noProof/>
        </w:rPr>
        <w:t>(Forrest 1986</w:t>
      </w:r>
      <w:r w:rsidR="00D2253F">
        <w:rPr>
          <w:noProof/>
        </w:rPr>
        <w:t>: 39</w:t>
      </w:r>
      <w:r w:rsidR="00D2253F" w:rsidRPr="00D2253F">
        <w:rPr>
          <w:noProof/>
        </w:rPr>
        <w:t>)</w:t>
      </w:r>
    </w:p>
    <w:p w:rsidR="009D2F23" w:rsidRPr="00827B6A" w:rsidRDefault="009D2F23" w:rsidP="005D08C0">
      <w:pPr>
        <w:pStyle w:val="ListParagraph"/>
        <w:numPr>
          <w:ilvl w:val="0"/>
          <w:numId w:val="1"/>
        </w:numPr>
        <w:spacing w:line="480" w:lineRule="auto"/>
        <w:rPr>
          <w:b/>
          <w:u w:val="single"/>
        </w:rPr>
      </w:pPr>
      <w:r>
        <w:rPr>
          <w:b/>
        </w:rPr>
        <w:t xml:space="preserve">Battle of Salamis (480 B.C.): </w:t>
      </w:r>
      <w:r>
        <w:t>Naval battle between alliance of Greek Poleis led by Themistokles and Persians, outnumbered Greeks won. (Hdt. 8.84-89; Plut. Them. 4.2) Used the tactic of keeping in a narrow strait to nullify Persian numerical advantage. (</w:t>
      </w:r>
      <w:r w:rsidR="008B6F24">
        <w:t>Cankwell 2005: 105) Worked as one unit, Persians lost formation due to tiredness, while the Greeks could also take advantage of their narrower, more shallow ships. (Dillon &amp; Garland 2013: 401)</w:t>
      </w:r>
    </w:p>
    <w:p w:rsidR="00827B6A" w:rsidRPr="008B6F24" w:rsidRDefault="00827B6A" w:rsidP="005D08C0">
      <w:pPr>
        <w:pStyle w:val="ListParagraph"/>
        <w:numPr>
          <w:ilvl w:val="0"/>
          <w:numId w:val="1"/>
        </w:numPr>
        <w:spacing w:line="480" w:lineRule="auto"/>
        <w:rPr>
          <w:b/>
          <w:u w:val="single"/>
        </w:rPr>
      </w:pPr>
      <w:r>
        <w:rPr>
          <w:b/>
        </w:rPr>
        <w:lastRenderedPageBreak/>
        <w:t>Omen of the Cloud of Dust (Persian Wars):</w:t>
      </w:r>
      <w:r w:rsidR="00081666">
        <w:rPr>
          <w:b/>
        </w:rPr>
        <w:t xml:space="preserve"> </w:t>
      </w:r>
      <w:r>
        <w:t xml:space="preserve">Allegedly, </w:t>
      </w:r>
      <w:r w:rsidR="00081666">
        <w:t>a cloud of dust, as well as the sound of the Eleusinian Mysteries performing themselves, a good omen giving them the will to fight. (Hdt. 8.65) The description of 30,000 voices indicates that most Athenians were initiated into the Eleusinian Mysteries. (Dillon &amp; Garland 2013: 92) This shows the political use of religion by Athens. (Burkert 1985: 287)</w:t>
      </w:r>
    </w:p>
    <w:p w:rsidR="008B6F24" w:rsidRPr="001448E0" w:rsidRDefault="008B6F24" w:rsidP="005D08C0">
      <w:pPr>
        <w:pStyle w:val="ListParagraph"/>
        <w:numPr>
          <w:ilvl w:val="0"/>
          <w:numId w:val="1"/>
        </w:numPr>
        <w:spacing w:line="480" w:lineRule="auto"/>
        <w:rPr>
          <w:b/>
          <w:u w:val="single"/>
        </w:rPr>
      </w:pPr>
      <w:r>
        <w:rPr>
          <w:b/>
        </w:rPr>
        <w:t xml:space="preserve">Battle of Plataea (479 B.C.): </w:t>
      </w:r>
      <w:r>
        <w:t>Final land battle in Persian invasion.</w:t>
      </w:r>
      <w:r w:rsidR="00081666">
        <w:t xml:space="preserve"> </w:t>
      </w:r>
      <w:r w:rsidR="001448E0">
        <w:t>Fought next to a temple to Demeter.</w:t>
      </w:r>
      <w:r>
        <w:t xml:space="preserve"> Persians sent their entire cavalry</w:t>
      </w:r>
      <w:r w:rsidR="001448E0">
        <w:t xml:space="preserve">, Persian commander was killed by an arrow to the eye, Persians defeated after the arrival of Athenian reinforcements. </w:t>
      </w:r>
      <w:r>
        <w:t>(</w:t>
      </w:r>
      <w:r w:rsidR="001448E0">
        <w:t>Hdt. 9.20-23, 101) Largest Greek force ever assembled at the time. (Pomeroy et. al. 2004: 135) Athenians swore an oath before the battle that, should they desert, their wives will give birth to monsters. (Dillon &amp; Garland 2013: 405)</w:t>
      </w:r>
    </w:p>
    <w:p w:rsidR="001448E0" w:rsidRPr="002E1F6F" w:rsidRDefault="001448E0" w:rsidP="005D08C0">
      <w:pPr>
        <w:pStyle w:val="ListParagraph"/>
        <w:numPr>
          <w:ilvl w:val="0"/>
          <w:numId w:val="1"/>
        </w:numPr>
        <w:spacing w:line="480" w:lineRule="auto"/>
        <w:rPr>
          <w:b/>
          <w:u w:val="single"/>
        </w:rPr>
      </w:pPr>
      <w:r>
        <w:rPr>
          <w:b/>
        </w:rPr>
        <w:t xml:space="preserve">Battle of Mykale (479 B.C.): </w:t>
      </w:r>
      <w:r>
        <w:t>Supposedly took place the same day as Plataea</w:t>
      </w:r>
      <w:r w:rsidR="00954240">
        <w:t>, final battle in Herodotus’ narrative. (Hdt. 9.97-103) Sparta did not immediately give up involvement in hostilities against Persia after this battle. (Cartledge 2003: 131) Nothing said to give the impression that the battle was anything other than naval. (Cankwell 2005: 99)</w:t>
      </w:r>
    </w:p>
    <w:p w:rsidR="00FF4B3E" w:rsidRPr="00215ABA" w:rsidRDefault="00FF4B3E" w:rsidP="005D08C0">
      <w:pPr>
        <w:pStyle w:val="ListParagraph"/>
        <w:numPr>
          <w:ilvl w:val="0"/>
          <w:numId w:val="1"/>
        </w:numPr>
        <w:spacing w:line="480" w:lineRule="auto"/>
        <w:rPr>
          <w:b/>
          <w:u w:val="single"/>
        </w:rPr>
      </w:pPr>
      <w:r>
        <w:rPr>
          <w:b/>
        </w:rPr>
        <w:t xml:space="preserve">Herodotus (c.484-425 B.C.): </w:t>
      </w:r>
      <w:r>
        <w:t xml:space="preserve">“The Father of History” (Cic. Leg. 1.5). </w:t>
      </w:r>
      <w:r w:rsidR="00A82548">
        <w:t xml:space="preserve">The earliest Greek prose history book to survive intact, </w:t>
      </w:r>
      <w:r w:rsidR="00A82548" w:rsidRPr="00A82548">
        <w:rPr>
          <w:noProof/>
        </w:rPr>
        <w:t>(Murray 1986</w:t>
      </w:r>
      <w:r w:rsidR="00A82548">
        <w:rPr>
          <w:noProof/>
        </w:rPr>
        <w:t>:</w:t>
      </w:r>
      <w:r w:rsidR="00A82548" w:rsidRPr="00A82548">
        <w:rPr>
          <w:noProof/>
        </w:rPr>
        <w:t xml:space="preserve"> 182)</w:t>
      </w:r>
      <w:r w:rsidR="00A82548">
        <w:rPr>
          <w:noProof/>
        </w:rPr>
        <w:t xml:space="preserve"> written to “Prevent the traces of human events from being erased by time” (Hdt. 1.1. Robin Waterfield</w:t>
      </w:r>
      <w:r w:rsidR="00C47F32">
        <w:rPr>
          <w:noProof/>
        </w:rPr>
        <w:t xml:space="preserve"> 2008</w:t>
      </w:r>
      <w:r w:rsidR="00A82548">
        <w:rPr>
          <w:noProof/>
        </w:rPr>
        <w:t xml:space="preserve">). More interested in narrating events and people than political developments. </w:t>
      </w:r>
      <w:r w:rsidR="00A82548" w:rsidRPr="00A82548">
        <w:rPr>
          <w:noProof/>
        </w:rPr>
        <w:t>(Dillon &amp; Garland 2013</w:t>
      </w:r>
      <w:r w:rsidR="00A82548">
        <w:rPr>
          <w:noProof/>
        </w:rPr>
        <w:t>: 3</w:t>
      </w:r>
      <w:r w:rsidR="00A82548" w:rsidRPr="00A82548">
        <w:rPr>
          <w:noProof/>
        </w:rPr>
        <w:t>)</w:t>
      </w:r>
      <w:r w:rsidR="00A82548">
        <w:rPr>
          <w:noProof/>
        </w:rPr>
        <w:t>.</w:t>
      </w:r>
    </w:p>
    <w:p w:rsidR="00215ABA" w:rsidRPr="00F66254" w:rsidRDefault="00215ABA" w:rsidP="005D08C0">
      <w:pPr>
        <w:pStyle w:val="ListParagraph"/>
        <w:numPr>
          <w:ilvl w:val="0"/>
          <w:numId w:val="1"/>
        </w:numPr>
        <w:spacing w:line="480" w:lineRule="auto"/>
        <w:rPr>
          <w:b/>
          <w:u w:val="single"/>
        </w:rPr>
      </w:pPr>
      <w:r>
        <w:rPr>
          <w:b/>
        </w:rPr>
        <w:t xml:space="preserve">Gelon (died c. 478 B.C.): </w:t>
      </w:r>
      <w:r>
        <w:t xml:space="preserve">Ruler of Syracuse and Gela. Had a reputation of a benevolent tyrant for centuries after his rule. (Diod. 11.23.3) Greeks tried to enlist his help against Persia, he offered help in exchange for leadership of the campaign, but was refused (Hdt. 7.157-158) Kings of Sicily behaved like later Hellenistic kings, </w:t>
      </w:r>
      <w:r>
        <w:lastRenderedPageBreak/>
        <w:t xml:space="preserve">intermarrying, moving populations and building on a large scale. </w:t>
      </w:r>
      <w:r w:rsidRPr="004C5C7F">
        <w:rPr>
          <w:noProof/>
        </w:rPr>
        <w:t>(Hornblower 2002</w:t>
      </w:r>
      <w:r>
        <w:rPr>
          <w:noProof/>
        </w:rPr>
        <w:t>:</w:t>
      </w:r>
      <w:r w:rsidRPr="004C5C7F">
        <w:rPr>
          <w:noProof/>
        </w:rPr>
        <w:t xml:space="preserve"> 44)</w:t>
      </w:r>
      <w:r>
        <w:rPr>
          <w:noProof/>
        </w:rPr>
        <w:t xml:space="preserve"> Transformed Syracuse into a major city by moving the populations of cities such as Gela and Camarina to Syracuse and making Syracuse a trade centre using its harbours </w:t>
      </w:r>
      <w:r w:rsidRPr="004C5C7F">
        <w:rPr>
          <w:noProof/>
        </w:rPr>
        <w:t>(Dillon &amp; Garland 201</w:t>
      </w:r>
      <w:r>
        <w:rPr>
          <w:noProof/>
        </w:rPr>
        <w:t>3:</w:t>
      </w:r>
      <w:r w:rsidRPr="004C5C7F">
        <w:rPr>
          <w:noProof/>
        </w:rPr>
        <w:t xml:space="preserve"> 284)</w:t>
      </w:r>
    </w:p>
    <w:p w:rsidR="00F66254" w:rsidRPr="00F66254" w:rsidRDefault="00F66254" w:rsidP="005D08C0">
      <w:pPr>
        <w:pStyle w:val="ListParagraph"/>
        <w:numPr>
          <w:ilvl w:val="0"/>
          <w:numId w:val="1"/>
        </w:numPr>
        <w:spacing w:line="480" w:lineRule="auto"/>
        <w:rPr>
          <w:b/>
        </w:rPr>
      </w:pPr>
      <w:r w:rsidRPr="00F66254">
        <w:rPr>
          <w:b/>
        </w:rPr>
        <w:t>Foundation of the Delian League (478 B.C.):</w:t>
      </w:r>
      <w:r>
        <w:rPr>
          <w:b/>
        </w:rPr>
        <w:t xml:space="preserve"> </w:t>
      </w:r>
      <w:r>
        <w:t>An alliance set up by Athens, in order to protect against further Persian actions in Greece and to facilitate actions against Persia. The meeting place and treasury were initially held at Delos. (Thuc. 1.96) Initially states were on equal terms, but Athens eventually came to dominate the alliance, which some consider to be an ‘Athenian Empire’. (Dillon &amp; Garland 2013: 412) The Athenians had control over which of its allies would provide money and which would provide ships for anti-Persian wars. (Hornblower 2002: 13)</w:t>
      </w:r>
    </w:p>
    <w:p w:rsidR="005607A7" w:rsidRPr="00371CFE" w:rsidRDefault="005607A7" w:rsidP="005D08C0">
      <w:pPr>
        <w:pStyle w:val="ListParagraph"/>
        <w:numPr>
          <w:ilvl w:val="0"/>
          <w:numId w:val="1"/>
        </w:numPr>
        <w:spacing w:line="480" w:lineRule="auto"/>
        <w:rPr>
          <w:b/>
        </w:rPr>
      </w:pPr>
      <w:r w:rsidRPr="00371CFE">
        <w:rPr>
          <w:b/>
        </w:rPr>
        <w:t>Perikles</w:t>
      </w:r>
      <w:r w:rsidR="00371CFE" w:rsidRPr="00371CFE">
        <w:rPr>
          <w:b/>
        </w:rPr>
        <w:t xml:space="preserve"> the Athenian (495-429 B.C.</w:t>
      </w:r>
      <w:r w:rsidR="00371CFE">
        <w:rPr>
          <w:b/>
        </w:rPr>
        <w:t xml:space="preserve">): </w:t>
      </w:r>
      <w:r w:rsidR="00371CFE">
        <w:t xml:space="preserve">Athenian politician and general, considered the “First citizen of Athens” by Thucydides. (Thuc. 2.65) Was very careful with his choice of words during his speeches, to the point where he used to pray that he would say nothing that did not suit the matter in hand. (Plut. Per. 8) </w:t>
      </w:r>
      <w:r w:rsidR="00094BE0">
        <w:t xml:space="preserve">The payment of juries reform was </w:t>
      </w:r>
      <w:r w:rsidR="00621384">
        <w:t>performed on ideological grounds, to strengthen democracy. (Dillon &amp; Garland 2013: 437)</w:t>
      </w:r>
      <w:r w:rsidR="00371CFE">
        <w:t xml:space="preserve"> </w:t>
      </w:r>
      <w:r w:rsidR="0005133B">
        <w:t>His strategy of evacuating the population of Attica to Athens led to overcrowding and plague. (Hanson 2005: 45-48)</w:t>
      </w:r>
    </w:p>
    <w:p w:rsidR="00215ABA" w:rsidRPr="009D0A05" w:rsidRDefault="00215ABA" w:rsidP="005D08C0">
      <w:pPr>
        <w:pStyle w:val="ListParagraph"/>
        <w:numPr>
          <w:ilvl w:val="0"/>
          <w:numId w:val="1"/>
        </w:numPr>
        <w:spacing w:line="480" w:lineRule="auto"/>
        <w:rPr>
          <w:b/>
          <w:u w:val="single"/>
        </w:rPr>
      </w:pPr>
      <w:r w:rsidRPr="003F3175">
        <w:rPr>
          <w:b/>
        </w:rPr>
        <w:t>Thucydides</w:t>
      </w:r>
      <w:r>
        <w:rPr>
          <w:b/>
        </w:rPr>
        <w:t xml:space="preserve"> (c.460-395 B.C.): </w:t>
      </w:r>
      <w:r>
        <w:t xml:space="preserve">Wrote the history of the Peloponnesian War, attempted to write as accurate, factual and reliable an account as possible, using only information which could be verified. (Thuc. 1.22) Wrote a detailed, but highly selective account, with the “most valuable account of Athenian expansion in the years 479-439” </w:t>
      </w:r>
      <w:r w:rsidRPr="0061662A">
        <w:rPr>
          <w:noProof/>
        </w:rPr>
        <w:t>(Hornblower 2002</w:t>
      </w:r>
      <w:r>
        <w:rPr>
          <w:noProof/>
        </w:rPr>
        <w:t>:</w:t>
      </w:r>
      <w:r w:rsidRPr="0061662A">
        <w:rPr>
          <w:noProof/>
        </w:rPr>
        <w:t xml:space="preserve"> 5)</w:t>
      </w:r>
      <w:r>
        <w:rPr>
          <w:noProof/>
        </w:rPr>
        <w:t xml:space="preserve"> A “Historian’s historian”, who rejected prior historical methods, by dating using campaign seasons and attacking the lack of care others take in obtaining facts. </w:t>
      </w:r>
      <w:r w:rsidRPr="009358E5">
        <w:rPr>
          <w:noProof/>
        </w:rPr>
        <w:t>(Murray 1986</w:t>
      </w:r>
      <w:r>
        <w:rPr>
          <w:noProof/>
        </w:rPr>
        <w:t>:</w:t>
      </w:r>
      <w:r w:rsidRPr="009358E5">
        <w:rPr>
          <w:noProof/>
        </w:rPr>
        <w:t xml:space="preserve"> 187)</w:t>
      </w:r>
    </w:p>
    <w:p w:rsidR="009D0A05" w:rsidRPr="00463062" w:rsidRDefault="009D0A05" w:rsidP="005D08C0">
      <w:pPr>
        <w:pStyle w:val="ListParagraph"/>
        <w:numPr>
          <w:ilvl w:val="0"/>
          <w:numId w:val="1"/>
        </w:numPr>
        <w:spacing w:line="480" w:lineRule="auto"/>
        <w:rPr>
          <w:b/>
          <w:u w:val="single"/>
        </w:rPr>
      </w:pPr>
      <w:r>
        <w:rPr>
          <w:b/>
        </w:rPr>
        <w:lastRenderedPageBreak/>
        <w:t xml:space="preserve">Helot revolt at </w:t>
      </w:r>
      <w:r w:rsidRPr="009D0A05">
        <w:rPr>
          <w:b/>
        </w:rPr>
        <w:t>Ithome (c.465 B.C.)</w:t>
      </w:r>
      <w:r>
        <w:rPr>
          <w:b/>
        </w:rPr>
        <w:t xml:space="preserve">: </w:t>
      </w:r>
      <w:r>
        <w:t xml:space="preserve">Helots, along with some perioeci, Thuriats and Aethaeans, revolting, preventing Sparta coming to aid </w:t>
      </w:r>
      <w:r w:rsidR="002C06F7">
        <w:t>the besieged Thasos. Sparta failed to successfully besiege the city, so called on their allies, including Athenians, for assistance, due to their proficiency in siege warfare. The disagreements during this conflict, Thucydides says, are the first case of open quarrel between Athens and Sparta. (Thuc. 1.101-102) Led to the ostracism of Kimon. (Hornblower 2002: 24) The last military campaign of the Hellenic League. (Dillon &amp; Garland 2013: 422)</w:t>
      </w:r>
    </w:p>
    <w:p w:rsidR="00463062" w:rsidRPr="00463062" w:rsidRDefault="00463062" w:rsidP="005D08C0">
      <w:pPr>
        <w:pStyle w:val="ListParagraph"/>
        <w:numPr>
          <w:ilvl w:val="0"/>
          <w:numId w:val="1"/>
        </w:numPr>
        <w:spacing w:line="480" w:lineRule="auto"/>
        <w:rPr>
          <w:b/>
        </w:rPr>
      </w:pPr>
      <w:r>
        <w:rPr>
          <w:b/>
        </w:rPr>
        <w:t>Ephialtes the Athenian (462</w:t>
      </w:r>
      <w:r w:rsidRPr="00463062">
        <w:rPr>
          <w:b/>
        </w:rPr>
        <w:t>-461 B.C.</w:t>
      </w:r>
      <w:r>
        <w:rPr>
          <w:b/>
        </w:rPr>
        <w:t xml:space="preserve">): </w:t>
      </w:r>
      <w:r>
        <w:t>Athenian politician, led the popular party and reduced the power of the Areopagus, increasing the democratic elements. (Aristot. Ath. Pol. 25) The Areopagus likely lost control of magistrates and the right to hear charges of offences against the state. (Hornblower 2002: 24) These reforms were abolished by the Thirty Tyrants. (Dillon &amp; Garland 2013: 485)</w:t>
      </w:r>
    </w:p>
    <w:p w:rsidR="00592C26" w:rsidRPr="00592C26" w:rsidRDefault="00592C26" w:rsidP="005D08C0">
      <w:pPr>
        <w:pStyle w:val="ListParagraph"/>
        <w:numPr>
          <w:ilvl w:val="0"/>
          <w:numId w:val="1"/>
        </w:numPr>
        <w:spacing w:line="480" w:lineRule="auto"/>
        <w:rPr>
          <w:b/>
        </w:rPr>
      </w:pPr>
      <w:r>
        <w:rPr>
          <w:b/>
        </w:rPr>
        <w:t xml:space="preserve">Athenian Expedition to Egypt </w:t>
      </w:r>
      <w:r w:rsidRPr="00592C26">
        <w:rPr>
          <w:b/>
        </w:rPr>
        <w:t>(</w:t>
      </w:r>
      <w:r>
        <w:rPr>
          <w:b/>
        </w:rPr>
        <w:t>c.</w:t>
      </w:r>
      <w:r w:rsidRPr="00592C26">
        <w:rPr>
          <w:b/>
        </w:rPr>
        <w:t>462-460 B.C.)</w:t>
      </w:r>
      <w:r>
        <w:rPr>
          <w:b/>
        </w:rPr>
        <w:t xml:space="preserve">: </w:t>
      </w:r>
      <w:r>
        <w:t>Athens came to the aid of Inaros,  king of the Libyans, after he asked for help with a revolt against the Persian rulers in Egypt. (Thuc. 1.104)</w:t>
      </w:r>
      <w:r w:rsidR="006540F0">
        <w:t xml:space="preserve"> May have been considered an opportunity to gain access to Egyptian grain supplies, while weakening Persian influence in the area. (Fine 1983: 352) </w:t>
      </w:r>
      <w:r w:rsidR="00463062">
        <w:t>The disaster of this campaign is one of the reasons the Delian League treasury was moved to Athens. (Hanson 2005: 268)</w:t>
      </w:r>
    </w:p>
    <w:p w:rsidR="009D0A05" w:rsidRPr="00F66254" w:rsidRDefault="00236B51" w:rsidP="005D08C0">
      <w:pPr>
        <w:pStyle w:val="ListParagraph"/>
        <w:numPr>
          <w:ilvl w:val="0"/>
          <w:numId w:val="1"/>
        </w:numPr>
        <w:spacing w:line="480" w:lineRule="auto"/>
        <w:rPr>
          <w:b/>
          <w:u w:val="single"/>
        </w:rPr>
      </w:pPr>
      <w:r>
        <w:rPr>
          <w:b/>
        </w:rPr>
        <w:t>First Peloponnesian War (460-</w:t>
      </w:r>
      <w:r w:rsidRPr="00236B51">
        <w:rPr>
          <w:b/>
        </w:rPr>
        <w:t>445 B.C.</w:t>
      </w:r>
      <w:r>
        <w:rPr>
          <w:b/>
        </w:rPr>
        <w:t xml:space="preserve">): </w:t>
      </w:r>
      <w:r>
        <w:t xml:space="preserve">War fought between the Peloponnesian League, particularly Thebes and Corinth, against the Delian league, led by Athens supported by Argos. Sparta’s allies believed they were doing most of the fighting for them. (Thuc. 1.70) Sparta’s desire for war is questionable due to this fact. (Holladay 1985: 161-162) </w:t>
      </w:r>
      <w:r w:rsidR="009D0A05">
        <w:t>The war was likely a result of a rivalry between Corinth and Argos. (Hornblower 2002: 27)</w:t>
      </w:r>
    </w:p>
    <w:p w:rsidR="00F66254" w:rsidRPr="007816C4" w:rsidRDefault="00F66254" w:rsidP="005D08C0">
      <w:pPr>
        <w:pStyle w:val="ListParagraph"/>
        <w:numPr>
          <w:ilvl w:val="0"/>
          <w:numId w:val="1"/>
        </w:numPr>
        <w:spacing w:line="480" w:lineRule="auto"/>
        <w:rPr>
          <w:b/>
        </w:rPr>
      </w:pPr>
      <w:r w:rsidRPr="00F66254">
        <w:rPr>
          <w:b/>
        </w:rPr>
        <w:lastRenderedPageBreak/>
        <w:t>Delian League treasury moves to Athens (454 B.C.):</w:t>
      </w:r>
      <w:r w:rsidR="00285FE6">
        <w:rPr>
          <w:b/>
        </w:rPr>
        <w:t xml:space="preserve"> </w:t>
      </w:r>
      <w:r w:rsidR="00285FE6">
        <w:t>The treasury of the Delian League was moved from Delos to Athens, supposedly placed in a safer location to protect from ‘barbarians’. (Plut. Per. 12) It was moved following the Persian defeat of the Athenians and their allies in Egypt. (Dillon &amp; Garland 2013: 428)</w:t>
      </w:r>
      <w:r w:rsidR="008E2885">
        <w:t xml:space="preserve"> Payments were demanded in money, rather than ships. (Pomeroy et. al. 2004: 141-143)</w:t>
      </w:r>
    </w:p>
    <w:p w:rsidR="007816C4" w:rsidRPr="00F66254" w:rsidRDefault="007816C4" w:rsidP="005D08C0">
      <w:pPr>
        <w:pStyle w:val="ListParagraph"/>
        <w:numPr>
          <w:ilvl w:val="0"/>
          <w:numId w:val="1"/>
        </w:numPr>
        <w:spacing w:line="480" w:lineRule="auto"/>
        <w:rPr>
          <w:b/>
        </w:rPr>
      </w:pPr>
      <w:r>
        <w:rPr>
          <w:b/>
        </w:rPr>
        <w:t xml:space="preserve">Aristophanes (446-386 B.C.): </w:t>
      </w:r>
      <w:r>
        <w:t>Athenian comic playwriter, said to have the most realistic depiction of life in ancient Athens. (Barrett 2003: 26)</w:t>
      </w:r>
      <w:r w:rsidR="00BB4B81">
        <w:t xml:space="preserve"> Plato considered the play </w:t>
      </w:r>
      <w:r w:rsidR="00BB4B81">
        <w:rPr>
          <w:i/>
        </w:rPr>
        <w:t>The Clouds</w:t>
      </w:r>
      <w:r w:rsidR="00BB4B81">
        <w:t xml:space="preserve"> to be slander that led to the death of Socrates. (Plat. Apol. 19c) </w:t>
      </w:r>
      <w:r w:rsidR="00827B6A">
        <w:t>Spans the first two of the three phases of Greek comedy. (Levi 1986: 170)</w:t>
      </w:r>
    </w:p>
    <w:p w:rsidR="002C06F7" w:rsidRPr="00BB0F34" w:rsidRDefault="002C06F7" w:rsidP="005D08C0">
      <w:pPr>
        <w:pStyle w:val="ListParagraph"/>
        <w:numPr>
          <w:ilvl w:val="0"/>
          <w:numId w:val="1"/>
        </w:numPr>
        <w:spacing w:line="480" w:lineRule="auto"/>
        <w:rPr>
          <w:b/>
        </w:rPr>
      </w:pPr>
      <w:r>
        <w:rPr>
          <w:b/>
        </w:rPr>
        <w:t>Foundation of Thurii (</w:t>
      </w:r>
      <w:r w:rsidRPr="00221DED">
        <w:rPr>
          <w:b/>
        </w:rPr>
        <w:t>444 B.C.):</w:t>
      </w:r>
      <w:r w:rsidR="00221DED">
        <w:rPr>
          <w:b/>
        </w:rPr>
        <w:t xml:space="preserve"> </w:t>
      </w:r>
      <w:r w:rsidR="00221DED">
        <w:t>City founded in Italy, after the success of Sybaris. (Diod. 12.9.1) Unusually, it was a Panhellenic colony set up by Athens, who invited other Greek states to share it. (Pomeroy et. al. 2004: 167) Perhaps set up to access local timber supplies. (Hornblower 1986: 126)</w:t>
      </w:r>
    </w:p>
    <w:p w:rsidR="00BB0F34" w:rsidRPr="00BB0F34" w:rsidRDefault="00BB0F34" w:rsidP="005D08C0">
      <w:pPr>
        <w:pStyle w:val="ListParagraph"/>
        <w:numPr>
          <w:ilvl w:val="0"/>
          <w:numId w:val="1"/>
        </w:numPr>
        <w:spacing w:line="480" w:lineRule="auto"/>
        <w:rPr>
          <w:b/>
        </w:rPr>
      </w:pPr>
      <w:r>
        <w:rPr>
          <w:b/>
        </w:rPr>
        <w:t xml:space="preserve">Samian Revolt (440-439 B.C.): </w:t>
      </w:r>
      <w:r>
        <w:t>Unsuccessful revolt by the Samians against the Athenians after a nine-month siege led by Perikles. (Thuc. 1.117.1-3) Allowed Athens to impose stricter rule on the Samians. (Hornblower 1986: 118) The revolting population of Samos was sold into slavery following the siege. (Hanson 2005: 182)</w:t>
      </w:r>
    </w:p>
    <w:p w:rsidR="00BB0F34" w:rsidRPr="005A5299" w:rsidRDefault="00BB0F34" w:rsidP="005D08C0">
      <w:pPr>
        <w:pStyle w:val="ListParagraph"/>
        <w:numPr>
          <w:ilvl w:val="0"/>
          <w:numId w:val="1"/>
        </w:numPr>
        <w:spacing w:line="480" w:lineRule="auto"/>
        <w:rPr>
          <w:b/>
        </w:rPr>
      </w:pPr>
      <w:r>
        <w:rPr>
          <w:b/>
        </w:rPr>
        <w:t xml:space="preserve">Colonisation of Amphipolis (437 B.C.): </w:t>
      </w:r>
      <w:r w:rsidR="00AD2B6C">
        <w:t>Athenian colony in the North of Greece, settled by a mixture of Athenian citizens and local garrisons. (Diod. 12.32.3) This colony gave protection to access to grain, timber and minerals, as well as monitoring activities of the Thracian Odrysians and Macedon. (Pomeroy et. al. 2004: 168) A colony was attempted in 494, following the Ionian Revolt, but was unsuccessful. (Dillon &amp; Garland 2013: 59; Thuc. 6.4.5-6)</w:t>
      </w:r>
    </w:p>
    <w:p w:rsidR="005A5299" w:rsidRPr="00F44836" w:rsidRDefault="005A5299" w:rsidP="005D08C0">
      <w:pPr>
        <w:pStyle w:val="ListParagraph"/>
        <w:numPr>
          <w:ilvl w:val="0"/>
          <w:numId w:val="1"/>
        </w:numPr>
        <w:spacing w:line="480" w:lineRule="auto"/>
        <w:rPr>
          <w:b/>
        </w:rPr>
      </w:pPr>
      <w:r>
        <w:rPr>
          <w:b/>
        </w:rPr>
        <w:t xml:space="preserve">Mytilene Revolt (428-427 B.C.): </w:t>
      </w:r>
      <w:r>
        <w:t>An attempt by the city of Mytilene to unite Lesbos against Athenian rule, supported by the Spartans and Boeotians</w:t>
      </w:r>
      <w:r w:rsidR="00D20C55">
        <w:t xml:space="preserve">. Aristotle states that </w:t>
      </w:r>
      <w:r w:rsidR="00D20C55">
        <w:lastRenderedPageBreak/>
        <w:t>the revolt was over a dispute regarding heiresses. (Thuc. 3.1-35; Arist. Pol. 1304a) The Mytileneans believed that war would be at sea, rather than land, hence their request for support. (Hanson 2005: 44) Athenians unusually decided not to destroy the city, but just to execute the leaders. (Dillon &amp; Garland 2013: 186)</w:t>
      </w:r>
    </w:p>
    <w:p w:rsidR="00F44836" w:rsidRPr="005E62F0" w:rsidRDefault="00F44836" w:rsidP="005D08C0">
      <w:pPr>
        <w:pStyle w:val="ListParagraph"/>
        <w:numPr>
          <w:ilvl w:val="0"/>
          <w:numId w:val="1"/>
        </w:numPr>
        <w:spacing w:line="480" w:lineRule="auto"/>
        <w:rPr>
          <w:b/>
        </w:rPr>
      </w:pPr>
      <w:r>
        <w:rPr>
          <w:b/>
        </w:rPr>
        <w:t xml:space="preserve">Battle of Amphipolis (422 B.C.): </w:t>
      </w:r>
      <w:r>
        <w:t>Battle between Athenians and Spartans, following the Spartan capture of Amphipolis in 424-3. (Thuc. 5.1-12)</w:t>
      </w:r>
      <w:r w:rsidR="00BF50D4">
        <w:t xml:space="preserve"> Thucydides himself was exiled for failing to recapture the city. (Hanson 2005: 119) Brought an end to the Nician Peace. (Cartledge 2003: 176)</w:t>
      </w:r>
    </w:p>
    <w:p w:rsidR="005E62F0" w:rsidRPr="00F44836" w:rsidRDefault="005E62F0" w:rsidP="005D08C0">
      <w:pPr>
        <w:pStyle w:val="ListParagraph"/>
        <w:numPr>
          <w:ilvl w:val="0"/>
          <w:numId w:val="1"/>
        </w:numPr>
        <w:spacing w:line="480" w:lineRule="auto"/>
        <w:rPr>
          <w:b/>
        </w:rPr>
      </w:pPr>
      <w:r>
        <w:rPr>
          <w:b/>
        </w:rPr>
        <w:t xml:space="preserve">Sparta banned from the Olympic games (420 B.C.): </w:t>
      </w:r>
      <w:r>
        <w:t>The Spartans had not paid a fine for breaking the Olympic truce by attacking Fort Phyrcus and Lepreum and were refused access to the temple. A Spartan, Lichas, won the chariot race, pretending to represent Thebes. (Thuc. 5.49-50)</w:t>
      </w:r>
      <w:r w:rsidR="00961CE4">
        <w:t xml:space="preserve"> The victory was attributed to Thebes, with no mention of Lichas. (Shavin 2016)</w:t>
      </w:r>
      <w:r>
        <w:t xml:space="preserve"> </w:t>
      </w:r>
      <w:r w:rsidR="00232106">
        <w:t>This ban possibly lasted 20 years, until the 400 B.C. Olympic Games. (Hornblower 2000: 213)</w:t>
      </w:r>
    </w:p>
    <w:p w:rsidR="00F44836" w:rsidRPr="00BF50D4" w:rsidRDefault="00F44836" w:rsidP="005D08C0">
      <w:pPr>
        <w:pStyle w:val="ListParagraph"/>
        <w:numPr>
          <w:ilvl w:val="0"/>
          <w:numId w:val="1"/>
        </w:numPr>
        <w:spacing w:line="480" w:lineRule="auto"/>
        <w:rPr>
          <w:b/>
          <w:u w:val="single"/>
        </w:rPr>
      </w:pPr>
      <w:r>
        <w:rPr>
          <w:b/>
        </w:rPr>
        <w:t xml:space="preserve">First Battle of Mantineia (418 B.C.): </w:t>
      </w:r>
      <w:r>
        <w:t xml:space="preserve">Spartans, along with Arcadians, invaded the territory of Mantineia, camping near the temple of Herakles, the Spartans won, and Athenians and Argives escaped, the Argives give up their alliance and signed a peace treaty for 50 years. (Thuc. 5.64-79) The battle showed that Sparta was the most important power in the Peloponnese, with the Argives unable to give a viable alternative for Peloponnesian leadership. </w:t>
      </w:r>
      <w:r w:rsidRPr="00DD655E">
        <w:rPr>
          <w:noProof/>
        </w:rPr>
        <w:t>(Dillon &amp; Garland 2013</w:t>
      </w:r>
      <w:r>
        <w:rPr>
          <w:noProof/>
        </w:rPr>
        <w:t>:</w:t>
      </w:r>
      <w:r w:rsidRPr="00DD655E">
        <w:rPr>
          <w:noProof/>
        </w:rPr>
        <w:t xml:space="preserve"> 468)</w:t>
      </w:r>
      <w:r>
        <w:t xml:space="preserve"> Considered the greatest single-day Spartan victory in the Peloponnesian War </w:t>
      </w:r>
      <w:r w:rsidRPr="00DD655E">
        <w:rPr>
          <w:noProof/>
        </w:rPr>
        <w:t>(Hanson 2005</w:t>
      </w:r>
      <w:r>
        <w:rPr>
          <w:noProof/>
        </w:rPr>
        <w:t>:</w:t>
      </w:r>
      <w:r w:rsidRPr="00DD655E">
        <w:rPr>
          <w:noProof/>
        </w:rPr>
        <w:t xml:space="preserve"> 158)</w:t>
      </w:r>
    </w:p>
    <w:p w:rsidR="00BF50D4" w:rsidRPr="00BF50D4" w:rsidRDefault="00BF50D4" w:rsidP="005D08C0">
      <w:pPr>
        <w:pStyle w:val="ListParagraph"/>
        <w:numPr>
          <w:ilvl w:val="0"/>
          <w:numId w:val="1"/>
        </w:numPr>
        <w:spacing w:line="480" w:lineRule="auto"/>
        <w:rPr>
          <w:b/>
        </w:rPr>
      </w:pPr>
      <w:r w:rsidRPr="00BF50D4">
        <w:rPr>
          <w:b/>
        </w:rPr>
        <w:t>Melian Expedition (416 B.C.)</w:t>
      </w:r>
      <w:r>
        <w:rPr>
          <w:b/>
        </w:rPr>
        <w:t xml:space="preserve">: </w:t>
      </w:r>
      <w:r>
        <w:t>Athens invaded Melos, a neutral polis, demanding they ally with Athens. When they refused, the Athenians slaughtered the men and enslaved the women and children. (Thuc. 5.84-</w:t>
      </w:r>
      <w:r w:rsidR="00B13023">
        <w:t xml:space="preserve">116) The city was totally destroyed and subsequently ceased to exist. (Hanson 2005: 297) After the defeat of Athens in </w:t>
      </w:r>
      <w:r w:rsidR="00B13023">
        <w:lastRenderedPageBreak/>
        <w:t>the war, they fear they would meet the same fate. (Dillon &amp; Garland 2013: 468; Xen. Hell. 2.2.3-4)</w:t>
      </w:r>
    </w:p>
    <w:p w:rsidR="00E5756E" w:rsidRPr="00FD3617" w:rsidRDefault="00E5756E" w:rsidP="005D08C0">
      <w:pPr>
        <w:pStyle w:val="ListParagraph"/>
        <w:numPr>
          <w:ilvl w:val="0"/>
          <w:numId w:val="1"/>
        </w:numPr>
        <w:spacing w:line="480" w:lineRule="auto"/>
        <w:rPr>
          <w:b/>
          <w:u w:val="single"/>
        </w:rPr>
      </w:pPr>
      <w:r>
        <w:rPr>
          <w:b/>
        </w:rPr>
        <w:t xml:space="preserve">Last Ostracism (416/15 B.C.): </w:t>
      </w:r>
      <w:r w:rsidRPr="00E5756E">
        <w:t>Hyperbolus,</w:t>
      </w:r>
      <w:r>
        <w:rPr>
          <w:b/>
        </w:rPr>
        <w:t xml:space="preserve"> </w:t>
      </w:r>
      <w:r>
        <w:t xml:space="preserve">a “Wretched character”, ostracised because he was a “disgrace to the city”. (Thuc. 8.73) </w:t>
      </w:r>
      <w:r w:rsidR="00151B8A">
        <w:t>Poor economic c</w:t>
      </w:r>
      <w:r w:rsidR="00153113">
        <w:t xml:space="preserve">onditions for the poor following the Peloponnesian War may explain the lack of ostracism after this event. </w:t>
      </w:r>
      <w:r w:rsidR="00153113" w:rsidRPr="00153113">
        <w:rPr>
          <w:noProof/>
        </w:rPr>
        <w:t>(Hornblower 2002</w:t>
      </w:r>
      <w:r w:rsidR="00153113">
        <w:rPr>
          <w:noProof/>
        </w:rPr>
        <w:t xml:space="preserve">: </w:t>
      </w:r>
      <w:r w:rsidR="00153113" w:rsidRPr="00153113">
        <w:rPr>
          <w:noProof/>
        </w:rPr>
        <w:t>203)</w:t>
      </w:r>
      <w:r w:rsidR="00153113">
        <w:rPr>
          <w:noProof/>
        </w:rPr>
        <w:t xml:space="preserve"> Alcibiades and Nicias were political rivals who, in a panic, mobilised their supporters to turn on Hyperbolus instead of each other. Folowing this, the Athenians switched from ostracism to indictment to punish politicians who acted illegally. </w:t>
      </w:r>
      <w:r w:rsidR="00153113" w:rsidRPr="00153113">
        <w:rPr>
          <w:noProof/>
        </w:rPr>
        <w:t>(Pomeroy, et al. 2004</w:t>
      </w:r>
      <w:r w:rsidR="00153113">
        <w:rPr>
          <w:noProof/>
        </w:rPr>
        <w:t>:</w:t>
      </w:r>
      <w:r w:rsidR="00153113" w:rsidRPr="00153113">
        <w:rPr>
          <w:noProof/>
        </w:rPr>
        <w:t xml:space="preserve"> 212-213)</w:t>
      </w:r>
    </w:p>
    <w:p w:rsidR="00FD3617" w:rsidRPr="00FD3617" w:rsidRDefault="00FD3617" w:rsidP="005D08C0">
      <w:pPr>
        <w:pStyle w:val="ListParagraph"/>
        <w:numPr>
          <w:ilvl w:val="0"/>
          <w:numId w:val="1"/>
        </w:numPr>
        <w:spacing w:line="480" w:lineRule="auto"/>
        <w:rPr>
          <w:b/>
        </w:rPr>
      </w:pPr>
      <w:r w:rsidRPr="00FD3617">
        <w:rPr>
          <w:b/>
        </w:rPr>
        <w:t>Xenophon (430-354 B.C.):</w:t>
      </w:r>
      <w:r>
        <w:rPr>
          <w:b/>
        </w:rPr>
        <w:t xml:space="preserve"> </w:t>
      </w:r>
      <w:r>
        <w:t>Historian, soldier, politician and philosopher, wrote the history of the last 7 years and aftermath of the Peloponnesian War, (Xen. Hell.) and took part in Cyrus’ failed campaign in Persia. (Xen. Anab.)</w:t>
      </w:r>
      <w:r w:rsidR="00631658">
        <w:t xml:space="preserve"> His account of the Spartan and Theban leadership of Greece is ‘careless, lop-sided, and so prejudiced that it would not be taken seriously if it were not the only surviving contemporary account.’ (Murray 1986: 191) Sometimes selected events from outside of generally accepted historical material. (Rahn 1971: 499)</w:t>
      </w:r>
    </w:p>
    <w:p w:rsidR="001071B7" w:rsidRPr="0072691C" w:rsidRDefault="00215ABA" w:rsidP="005D08C0">
      <w:pPr>
        <w:pStyle w:val="ListParagraph"/>
        <w:numPr>
          <w:ilvl w:val="0"/>
          <w:numId w:val="1"/>
        </w:numPr>
        <w:spacing w:line="480" w:lineRule="auto"/>
        <w:rPr>
          <w:b/>
          <w:u w:val="single"/>
        </w:rPr>
      </w:pPr>
      <w:r>
        <w:rPr>
          <w:b/>
        </w:rPr>
        <w:t xml:space="preserve">Dionysius I (432-367 B.C.): </w:t>
      </w:r>
      <w:r>
        <w:t xml:space="preserve">Coming from a common background, he rose to be tyrant of Syracuse, ruling for thirty-eight years, the longest tyranny in history at the time. (Diod. 13.96) </w:t>
      </w:r>
      <w:r w:rsidR="00B738E6">
        <w:t xml:space="preserve">United Sicily after protecting them from Carthaginian expansion. </w:t>
      </w:r>
      <w:r w:rsidR="00B738E6" w:rsidRPr="00B738E6">
        <w:rPr>
          <w:noProof/>
        </w:rPr>
        <w:t>(Hanson 2005</w:t>
      </w:r>
      <w:r w:rsidR="00B738E6">
        <w:rPr>
          <w:noProof/>
        </w:rPr>
        <w:t>:</w:t>
      </w:r>
      <w:r w:rsidR="00B738E6" w:rsidRPr="00B738E6">
        <w:rPr>
          <w:noProof/>
        </w:rPr>
        <w:t xml:space="preserve"> 229-230)</w:t>
      </w:r>
      <w:r w:rsidR="00B738E6">
        <w:rPr>
          <w:noProof/>
        </w:rPr>
        <w:t xml:space="preserve"> </w:t>
      </w:r>
      <w:r w:rsidR="0072691C">
        <w:rPr>
          <w:noProof/>
        </w:rPr>
        <w:t xml:space="preserve">If not for his leadership, Sicily would </w:t>
      </w:r>
      <w:r w:rsidR="00380B90">
        <w:rPr>
          <w:noProof/>
        </w:rPr>
        <w:t>likely</w:t>
      </w:r>
      <w:r w:rsidR="0072691C">
        <w:rPr>
          <w:noProof/>
        </w:rPr>
        <w:t xml:space="preserve"> have been an entirely Carthaginian territory. </w:t>
      </w:r>
      <w:r w:rsidR="0072691C" w:rsidRPr="0072691C">
        <w:rPr>
          <w:noProof/>
        </w:rPr>
        <w:t>(Dillon &amp; Garland 2013</w:t>
      </w:r>
      <w:r w:rsidR="0072691C">
        <w:rPr>
          <w:noProof/>
        </w:rPr>
        <w:t>:</w:t>
      </w:r>
      <w:r w:rsidR="0072691C" w:rsidRPr="0072691C">
        <w:rPr>
          <w:noProof/>
        </w:rPr>
        <w:t xml:space="preserve"> 289)</w:t>
      </w:r>
    </w:p>
    <w:p w:rsidR="00F86233" w:rsidRPr="0068399C" w:rsidRDefault="00F86233" w:rsidP="005D08C0">
      <w:pPr>
        <w:pStyle w:val="ListParagraph"/>
        <w:numPr>
          <w:ilvl w:val="0"/>
          <w:numId w:val="1"/>
        </w:numPr>
        <w:spacing w:line="480" w:lineRule="auto"/>
        <w:rPr>
          <w:b/>
        </w:rPr>
      </w:pPr>
      <w:r w:rsidRPr="0068399C">
        <w:rPr>
          <w:b/>
        </w:rPr>
        <w:t>Hermokopidae Affair (415 B.C.)</w:t>
      </w:r>
      <w:r w:rsidR="0068399C">
        <w:rPr>
          <w:b/>
        </w:rPr>
        <w:t xml:space="preserve">: </w:t>
      </w:r>
      <w:r w:rsidR="0068399C">
        <w:t xml:space="preserve">Mutilation of Hermae statues in Athens. Led to the downfall of Alkibiades, just before the Sicilian expedition. (Thuc. 6.27-29) Shows the importance and significance with which the Athenians took their religion. (Dillon </w:t>
      </w:r>
      <w:r w:rsidR="0068399C">
        <w:lastRenderedPageBreak/>
        <w:t>&amp; Garland 2013: 91) The real culprit was never determined. (Pomeroy et. al. 2004: 214)</w:t>
      </w:r>
    </w:p>
    <w:p w:rsidR="0068399C" w:rsidRPr="00D87AAE" w:rsidRDefault="0068399C" w:rsidP="005D08C0">
      <w:pPr>
        <w:pStyle w:val="ListParagraph"/>
        <w:numPr>
          <w:ilvl w:val="0"/>
          <w:numId w:val="1"/>
        </w:numPr>
        <w:spacing w:line="480" w:lineRule="auto"/>
        <w:rPr>
          <w:b/>
        </w:rPr>
      </w:pPr>
      <w:r>
        <w:rPr>
          <w:b/>
        </w:rPr>
        <w:t xml:space="preserve">Sicilian Expedition (415-413 B.C.): </w:t>
      </w:r>
      <w:r>
        <w:t>Athenian expedition to Sicily</w:t>
      </w:r>
      <w:r w:rsidR="0005133B">
        <w:t>.</w:t>
      </w:r>
      <w:r>
        <w:t xml:space="preserve"> (Thuc. 6.8-</w:t>
      </w:r>
      <w:r w:rsidR="0005133B">
        <w:t>7.87) Complete disaster for the Athenians, most of their commanders were either killed, or in the case of Alkibiades, defected to Sparta. (Pomeroy et. al. 2004: 215) Led to an economic crisis, disillusionment of Athenian allies and a renewal of the war with a new alliance of Sparta, Persia and Syracuse. (Hanson 2005: 229</w:t>
      </w:r>
      <w:r w:rsidR="00D87AAE">
        <w:t>)</w:t>
      </w:r>
    </w:p>
    <w:p w:rsidR="00D87AAE" w:rsidRPr="007A6D97" w:rsidRDefault="00D87AAE" w:rsidP="005D08C0">
      <w:pPr>
        <w:pStyle w:val="ListParagraph"/>
        <w:numPr>
          <w:ilvl w:val="0"/>
          <w:numId w:val="1"/>
        </w:numPr>
        <w:spacing w:line="480" w:lineRule="auto"/>
        <w:rPr>
          <w:b/>
        </w:rPr>
      </w:pPr>
      <w:r>
        <w:rPr>
          <w:b/>
        </w:rPr>
        <w:t xml:space="preserve">Conquest of Decelea (414 B.C.): </w:t>
      </w:r>
      <w:r>
        <w:t>Spartans captured and fortified Decelea. (Thuc. 6.91-92; 7.19-20)</w:t>
      </w:r>
      <w:r>
        <w:rPr>
          <w:b/>
        </w:rPr>
        <w:t xml:space="preserve"> </w:t>
      </w:r>
      <w:r>
        <w:t>Garrison gave a permanent base and refuge from counterattacks and cavalry patrols. (Hanson 2005: 60) Represented the start of the final phase of land warfare in the war. (Cartledge 2003: 191)</w:t>
      </w:r>
    </w:p>
    <w:p w:rsidR="007A6D97" w:rsidRPr="0068399C" w:rsidRDefault="007A6D97" w:rsidP="005D08C0">
      <w:pPr>
        <w:pStyle w:val="ListParagraph"/>
        <w:numPr>
          <w:ilvl w:val="0"/>
          <w:numId w:val="1"/>
        </w:numPr>
        <w:spacing w:line="480" w:lineRule="auto"/>
        <w:rPr>
          <w:b/>
        </w:rPr>
      </w:pPr>
      <w:r>
        <w:rPr>
          <w:b/>
        </w:rPr>
        <w:t>Arch</w:t>
      </w:r>
      <w:r w:rsidR="009312A5">
        <w:rPr>
          <w:b/>
        </w:rPr>
        <w:t xml:space="preserve">elaus of Macedon (413-399 B.C.): </w:t>
      </w:r>
      <w:r w:rsidR="009312A5">
        <w:t>King of Macedon, built up the Macedonian army and roads, putting Macedon in a very strong position. (Thuc. 2.100) In some respects was a precursor to Philip and Alexander. (Hornblower 2002: 150) Expanded Macedon to the east, giving access to silver mines, as well as timber and grain, which supplied Athens with much of its food and ship building material. (Pomeroy et. al. 2004: 256)</w:t>
      </w:r>
    </w:p>
    <w:p w:rsidR="00660179" w:rsidRPr="009312A5" w:rsidRDefault="00660179" w:rsidP="005D08C0">
      <w:pPr>
        <w:pStyle w:val="ListParagraph"/>
        <w:numPr>
          <w:ilvl w:val="0"/>
          <w:numId w:val="1"/>
        </w:numPr>
        <w:spacing w:line="480" w:lineRule="auto"/>
        <w:rPr>
          <w:b/>
        </w:rPr>
      </w:pPr>
      <w:r w:rsidRPr="00660179">
        <w:rPr>
          <w:b/>
        </w:rPr>
        <w:t>Revolution of the 400 (411 B.C.)</w:t>
      </w:r>
      <w:r>
        <w:rPr>
          <w:b/>
        </w:rPr>
        <w:t xml:space="preserve">: </w:t>
      </w:r>
      <w:r>
        <w:t xml:space="preserve">Following the Sicilian Expedition, the Athenians were compelled to abolish democracy and replace it with a short-lived oligarchy, ruled by 400. (Arist. Ath. Pol. 29-33; Thuc 8.45-98) </w:t>
      </w:r>
      <w:r w:rsidR="00AE6FAE">
        <w:t xml:space="preserve">In theory, 5000 citizens were supposed to take over administration, but were not given any real power. The 5000 eventually overthrew the 400. (Dillon &amp; Garland 2013: 478-9) This was believed to be the wishes of the king of Persia, </w:t>
      </w:r>
      <w:r w:rsidR="00417FA4">
        <w:t>a</w:t>
      </w:r>
      <w:r w:rsidR="00AE6FAE">
        <w:t>ttempt</w:t>
      </w:r>
      <w:r w:rsidR="00417FA4">
        <w:t>ing</w:t>
      </w:r>
      <w:r w:rsidR="00AE6FAE">
        <w:t xml:space="preserve"> to bring Persia onto the side of Athens. (Hornblower 2002: 177)</w:t>
      </w:r>
    </w:p>
    <w:p w:rsidR="009312A5" w:rsidRPr="00B13023" w:rsidRDefault="009312A5" w:rsidP="005D08C0">
      <w:pPr>
        <w:pStyle w:val="ListParagraph"/>
        <w:numPr>
          <w:ilvl w:val="0"/>
          <w:numId w:val="1"/>
        </w:numPr>
        <w:spacing w:line="480" w:lineRule="auto"/>
        <w:rPr>
          <w:b/>
        </w:rPr>
      </w:pPr>
      <w:r>
        <w:rPr>
          <w:b/>
        </w:rPr>
        <w:lastRenderedPageBreak/>
        <w:t>Carthage takes over Akragas (406 B.C.):</w:t>
      </w:r>
      <w:r w:rsidR="0005587A">
        <w:rPr>
          <w:b/>
        </w:rPr>
        <w:t xml:space="preserve"> </w:t>
      </w:r>
      <w:r w:rsidR="0005587A">
        <w:t xml:space="preserve">Carthage sieges Akragas for seven months, forcing them to surrender through hunger. (Xen. Hell. 1.5.21) </w:t>
      </w:r>
      <w:r w:rsidR="00F44836">
        <w:t xml:space="preserve">Gave Carthage a strong presence in Sicily, with the right to levy tribute on Greek cities. (Hornblower 2002: 216) </w:t>
      </w:r>
      <w:r w:rsidR="00F31742">
        <w:t>The leader of Akragas abandons the city, Hannibal decides to capture and destroy the city. (Rhodes 2010: 313)</w:t>
      </w:r>
      <w:r w:rsidR="00986107">
        <w:t xml:space="preserve"> Carthage were angered by the private warfare of</w:t>
      </w:r>
      <w:r w:rsidR="00803DB8">
        <w:t xml:space="preserve"> Hermocrates and wanted to put all of Sicily under Carthaginian control. (Bury &amp; Meiggs 1978: 388)</w:t>
      </w:r>
    </w:p>
    <w:p w:rsidR="00B13023" w:rsidRPr="003A175E" w:rsidRDefault="00B13023" w:rsidP="005D08C0">
      <w:pPr>
        <w:pStyle w:val="ListParagraph"/>
        <w:numPr>
          <w:ilvl w:val="0"/>
          <w:numId w:val="1"/>
        </w:numPr>
        <w:spacing w:line="480" w:lineRule="auto"/>
        <w:rPr>
          <w:b/>
        </w:rPr>
      </w:pPr>
      <w:r>
        <w:rPr>
          <w:b/>
        </w:rPr>
        <w:t xml:space="preserve">Battle of Arginusae (406 B.C.): </w:t>
      </w:r>
      <w:r>
        <w:t>Naval battle between Athens and Sparta, which Athens won. However, a storm prevented them from rescuing the survivors of sunken triremes. (</w:t>
      </w:r>
      <w:r w:rsidR="00342A2A">
        <w:t>Xen. Hell. 1.5) Destroyed over half of the Peloponnesian fleet, proving Athenian naval supremacy. (Dillon &amp; Garland 2013: 482) The loss of the survivors led 6 of the generals to be executed, with most of the rest fleeing into exile, Athens lost most of its best military leaders. (Hanson 2005: 282)</w:t>
      </w:r>
    </w:p>
    <w:p w:rsidR="003A175E" w:rsidRPr="00660179" w:rsidRDefault="003A175E" w:rsidP="005D08C0">
      <w:pPr>
        <w:pStyle w:val="ListParagraph"/>
        <w:numPr>
          <w:ilvl w:val="0"/>
          <w:numId w:val="1"/>
        </w:numPr>
        <w:spacing w:line="480" w:lineRule="auto"/>
        <w:rPr>
          <w:b/>
        </w:rPr>
      </w:pPr>
      <w:r>
        <w:rPr>
          <w:b/>
        </w:rPr>
        <w:t xml:space="preserve">Agesilaus of Sparta (444-360 B.C.): </w:t>
      </w:r>
      <w:r>
        <w:t>King of Sparta for 41 years, led campaigns in Phrygia against Persia</w:t>
      </w:r>
      <w:r w:rsidR="001B04A9">
        <w:t xml:space="preserve"> in 395-394 B.C. (Xen. Hell. 4.1) Made king due to his qualities, or potential illegitimacy of Leotychidas. (Dillon &amp; Garland 2013: 133) He had not been expected to become king, so went through the Agoge, like any common Spartan. (Cartledge 2003: 37)</w:t>
      </w:r>
    </w:p>
    <w:p w:rsidR="00AC43FA" w:rsidRPr="00196893" w:rsidRDefault="00AC43FA" w:rsidP="005D08C0">
      <w:pPr>
        <w:pStyle w:val="ListParagraph"/>
        <w:numPr>
          <w:ilvl w:val="0"/>
          <w:numId w:val="1"/>
        </w:numPr>
        <w:spacing w:line="480" w:lineRule="auto"/>
        <w:rPr>
          <w:b/>
          <w:u w:val="single"/>
        </w:rPr>
      </w:pPr>
      <w:r>
        <w:rPr>
          <w:b/>
        </w:rPr>
        <w:t xml:space="preserve">Thirty Tyrants (404 B.C.): </w:t>
      </w:r>
      <w:r>
        <w:t>Established by Lysander, Sparta replaced Athenian democracy with rule by thirty oligarchs. Initially acting with restraint, but eventually executing 1,500 people. (Arist. Ath. Pol. 35</w:t>
      </w:r>
      <w:r w:rsidR="00A0186B">
        <w:t xml:space="preserve">) First policy was to arrest and trial all of those who had acted as informers during the democracy, particularly aristocrats. (Xen. Hell. 2.12) Put to rest notions that sparing Athens was a policy of Spartan generosity </w:t>
      </w:r>
      <w:r w:rsidR="00A0186B" w:rsidRPr="00A0186B">
        <w:rPr>
          <w:noProof/>
        </w:rPr>
        <w:t>(Pomeroy, et al. 2004</w:t>
      </w:r>
      <w:r w:rsidR="00A0186B">
        <w:rPr>
          <w:noProof/>
        </w:rPr>
        <w:t>:</w:t>
      </w:r>
      <w:r w:rsidR="00A0186B" w:rsidRPr="00A0186B">
        <w:rPr>
          <w:noProof/>
        </w:rPr>
        <w:t xml:space="preserve"> 226)</w:t>
      </w:r>
      <w:r w:rsidR="0095106C">
        <w:rPr>
          <w:noProof/>
        </w:rPr>
        <w:t xml:space="preserve"> </w:t>
      </w:r>
      <w:r w:rsidR="009521B8">
        <w:rPr>
          <w:noProof/>
        </w:rPr>
        <w:t xml:space="preserve">King Pausanius eventually allowed democratic exiles to return in 403 and resorted to less harsh methods of control. </w:t>
      </w:r>
      <w:r w:rsidR="009521B8" w:rsidRPr="009521B8">
        <w:rPr>
          <w:noProof/>
        </w:rPr>
        <w:t>(Hornblower 2002</w:t>
      </w:r>
      <w:r w:rsidR="009521B8">
        <w:rPr>
          <w:noProof/>
        </w:rPr>
        <w:t>:</w:t>
      </w:r>
      <w:r w:rsidR="009521B8" w:rsidRPr="009521B8">
        <w:rPr>
          <w:noProof/>
        </w:rPr>
        <w:t xml:space="preserve"> 212)</w:t>
      </w:r>
    </w:p>
    <w:p w:rsidR="00196893" w:rsidRPr="00196893" w:rsidRDefault="00196893" w:rsidP="005D08C0">
      <w:pPr>
        <w:pStyle w:val="ListParagraph"/>
        <w:numPr>
          <w:ilvl w:val="0"/>
          <w:numId w:val="1"/>
        </w:numPr>
        <w:spacing w:line="480" w:lineRule="auto"/>
        <w:rPr>
          <w:b/>
        </w:rPr>
      </w:pPr>
      <w:r w:rsidRPr="00196893">
        <w:rPr>
          <w:b/>
        </w:rPr>
        <w:lastRenderedPageBreak/>
        <w:t>Cyrus Expedition (401 B.C.):</w:t>
      </w:r>
      <w:r>
        <w:rPr>
          <w:b/>
        </w:rPr>
        <w:t xml:space="preserve"> </w:t>
      </w:r>
      <w:r>
        <w:t>Cyrus, brother of Artaxerxes I, invades Persia with the aim of taking power himself. (Xen. Anab. 1.1)</w:t>
      </w:r>
      <w:r w:rsidR="0048328D">
        <w:t xml:space="preserve"> He hired Greek mercenaries, including Xenophon. (Dillon &amp; Garland 2013: 491) Following the death of Cyrus, the Greeks fought their way to the Black Sea coastline, where they considered establishing a colony. (Dillon &amp; Garland 2013: 61) </w:t>
      </w:r>
    </w:p>
    <w:p w:rsidR="00BF3605" w:rsidRPr="00BF3605" w:rsidRDefault="00BF3605" w:rsidP="005D08C0">
      <w:pPr>
        <w:pStyle w:val="ListParagraph"/>
        <w:numPr>
          <w:ilvl w:val="0"/>
          <w:numId w:val="1"/>
        </w:numPr>
        <w:spacing w:line="480" w:lineRule="auto"/>
        <w:rPr>
          <w:b/>
        </w:rPr>
      </w:pPr>
      <w:r w:rsidRPr="00BF3605">
        <w:rPr>
          <w:b/>
        </w:rPr>
        <w:t>Death of Lysander of Sparta (395 B.C.):</w:t>
      </w:r>
      <w:r>
        <w:rPr>
          <w:b/>
        </w:rPr>
        <w:t xml:space="preserve"> </w:t>
      </w:r>
      <w:r>
        <w:t>Died just after the start of war against Thebes</w:t>
      </w:r>
      <w:r w:rsidR="003A175E">
        <w:t xml:space="preserve"> in Haliartos</w:t>
      </w:r>
      <w:r>
        <w:t>. Many blamed him personally for starting this war. (Plut. Lys. 27; Pomeroy et. al. 2004: 231</w:t>
      </w:r>
      <w:r w:rsidR="003A175E">
        <w:t>; Hornblower 2002: 223</w:t>
      </w:r>
      <w:r>
        <w:t xml:space="preserve">) </w:t>
      </w:r>
    </w:p>
    <w:p w:rsidR="00C65C2F" w:rsidRPr="00F31742" w:rsidRDefault="00C65C2F" w:rsidP="005D08C0">
      <w:pPr>
        <w:pStyle w:val="ListParagraph"/>
        <w:numPr>
          <w:ilvl w:val="0"/>
          <w:numId w:val="1"/>
        </w:numPr>
        <w:spacing w:line="480" w:lineRule="auto"/>
        <w:rPr>
          <w:b/>
        </w:rPr>
      </w:pPr>
      <w:r w:rsidRPr="00C65C2F">
        <w:rPr>
          <w:b/>
        </w:rPr>
        <w:t>Corinthian War (395-387 B.C.):</w:t>
      </w:r>
      <w:r>
        <w:rPr>
          <w:b/>
        </w:rPr>
        <w:t xml:space="preserve"> </w:t>
      </w:r>
      <w:r>
        <w:t xml:space="preserve">War between Sparta and a coalition of Corinth, Thebes, Athens and Argos. Caused by local conflicts and </w:t>
      </w:r>
      <w:r w:rsidR="00DC5F07">
        <w:t>hostility towards Spartan expansionism.</w:t>
      </w:r>
      <w:r>
        <w:t xml:space="preserve"> (Xen. Hell.</w:t>
      </w:r>
      <w:r w:rsidR="00DC5F07">
        <w:t xml:space="preserve"> 3.5-5.1; Hornblower 2002: 212) Led to the death of Lysander and the end of Spartan hegemony. (Pomeroy et. al. 2004: </w:t>
      </w:r>
      <w:r w:rsidR="009C125C">
        <w:t>231)</w:t>
      </w:r>
      <w:r w:rsidR="00DC5F07">
        <w:t xml:space="preserve"> </w:t>
      </w:r>
    </w:p>
    <w:p w:rsidR="00F31742" w:rsidRPr="00DD0391" w:rsidRDefault="00F31742" w:rsidP="005D08C0">
      <w:pPr>
        <w:pStyle w:val="ListParagraph"/>
        <w:numPr>
          <w:ilvl w:val="0"/>
          <w:numId w:val="1"/>
        </w:numPr>
        <w:spacing w:line="480" w:lineRule="auto"/>
        <w:rPr>
          <w:b/>
        </w:rPr>
      </w:pPr>
      <w:r>
        <w:rPr>
          <w:b/>
        </w:rPr>
        <w:t xml:space="preserve">King’s Peace (387 B.C.): </w:t>
      </w:r>
      <w:r>
        <w:t>Peace treaty marking the end of the Corinthian War, guaranteed by Artaxerxes II of Persia. (Plut. Ages. 23)</w:t>
      </w:r>
      <w:r w:rsidR="009C06DA">
        <w:t xml:space="preserve"> Differed from prior treaties, in that it did not have a specific time frame. (Rhodes 2010: 229) The king agreed to re-arm and finance Sparta. (Dillon &amp; Garland 2013: 497)</w:t>
      </w:r>
    </w:p>
    <w:p w:rsidR="00DD0391" w:rsidRPr="00D64878" w:rsidRDefault="00DD0391" w:rsidP="005D08C0">
      <w:pPr>
        <w:pStyle w:val="ListParagraph"/>
        <w:numPr>
          <w:ilvl w:val="0"/>
          <w:numId w:val="1"/>
        </w:numPr>
        <w:spacing w:line="480" w:lineRule="auto"/>
        <w:rPr>
          <w:b/>
        </w:rPr>
      </w:pPr>
      <w:r>
        <w:rPr>
          <w:b/>
        </w:rPr>
        <w:t xml:space="preserve">Cadmea Affair (382 B.C.): </w:t>
      </w:r>
      <w:r>
        <w:t xml:space="preserve">Sparta takes over the Theban Cadmea. (Xen. Hell. 4.2) </w:t>
      </w:r>
      <w:r w:rsidR="0049023E">
        <w:t>Came after Thebes refused to serve with Sparta in an expedition against the Olynthians. (Hack 1978: 219) Saw Sparta at the height of their power, with their allies all under control and Athens with no allies. (Dillon &amp; Garland 2013: 498)</w:t>
      </w:r>
    </w:p>
    <w:p w:rsidR="00D64878" w:rsidRPr="00B073B8" w:rsidRDefault="00D64878" w:rsidP="005D08C0">
      <w:pPr>
        <w:pStyle w:val="ListParagraph"/>
        <w:numPr>
          <w:ilvl w:val="0"/>
          <w:numId w:val="1"/>
        </w:numPr>
        <w:spacing w:line="480" w:lineRule="auto"/>
        <w:rPr>
          <w:b/>
        </w:rPr>
      </w:pPr>
      <w:r>
        <w:rPr>
          <w:b/>
        </w:rPr>
        <w:t xml:space="preserve">Satrap’s Revolt (370’s-350’s B.C.): </w:t>
      </w:r>
      <w:r>
        <w:t xml:space="preserve">Revolts of various satraps against Persian rule, under Artaxerxes II. (Diod. 15.90) </w:t>
      </w:r>
      <w:r w:rsidR="00F306C3">
        <w:t>The rebellion failed due to the divisions between the satraps involved. (Rickard 2015)</w:t>
      </w:r>
      <w:r w:rsidR="00A00428">
        <w:t xml:space="preserve"> This marked Sparta’s first anti-Persian act</w:t>
      </w:r>
      <w:r w:rsidR="007D2A9A">
        <w:t xml:space="preserve"> following the King’s Peace, after aiding once Agesilaos went to Egypt in the late 260’s. (Hornblower 2002: 228)</w:t>
      </w:r>
    </w:p>
    <w:p w:rsidR="00B073B8" w:rsidRPr="001B04A9" w:rsidRDefault="00B073B8" w:rsidP="005D08C0">
      <w:pPr>
        <w:pStyle w:val="ListParagraph"/>
        <w:numPr>
          <w:ilvl w:val="0"/>
          <w:numId w:val="1"/>
        </w:numPr>
        <w:spacing w:line="480" w:lineRule="auto"/>
        <w:rPr>
          <w:b/>
        </w:rPr>
      </w:pPr>
      <w:r>
        <w:rPr>
          <w:b/>
        </w:rPr>
        <w:lastRenderedPageBreak/>
        <w:t xml:space="preserve">Foundation of the Second Athenian League (378 B.C.): </w:t>
      </w:r>
      <w:r>
        <w:t xml:space="preserve">Formed after Sparta’s failure in the Spartan-Theban War. Former Spartan allies in Boetia allied themselves with Athens. (Diod. 15.28) The alliance was formed, capitalising on an increasing anti-Spartan atmosphere. (Hornblower 1986: 142) </w:t>
      </w:r>
      <w:r w:rsidR="00FE07A3">
        <w:t>The l</w:t>
      </w:r>
      <w:r>
        <w:t xml:space="preserve">eague </w:t>
      </w:r>
      <w:r w:rsidR="00FE07A3">
        <w:t>decreed that all members remained independent and autonomous. (Pomeroy et. al. 2004: 232)</w:t>
      </w:r>
    </w:p>
    <w:p w:rsidR="001B04A9" w:rsidRPr="006E3C0B" w:rsidRDefault="001B04A9" w:rsidP="005D08C0">
      <w:pPr>
        <w:pStyle w:val="ListParagraph"/>
        <w:numPr>
          <w:ilvl w:val="0"/>
          <w:numId w:val="1"/>
        </w:numPr>
        <w:spacing w:line="480" w:lineRule="auto"/>
        <w:rPr>
          <w:b/>
        </w:rPr>
      </w:pPr>
      <w:r>
        <w:rPr>
          <w:b/>
        </w:rPr>
        <w:t xml:space="preserve">Battle of Leuctra (371 B.C.): </w:t>
      </w:r>
      <w:r>
        <w:t>Battle between Sparta and Thebes</w:t>
      </w:r>
      <w:r w:rsidR="00226E16">
        <w:t>, notable for the unusual placement of the cavalry in front of the phalanx. Sparta were defeated and king Cleombrotus was mortally wounded. (Roberts 2005: 417) The Spartan king was partially blamed for the defeat. (Isoc. 6.9)</w:t>
      </w:r>
      <w:r w:rsidR="003F288A">
        <w:t xml:space="preserve"> Ended the Spartan reputation of invincibility in land battles. (Sealey 1976: 420)</w:t>
      </w:r>
    </w:p>
    <w:p w:rsidR="006E3C0B" w:rsidRPr="00C65C2F" w:rsidRDefault="006E3C0B" w:rsidP="005D08C0">
      <w:pPr>
        <w:pStyle w:val="ListParagraph"/>
        <w:numPr>
          <w:ilvl w:val="0"/>
          <w:numId w:val="1"/>
        </w:numPr>
        <w:spacing w:line="480" w:lineRule="auto"/>
        <w:rPr>
          <w:b/>
        </w:rPr>
      </w:pPr>
      <w:r>
        <w:rPr>
          <w:b/>
        </w:rPr>
        <w:t xml:space="preserve">Theban Hegemony (371-348 B.C.): </w:t>
      </w:r>
      <w:r>
        <w:t>Following the Battle of Leuctra</w:t>
      </w:r>
      <w:r w:rsidR="00F47953">
        <w:t>,</w:t>
      </w:r>
      <w:r>
        <w:t xml:space="preserve"> Thebes had dominant power over Greece. </w:t>
      </w:r>
      <w:r w:rsidR="00F47953">
        <w:t xml:space="preserve">(Hornblower 2002: 243) </w:t>
      </w:r>
      <w:r>
        <w:t xml:space="preserve">They launched many offensives into Corinthian territory. (Xen. Hell. </w:t>
      </w:r>
      <w:r w:rsidR="00F47953">
        <w:t>6.5.35) Ends at the Battle of Chaeronea, when Macedon takes this position, treating Thebes harshly. (Pomeroy et. al. 2004: 265)</w:t>
      </w:r>
    </w:p>
    <w:p w:rsidR="00337464" w:rsidRPr="00FE07A3" w:rsidRDefault="00DD655E" w:rsidP="005D08C0">
      <w:pPr>
        <w:pStyle w:val="ListParagraph"/>
        <w:numPr>
          <w:ilvl w:val="0"/>
          <w:numId w:val="1"/>
        </w:numPr>
        <w:spacing w:line="480" w:lineRule="auto"/>
        <w:rPr>
          <w:b/>
          <w:u w:val="single"/>
        </w:rPr>
      </w:pPr>
      <w:r>
        <w:rPr>
          <w:b/>
        </w:rPr>
        <w:t xml:space="preserve">Second Battle of Mantineia (362 B.C.): </w:t>
      </w:r>
      <w:r w:rsidR="00836EDA">
        <w:t xml:space="preserve">Arcadia had united and, as a state in the centre of the Peloponnese, offered an important point to reduce Spartan domination. (Paus. 8.27) </w:t>
      </w:r>
      <w:r>
        <w:t>Mantineia reconstituted itself after the destruction of their walls in 38</w:t>
      </w:r>
      <w:r w:rsidR="00836EDA">
        <w:t xml:space="preserve">5. Showed that Sparta had lost its military supremacy in the Peloponnese. </w:t>
      </w:r>
      <w:r w:rsidR="00836EDA" w:rsidRPr="00836EDA">
        <w:rPr>
          <w:noProof/>
        </w:rPr>
        <w:t>(Dillon &amp; Garland 2013</w:t>
      </w:r>
      <w:r w:rsidR="00836EDA">
        <w:rPr>
          <w:noProof/>
        </w:rPr>
        <w:t>:</w:t>
      </w:r>
      <w:r w:rsidR="00836EDA" w:rsidRPr="00836EDA">
        <w:rPr>
          <w:noProof/>
        </w:rPr>
        <w:t xml:space="preserve"> 504-505)</w:t>
      </w:r>
      <w:r w:rsidR="00836EDA">
        <w:rPr>
          <w:noProof/>
        </w:rPr>
        <w:t xml:space="preserve"> </w:t>
      </w:r>
      <w:r w:rsidR="00AB2971">
        <w:rPr>
          <w:noProof/>
        </w:rPr>
        <w:t xml:space="preserve">Fought to reject Sparta, rather than  out of loyalty to Thebes. </w:t>
      </w:r>
      <w:r w:rsidR="00AB2971" w:rsidRPr="00AB2971">
        <w:rPr>
          <w:noProof/>
        </w:rPr>
        <w:t>(Hornblower 2002</w:t>
      </w:r>
      <w:r w:rsidR="00AB2971">
        <w:rPr>
          <w:noProof/>
        </w:rPr>
        <w:t>:</w:t>
      </w:r>
      <w:r w:rsidR="00AB2971" w:rsidRPr="00AB2971">
        <w:rPr>
          <w:noProof/>
        </w:rPr>
        <w:t xml:space="preserve"> 258)</w:t>
      </w:r>
      <w:r w:rsidR="00AB2971">
        <w:rPr>
          <w:noProof/>
        </w:rPr>
        <w:t xml:space="preserve"> States were exhausted after constant warfare, so came to terms following this battle, with the exception of Sparta, who remained out of the truce. (Diod. 15.89)</w:t>
      </w:r>
    </w:p>
    <w:p w:rsidR="00FE07A3" w:rsidRPr="008A7D7E" w:rsidRDefault="00FE07A3" w:rsidP="005D08C0">
      <w:pPr>
        <w:pStyle w:val="ListParagraph"/>
        <w:numPr>
          <w:ilvl w:val="0"/>
          <w:numId w:val="1"/>
        </w:numPr>
        <w:spacing w:line="480" w:lineRule="auto"/>
        <w:rPr>
          <w:b/>
        </w:rPr>
      </w:pPr>
      <w:r w:rsidRPr="00FE07A3">
        <w:rPr>
          <w:b/>
        </w:rPr>
        <w:t>Social War (357-355 B.C.):</w:t>
      </w:r>
      <w:r>
        <w:rPr>
          <w:b/>
        </w:rPr>
        <w:t xml:space="preserve"> </w:t>
      </w:r>
      <w:r>
        <w:t xml:space="preserve">A war between Athens and other members of the Second Athenian League. (Diod. 16.21) The Athenian Navy struggled with poorly equipped </w:t>
      </w:r>
      <w:r>
        <w:lastRenderedPageBreak/>
        <w:t>ships. (Hornblower 2002: 265) Weakened Athens enough to pave the way for Macedonian expansion into</w:t>
      </w:r>
      <w:r w:rsidR="00BF3605">
        <w:t xml:space="preserve"> the Aegean and</w:t>
      </w:r>
      <w:r>
        <w:t xml:space="preserve"> Thessaly. (</w:t>
      </w:r>
      <w:r w:rsidR="00BF3605">
        <w:t>Sealey 1976: 438)</w:t>
      </w:r>
    </w:p>
    <w:p w:rsidR="008A7D7E" w:rsidRPr="00FE07A3" w:rsidRDefault="008A7D7E" w:rsidP="005D08C0">
      <w:pPr>
        <w:pStyle w:val="ListParagraph"/>
        <w:numPr>
          <w:ilvl w:val="0"/>
          <w:numId w:val="1"/>
        </w:numPr>
        <w:spacing w:line="480" w:lineRule="auto"/>
        <w:rPr>
          <w:b/>
        </w:rPr>
      </w:pPr>
      <w:r>
        <w:rPr>
          <w:b/>
        </w:rPr>
        <w:t xml:space="preserve">Third Sacred War (356-346 B.C.): </w:t>
      </w:r>
      <w:r>
        <w:t>War initially between Thebes and the Phocians after the Phocians seized Delphi, refusing to pay a large fine. Ended by Philip II of Macedon. (Diod. 16.23-25; 31) Gave the pretext for Macedonian expansion into central Greece and the end of Theban power. (Dillon &amp; Garland 2013: 517) Showed Macedon to be a more capable fighting force than Thebes</w:t>
      </w:r>
      <w:r w:rsidR="00B6331E">
        <w:t>. (Hornblower 2002: 268-9)</w:t>
      </w:r>
    </w:p>
    <w:p w:rsidR="00546528" w:rsidRPr="00084553" w:rsidRDefault="00546528" w:rsidP="005D08C0">
      <w:pPr>
        <w:pStyle w:val="ListParagraph"/>
        <w:numPr>
          <w:ilvl w:val="0"/>
          <w:numId w:val="1"/>
        </w:numPr>
        <w:spacing w:line="480" w:lineRule="auto"/>
        <w:rPr>
          <w:b/>
          <w:u w:val="single"/>
        </w:rPr>
      </w:pPr>
      <w:r>
        <w:rPr>
          <w:b/>
        </w:rPr>
        <w:t>Aristotle (384-322 B.C.):</w:t>
      </w:r>
      <w:r>
        <w:t xml:space="preserve"> </w:t>
      </w:r>
      <w:r w:rsidR="00247573">
        <w:t xml:space="preserve">Studied the natural world and gave it systematic explanations. Not interesting in experimenting, believes that item reveal their natures best in their natural environments, rather than artificial environments. </w:t>
      </w:r>
      <w:r w:rsidR="00247573" w:rsidRPr="00247573">
        <w:rPr>
          <w:noProof/>
        </w:rPr>
        <w:t>(Annas 1986</w:t>
      </w:r>
      <w:r w:rsidR="00247573">
        <w:rPr>
          <w:noProof/>
        </w:rPr>
        <w:t>:</w:t>
      </w:r>
      <w:r w:rsidR="00247573" w:rsidRPr="00247573">
        <w:rPr>
          <w:noProof/>
        </w:rPr>
        <w:t xml:space="preserve"> 239-246)</w:t>
      </w:r>
      <w:r w:rsidR="00937B93">
        <w:rPr>
          <w:noProof/>
        </w:rPr>
        <w:t xml:space="preserve"> Seceded from Plato’s academy while Plato was still alive</w:t>
      </w:r>
      <w:r w:rsidR="00A82548">
        <w:rPr>
          <w:noProof/>
        </w:rPr>
        <w:t>.</w:t>
      </w:r>
      <w:r w:rsidR="00937B93">
        <w:rPr>
          <w:noProof/>
        </w:rPr>
        <w:t xml:space="preserve"> (D. L. 5.1.2)</w:t>
      </w:r>
      <w:r w:rsidR="00A82548">
        <w:rPr>
          <w:noProof/>
        </w:rPr>
        <w:t xml:space="preserve"> Taught Alexander the Great. (D. L. 5.3.4) </w:t>
      </w:r>
      <w:r w:rsidR="0031409C">
        <w:rPr>
          <w:noProof/>
        </w:rPr>
        <w:t xml:space="preserve">Had a desire to classify things such as animals and political systems. </w:t>
      </w:r>
      <w:r w:rsidR="0031409C" w:rsidRPr="0031409C">
        <w:rPr>
          <w:noProof/>
        </w:rPr>
        <w:t>(Pomeroy, et al. 2004</w:t>
      </w:r>
      <w:r w:rsidR="0031409C">
        <w:rPr>
          <w:noProof/>
        </w:rPr>
        <w:t>: 249</w:t>
      </w:r>
      <w:r w:rsidR="0031409C" w:rsidRPr="0031409C">
        <w:rPr>
          <w:noProof/>
        </w:rPr>
        <w:t>)</w:t>
      </w:r>
    </w:p>
    <w:p w:rsidR="00084553" w:rsidRPr="00EA16C9" w:rsidRDefault="00084553" w:rsidP="005D08C0">
      <w:pPr>
        <w:pStyle w:val="ListParagraph"/>
        <w:numPr>
          <w:ilvl w:val="0"/>
          <w:numId w:val="1"/>
        </w:numPr>
        <w:spacing w:line="480" w:lineRule="auto"/>
        <w:rPr>
          <w:b/>
        </w:rPr>
      </w:pPr>
      <w:r w:rsidRPr="00084553">
        <w:rPr>
          <w:b/>
        </w:rPr>
        <w:t>Battle of Chaeronea (338 B.C.):</w:t>
      </w:r>
      <w:r>
        <w:rPr>
          <w:b/>
        </w:rPr>
        <w:t xml:space="preserve"> </w:t>
      </w:r>
      <w:r>
        <w:t>Fought between Macedonia and an alliance of states led by Athens and Thebes. Resulted in victory for the Macedonians</w:t>
      </w:r>
      <w:r w:rsidR="00EA16C9">
        <w:t xml:space="preserve"> and the destruction of the previously thought to be invincible Sacred Band. (Diod. 16.86; Plut. Pel. 18) The future Alexander the Great commanded the left flank of Macedonian forces. (Plut. Alex. 9) The Greek alliance had no leaders to match Philip and Alexander yet managed to hold out for a long time. (Dillon &amp; Garland 2013: 525) Following the battle, resistance to Macedonian rule would have been futile. (Pomeroy et. al. 2004: 264)</w:t>
      </w:r>
    </w:p>
    <w:p w:rsidR="00EA16C9" w:rsidRPr="00084553" w:rsidRDefault="00EA16C9" w:rsidP="005D08C0">
      <w:pPr>
        <w:pStyle w:val="ListParagraph"/>
        <w:numPr>
          <w:ilvl w:val="0"/>
          <w:numId w:val="1"/>
        </w:numPr>
        <w:spacing w:line="480" w:lineRule="auto"/>
        <w:rPr>
          <w:b/>
        </w:rPr>
      </w:pPr>
      <w:r>
        <w:rPr>
          <w:b/>
        </w:rPr>
        <w:t xml:space="preserve">Demosthenes the Orator (384-322 B.C.): </w:t>
      </w:r>
      <w:r w:rsidR="00F54AD2">
        <w:t>The ‘standard of oratory’, (Quint. Inst. 10.1.76)</w:t>
      </w:r>
      <w:r w:rsidR="00655C2E">
        <w:t xml:space="preserve"> Known for his opposition to Philip and Macedon. (Dillon &amp; Garland 2013: 523)</w:t>
      </w:r>
      <w:r w:rsidR="00A42576">
        <w:t xml:space="preserve"> His efforts were almost successful, referring to Philip as a ‘barbarian’. (Hornblower 1986: 148)</w:t>
      </w:r>
    </w:p>
    <w:p w:rsidR="00B6331E" w:rsidRPr="00B6331E" w:rsidRDefault="00B6331E" w:rsidP="005D08C0">
      <w:pPr>
        <w:pStyle w:val="ListParagraph"/>
        <w:numPr>
          <w:ilvl w:val="0"/>
          <w:numId w:val="1"/>
        </w:numPr>
        <w:spacing w:line="480" w:lineRule="auto"/>
        <w:rPr>
          <w:b/>
        </w:rPr>
      </w:pPr>
      <w:r w:rsidRPr="00B6331E">
        <w:rPr>
          <w:b/>
        </w:rPr>
        <w:lastRenderedPageBreak/>
        <w:t>League of Corinth (338/7 B.C.)</w:t>
      </w:r>
      <w:r>
        <w:rPr>
          <w:b/>
        </w:rPr>
        <w:t xml:space="preserve">: </w:t>
      </w:r>
      <w:r>
        <w:t>Anti-Persian alliance set up by Philip II after the Battle of Chaeronea. (Diod. 16.89) Left Macedonia in charge of Greek affairs. (Dillon &amp; Garland 2013: 490) Members swore a perpetual allegiance to the Kingdom of Macedon. (</w:t>
      </w:r>
      <w:r w:rsidR="00084553">
        <w:t>Rhodes 2010: 358)</w:t>
      </w:r>
    </w:p>
    <w:p w:rsidR="00D7459F" w:rsidRDefault="00D7459F" w:rsidP="005D08C0">
      <w:pPr>
        <w:tabs>
          <w:tab w:val="left" w:pos="1140"/>
        </w:tabs>
        <w:spacing w:line="480" w:lineRule="auto"/>
        <w:rPr>
          <w:u w:val="single"/>
        </w:rPr>
      </w:pPr>
    </w:p>
    <w:p w:rsidR="00D7459F" w:rsidRDefault="00D7459F" w:rsidP="005D08C0">
      <w:pPr>
        <w:tabs>
          <w:tab w:val="left" w:pos="1140"/>
        </w:tabs>
        <w:spacing w:line="480" w:lineRule="auto"/>
        <w:rPr>
          <w:u w:val="single"/>
        </w:rPr>
      </w:pPr>
    </w:p>
    <w:p w:rsidR="00D7459F" w:rsidRDefault="00D7459F" w:rsidP="005D08C0">
      <w:pPr>
        <w:tabs>
          <w:tab w:val="left" w:pos="1140"/>
        </w:tabs>
        <w:spacing w:line="480" w:lineRule="auto"/>
        <w:rPr>
          <w:u w:val="single"/>
        </w:rPr>
      </w:pPr>
    </w:p>
    <w:p w:rsidR="00D7459F" w:rsidRDefault="00D7459F" w:rsidP="005D08C0">
      <w:pPr>
        <w:tabs>
          <w:tab w:val="left" w:pos="1140"/>
        </w:tabs>
        <w:spacing w:line="480" w:lineRule="auto"/>
        <w:rPr>
          <w:u w:val="single"/>
        </w:rPr>
      </w:pPr>
    </w:p>
    <w:p w:rsidR="00D7459F" w:rsidRDefault="00D7459F" w:rsidP="005D08C0">
      <w:pPr>
        <w:tabs>
          <w:tab w:val="left" w:pos="1140"/>
        </w:tabs>
        <w:spacing w:line="480" w:lineRule="auto"/>
        <w:rPr>
          <w:u w:val="single"/>
        </w:rPr>
      </w:pPr>
    </w:p>
    <w:p w:rsidR="00D7459F" w:rsidRDefault="00D7459F" w:rsidP="005D08C0">
      <w:pPr>
        <w:tabs>
          <w:tab w:val="left" w:pos="1140"/>
        </w:tabs>
        <w:spacing w:line="480" w:lineRule="auto"/>
        <w:rPr>
          <w:u w:val="single"/>
        </w:rPr>
      </w:pPr>
    </w:p>
    <w:p w:rsidR="00647AE0" w:rsidRDefault="00647AE0" w:rsidP="005D08C0">
      <w:pPr>
        <w:tabs>
          <w:tab w:val="left" w:pos="1140"/>
        </w:tabs>
        <w:spacing w:line="480" w:lineRule="auto"/>
        <w:rPr>
          <w:u w:val="single"/>
        </w:rPr>
      </w:pPr>
    </w:p>
    <w:p w:rsidR="00337464" w:rsidRDefault="00337464" w:rsidP="005D08C0">
      <w:pPr>
        <w:tabs>
          <w:tab w:val="left" w:pos="1140"/>
        </w:tabs>
        <w:spacing w:line="480" w:lineRule="auto"/>
        <w:rPr>
          <w:u w:val="single"/>
        </w:rPr>
      </w:pPr>
      <w:r>
        <w:rPr>
          <w:u w:val="single"/>
        </w:rPr>
        <w:t>Appendix</w:t>
      </w:r>
    </w:p>
    <w:p w:rsidR="007D1775" w:rsidRDefault="007D1775" w:rsidP="005D08C0">
      <w:pPr>
        <w:keepNext/>
        <w:tabs>
          <w:tab w:val="left" w:pos="1140"/>
        </w:tabs>
        <w:spacing w:line="480" w:lineRule="auto"/>
      </w:pPr>
      <w:r w:rsidRPr="007D1775">
        <w:rPr>
          <w:noProof/>
        </w:rPr>
        <w:lastRenderedPageBreak/>
        <w:drawing>
          <wp:inline distT="0" distB="0" distL="0" distR="0" wp14:anchorId="6749B904" wp14:editId="3641A846">
            <wp:extent cx="2447925" cy="3347732"/>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65123" cy="3371252"/>
                    </a:xfrm>
                    <a:prstGeom prst="rect">
                      <a:avLst/>
                    </a:prstGeom>
                  </pic:spPr>
                </pic:pic>
              </a:graphicData>
            </a:graphic>
          </wp:inline>
        </w:drawing>
      </w:r>
    </w:p>
    <w:p w:rsidR="007D1775" w:rsidRDefault="007D1775" w:rsidP="005D08C0">
      <w:pPr>
        <w:pStyle w:val="Caption"/>
        <w:spacing w:line="480" w:lineRule="auto"/>
      </w:pPr>
      <w:r>
        <w:t xml:space="preserve">Figure </w:t>
      </w:r>
      <w:r w:rsidR="00F449AA">
        <w:fldChar w:fldCharType="begin"/>
      </w:r>
      <w:r w:rsidR="00F449AA">
        <w:instrText xml:space="preserve"> SEQ Figure \* ARABIC </w:instrText>
      </w:r>
      <w:r w:rsidR="00F449AA">
        <w:fldChar w:fldCharType="separate"/>
      </w:r>
      <w:r>
        <w:rPr>
          <w:noProof/>
        </w:rPr>
        <w:t>1</w:t>
      </w:r>
      <w:r w:rsidR="00F449AA">
        <w:rPr>
          <w:noProof/>
        </w:rPr>
        <w:fldChar w:fldCharType="end"/>
      </w:r>
      <w:r>
        <w:t xml:space="preserve">: </w:t>
      </w:r>
      <w:r w:rsidRPr="00E154D9">
        <w:t>Walters Art Museum [Public domain, CC BY-SA 3.0 (https://creativecommons.org/licenses/by-sa/3.0) or GFDL (http://www.gnu.org/copyleft/fdl.html)], via Wikimedia Commons</w:t>
      </w:r>
    </w:p>
    <w:p w:rsidR="007D1775" w:rsidRDefault="007D1775" w:rsidP="005D08C0">
      <w:pPr>
        <w:keepNext/>
        <w:tabs>
          <w:tab w:val="left" w:pos="1140"/>
        </w:tabs>
        <w:spacing w:line="480" w:lineRule="auto"/>
      </w:pPr>
    </w:p>
    <w:p w:rsidR="00337464" w:rsidRDefault="00337464" w:rsidP="005D08C0">
      <w:pPr>
        <w:keepNext/>
        <w:tabs>
          <w:tab w:val="left" w:pos="1140"/>
        </w:tabs>
        <w:spacing w:line="480" w:lineRule="auto"/>
      </w:pPr>
      <w:r>
        <w:rPr>
          <w:noProof/>
        </w:rPr>
        <w:drawing>
          <wp:inline distT="0" distB="0" distL="0" distR="0" wp14:anchorId="35694CD0" wp14:editId="6C3611A3">
            <wp:extent cx="2421731" cy="3228975"/>
            <wp:effectExtent l="0" t="0" r="0" b="0"/>
            <wp:docPr id="2" name="Picture 2" descr="File:Crater, red figure, Herakles, AM Agrigento, 120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le:Crater, red figure, Herakles, AM Agrigento, 12098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27324" cy="3236432"/>
                    </a:xfrm>
                    <a:prstGeom prst="rect">
                      <a:avLst/>
                    </a:prstGeom>
                    <a:noFill/>
                    <a:ln>
                      <a:noFill/>
                    </a:ln>
                  </pic:spPr>
                </pic:pic>
              </a:graphicData>
            </a:graphic>
          </wp:inline>
        </w:drawing>
      </w:r>
    </w:p>
    <w:p w:rsidR="00DD655E" w:rsidRDefault="00337464" w:rsidP="005D08C0">
      <w:pPr>
        <w:pStyle w:val="Caption"/>
        <w:spacing w:line="480" w:lineRule="auto"/>
      </w:pPr>
      <w:r>
        <w:t>Figure</w:t>
      </w:r>
      <w:r w:rsidR="007D1775">
        <w:t xml:space="preserve"> 2</w:t>
      </w:r>
      <w:r>
        <w:t xml:space="preserve">: </w:t>
      </w:r>
      <w:r w:rsidRPr="002F711A">
        <w:t>Crater in red figure. Probably Herakles. Greek classic era. Archaeological Museum of Agrigento</w:t>
      </w:r>
      <w:r>
        <w:t xml:space="preserve">, </w:t>
      </w:r>
      <w:r w:rsidRPr="002F711A">
        <w:t>By Zde (Own work) [CC BY-SA 4.0 (https://creativecommons.org/licenses/by-sa/4.0)], via Wikimedia Commons</w:t>
      </w:r>
    </w:p>
    <w:p w:rsidR="00AD7F44" w:rsidRDefault="00AD7F44" w:rsidP="005D08C0">
      <w:pPr>
        <w:keepNext/>
        <w:spacing w:line="480" w:lineRule="auto"/>
      </w:pPr>
      <w:r>
        <w:rPr>
          <w:noProof/>
        </w:rPr>
        <w:lastRenderedPageBreak/>
        <w:drawing>
          <wp:inline distT="0" distB="0" distL="0" distR="0" wp14:anchorId="4D1C2A6F" wp14:editId="00E007FA">
            <wp:extent cx="3200093" cy="2400070"/>
            <wp:effectExtent l="0" t="0" r="635" b="635"/>
            <wp:docPr id="1026" name="Picture 2" descr="E:\Photo Archive\GR Greece\GR02 Attika\GR02A Athens Center\GR02A02 AGORA and museum\PICT26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E:\Photo Archive\GR Greece\GR02 Attika\GR02A Athens Center\GR02A02 AGORA and museum\PICT267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0093" cy="240007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AD7F44" w:rsidRPr="00AD7F44" w:rsidRDefault="00AD7F44" w:rsidP="005D08C0">
      <w:pPr>
        <w:pStyle w:val="Caption"/>
        <w:spacing w:line="480" w:lineRule="auto"/>
      </w:pPr>
      <w:r>
        <w:t xml:space="preserve">Figure </w:t>
      </w:r>
      <w:r w:rsidR="007D1775">
        <w:t>3</w:t>
      </w:r>
      <w:r>
        <w:t xml:space="preserve">: </w:t>
      </w:r>
      <w:r w:rsidRPr="009E3DA3">
        <w:t>Ostraka. © E. Bissa. Apr 2016, Agora Museum, Athens.</w:t>
      </w:r>
    </w:p>
    <w:p w:rsidR="00DD655E" w:rsidRDefault="00DD655E" w:rsidP="005D08C0">
      <w:pPr>
        <w:spacing w:line="480" w:lineRule="auto"/>
      </w:pPr>
    </w:p>
    <w:p w:rsidR="00DD655E" w:rsidRPr="00D56CF7" w:rsidRDefault="00DD655E" w:rsidP="005D08C0">
      <w:pPr>
        <w:spacing w:line="480" w:lineRule="auto"/>
        <w:rPr>
          <w:rFonts w:asciiTheme="majorHAnsi" w:hAnsiTheme="majorHAnsi" w:cstheme="majorHAnsi"/>
          <w:b/>
          <w:color w:val="2F5496" w:themeColor="accent1" w:themeShade="BF"/>
          <w:sz w:val="32"/>
          <w:szCs w:val="32"/>
        </w:rPr>
      </w:pPr>
      <w:r w:rsidRPr="00D56CF7">
        <w:rPr>
          <w:rFonts w:asciiTheme="majorHAnsi" w:hAnsiTheme="majorHAnsi" w:cstheme="majorHAnsi"/>
          <w:b/>
          <w:color w:val="2F5496" w:themeColor="accent1" w:themeShade="BF"/>
          <w:sz w:val="32"/>
          <w:szCs w:val="32"/>
        </w:rPr>
        <w:t>Bibliography</w:t>
      </w:r>
    </w:p>
    <w:p w:rsidR="00937B93" w:rsidRPr="00D56CF7" w:rsidRDefault="00377423" w:rsidP="005D08C0">
      <w:pPr>
        <w:spacing w:line="480" w:lineRule="auto"/>
        <w:rPr>
          <w:rFonts w:asciiTheme="majorHAnsi" w:hAnsiTheme="majorHAnsi" w:cstheme="majorHAnsi"/>
          <w:color w:val="2F5496" w:themeColor="accent1" w:themeShade="BF"/>
          <w:sz w:val="32"/>
          <w:szCs w:val="32"/>
        </w:rPr>
      </w:pPr>
      <w:r>
        <w:rPr>
          <w:rFonts w:asciiTheme="majorHAnsi" w:hAnsiTheme="majorHAnsi" w:cstheme="majorHAnsi"/>
          <w:color w:val="2F5496" w:themeColor="accent1" w:themeShade="BF"/>
          <w:sz w:val="32"/>
          <w:szCs w:val="32"/>
        </w:rPr>
        <w:t>Ancient Sources</w:t>
      </w:r>
    </w:p>
    <w:p w:rsidR="001823F1" w:rsidRDefault="001823F1" w:rsidP="005D08C0">
      <w:pPr>
        <w:spacing w:line="480" w:lineRule="auto"/>
        <w:rPr>
          <w:rFonts w:cs="Times New Roman"/>
          <w:color w:val="000000"/>
        </w:rPr>
      </w:pPr>
      <w:r>
        <w:rPr>
          <w:rFonts w:cs="Times New Roman"/>
          <w:color w:val="000000"/>
        </w:rPr>
        <w:t xml:space="preserve">Aristotle. </w:t>
      </w:r>
      <w:r>
        <w:rPr>
          <w:rFonts w:cs="Times New Roman"/>
          <w:i/>
          <w:color w:val="000000"/>
        </w:rPr>
        <w:t>Politics: The Athenian Constitution.</w:t>
      </w:r>
      <w:r>
        <w:rPr>
          <w:rFonts w:cs="Times New Roman"/>
          <w:color w:val="000000"/>
        </w:rPr>
        <w:t xml:space="preserve"> John Warrington (trans.). 1970. London: Heron Books.</w:t>
      </w:r>
    </w:p>
    <w:p w:rsidR="00EE443E" w:rsidRPr="00EE443E" w:rsidRDefault="00EE443E" w:rsidP="005D08C0">
      <w:pPr>
        <w:spacing w:line="480" w:lineRule="auto"/>
        <w:rPr>
          <w:rFonts w:cs="Times New Roman"/>
          <w:color w:val="000000"/>
        </w:rPr>
      </w:pPr>
      <w:r>
        <w:rPr>
          <w:rFonts w:cs="Times New Roman"/>
          <w:color w:val="000000"/>
        </w:rPr>
        <w:t xml:space="preserve">Cicero. </w:t>
      </w:r>
      <w:r>
        <w:rPr>
          <w:rFonts w:cs="Times New Roman"/>
          <w:i/>
          <w:color w:val="000000"/>
        </w:rPr>
        <w:t>The Republic and The Laws</w:t>
      </w:r>
      <w:r>
        <w:rPr>
          <w:rFonts w:cs="Times New Roman"/>
          <w:color w:val="000000"/>
        </w:rPr>
        <w:t>. Niall Rudd (trans.). 2008. Oxford: Oxford University Press.</w:t>
      </w:r>
    </w:p>
    <w:p w:rsidR="001823F1" w:rsidRPr="001823F1" w:rsidRDefault="001823F1" w:rsidP="005D08C0">
      <w:pPr>
        <w:spacing w:line="480" w:lineRule="auto"/>
        <w:rPr>
          <w:rFonts w:cs="Times New Roman"/>
          <w:color w:val="000000"/>
        </w:rPr>
      </w:pPr>
      <w:r>
        <w:rPr>
          <w:rFonts w:cs="Times New Roman"/>
          <w:color w:val="000000"/>
        </w:rPr>
        <w:t xml:space="preserve">Diodorus Siculus. </w:t>
      </w:r>
      <w:r>
        <w:rPr>
          <w:rFonts w:cs="Times New Roman"/>
          <w:i/>
          <w:color w:val="000000"/>
        </w:rPr>
        <w:t>Diodorus of Sicily in Twelve Volumes</w:t>
      </w:r>
      <w:r>
        <w:rPr>
          <w:rFonts w:cs="Times New Roman"/>
          <w:color w:val="000000"/>
        </w:rPr>
        <w:t>. C.H. Oldfather (trans.). 1989. Cambridge, MA: Harvard University Press; London: William Heinemann. (Perseus)</w:t>
      </w:r>
      <w:r w:rsidR="001B7BEE">
        <w:rPr>
          <w:rFonts w:cs="Times New Roman"/>
          <w:color w:val="000000"/>
        </w:rPr>
        <w:t>.</w:t>
      </w:r>
    </w:p>
    <w:p w:rsidR="00937B93" w:rsidRDefault="00937B93" w:rsidP="005D08C0">
      <w:pPr>
        <w:spacing w:line="480" w:lineRule="auto"/>
        <w:rPr>
          <w:rFonts w:cs="Times New Roman"/>
          <w:color w:val="000000"/>
        </w:rPr>
      </w:pPr>
      <w:r>
        <w:rPr>
          <w:rFonts w:cs="Times New Roman"/>
          <w:color w:val="000000"/>
        </w:rPr>
        <w:t xml:space="preserve">Diogenes Laertius. </w:t>
      </w:r>
      <w:r>
        <w:rPr>
          <w:rFonts w:cs="Times New Roman"/>
          <w:i/>
          <w:color w:val="000000"/>
        </w:rPr>
        <w:t>Lives of Eminent Philosophers.</w:t>
      </w:r>
      <w:r>
        <w:rPr>
          <w:rFonts w:cs="Times New Roman"/>
          <w:color w:val="000000"/>
        </w:rPr>
        <w:t xml:space="preserve"> R.D. Hicks (trans.). 1972. Cambridge: Harvard University Press.</w:t>
      </w:r>
      <w:r w:rsidR="001823F1">
        <w:rPr>
          <w:rFonts w:cs="Times New Roman"/>
          <w:color w:val="000000"/>
        </w:rPr>
        <w:t xml:space="preserve"> (Perseus)</w:t>
      </w:r>
      <w:r w:rsidR="001B7BEE">
        <w:rPr>
          <w:rFonts w:cs="Times New Roman"/>
          <w:color w:val="000000"/>
        </w:rPr>
        <w:t>.</w:t>
      </w:r>
    </w:p>
    <w:p w:rsidR="00937B93" w:rsidRDefault="00937B93" w:rsidP="005D08C0">
      <w:pPr>
        <w:spacing w:line="480" w:lineRule="auto"/>
        <w:rPr>
          <w:rFonts w:cs="Times New Roman"/>
          <w:color w:val="000000"/>
        </w:rPr>
      </w:pPr>
      <w:r>
        <w:rPr>
          <w:rFonts w:cs="Times New Roman"/>
          <w:color w:val="000000"/>
        </w:rPr>
        <w:t>Herodotus</w:t>
      </w:r>
      <w:r w:rsidR="001823F1">
        <w:rPr>
          <w:rFonts w:cs="Times New Roman"/>
          <w:color w:val="000000"/>
        </w:rPr>
        <w:t xml:space="preserve">. </w:t>
      </w:r>
      <w:r w:rsidR="001823F1">
        <w:rPr>
          <w:rFonts w:cs="Times New Roman"/>
          <w:i/>
          <w:color w:val="000000"/>
        </w:rPr>
        <w:t>Histories.</w:t>
      </w:r>
      <w:r w:rsidR="001823F1">
        <w:rPr>
          <w:rFonts w:cs="Times New Roman"/>
          <w:color w:val="000000"/>
        </w:rPr>
        <w:t xml:space="preserve"> George Rawlinson (trans.). 1996 (1858). Ware: Wordsworth Editions.</w:t>
      </w:r>
    </w:p>
    <w:p w:rsidR="001823F1" w:rsidRDefault="001823F1" w:rsidP="005D08C0">
      <w:pPr>
        <w:spacing w:line="480" w:lineRule="auto"/>
        <w:rPr>
          <w:rFonts w:cs="Times New Roman"/>
          <w:color w:val="000000"/>
        </w:rPr>
      </w:pPr>
      <w:r>
        <w:rPr>
          <w:rFonts w:cs="Times New Roman"/>
          <w:color w:val="000000"/>
        </w:rPr>
        <w:t xml:space="preserve">Herodotus. </w:t>
      </w:r>
      <w:r>
        <w:rPr>
          <w:rFonts w:cs="Times New Roman"/>
          <w:i/>
          <w:color w:val="000000"/>
        </w:rPr>
        <w:t>The Histories.</w:t>
      </w:r>
      <w:r>
        <w:rPr>
          <w:rFonts w:cs="Times New Roman"/>
          <w:color w:val="000000"/>
        </w:rPr>
        <w:t xml:space="preserve"> Robin Waterfield (trans.). 2008. Oxford: Oxford University Press.</w:t>
      </w:r>
    </w:p>
    <w:p w:rsidR="00226E16" w:rsidRPr="00226E16" w:rsidRDefault="00226E16" w:rsidP="005D08C0">
      <w:pPr>
        <w:spacing w:line="480" w:lineRule="auto"/>
        <w:rPr>
          <w:rFonts w:cs="Times New Roman"/>
          <w:color w:val="000000"/>
        </w:rPr>
      </w:pPr>
      <w:r>
        <w:rPr>
          <w:rFonts w:cs="Times New Roman"/>
          <w:color w:val="000000"/>
        </w:rPr>
        <w:lastRenderedPageBreak/>
        <w:t xml:space="preserve">Isocrates. </w:t>
      </w:r>
      <w:r w:rsidRPr="00226E16">
        <w:rPr>
          <w:rFonts w:cs="Times New Roman"/>
          <w:i/>
          <w:color w:val="000000"/>
        </w:rPr>
        <w:t>Isocrates with an English Translation in three volumes</w:t>
      </w:r>
      <w:r>
        <w:rPr>
          <w:rFonts w:cs="Times New Roman"/>
          <w:i/>
          <w:color w:val="000000"/>
        </w:rPr>
        <w:t>.</w:t>
      </w:r>
      <w:r>
        <w:rPr>
          <w:rFonts w:cs="Times New Roman"/>
          <w:color w:val="000000"/>
        </w:rPr>
        <w:t xml:space="preserve"> George Norlin (trans.). 1980. </w:t>
      </w:r>
      <w:r w:rsidRPr="00226E16">
        <w:rPr>
          <w:rFonts w:cs="Times New Roman"/>
          <w:color w:val="000000"/>
        </w:rPr>
        <w:t>Cambridge, MA</w:t>
      </w:r>
      <w:r>
        <w:rPr>
          <w:rFonts w:cs="Times New Roman"/>
          <w:color w:val="000000"/>
        </w:rPr>
        <w:t>:</w:t>
      </w:r>
      <w:r w:rsidRPr="00226E16">
        <w:rPr>
          <w:rFonts w:cs="Times New Roman"/>
          <w:color w:val="000000"/>
        </w:rPr>
        <w:t xml:space="preserve"> Harvard University Press; London</w:t>
      </w:r>
      <w:r>
        <w:rPr>
          <w:rFonts w:cs="Times New Roman"/>
          <w:color w:val="000000"/>
        </w:rPr>
        <w:t>:</w:t>
      </w:r>
      <w:r w:rsidRPr="00226E16">
        <w:rPr>
          <w:rFonts w:cs="Times New Roman"/>
          <w:color w:val="000000"/>
        </w:rPr>
        <w:t xml:space="preserve"> William Heinemann Ltd.</w:t>
      </w:r>
      <w:r>
        <w:rPr>
          <w:rFonts w:cs="Times New Roman"/>
          <w:color w:val="000000"/>
        </w:rPr>
        <w:t xml:space="preserve"> (Perseus)</w:t>
      </w:r>
      <w:r w:rsidR="001B7BEE">
        <w:rPr>
          <w:rFonts w:cs="Times New Roman"/>
          <w:color w:val="000000"/>
        </w:rPr>
        <w:t>.</w:t>
      </w:r>
    </w:p>
    <w:p w:rsidR="00836EDA" w:rsidRDefault="00836EDA" w:rsidP="005D08C0">
      <w:pPr>
        <w:spacing w:line="480" w:lineRule="auto"/>
        <w:rPr>
          <w:rFonts w:cs="Times New Roman"/>
          <w:color w:val="000000"/>
        </w:rPr>
      </w:pPr>
      <w:r w:rsidRPr="00D56CF7">
        <w:rPr>
          <w:rFonts w:cs="Times New Roman"/>
          <w:color w:val="000000"/>
        </w:rPr>
        <w:t xml:space="preserve">Pausanias. </w:t>
      </w:r>
      <w:r w:rsidRPr="00D56CF7">
        <w:rPr>
          <w:rFonts w:cs="Times New Roman"/>
          <w:i/>
          <w:color w:val="000000"/>
        </w:rPr>
        <w:t>Description of Greece</w:t>
      </w:r>
      <w:r w:rsidRPr="00D56CF7">
        <w:rPr>
          <w:rFonts w:cs="Times New Roman"/>
          <w:color w:val="000000"/>
        </w:rPr>
        <w:t>. W.H.S. Jones, Litt.D. and H.A. Ormerod, M.A.</w:t>
      </w:r>
      <w:r w:rsidR="0094621E" w:rsidRPr="00D56CF7">
        <w:rPr>
          <w:rFonts w:cs="Times New Roman"/>
          <w:color w:val="000000"/>
        </w:rPr>
        <w:t xml:space="preserve"> (trans.). 1918.</w:t>
      </w:r>
      <w:r w:rsidRPr="00D56CF7">
        <w:rPr>
          <w:rFonts w:cs="Times New Roman"/>
          <w:color w:val="000000"/>
        </w:rPr>
        <w:t xml:space="preserve"> Cambridge, MA</w:t>
      </w:r>
      <w:r w:rsidR="00937B93">
        <w:rPr>
          <w:rFonts w:cs="Times New Roman"/>
          <w:color w:val="000000"/>
        </w:rPr>
        <w:t>:</w:t>
      </w:r>
      <w:r w:rsidRPr="00D56CF7">
        <w:rPr>
          <w:rFonts w:cs="Times New Roman"/>
          <w:color w:val="000000"/>
        </w:rPr>
        <w:t xml:space="preserve"> Harvard University Press; London</w:t>
      </w:r>
      <w:r w:rsidR="00937B93">
        <w:rPr>
          <w:rFonts w:cs="Times New Roman"/>
          <w:color w:val="000000"/>
        </w:rPr>
        <w:t>:</w:t>
      </w:r>
      <w:r w:rsidRPr="00D56CF7">
        <w:rPr>
          <w:rFonts w:cs="Times New Roman"/>
          <w:color w:val="000000"/>
        </w:rPr>
        <w:t xml:space="preserve"> William Heinemann Ltd.</w:t>
      </w:r>
      <w:r w:rsidR="001823F1">
        <w:rPr>
          <w:rFonts w:cs="Times New Roman"/>
          <w:color w:val="000000"/>
        </w:rPr>
        <w:t xml:space="preserve"> (Perseus)</w:t>
      </w:r>
      <w:r w:rsidR="001B7BEE">
        <w:rPr>
          <w:rFonts w:cs="Times New Roman"/>
          <w:color w:val="000000"/>
        </w:rPr>
        <w:t>.</w:t>
      </w:r>
    </w:p>
    <w:p w:rsidR="00BB4B81" w:rsidRDefault="00BB4B81" w:rsidP="005D08C0">
      <w:pPr>
        <w:spacing w:line="480" w:lineRule="auto"/>
        <w:rPr>
          <w:rFonts w:cs="Times New Roman"/>
          <w:color w:val="000000"/>
        </w:rPr>
      </w:pPr>
      <w:r>
        <w:rPr>
          <w:rFonts w:cs="Times New Roman"/>
          <w:color w:val="000000"/>
        </w:rPr>
        <w:t>Plato. Plato in Twelve Volumes, Vol 1. Harold North Fowler (trans.). 1966. Cambridge, MA: Harvard University Press; London: William Heinemann Ltd. (Perseus)</w:t>
      </w:r>
      <w:r w:rsidR="001B7BEE">
        <w:rPr>
          <w:rFonts w:cs="Times New Roman"/>
          <w:color w:val="000000"/>
        </w:rPr>
        <w:t>.</w:t>
      </w:r>
    </w:p>
    <w:p w:rsidR="007F70EC" w:rsidRPr="007F70EC" w:rsidRDefault="007F70EC" w:rsidP="005D08C0">
      <w:pPr>
        <w:spacing w:line="480" w:lineRule="auto"/>
        <w:rPr>
          <w:rFonts w:cs="Times New Roman"/>
          <w:color w:val="000000"/>
        </w:rPr>
      </w:pPr>
      <w:r>
        <w:rPr>
          <w:rFonts w:cs="Times New Roman"/>
          <w:color w:val="000000"/>
        </w:rPr>
        <w:t xml:space="preserve">Plutarch. </w:t>
      </w:r>
      <w:r>
        <w:rPr>
          <w:rFonts w:cs="Times New Roman"/>
          <w:i/>
          <w:color w:val="000000"/>
        </w:rPr>
        <w:t xml:space="preserve">Moralia in Fifteen Volumes. </w:t>
      </w:r>
      <w:r>
        <w:rPr>
          <w:rFonts w:cs="Times New Roman"/>
          <w:color w:val="000000"/>
        </w:rPr>
        <w:t>Frank Cole Babbit (trans.). 1927</w:t>
      </w:r>
      <w:r w:rsidR="001B7BEE">
        <w:rPr>
          <w:rFonts w:cs="Times New Roman"/>
          <w:color w:val="000000"/>
        </w:rPr>
        <w:t>. Cambridge, MA: Harvard University Press; London: William Heinemann Ltd. (Perseus).</w:t>
      </w:r>
    </w:p>
    <w:p w:rsidR="00F31742" w:rsidRDefault="00F31742" w:rsidP="005D08C0">
      <w:pPr>
        <w:spacing w:line="480" w:lineRule="auto"/>
        <w:rPr>
          <w:rFonts w:cs="Times New Roman"/>
          <w:color w:val="000000"/>
        </w:rPr>
      </w:pPr>
      <w:r>
        <w:rPr>
          <w:rFonts w:cs="Times New Roman"/>
          <w:color w:val="000000"/>
        </w:rPr>
        <w:t xml:space="preserve">Plutarch. </w:t>
      </w:r>
      <w:r>
        <w:rPr>
          <w:rFonts w:cs="Times New Roman"/>
          <w:i/>
          <w:color w:val="000000"/>
        </w:rPr>
        <w:t>On Sparta</w:t>
      </w:r>
      <w:r>
        <w:rPr>
          <w:rFonts w:cs="Times New Roman"/>
          <w:color w:val="000000"/>
        </w:rPr>
        <w:t>. Ian Scott-Kilvert (trans.).</w:t>
      </w:r>
      <w:r w:rsidR="009C06DA">
        <w:rPr>
          <w:rFonts w:cs="Times New Roman"/>
          <w:color w:val="000000"/>
        </w:rPr>
        <w:t xml:space="preserve"> 2005. London: Penguin.</w:t>
      </w:r>
    </w:p>
    <w:p w:rsidR="009B71BB" w:rsidRPr="009B71BB" w:rsidRDefault="009B71BB" w:rsidP="005D08C0">
      <w:pPr>
        <w:spacing w:line="480" w:lineRule="auto"/>
        <w:rPr>
          <w:rFonts w:cs="Times New Roman"/>
          <w:color w:val="000000"/>
        </w:rPr>
      </w:pPr>
      <w:r>
        <w:rPr>
          <w:rFonts w:cs="Times New Roman"/>
          <w:color w:val="000000"/>
        </w:rPr>
        <w:t xml:space="preserve">Plutarch. </w:t>
      </w:r>
      <w:r>
        <w:rPr>
          <w:rFonts w:cs="Times New Roman"/>
          <w:i/>
          <w:color w:val="000000"/>
        </w:rPr>
        <w:t>The Age of Alexander.</w:t>
      </w:r>
      <w:r>
        <w:rPr>
          <w:rFonts w:cs="Times New Roman"/>
          <w:color w:val="000000"/>
        </w:rPr>
        <w:t xml:space="preserve"> Ian Scott-Kilvert (trans.). 1973. London: Penguin.</w:t>
      </w:r>
    </w:p>
    <w:p w:rsidR="00F31742" w:rsidRDefault="00AD7F44" w:rsidP="005D08C0">
      <w:pPr>
        <w:spacing w:line="480" w:lineRule="auto"/>
        <w:rPr>
          <w:rFonts w:cs="Times New Roman"/>
          <w:color w:val="000000"/>
        </w:rPr>
      </w:pPr>
      <w:r>
        <w:rPr>
          <w:rFonts w:cs="Times New Roman"/>
          <w:color w:val="000000"/>
        </w:rPr>
        <w:t xml:space="preserve">Plutarch. </w:t>
      </w:r>
      <w:r>
        <w:rPr>
          <w:rFonts w:cs="Times New Roman"/>
          <w:i/>
          <w:color w:val="000000"/>
        </w:rPr>
        <w:t>The Rise and Fall of Athens: Nine Greek Lives.</w:t>
      </w:r>
      <w:r>
        <w:rPr>
          <w:rFonts w:cs="Times New Roman"/>
          <w:color w:val="000000"/>
        </w:rPr>
        <w:t xml:space="preserve"> Ian Scott-Kilvert (trans.). 1973. London: Penguin.</w:t>
      </w:r>
    </w:p>
    <w:p w:rsidR="00F54AD2" w:rsidRPr="00F54AD2" w:rsidRDefault="00F54AD2" w:rsidP="005D08C0">
      <w:pPr>
        <w:spacing w:line="480" w:lineRule="auto"/>
        <w:rPr>
          <w:rFonts w:cs="Times New Roman"/>
          <w:color w:val="000000"/>
        </w:rPr>
      </w:pPr>
      <w:r>
        <w:rPr>
          <w:rFonts w:cs="Times New Roman"/>
          <w:color w:val="000000"/>
        </w:rPr>
        <w:t xml:space="preserve">Quintilian. </w:t>
      </w:r>
      <w:r>
        <w:rPr>
          <w:rFonts w:cs="Times New Roman"/>
          <w:i/>
          <w:color w:val="000000"/>
        </w:rPr>
        <w:t>Quintilian with an English Translation.</w:t>
      </w:r>
      <w:r>
        <w:rPr>
          <w:rFonts w:cs="Times New Roman"/>
          <w:color w:val="000000"/>
        </w:rPr>
        <w:t xml:space="preserve"> Harold Edgeworth Butler (trans.). 1922. </w:t>
      </w:r>
      <w:r w:rsidRPr="00F54AD2">
        <w:rPr>
          <w:rFonts w:cs="Times New Roman"/>
          <w:color w:val="000000"/>
        </w:rPr>
        <w:t>Cambridge, M</w:t>
      </w:r>
      <w:r>
        <w:rPr>
          <w:rFonts w:cs="Times New Roman"/>
          <w:color w:val="000000"/>
        </w:rPr>
        <w:t>A.:</w:t>
      </w:r>
      <w:r w:rsidRPr="00F54AD2">
        <w:rPr>
          <w:rFonts w:cs="Times New Roman"/>
          <w:color w:val="000000"/>
        </w:rPr>
        <w:t xml:space="preserve"> Harvard University Press; London</w:t>
      </w:r>
      <w:r>
        <w:rPr>
          <w:rFonts w:cs="Times New Roman"/>
          <w:color w:val="000000"/>
        </w:rPr>
        <w:t>:</w:t>
      </w:r>
      <w:r w:rsidRPr="00F54AD2">
        <w:rPr>
          <w:rFonts w:cs="Times New Roman"/>
          <w:color w:val="000000"/>
        </w:rPr>
        <w:t xml:space="preserve"> William Heinemann</w:t>
      </w:r>
      <w:r w:rsidR="001B7BEE">
        <w:rPr>
          <w:rFonts w:cs="Times New Roman"/>
          <w:color w:val="000000"/>
        </w:rPr>
        <w:t>. (Perseus).</w:t>
      </w:r>
    </w:p>
    <w:p w:rsidR="00937B93" w:rsidRDefault="00937B93" w:rsidP="005D08C0">
      <w:pPr>
        <w:spacing w:line="480" w:lineRule="auto"/>
        <w:rPr>
          <w:rFonts w:cs="Times New Roman"/>
          <w:color w:val="000000"/>
        </w:rPr>
      </w:pPr>
      <w:r>
        <w:rPr>
          <w:rFonts w:cs="Times New Roman"/>
          <w:color w:val="000000"/>
        </w:rPr>
        <w:t xml:space="preserve">Thucydides. </w:t>
      </w:r>
      <w:r>
        <w:rPr>
          <w:rFonts w:cs="Times New Roman"/>
          <w:i/>
          <w:color w:val="000000"/>
        </w:rPr>
        <w:t xml:space="preserve">History of the Peloponnesian War. </w:t>
      </w:r>
      <w:r>
        <w:rPr>
          <w:rFonts w:cs="Times New Roman"/>
          <w:color w:val="000000"/>
        </w:rPr>
        <w:t>Rex Warner (trans.). 1972. London: Penguin</w:t>
      </w:r>
      <w:r w:rsidR="001B7BEE">
        <w:rPr>
          <w:rFonts w:cs="Times New Roman"/>
          <w:color w:val="000000"/>
        </w:rPr>
        <w:t>.</w:t>
      </w:r>
    </w:p>
    <w:p w:rsidR="00937B93" w:rsidRDefault="00937B93" w:rsidP="005D08C0">
      <w:pPr>
        <w:spacing w:line="480" w:lineRule="auto"/>
        <w:rPr>
          <w:rFonts w:cs="Times New Roman"/>
          <w:color w:val="000000"/>
        </w:rPr>
      </w:pPr>
      <w:r>
        <w:rPr>
          <w:rFonts w:cs="Times New Roman"/>
          <w:color w:val="000000"/>
        </w:rPr>
        <w:t xml:space="preserve">Xenophon. </w:t>
      </w:r>
      <w:r>
        <w:rPr>
          <w:rFonts w:cs="Times New Roman"/>
          <w:i/>
          <w:color w:val="000000"/>
        </w:rPr>
        <w:t>A History of my Times (Hellenica).</w:t>
      </w:r>
      <w:r>
        <w:rPr>
          <w:rFonts w:cs="Times New Roman"/>
          <w:color w:val="000000"/>
        </w:rPr>
        <w:t xml:space="preserve"> Rex Warner (trans.)</w:t>
      </w:r>
      <w:r w:rsidR="001823F1">
        <w:rPr>
          <w:rFonts w:cs="Times New Roman"/>
          <w:color w:val="000000"/>
        </w:rPr>
        <w:t>.</w:t>
      </w:r>
      <w:r>
        <w:rPr>
          <w:rFonts w:cs="Times New Roman"/>
          <w:color w:val="000000"/>
        </w:rPr>
        <w:t xml:space="preserve"> 1966. Harmondsworth: Penguin.</w:t>
      </w:r>
    </w:p>
    <w:p w:rsidR="001B7BEE" w:rsidRPr="001B7BEE" w:rsidRDefault="001B7BEE" w:rsidP="005D08C0">
      <w:pPr>
        <w:spacing w:line="480" w:lineRule="auto"/>
        <w:rPr>
          <w:rFonts w:cs="Times New Roman"/>
          <w:color w:val="000000"/>
        </w:rPr>
      </w:pPr>
      <w:r>
        <w:rPr>
          <w:rFonts w:cs="Times New Roman"/>
          <w:color w:val="000000"/>
        </w:rPr>
        <w:t xml:space="preserve">Xenophon. </w:t>
      </w:r>
      <w:r>
        <w:rPr>
          <w:rFonts w:cs="Times New Roman"/>
          <w:i/>
          <w:color w:val="000000"/>
        </w:rPr>
        <w:t xml:space="preserve">The Persian Expedition. </w:t>
      </w:r>
      <w:r>
        <w:rPr>
          <w:rFonts w:cs="Times New Roman"/>
          <w:color w:val="000000"/>
        </w:rPr>
        <w:t>Rex Warner (trans.). 1972. London: Penguin.</w:t>
      </w:r>
    </w:p>
    <w:sdt>
      <w:sdtPr>
        <w:rPr>
          <w:rFonts w:ascii="Times New Roman" w:eastAsiaTheme="minorHAnsi" w:hAnsi="Times New Roman" w:cstheme="minorBidi"/>
          <w:color w:val="auto"/>
          <w:sz w:val="24"/>
          <w:szCs w:val="22"/>
          <w:lang w:val="en-GB"/>
        </w:rPr>
        <w:id w:val="947116930"/>
        <w:docPartObj>
          <w:docPartGallery w:val="Bibliographies"/>
          <w:docPartUnique/>
        </w:docPartObj>
      </w:sdtPr>
      <w:sdtEndPr/>
      <w:sdtContent>
        <w:p w:rsidR="00DD655E" w:rsidRDefault="00836EDA" w:rsidP="005D08C0">
          <w:pPr>
            <w:pStyle w:val="Heading1"/>
            <w:spacing w:line="480" w:lineRule="auto"/>
          </w:pPr>
          <w:r>
            <w:t>Modern S</w:t>
          </w:r>
          <w:r w:rsidR="00C701AD">
            <w:t>cholarship</w:t>
          </w:r>
        </w:p>
        <w:sdt>
          <w:sdtPr>
            <w:id w:val="111145805"/>
            <w:bibliography/>
          </w:sdtPr>
          <w:sdtEndPr/>
          <w:sdtContent>
            <w:p w:rsidR="001B7BEE" w:rsidRDefault="00DD655E" w:rsidP="005D08C0">
              <w:pPr>
                <w:pStyle w:val="Bibliography"/>
                <w:spacing w:line="480" w:lineRule="auto"/>
                <w:rPr>
                  <w:noProof/>
                  <w:szCs w:val="24"/>
                  <w:lang w:val="en-US"/>
                </w:rPr>
              </w:pPr>
              <w:r>
                <w:fldChar w:fldCharType="begin"/>
              </w:r>
              <w:r>
                <w:instrText xml:space="preserve"> BIBLIOGRAPHY </w:instrText>
              </w:r>
              <w:r>
                <w:fldChar w:fldCharType="separate"/>
              </w:r>
              <w:r w:rsidR="001B7BEE">
                <w:rPr>
                  <w:i/>
                  <w:iCs/>
                  <w:noProof/>
                  <w:lang w:val="en-US"/>
                </w:rPr>
                <w:t xml:space="preserve">300. </w:t>
              </w:r>
              <w:r w:rsidR="001B7BEE">
                <w:rPr>
                  <w:noProof/>
                  <w:lang w:val="en-US"/>
                </w:rPr>
                <w:t>2006. [Film] Directed by Zack Snyder. United States: Legendary Pictures.</w:t>
              </w:r>
            </w:p>
            <w:p w:rsidR="001B7BEE" w:rsidRDefault="001B7BEE" w:rsidP="005D08C0">
              <w:pPr>
                <w:pStyle w:val="Bibliography"/>
                <w:spacing w:line="480" w:lineRule="auto"/>
                <w:rPr>
                  <w:noProof/>
                  <w:lang w:val="en-US"/>
                </w:rPr>
              </w:pPr>
              <w:r>
                <w:rPr>
                  <w:noProof/>
                  <w:lang w:val="en-US"/>
                </w:rPr>
                <w:lastRenderedPageBreak/>
                <w:t xml:space="preserve">Annas, J., 1986. Classical Greek Philosophy. In: J. Boardman, J. Griffin &amp; O. Murray, eds. </w:t>
              </w:r>
              <w:r>
                <w:rPr>
                  <w:i/>
                  <w:iCs/>
                  <w:noProof/>
                  <w:lang w:val="en-US"/>
                </w:rPr>
                <w:t xml:space="preserve">Greece and the Hellenistic World. </w:t>
              </w:r>
              <w:r>
                <w:rPr>
                  <w:noProof/>
                  <w:lang w:val="en-US"/>
                </w:rPr>
                <w:t>Oxford: Oxford University Press, pp. 228-247.</w:t>
              </w:r>
            </w:p>
            <w:p w:rsidR="001B7BEE" w:rsidRDefault="001B7BEE" w:rsidP="005D08C0">
              <w:pPr>
                <w:pStyle w:val="Bibliography"/>
                <w:spacing w:line="480" w:lineRule="auto"/>
                <w:rPr>
                  <w:noProof/>
                  <w:lang w:val="en-US"/>
                </w:rPr>
              </w:pPr>
              <w:r>
                <w:rPr>
                  <w:noProof/>
                  <w:lang w:val="en-US"/>
                </w:rPr>
                <w:t xml:space="preserve">Barrett, D., 2003. Aristophanes, Comedian and Poet. In: D. Barret &amp; A. H. Sommerstein, eds. </w:t>
              </w:r>
              <w:r>
                <w:rPr>
                  <w:i/>
                  <w:iCs/>
                  <w:noProof/>
                  <w:lang w:val="en-US"/>
                </w:rPr>
                <w:t xml:space="preserve">The Birds and Other Plays. </w:t>
              </w:r>
              <w:r>
                <w:rPr>
                  <w:noProof/>
                  <w:lang w:val="en-US"/>
                </w:rPr>
                <w:t>London: Penguin, pp. 21-28.</w:t>
              </w:r>
            </w:p>
            <w:p w:rsidR="001B7BEE" w:rsidRDefault="001B7BEE" w:rsidP="005D08C0">
              <w:pPr>
                <w:pStyle w:val="Bibliography"/>
                <w:spacing w:line="480" w:lineRule="auto"/>
                <w:rPr>
                  <w:noProof/>
                  <w:lang w:val="en-US"/>
                </w:rPr>
              </w:pPr>
              <w:r>
                <w:rPr>
                  <w:noProof/>
                  <w:lang w:val="en-US"/>
                </w:rPr>
                <w:t xml:space="preserve">Burkert, W., 1985. </w:t>
              </w:r>
              <w:r>
                <w:rPr>
                  <w:i/>
                  <w:iCs/>
                  <w:noProof/>
                  <w:lang w:val="en-US"/>
                </w:rPr>
                <w:t xml:space="preserve">Greek Religion. </w:t>
              </w:r>
              <w:r>
                <w:rPr>
                  <w:noProof/>
                  <w:lang w:val="en-US"/>
                </w:rPr>
                <w:t>Cambridge, MA: Harvard University Press.</w:t>
              </w:r>
            </w:p>
            <w:p w:rsidR="001B7BEE" w:rsidRDefault="001B7BEE" w:rsidP="005D08C0">
              <w:pPr>
                <w:pStyle w:val="Bibliography"/>
                <w:spacing w:line="480" w:lineRule="auto"/>
                <w:rPr>
                  <w:noProof/>
                  <w:lang w:val="en-US"/>
                </w:rPr>
              </w:pPr>
              <w:r>
                <w:rPr>
                  <w:noProof/>
                  <w:lang w:val="en-US"/>
                </w:rPr>
                <w:t xml:space="preserve">Cankwell, G., 2005. </w:t>
              </w:r>
              <w:r>
                <w:rPr>
                  <w:i/>
                  <w:iCs/>
                  <w:noProof/>
                  <w:lang w:val="en-US"/>
                </w:rPr>
                <w:t xml:space="preserve">The Greek Wars: The Failure of Persia. </w:t>
              </w:r>
              <w:r>
                <w:rPr>
                  <w:noProof/>
                  <w:lang w:val="en-US"/>
                </w:rPr>
                <w:t>Oxford: Oxford University Press.</w:t>
              </w:r>
            </w:p>
            <w:p w:rsidR="001B7BEE" w:rsidRDefault="001B7BEE" w:rsidP="005D08C0">
              <w:pPr>
                <w:pStyle w:val="Bibliography"/>
                <w:spacing w:line="480" w:lineRule="auto"/>
                <w:rPr>
                  <w:noProof/>
                  <w:lang w:val="en-US"/>
                </w:rPr>
              </w:pPr>
              <w:r>
                <w:rPr>
                  <w:noProof/>
                  <w:lang w:val="en-US"/>
                </w:rPr>
                <w:t xml:space="preserve">Cartledge, P., 2003. </w:t>
              </w:r>
              <w:r>
                <w:rPr>
                  <w:i/>
                  <w:iCs/>
                  <w:noProof/>
                  <w:lang w:val="en-US"/>
                </w:rPr>
                <w:t xml:space="preserve">The Spartans: An Epic History. </w:t>
              </w:r>
              <w:r>
                <w:rPr>
                  <w:noProof/>
                  <w:lang w:val="en-US"/>
                </w:rPr>
                <w:t>2nd ed. London: Pan Books.</w:t>
              </w:r>
            </w:p>
            <w:p w:rsidR="001B7BEE" w:rsidRDefault="001B7BEE" w:rsidP="005D08C0">
              <w:pPr>
                <w:pStyle w:val="Bibliography"/>
                <w:spacing w:line="480" w:lineRule="auto"/>
                <w:rPr>
                  <w:noProof/>
                  <w:lang w:val="en-US"/>
                </w:rPr>
              </w:pPr>
              <w:r>
                <w:rPr>
                  <w:noProof/>
                  <w:lang w:val="en-US"/>
                </w:rPr>
                <w:t xml:space="preserve">Dillon, M. &amp; Garland, L., 2013. </w:t>
              </w:r>
              <w:r>
                <w:rPr>
                  <w:i/>
                  <w:iCs/>
                  <w:noProof/>
                  <w:lang w:val="en-US"/>
                </w:rPr>
                <w:t xml:space="preserve">The Ancient Greeks: History and Culture from Archaic Times to the Death of Alexander. </w:t>
              </w:r>
              <w:r>
                <w:rPr>
                  <w:noProof/>
                  <w:lang w:val="en-US"/>
                </w:rPr>
                <w:t>Abingdon, New York: Routledge.</w:t>
              </w:r>
            </w:p>
            <w:p w:rsidR="001B7BEE" w:rsidRDefault="001B7BEE" w:rsidP="005D08C0">
              <w:pPr>
                <w:pStyle w:val="Bibliography"/>
                <w:spacing w:line="480" w:lineRule="auto"/>
                <w:rPr>
                  <w:noProof/>
                  <w:lang w:val="en-US"/>
                </w:rPr>
              </w:pPr>
              <w:r>
                <w:rPr>
                  <w:noProof/>
                  <w:lang w:val="en-US"/>
                </w:rPr>
                <w:t xml:space="preserve">Ducrey, P., n.d. </w:t>
              </w:r>
              <w:r>
                <w:rPr>
                  <w:i/>
                  <w:iCs/>
                  <w:noProof/>
                  <w:lang w:val="en-US"/>
                </w:rPr>
                <w:t xml:space="preserve">The Lelantine War. </w:t>
              </w:r>
              <w:r>
                <w:rPr>
                  <w:noProof/>
                  <w:lang w:val="en-US"/>
                </w:rPr>
                <w:t xml:space="preserve">[Online] </w:t>
              </w:r>
              <w:r>
                <w:rPr>
                  <w:noProof/>
                  <w:lang w:val="en-US"/>
                </w:rPr>
                <w:br/>
                <w:t xml:space="preserve">Available at: </w:t>
              </w:r>
              <w:r>
                <w:rPr>
                  <w:noProof/>
                  <w:u w:val="single"/>
                  <w:lang w:val="en-US"/>
                </w:rPr>
                <w:t>https://www.unil.ch/esag/en/home/menuinst/eretria/history/archaic-period/the-lelantine-war.html</w:t>
              </w:r>
              <w:r>
                <w:rPr>
                  <w:noProof/>
                  <w:lang w:val="en-US"/>
                </w:rPr>
                <w:br/>
                <w:t>[Accessed 23rd January 2018].</w:t>
              </w:r>
            </w:p>
            <w:p w:rsidR="001B7BEE" w:rsidRDefault="001B7BEE" w:rsidP="005D08C0">
              <w:pPr>
                <w:pStyle w:val="Bibliography"/>
                <w:spacing w:line="480" w:lineRule="auto"/>
                <w:rPr>
                  <w:noProof/>
                  <w:lang w:val="en-US"/>
                </w:rPr>
              </w:pPr>
              <w:r>
                <w:rPr>
                  <w:noProof/>
                  <w:lang w:val="en-US"/>
                </w:rPr>
                <w:t xml:space="preserve">Errington, R. M., 1990. </w:t>
              </w:r>
              <w:r>
                <w:rPr>
                  <w:i/>
                  <w:iCs/>
                  <w:noProof/>
                  <w:lang w:val="en-US"/>
                </w:rPr>
                <w:t xml:space="preserve">A History of Macedonia. </w:t>
              </w:r>
              <w:r>
                <w:rPr>
                  <w:noProof/>
                  <w:lang w:val="en-US"/>
                </w:rPr>
                <w:t>Berkeley, Los Angeles, Oxford: University of California Press.</w:t>
              </w:r>
            </w:p>
            <w:p w:rsidR="001B7BEE" w:rsidRDefault="001B7BEE" w:rsidP="005D08C0">
              <w:pPr>
                <w:pStyle w:val="Bibliography"/>
                <w:spacing w:line="480" w:lineRule="auto"/>
                <w:rPr>
                  <w:noProof/>
                  <w:lang w:val="en-US"/>
                </w:rPr>
              </w:pPr>
              <w:r>
                <w:rPr>
                  <w:noProof/>
                  <w:lang w:val="en-US"/>
                </w:rPr>
                <w:t xml:space="preserve">Fine, J. V. A., 1983. </w:t>
              </w:r>
              <w:r>
                <w:rPr>
                  <w:i/>
                  <w:iCs/>
                  <w:noProof/>
                  <w:lang w:val="en-US"/>
                </w:rPr>
                <w:t xml:space="preserve">The Ancient Greeks: a Critical History. </w:t>
              </w:r>
              <w:r>
                <w:rPr>
                  <w:noProof/>
                  <w:lang w:val="en-US"/>
                </w:rPr>
                <w:t>Cambridge, MA; London: Harvard University Press.</w:t>
              </w:r>
            </w:p>
            <w:p w:rsidR="001B7BEE" w:rsidRDefault="001B7BEE" w:rsidP="005D08C0">
              <w:pPr>
                <w:pStyle w:val="Bibliography"/>
                <w:spacing w:line="480" w:lineRule="auto"/>
                <w:rPr>
                  <w:noProof/>
                  <w:lang w:val="en-US"/>
                </w:rPr>
              </w:pPr>
              <w:r>
                <w:rPr>
                  <w:noProof/>
                  <w:lang w:val="en-US"/>
                </w:rPr>
                <w:t xml:space="preserve">Forrest, G., 1986. Greece: The History of the Archaic Period. In: J. Boardman, J. Griffin &amp; O. Murray, eds. </w:t>
              </w:r>
              <w:r>
                <w:rPr>
                  <w:i/>
                  <w:iCs/>
                  <w:noProof/>
                  <w:lang w:val="en-US"/>
                </w:rPr>
                <w:t xml:space="preserve">Greece and the Hellenistic World. </w:t>
              </w:r>
              <w:r>
                <w:rPr>
                  <w:noProof/>
                  <w:lang w:val="en-US"/>
                </w:rPr>
                <w:t>Oxford: Oxford University Press, pp. 13-43.</w:t>
              </w:r>
            </w:p>
            <w:p w:rsidR="001B7BEE" w:rsidRDefault="001B7BEE" w:rsidP="005D08C0">
              <w:pPr>
                <w:pStyle w:val="Bibliography"/>
                <w:spacing w:line="480" w:lineRule="auto"/>
                <w:rPr>
                  <w:noProof/>
                  <w:lang w:val="en-US"/>
                </w:rPr>
              </w:pPr>
              <w:r>
                <w:rPr>
                  <w:noProof/>
                  <w:lang w:val="en-US"/>
                </w:rPr>
                <w:lastRenderedPageBreak/>
                <w:t xml:space="preserve">Hack, H. M., 1978. Thebes and Spartan Hegemony, 386-382 B.C.. </w:t>
              </w:r>
              <w:r>
                <w:rPr>
                  <w:i/>
                  <w:iCs/>
                  <w:noProof/>
                  <w:lang w:val="en-US"/>
                </w:rPr>
                <w:t xml:space="preserve">The American Journal of Philology, </w:t>
              </w:r>
              <w:r>
                <w:rPr>
                  <w:noProof/>
                  <w:lang w:val="en-US"/>
                </w:rPr>
                <w:t>99(2), pp. 210-217.</w:t>
              </w:r>
            </w:p>
            <w:p w:rsidR="001B7BEE" w:rsidRDefault="001B7BEE" w:rsidP="005D08C0">
              <w:pPr>
                <w:pStyle w:val="Bibliography"/>
                <w:spacing w:line="480" w:lineRule="auto"/>
                <w:rPr>
                  <w:noProof/>
                  <w:lang w:val="en-US"/>
                </w:rPr>
              </w:pPr>
              <w:r>
                <w:rPr>
                  <w:noProof/>
                  <w:lang w:val="en-US"/>
                </w:rPr>
                <w:t xml:space="preserve">Hanson, V. D., 2005. </w:t>
              </w:r>
              <w:r>
                <w:rPr>
                  <w:i/>
                  <w:iCs/>
                  <w:noProof/>
                  <w:lang w:val="en-US"/>
                </w:rPr>
                <w:t xml:space="preserve">A War Like No Other: How the Athenians and Spartans Fought the Peloponnesian War. </w:t>
              </w:r>
              <w:r>
                <w:rPr>
                  <w:noProof/>
                  <w:lang w:val="en-US"/>
                </w:rPr>
                <w:t>London: Methuen.</w:t>
              </w:r>
            </w:p>
            <w:p w:rsidR="001B7BEE" w:rsidRDefault="001B7BEE" w:rsidP="005D08C0">
              <w:pPr>
                <w:pStyle w:val="Bibliography"/>
                <w:spacing w:line="480" w:lineRule="auto"/>
                <w:rPr>
                  <w:noProof/>
                  <w:lang w:val="en-US"/>
                </w:rPr>
              </w:pPr>
              <w:r>
                <w:rPr>
                  <w:noProof/>
                  <w:lang w:val="en-US"/>
                </w:rPr>
                <w:t xml:space="preserve">Holladay, A. J., 1985. Sparta and the First Peloponnesian War. </w:t>
              </w:r>
              <w:r>
                <w:rPr>
                  <w:i/>
                  <w:iCs/>
                  <w:noProof/>
                  <w:lang w:val="en-US"/>
                </w:rPr>
                <w:t xml:space="preserve">The Journal of Hellenic Studies, </w:t>
              </w:r>
              <w:r>
                <w:rPr>
                  <w:noProof/>
                  <w:lang w:val="en-US"/>
                </w:rPr>
                <w:t>Volume 105, pp. 161-162.</w:t>
              </w:r>
            </w:p>
            <w:p w:rsidR="001B7BEE" w:rsidRDefault="001B7BEE" w:rsidP="005D08C0">
              <w:pPr>
                <w:pStyle w:val="Bibliography"/>
                <w:spacing w:line="480" w:lineRule="auto"/>
                <w:rPr>
                  <w:noProof/>
                  <w:lang w:val="en-US"/>
                </w:rPr>
              </w:pPr>
              <w:r>
                <w:rPr>
                  <w:noProof/>
                  <w:lang w:val="en-US"/>
                </w:rPr>
                <w:t xml:space="preserve">Hornblower, S., 1986. Greece: The History of the Classical Period. In: J. Boardman, J. Griffin &amp; O. Murray, eds. </w:t>
              </w:r>
              <w:r>
                <w:rPr>
                  <w:i/>
                  <w:iCs/>
                  <w:noProof/>
                  <w:lang w:val="en-US"/>
                </w:rPr>
                <w:t xml:space="preserve">Greece and the Hellenistic World. </w:t>
              </w:r>
              <w:r>
                <w:rPr>
                  <w:noProof/>
                  <w:lang w:val="en-US"/>
                </w:rPr>
                <w:t>Oxford: Oxford University Press, pp. 118-149.</w:t>
              </w:r>
            </w:p>
            <w:p w:rsidR="001B7BEE" w:rsidRDefault="001B7BEE" w:rsidP="005D08C0">
              <w:pPr>
                <w:pStyle w:val="Bibliography"/>
                <w:spacing w:line="480" w:lineRule="auto"/>
                <w:rPr>
                  <w:noProof/>
                  <w:lang w:val="en-US"/>
                </w:rPr>
              </w:pPr>
              <w:r>
                <w:rPr>
                  <w:noProof/>
                  <w:lang w:val="en-US"/>
                </w:rPr>
                <w:t xml:space="preserve">Hornblower, S., 2000. Thucydides, Xenophon, and Lichas: Were the Spartans Excluded from the Olympic Games from 420 to 400 B. C.?. </w:t>
              </w:r>
              <w:r>
                <w:rPr>
                  <w:i/>
                  <w:iCs/>
                  <w:noProof/>
                  <w:lang w:val="en-US"/>
                </w:rPr>
                <w:t xml:space="preserve">Phoenix, </w:t>
              </w:r>
              <w:r>
                <w:rPr>
                  <w:noProof/>
                  <w:lang w:val="en-US"/>
                </w:rPr>
                <w:t>Volume 54, pp. 212-215.</w:t>
              </w:r>
            </w:p>
            <w:p w:rsidR="001B7BEE" w:rsidRDefault="001B7BEE" w:rsidP="005D08C0">
              <w:pPr>
                <w:pStyle w:val="Bibliography"/>
                <w:spacing w:line="480" w:lineRule="auto"/>
                <w:rPr>
                  <w:noProof/>
                  <w:lang w:val="en-US"/>
                </w:rPr>
              </w:pPr>
              <w:r>
                <w:rPr>
                  <w:noProof/>
                  <w:lang w:val="en-US"/>
                </w:rPr>
                <w:t xml:space="preserve">Hornblower, S., 2002. </w:t>
              </w:r>
              <w:r>
                <w:rPr>
                  <w:i/>
                  <w:iCs/>
                  <w:noProof/>
                  <w:lang w:val="en-US"/>
                </w:rPr>
                <w:t xml:space="preserve">The Greek World: 479-323 BC. </w:t>
              </w:r>
              <w:r>
                <w:rPr>
                  <w:noProof/>
                  <w:lang w:val="en-US"/>
                </w:rPr>
                <w:t>3rd ed. London, New York: Routledge.</w:t>
              </w:r>
            </w:p>
            <w:p w:rsidR="001B7BEE" w:rsidRDefault="001B7BEE" w:rsidP="005D08C0">
              <w:pPr>
                <w:pStyle w:val="Bibliography"/>
                <w:spacing w:line="480" w:lineRule="auto"/>
                <w:rPr>
                  <w:noProof/>
                  <w:lang w:val="en-US"/>
                </w:rPr>
              </w:pPr>
              <w:r>
                <w:rPr>
                  <w:noProof/>
                  <w:lang w:val="en-US"/>
                </w:rPr>
                <w:t xml:space="preserve">Levi, P., 1986. Greek Drama. In: J. Boardman, J. Griffin &amp; O. Murray, eds. </w:t>
              </w:r>
              <w:r>
                <w:rPr>
                  <w:i/>
                  <w:iCs/>
                  <w:noProof/>
                  <w:lang w:val="en-US"/>
                </w:rPr>
                <w:t xml:space="preserve">Greece and the Hellenistic World. </w:t>
              </w:r>
              <w:r>
                <w:rPr>
                  <w:noProof/>
                  <w:lang w:val="en-US"/>
                </w:rPr>
                <w:t>Oxford: Oxford University Press, pp. 150-179.</w:t>
              </w:r>
            </w:p>
            <w:p w:rsidR="001B7BEE" w:rsidRDefault="001B7BEE" w:rsidP="005D08C0">
              <w:pPr>
                <w:pStyle w:val="Bibliography"/>
                <w:spacing w:line="480" w:lineRule="auto"/>
                <w:rPr>
                  <w:noProof/>
                  <w:lang w:val="en-US"/>
                </w:rPr>
              </w:pPr>
              <w:r>
                <w:rPr>
                  <w:noProof/>
                  <w:lang w:val="en-US"/>
                </w:rPr>
                <w:t xml:space="preserve">Martin, T., 1996. </w:t>
              </w:r>
              <w:r>
                <w:rPr>
                  <w:i/>
                  <w:iCs/>
                  <w:noProof/>
                  <w:lang w:val="en-US"/>
                </w:rPr>
                <w:t xml:space="preserve">Ancient Greece: From Prehistoric to Hellenic Times. </w:t>
              </w:r>
              <w:r>
                <w:rPr>
                  <w:noProof/>
                  <w:lang w:val="en-US"/>
                </w:rPr>
                <w:t>Yale: Yale University Press.</w:t>
              </w:r>
            </w:p>
            <w:p w:rsidR="001B7BEE" w:rsidRDefault="001B7BEE" w:rsidP="005D08C0">
              <w:pPr>
                <w:pStyle w:val="Bibliography"/>
                <w:spacing w:line="480" w:lineRule="auto"/>
                <w:rPr>
                  <w:noProof/>
                  <w:lang w:val="en-US"/>
                </w:rPr>
              </w:pPr>
              <w:r>
                <w:rPr>
                  <w:noProof/>
                  <w:lang w:val="en-US"/>
                </w:rPr>
                <w:t xml:space="preserve">Murray, O., 1986. Greek Historians. In: J. Boardman, J. Griffin &amp; O. Murray, eds. </w:t>
              </w:r>
              <w:r>
                <w:rPr>
                  <w:i/>
                  <w:iCs/>
                  <w:noProof/>
                  <w:lang w:val="en-US"/>
                </w:rPr>
                <w:t xml:space="preserve">Greece and the Hellenistic World. </w:t>
              </w:r>
              <w:r>
                <w:rPr>
                  <w:noProof/>
                  <w:lang w:val="en-US"/>
                </w:rPr>
                <w:t>Oxford: Oxford University Press, pp. 180-197.</w:t>
              </w:r>
            </w:p>
            <w:p w:rsidR="001B7BEE" w:rsidRDefault="001B7BEE" w:rsidP="005D08C0">
              <w:pPr>
                <w:pStyle w:val="Bibliography"/>
                <w:spacing w:line="480" w:lineRule="auto"/>
                <w:rPr>
                  <w:noProof/>
                  <w:lang w:val="en-US"/>
                </w:rPr>
              </w:pPr>
              <w:r>
                <w:rPr>
                  <w:noProof/>
                  <w:lang w:val="en-US"/>
                </w:rPr>
                <w:t xml:space="preserve">Osborne, R., 2000. The Creation of Classical Greece. In: R. Osborne, ed. </w:t>
              </w:r>
              <w:r>
                <w:rPr>
                  <w:i/>
                  <w:iCs/>
                  <w:noProof/>
                  <w:lang w:val="en-US"/>
                </w:rPr>
                <w:t xml:space="preserve">Classical Greece: 500-323 BC. </w:t>
              </w:r>
              <w:r>
                <w:rPr>
                  <w:noProof/>
                  <w:lang w:val="en-US"/>
                </w:rPr>
                <w:t>Oxford: Oxford University Press, pp. 1-21.</w:t>
              </w:r>
            </w:p>
            <w:p w:rsidR="001B7BEE" w:rsidRDefault="001B7BEE" w:rsidP="005D08C0">
              <w:pPr>
                <w:pStyle w:val="Bibliography"/>
                <w:spacing w:line="480" w:lineRule="auto"/>
                <w:rPr>
                  <w:noProof/>
                  <w:lang w:val="en-US"/>
                </w:rPr>
              </w:pPr>
              <w:r>
                <w:rPr>
                  <w:noProof/>
                  <w:lang w:val="en-US"/>
                </w:rPr>
                <w:lastRenderedPageBreak/>
                <w:t xml:space="preserve">Pomeroy, S. B., Burstein, S. M., Donlan, W. &amp; Tolbert Roberts, J., 2004. </w:t>
              </w:r>
              <w:r>
                <w:rPr>
                  <w:i/>
                  <w:iCs/>
                  <w:noProof/>
                  <w:lang w:val="en-US"/>
                </w:rPr>
                <w:t xml:space="preserve">A Brief History of Ancient Greece: Politics, Society and Culture. </w:t>
              </w:r>
              <w:r>
                <w:rPr>
                  <w:noProof/>
                  <w:lang w:val="en-US"/>
                </w:rPr>
                <w:t>Oxford: Oxford University Press.</w:t>
              </w:r>
            </w:p>
            <w:p w:rsidR="001B7BEE" w:rsidRDefault="001B7BEE" w:rsidP="005D08C0">
              <w:pPr>
                <w:pStyle w:val="Bibliography"/>
                <w:spacing w:line="480" w:lineRule="auto"/>
                <w:rPr>
                  <w:noProof/>
                  <w:lang w:val="en-US"/>
                </w:rPr>
              </w:pPr>
              <w:r>
                <w:rPr>
                  <w:noProof/>
                  <w:lang w:val="en-US"/>
                </w:rPr>
                <w:t xml:space="preserve">Rahn, P. J., 1971. Xenophon's Developing Historiography. </w:t>
              </w:r>
              <w:r>
                <w:rPr>
                  <w:i/>
                  <w:iCs/>
                  <w:noProof/>
                  <w:lang w:val="en-US"/>
                </w:rPr>
                <w:t xml:space="preserve">Transactions and Proceedings of the American Philological Association, </w:t>
              </w:r>
              <w:r>
                <w:rPr>
                  <w:noProof/>
                  <w:lang w:val="en-US"/>
                </w:rPr>
                <w:t>Volume 102, pp. 497-508.</w:t>
              </w:r>
            </w:p>
            <w:p w:rsidR="001B7BEE" w:rsidRDefault="001B7BEE" w:rsidP="005D08C0">
              <w:pPr>
                <w:pStyle w:val="Bibliography"/>
                <w:spacing w:line="480" w:lineRule="auto"/>
                <w:rPr>
                  <w:noProof/>
                  <w:lang w:val="en-US"/>
                </w:rPr>
              </w:pPr>
              <w:r>
                <w:rPr>
                  <w:noProof/>
                  <w:lang w:val="en-US"/>
                </w:rPr>
                <w:t xml:space="preserve">Rhodes, P. J., 2010. </w:t>
              </w:r>
              <w:r>
                <w:rPr>
                  <w:i/>
                  <w:iCs/>
                  <w:noProof/>
                  <w:lang w:val="en-US"/>
                </w:rPr>
                <w:t xml:space="preserve">A History of the Classical Greek World: 478-323 BC. </w:t>
              </w:r>
              <w:r>
                <w:rPr>
                  <w:noProof/>
                  <w:lang w:val="en-US"/>
                </w:rPr>
                <w:t>2nd ed. Chichester: Blackwell.</w:t>
              </w:r>
            </w:p>
            <w:p w:rsidR="001B7BEE" w:rsidRDefault="001B7BEE" w:rsidP="005D08C0">
              <w:pPr>
                <w:pStyle w:val="Bibliography"/>
                <w:spacing w:line="480" w:lineRule="auto"/>
                <w:rPr>
                  <w:noProof/>
                  <w:lang w:val="en-US"/>
                </w:rPr>
              </w:pPr>
              <w:r>
                <w:rPr>
                  <w:noProof/>
                  <w:lang w:val="en-US"/>
                </w:rPr>
                <w:t xml:space="preserve">Rickard, J., 2015. </w:t>
              </w:r>
              <w:r>
                <w:rPr>
                  <w:i/>
                  <w:iCs/>
                  <w:noProof/>
                  <w:lang w:val="en-US"/>
                </w:rPr>
                <w:t xml:space="preserve">Satrap's Revolt, c.370s-350s. </w:t>
              </w:r>
              <w:r>
                <w:rPr>
                  <w:noProof/>
                  <w:lang w:val="en-US"/>
                </w:rPr>
                <w:t xml:space="preserve">[Online] </w:t>
              </w:r>
              <w:r>
                <w:rPr>
                  <w:noProof/>
                  <w:lang w:val="en-US"/>
                </w:rPr>
                <w:br/>
                <w:t xml:space="preserve">Available at: </w:t>
              </w:r>
              <w:r>
                <w:rPr>
                  <w:noProof/>
                  <w:u w:val="single"/>
                  <w:lang w:val="en-US"/>
                </w:rPr>
                <w:t>http://www.historyofwar.org/articles/wars_satraps_revolt.html</w:t>
              </w:r>
              <w:r>
                <w:rPr>
                  <w:noProof/>
                  <w:lang w:val="en-US"/>
                </w:rPr>
                <w:br/>
                <w:t>[Accessed 22nd January 2017].</w:t>
              </w:r>
            </w:p>
            <w:p w:rsidR="001B7BEE" w:rsidRDefault="001B7BEE" w:rsidP="005D08C0">
              <w:pPr>
                <w:pStyle w:val="Bibliography"/>
                <w:spacing w:line="480" w:lineRule="auto"/>
                <w:rPr>
                  <w:noProof/>
                  <w:lang w:val="en-US"/>
                </w:rPr>
              </w:pPr>
              <w:r>
                <w:rPr>
                  <w:noProof/>
                  <w:lang w:val="en-US"/>
                </w:rPr>
                <w:t xml:space="preserve">Roberts, J., 2005. </w:t>
              </w:r>
              <w:r>
                <w:rPr>
                  <w:i/>
                  <w:iCs/>
                  <w:noProof/>
                  <w:lang w:val="en-US"/>
                </w:rPr>
                <w:t xml:space="preserve">The Oxford Dictionary of the Classical World. </w:t>
              </w:r>
              <w:r>
                <w:rPr>
                  <w:noProof/>
                  <w:lang w:val="en-US"/>
                </w:rPr>
                <w:t>Oxford: Oxford University Press.</w:t>
              </w:r>
            </w:p>
            <w:p w:rsidR="001B7BEE" w:rsidRDefault="001B7BEE" w:rsidP="005D08C0">
              <w:pPr>
                <w:pStyle w:val="Bibliography"/>
                <w:spacing w:line="480" w:lineRule="auto"/>
                <w:rPr>
                  <w:noProof/>
                  <w:lang w:val="en-US"/>
                </w:rPr>
              </w:pPr>
              <w:r>
                <w:rPr>
                  <w:noProof/>
                  <w:lang w:val="en-US"/>
                </w:rPr>
                <w:t xml:space="preserve">Sealey, R., 1976. </w:t>
              </w:r>
              <w:r>
                <w:rPr>
                  <w:i/>
                  <w:iCs/>
                  <w:noProof/>
                  <w:lang w:val="en-US"/>
                </w:rPr>
                <w:t xml:space="preserve">A History of the Greek City States: 700-338B.C.. </w:t>
              </w:r>
              <w:r>
                <w:rPr>
                  <w:noProof/>
                  <w:lang w:val="en-US"/>
                </w:rPr>
                <w:t>Berkeley, Los Angeles, London: University of California Press.</w:t>
              </w:r>
            </w:p>
            <w:p w:rsidR="001B7BEE" w:rsidRDefault="001B7BEE" w:rsidP="005D08C0">
              <w:pPr>
                <w:pStyle w:val="Bibliography"/>
                <w:spacing w:line="480" w:lineRule="auto"/>
                <w:rPr>
                  <w:noProof/>
                  <w:lang w:val="en-US"/>
                </w:rPr>
              </w:pPr>
              <w:r>
                <w:rPr>
                  <w:noProof/>
                  <w:lang w:val="en-US"/>
                </w:rPr>
                <w:t xml:space="preserve">Shavin, N., 2016. </w:t>
              </w:r>
              <w:r>
                <w:rPr>
                  <w:i/>
                  <w:iCs/>
                  <w:noProof/>
                  <w:lang w:val="en-US"/>
                </w:rPr>
                <w:t xml:space="preserve">The Ancient History of Cheating in the Olympics. </w:t>
              </w:r>
              <w:r>
                <w:rPr>
                  <w:noProof/>
                  <w:lang w:val="en-US"/>
                </w:rPr>
                <w:t xml:space="preserve">[Online] </w:t>
              </w:r>
              <w:r>
                <w:rPr>
                  <w:noProof/>
                  <w:lang w:val="en-US"/>
                </w:rPr>
                <w:br/>
                <w:t xml:space="preserve">Available at: </w:t>
              </w:r>
              <w:r>
                <w:rPr>
                  <w:noProof/>
                  <w:u w:val="single"/>
                  <w:lang w:val="en-US"/>
                </w:rPr>
                <w:t>https://www.smithsonianmag.com/history/ancient-history-cheating-olympics-180960003/</w:t>
              </w:r>
              <w:r>
                <w:rPr>
                  <w:noProof/>
                  <w:lang w:val="en-US"/>
                </w:rPr>
                <w:br/>
                <w:t>[Accessed 22nd January 2018].</w:t>
              </w:r>
            </w:p>
            <w:p w:rsidR="001B7BEE" w:rsidRDefault="001B7BEE" w:rsidP="005D08C0">
              <w:pPr>
                <w:pStyle w:val="Bibliography"/>
                <w:spacing w:line="480" w:lineRule="auto"/>
                <w:rPr>
                  <w:noProof/>
                  <w:lang w:val="en-US"/>
                </w:rPr>
              </w:pPr>
              <w:r>
                <w:rPr>
                  <w:noProof/>
                  <w:lang w:val="en-US"/>
                </w:rPr>
                <w:t xml:space="preserve">Wilson, J.-P., 2006. 'Ideologies of Greek Colonization. In: G. Bradley &amp; J. Wilson, eds. </w:t>
              </w:r>
              <w:r>
                <w:rPr>
                  <w:i/>
                  <w:iCs/>
                  <w:noProof/>
                  <w:lang w:val="en-US"/>
                </w:rPr>
                <w:t xml:space="preserve">Greek &amp; Roman Colonization: Origins, Ideologies and Interactions. </w:t>
              </w:r>
              <w:r>
                <w:rPr>
                  <w:noProof/>
                  <w:lang w:val="en-US"/>
                </w:rPr>
                <w:t>Swansea: Classical Press of Wales, pp. 25-58.</w:t>
              </w:r>
            </w:p>
            <w:p w:rsidR="00DD655E" w:rsidRPr="00DD655E" w:rsidRDefault="00DD655E" w:rsidP="005D08C0">
              <w:pPr>
                <w:spacing w:line="480" w:lineRule="auto"/>
              </w:pPr>
              <w:r>
                <w:rPr>
                  <w:b/>
                  <w:bCs/>
                  <w:noProof/>
                </w:rPr>
                <w:fldChar w:fldCharType="end"/>
              </w:r>
            </w:p>
          </w:sdtContent>
        </w:sdt>
      </w:sdtContent>
    </w:sdt>
    <w:sectPr w:rsidR="00DD655E" w:rsidRPr="00DD65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49AA" w:rsidRDefault="00F449AA" w:rsidP="00337464">
      <w:pPr>
        <w:spacing w:after="0" w:line="240" w:lineRule="auto"/>
      </w:pPr>
      <w:r>
        <w:separator/>
      </w:r>
    </w:p>
  </w:endnote>
  <w:endnote w:type="continuationSeparator" w:id="0">
    <w:p w:rsidR="00F449AA" w:rsidRDefault="00F449AA" w:rsidP="003374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49AA" w:rsidRDefault="00F449AA" w:rsidP="00337464">
      <w:pPr>
        <w:spacing w:after="0" w:line="240" w:lineRule="auto"/>
      </w:pPr>
      <w:r>
        <w:separator/>
      </w:r>
    </w:p>
  </w:footnote>
  <w:footnote w:type="continuationSeparator" w:id="0">
    <w:p w:rsidR="00F449AA" w:rsidRDefault="00F449AA" w:rsidP="003374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BD7CCE"/>
    <w:multiLevelType w:val="hybridMultilevel"/>
    <w:tmpl w:val="63C88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015"/>
    <w:rsid w:val="0000521D"/>
    <w:rsid w:val="000125E3"/>
    <w:rsid w:val="0005133B"/>
    <w:rsid w:val="0005587A"/>
    <w:rsid w:val="00071C81"/>
    <w:rsid w:val="00074AE4"/>
    <w:rsid w:val="00081666"/>
    <w:rsid w:val="00084553"/>
    <w:rsid w:val="00094BE0"/>
    <w:rsid w:val="000E0B24"/>
    <w:rsid w:val="000E6127"/>
    <w:rsid w:val="001071B7"/>
    <w:rsid w:val="00133A5A"/>
    <w:rsid w:val="001448E0"/>
    <w:rsid w:val="00151B8A"/>
    <w:rsid w:val="00153113"/>
    <w:rsid w:val="0016541A"/>
    <w:rsid w:val="001823F1"/>
    <w:rsid w:val="0019443B"/>
    <w:rsid w:val="00196893"/>
    <w:rsid w:val="001B04A9"/>
    <w:rsid w:val="001B6AE1"/>
    <w:rsid w:val="001B7BEE"/>
    <w:rsid w:val="00215ABA"/>
    <w:rsid w:val="00220EBC"/>
    <w:rsid w:val="00221DED"/>
    <w:rsid w:val="00226E16"/>
    <w:rsid w:val="00232106"/>
    <w:rsid w:val="00236B51"/>
    <w:rsid w:val="00247573"/>
    <w:rsid w:val="00285FE6"/>
    <w:rsid w:val="002C06F7"/>
    <w:rsid w:val="002E1F6F"/>
    <w:rsid w:val="0031409C"/>
    <w:rsid w:val="00331C90"/>
    <w:rsid w:val="00337464"/>
    <w:rsid w:val="00342A2A"/>
    <w:rsid w:val="00352736"/>
    <w:rsid w:val="00371CFE"/>
    <w:rsid w:val="00377423"/>
    <w:rsid w:val="00380B90"/>
    <w:rsid w:val="00390AD7"/>
    <w:rsid w:val="00394C94"/>
    <w:rsid w:val="003A175E"/>
    <w:rsid w:val="003B3BA9"/>
    <w:rsid w:val="003B577E"/>
    <w:rsid w:val="003F288A"/>
    <w:rsid w:val="003F3175"/>
    <w:rsid w:val="00417FA4"/>
    <w:rsid w:val="0044031E"/>
    <w:rsid w:val="00457621"/>
    <w:rsid w:val="00463062"/>
    <w:rsid w:val="0048328D"/>
    <w:rsid w:val="0049023E"/>
    <w:rsid w:val="004C5C7F"/>
    <w:rsid w:val="004E232B"/>
    <w:rsid w:val="0050725F"/>
    <w:rsid w:val="00546528"/>
    <w:rsid w:val="005607A7"/>
    <w:rsid w:val="00592C26"/>
    <w:rsid w:val="005A5299"/>
    <w:rsid w:val="005B099F"/>
    <w:rsid w:val="005D08C0"/>
    <w:rsid w:val="005D7ADE"/>
    <w:rsid w:val="005E62F0"/>
    <w:rsid w:val="0061662A"/>
    <w:rsid w:val="006212D3"/>
    <w:rsid w:val="00621384"/>
    <w:rsid w:val="00631658"/>
    <w:rsid w:val="00647AE0"/>
    <w:rsid w:val="006540F0"/>
    <w:rsid w:val="006549BE"/>
    <w:rsid w:val="00655C2E"/>
    <w:rsid w:val="00660179"/>
    <w:rsid w:val="00675418"/>
    <w:rsid w:val="0068399C"/>
    <w:rsid w:val="00695D25"/>
    <w:rsid w:val="006A08BB"/>
    <w:rsid w:val="006E3C0B"/>
    <w:rsid w:val="006F166E"/>
    <w:rsid w:val="0072691C"/>
    <w:rsid w:val="007563EC"/>
    <w:rsid w:val="007816C4"/>
    <w:rsid w:val="007A6D97"/>
    <w:rsid w:val="007B5C4C"/>
    <w:rsid w:val="007D1775"/>
    <w:rsid w:val="007D2A9A"/>
    <w:rsid w:val="007E2D42"/>
    <w:rsid w:val="007E4948"/>
    <w:rsid w:val="007F31B9"/>
    <w:rsid w:val="007F40CA"/>
    <w:rsid w:val="007F70EC"/>
    <w:rsid w:val="00803DB8"/>
    <w:rsid w:val="008231C5"/>
    <w:rsid w:val="00827B6A"/>
    <w:rsid w:val="00836EDA"/>
    <w:rsid w:val="00860015"/>
    <w:rsid w:val="008A7D7E"/>
    <w:rsid w:val="008B6F24"/>
    <w:rsid w:val="008E2885"/>
    <w:rsid w:val="008F2633"/>
    <w:rsid w:val="009312A5"/>
    <w:rsid w:val="009358E5"/>
    <w:rsid w:val="00937B93"/>
    <w:rsid w:val="0094621E"/>
    <w:rsid w:val="0095106C"/>
    <w:rsid w:val="009521B8"/>
    <w:rsid w:val="00954240"/>
    <w:rsid w:val="00961CE4"/>
    <w:rsid w:val="00986107"/>
    <w:rsid w:val="00991736"/>
    <w:rsid w:val="009A599A"/>
    <w:rsid w:val="009B71BB"/>
    <w:rsid w:val="009C06DA"/>
    <w:rsid w:val="009C125C"/>
    <w:rsid w:val="009C3851"/>
    <w:rsid w:val="009C52E3"/>
    <w:rsid w:val="009D0A05"/>
    <w:rsid w:val="009D2F23"/>
    <w:rsid w:val="009F0409"/>
    <w:rsid w:val="00A00428"/>
    <w:rsid w:val="00A0186B"/>
    <w:rsid w:val="00A42576"/>
    <w:rsid w:val="00A51C58"/>
    <w:rsid w:val="00A74322"/>
    <w:rsid w:val="00A82548"/>
    <w:rsid w:val="00AB2971"/>
    <w:rsid w:val="00AC43FA"/>
    <w:rsid w:val="00AD2B6C"/>
    <w:rsid w:val="00AD7F44"/>
    <w:rsid w:val="00AE6FAE"/>
    <w:rsid w:val="00B073B8"/>
    <w:rsid w:val="00B13023"/>
    <w:rsid w:val="00B6331E"/>
    <w:rsid w:val="00B738E6"/>
    <w:rsid w:val="00B82BD9"/>
    <w:rsid w:val="00BB0F34"/>
    <w:rsid w:val="00BB4B81"/>
    <w:rsid w:val="00BD777C"/>
    <w:rsid w:val="00BF3605"/>
    <w:rsid w:val="00BF50D4"/>
    <w:rsid w:val="00C47F32"/>
    <w:rsid w:val="00C65C2F"/>
    <w:rsid w:val="00C701AD"/>
    <w:rsid w:val="00CC0363"/>
    <w:rsid w:val="00CC5C0F"/>
    <w:rsid w:val="00CD6F99"/>
    <w:rsid w:val="00D20BF1"/>
    <w:rsid w:val="00D20C55"/>
    <w:rsid w:val="00D219D4"/>
    <w:rsid w:val="00D2253F"/>
    <w:rsid w:val="00D56CF7"/>
    <w:rsid w:val="00D64878"/>
    <w:rsid w:val="00D7459F"/>
    <w:rsid w:val="00D87AAE"/>
    <w:rsid w:val="00DC5F07"/>
    <w:rsid w:val="00DD0391"/>
    <w:rsid w:val="00DD4332"/>
    <w:rsid w:val="00DD655E"/>
    <w:rsid w:val="00E356E4"/>
    <w:rsid w:val="00E5756E"/>
    <w:rsid w:val="00E769B9"/>
    <w:rsid w:val="00EA16C9"/>
    <w:rsid w:val="00EC49CC"/>
    <w:rsid w:val="00ED0516"/>
    <w:rsid w:val="00EE443E"/>
    <w:rsid w:val="00F306C3"/>
    <w:rsid w:val="00F31742"/>
    <w:rsid w:val="00F44836"/>
    <w:rsid w:val="00F449AA"/>
    <w:rsid w:val="00F47953"/>
    <w:rsid w:val="00F54AD2"/>
    <w:rsid w:val="00F65642"/>
    <w:rsid w:val="00F66254"/>
    <w:rsid w:val="00F86233"/>
    <w:rsid w:val="00FC04B8"/>
    <w:rsid w:val="00FD3617"/>
    <w:rsid w:val="00FE07A3"/>
    <w:rsid w:val="00FF4B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60708D-035C-4030-935C-ADF78234C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655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0015"/>
    <w:pPr>
      <w:ind w:left="720"/>
      <w:contextualSpacing/>
    </w:pPr>
  </w:style>
  <w:style w:type="paragraph" w:styleId="Header">
    <w:name w:val="header"/>
    <w:basedOn w:val="Normal"/>
    <w:link w:val="HeaderChar"/>
    <w:uiPriority w:val="99"/>
    <w:unhideWhenUsed/>
    <w:rsid w:val="003374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7464"/>
  </w:style>
  <w:style w:type="paragraph" w:styleId="Footer">
    <w:name w:val="footer"/>
    <w:basedOn w:val="Normal"/>
    <w:link w:val="FooterChar"/>
    <w:uiPriority w:val="99"/>
    <w:unhideWhenUsed/>
    <w:rsid w:val="003374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7464"/>
  </w:style>
  <w:style w:type="paragraph" w:styleId="Caption">
    <w:name w:val="caption"/>
    <w:basedOn w:val="Normal"/>
    <w:next w:val="Normal"/>
    <w:uiPriority w:val="35"/>
    <w:unhideWhenUsed/>
    <w:qFormat/>
    <w:rsid w:val="00337464"/>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DD655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D655E"/>
  </w:style>
  <w:style w:type="paragraph" w:styleId="BalloonText">
    <w:name w:val="Balloon Text"/>
    <w:basedOn w:val="Normal"/>
    <w:link w:val="BalloonTextChar"/>
    <w:uiPriority w:val="99"/>
    <w:semiHidden/>
    <w:unhideWhenUsed/>
    <w:rsid w:val="003774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74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8991">
      <w:bodyDiv w:val="1"/>
      <w:marLeft w:val="0"/>
      <w:marRight w:val="0"/>
      <w:marTop w:val="0"/>
      <w:marBottom w:val="0"/>
      <w:divBdr>
        <w:top w:val="none" w:sz="0" w:space="0" w:color="auto"/>
        <w:left w:val="none" w:sz="0" w:space="0" w:color="auto"/>
        <w:bottom w:val="none" w:sz="0" w:space="0" w:color="auto"/>
        <w:right w:val="none" w:sz="0" w:space="0" w:color="auto"/>
      </w:divBdr>
    </w:div>
    <w:div w:id="16584721">
      <w:bodyDiv w:val="1"/>
      <w:marLeft w:val="0"/>
      <w:marRight w:val="0"/>
      <w:marTop w:val="0"/>
      <w:marBottom w:val="0"/>
      <w:divBdr>
        <w:top w:val="none" w:sz="0" w:space="0" w:color="auto"/>
        <w:left w:val="none" w:sz="0" w:space="0" w:color="auto"/>
        <w:bottom w:val="none" w:sz="0" w:space="0" w:color="auto"/>
        <w:right w:val="none" w:sz="0" w:space="0" w:color="auto"/>
      </w:divBdr>
    </w:div>
    <w:div w:id="54623121">
      <w:bodyDiv w:val="1"/>
      <w:marLeft w:val="0"/>
      <w:marRight w:val="0"/>
      <w:marTop w:val="0"/>
      <w:marBottom w:val="0"/>
      <w:divBdr>
        <w:top w:val="none" w:sz="0" w:space="0" w:color="auto"/>
        <w:left w:val="none" w:sz="0" w:space="0" w:color="auto"/>
        <w:bottom w:val="none" w:sz="0" w:space="0" w:color="auto"/>
        <w:right w:val="none" w:sz="0" w:space="0" w:color="auto"/>
      </w:divBdr>
    </w:div>
    <w:div w:id="61374391">
      <w:bodyDiv w:val="1"/>
      <w:marLeft w:val="0"/>
      <w:marRight w:val="0"/>
      <w:marTop w:val="0"/>
      <w:marBottom w:val="0"/>
      <w:divBdr>
        <w:top w:val="none" w:sz="0" w:space="0" w:color="auto"/>
        <w:left w:val="none" w:sz="0" w:space="0" w:color="auto"/>
        <w:bottom w:val="none" w:sz="0" w:space="0" w:color="auto"/>
        <w:right w:val="none" w:sz="0" w:space="0" w:color="auto"/>
      </w:divBdr>
    </w:div>
    <w:div w:id="73357336">
      <w:bodyDiv w:val="1"/>
      <w:marLeft w:val="0"/>
      <w:marRight w:val="0"/>
      <w:marTop w:val="0"/>
      <w:marBottom w:val="0"/>
      <w:divBdr>
        <w:top w:val="none" w:sz="0" w:space="0" w:color="auto"/>
        <w:left w:val="none" w:sz="0" w:space="0" w:color="auto"/>
        <w:bottom w:val="none" w:sz="0" w:space="0" w:color="auto"/>
        <w:right w:val="none" w:sz="0" w:space="0" w:color="auto"/>
      </w:divBdr>
    </w:div>
    <w:div w:id="110511542">
      <w:bodyDiv w:val="1"/>
      <w:marLeft w:val="0"/>
      <w:marRight w:val="0"/>
      <w:marTop w:val="0"/>
      <w:marBottom w:val="0"/>
      <w:divBdr>
        <w:top w:val="none" w:sz="0" w:space="0" w:color="auto"/>
        <w:left w:val="none" w:sz="0" w:space="0" w:color="auto"/>
        <w:bottom w:val="none" w:sz="0" w:space="0" w:color="auto"/>
        <w:right w:val="none" w:sz="0" w:space="0" w:color="auto"/>
      </w:divBdr>
    </w:div>
    <w:div w:id="116797212">
      <w:bodyDiv w:val="1"/>
      <w:marLeft w:val="0"/>
      <w:marRight w:val="0"/>
      <w:marTop w:val="0"/>
      <w:marBottom w:val="0"/>
      <w:divBdr>
        <w:top w:val="none" w:sz="0" w:space="0" w:color="auto"/>
        <w:left w:val="none" w:sz="0" w:space="0" w:color="auto"/>
        <w:bottom w:val="none" w:sz="0" w:space="0" w:color="auto"/>
        <w:right w:val="none" w:sz="0" w:space="0" w:color="auto"/>
      </w:divBdr>
    </w:div>
    <w:div w:id="135029921">
      <w:bodyDiv w:val="1"/>
      <w:marLeft w:val="0"/>
      <w:marRight w:val="0"/>
      <w:marTop w:val="0"/>
      <w:marBottom w:val="0"/>
      <w:divBdr>
        <w:top w:val="none" w:sz="0" w:space="0" w:color="auto"/>
        <w:left w:val="none" w:sz="0" w:space="0" w:color="auto"/>
        <w:bottom w:val="none" w:sz="0" w:space="0" w:color="auto"/>
        <w:right w:val="none" w:sz="0" w:space="0" w:color="auto"/>
      </w:divBdr>
    </w:div>
    <w:div w:id="145438825">
      <w:bodyDiv w:val="1"/>
      <w:marLeft w:val="0"/>
      <w:marRight w:val="0"/>
      <w:marTop w:val="0"/>
      <w:marBottom w:val="0"/>
      <w:divBdr>
        <w:top w:val="none" w:sz="0" w:space="0" w:color="auto"/>
        <w:left w:val="none" w:sz="0" w:space="0" w:color="auto"/>
        <w:bottom w:val="none" w:sz="0" w:space="0" w:color="auto"/>
        <w:right w:val="none" w:sz="0" w:space="0" w:color="auto"/>
      </w:divBdr>
    </w:div>
    <w:div w:id="151797507">
      <w:bodyDiv w:val="1"/>
      <w:marLeft w:val="0"/>
      <w:marRight w:val="0"/>
      <w:marTop w:val="0"/>
      <w:marBottom w:val="0"/>
      <w:divBdr>
        <w:top w:val="none" w:sz="0" w:space="0" w:color="auto"/>
        <w:left w:val="none" w:sz="0" w:space="0" w:color="auto"/>
        <w:bottom w:val="none" w:sz="0" w:space="0" w:color="auto"/>
        <w:right w:val="none" w:sz="0" w:space="0" w:color="auto"/>
      </w:divBdr>
    </w:div>
    <w:div w:id="216821767">
      <w:bodyDiv w:val="1"/>
      <w:marLeft w:val="0"/>
      <w:marRight w:val="0"/>
      <w:marTop w:val="0"/>
      <w:marBottom w:val="0"/>
      <w:divBdr>
        <w:top w:val="none" w:sz="0" w:space="0" w:color="auto"/>
        <w:left w:val="none" w:sz="0" w:space="0" w:color="auto"/>
        <w:bottom w:val="none" w:sz="0" w:space="0" w:color="auto"/>
        <w:right w:val="none" w:sz="0" w:space="0" w:color="auto"/>
      </w:divBdr>
    </w:div>
    <w:div w:id="286660977">
      <w:bodyDiv w:val="1"/>
      <w:marLeft w:val="0"/>
      <w:marRight w:val="0"/>
      <w:marTop w:val="0"/>
      <w:marBottom w:val="0"/>
      <w:divBdr>
        <w:top w:val="none" w:sz="0" w:space="0" w:color="auto"/>
        <w:left w:val="none" w:sz="0" w:space="0" w:color="auto"/>
        <w:bottom w:val="none" w:sz="0" w:space="0" w:color="auto"/>
        <w:right w:val="none" w:sz="0" w:space="0" w:color="auto"/>
      </w:divBdr>
    </w:div>
    <w:div w:id="287972214">
      <w:bodyDiv w:val="1"/>
      <w:marLeft w:val="0"/>
      <w:marRight w:val="0"/>
      <w:marTop w:val="0"/>
      <w:marBottom w:val="0"/>
      <w:divBdr>
        <w:top w:val="none" w:sz="0" w:space="0" w:color="auto"/>
        <w:left w:val="none" w:sz="0" w:space="0" w:color="auto"/>
        <w:bottom w:val="none" w:sz="0" w:space="0" w:color="auto"/>
        <w:right w:val="none" w:sz="0" w:space="0" w:color="auto"/>
      </w:divBdr>
    </w:div>
    <w:div w:id="306781481">
      <w:bodyDiv w:val="1"/>
      <w:marLeft w:val="0"/>
      <w:marRight w:val="0"/>
      <w:marTop w:val="0"/>
      <w:marBottom w:val="0"/>
      <w:divBdr>
        <w:top w:val="none" w:sz="0" w:space="0" w:color="auto"/>
        <w:left w:val="none" w:sz="0" w:space="0" w:color="auto"/>
        <w:bottom w:val="none" w:sz="0" w:space="0" w:color="auto"/>
        <w:right w:val="none" w:sz="0" w:space="0" w:color="auto"/>
      </w:divBdr>
    </w:div>
    <w:div w:id="322507766">
      <w:bodyDiv w:val="1"/>
      <w:marLeft w:val="0"/>
      <w:marRight w:val="0"/>
      <w:marTop w:val="0"/>
      <w:marBottom w:val="0"/>
      <w:divBdr>
        <w:top w:val="none" w:sz="0" w:space="0" w:color="auto"/>
        <w:left w:val="none" w:sz="0" w:space="0" w:color="auto"/>
        <w:bottom w:val="none" w:sz="0" w:space="0" w:color="auto"/>
        <w:right w:val="none" w:sz="0" w:space="0" w:color="auto"/>
      </w:divBdr>
    </w:div>
    <w:div w:id="326136912">
      <w:bodyDiv w:val="1"/>
      <w:marLeft w:val="0"/>
      <w:marRight w:val="0"/>
      <w:marTop w:val="0"/>
      <w:marBottom w:val="0"/>
      <w:divBdr>
        <w:top w:val="none" w:sz="0" w:space="0" w:color="auto"/>
        <w:left w:val="none" w:sz="0" w:space="0" w:color="auto"/>
        <w:bottom w:val="none" w:sz="0" w:space="0" w:color="auto"/>
        <w:right w:val="none" w:sz="0" w:space="0" w:color="auto"/>
      </w:divBdr>
    </w:div>
    <w:div w:id="367218240">
      <w:bodyDiv w:val="1"/>
      <w:marLeft w:val="0"/>
      <w:marRight w:val="0"/>
      <w:marTop w:val="0"/>
      <w:marBottom w:val="0"/>
      <w:divBdr>
        <w:top w:val="none" w:sz="0" w:space="0" w:color="auto"/>
        <w:left w:val="none" w:sz="0" w:space="0" w:color="auto"/>
        <w:bottom w:val="none" w:sz="0" w:space="0" w:color="auto"/>
        <w:right w:val="none" w:sz="0" w:space="0" w:color="auto"/>
      </w:divBdr>
    </w:div>
    <w:div w:id="380053193">
      <w:bodyDiv w:val="1"/>
      <w:marLeft w:val="0"/>
      <w:marRight w:val="0"/>
      <w:marTop w:val="0"/>
      <w:marBottom w:val="0"/>
      <w:divBdr>
        <w:top w:val="none" w:sz="0" w:space="0" w:color="auto"/>
        <w:left w:val="none" w:sz="0" w:space="0" w:color="auto"/>
        <w:bottom w:val="none" w:sz="0" w:space="0" w:color="auto"/>
        <w:right w:val="none" w:sz="0" w:space="0" w:color="auto"/>
      </w:divBdr>
    </w:div>
    <w:div w:id="387801273">
      <w:bodyDiv w:val="1"/>
      <w:marLeft w:val="0"/>
      <w:marRight w:val="0"/>
      <w:marTop w:val="0"/>
      <w:marBottom w:val="0"/>
      <w:divBdr>
        <w:top w:val="none" w:sz="0" w:space="0" w:color="auto"/>
        <w:left w:val="none" w:sz="0" w:space="0" w:color="auto"/>
        <w:bottom w:val="none" w:sz="0" w:space="0" w:color="auto"/>
        <w:right w:val="none" w:sz="0" w:space="0" w:color="auto"/>
      </w:divBdr>
    </w:div>
    <w:div w:id="400055595">
      <w:bodyDiv w:val="1"/>
      <w:marLeft w:val="0"/>
      <w:marRight w:val="0"/>
      <w:marTop w:val="0"/>
      <w:marBottom w:val="0"/>
      <w:divBdr>
        <w:top w:val="none" w:sz="0" w:space="0" w:color="auto"/>
        <w:left w:val="none" w:sz="0" w:space="0" w:color="auto"/>
        <w:bottom w:val="none" w:sz="0" w:space="0" w:color="auto"/>
        <w:right w:val="none" w:sz="0" w:space="0" w:color="auto"/>
      </w:divBdr>
    </w:div>
    <w:div w:id="406348600">
      <w:bodyDiv w:val="1"/>
      <w:marLeft w:val="0"/>
      <w:marRight w:val="0"/>
      <w:marTop w:val="0"/>
      <w:marBottom w:val="0"/>
      <w:divBdr>
        <w:top w:val="none" w:sz="0" w:space="0" w:color="auto"/>
        <w:left w:val="none" w:sz="0" w:space="0" w:color="auto"/>
        <w:bottom w:val="none" w:sz="0" w:space="0" w:color="auto"/>
        <w:right w:val="none" w:sz="0" w:space="0" w:color="auto"/>
      </w:divBdr>
    </w:div>
    <w:div w:id="418911474">
      <w:bodyDiv w:val="1"/>
      <w:marLeft w:val="0"/>
      <w:marRight w:val="0"/>
      <w:marTop w:val="0"/>
      <w:marBottom w:val="0"/>
      <w:divBdr>
        <w:top w:val="none" w:sz="0" w:space="0" w:color="auto"/>
        <w:left w:val="none" w:sz="0" w:space="0" w:color="auto"/>
        <w:bottom w:val="none" w:sz="0" w:space="0" w:color="auto"/>
        <w:right w:val="none" w:sz="0" w:space="0" w:color="auto"/>
      </w:divBdr>
    </w:div>
    <w:div w:id="461121447">
      <w:bodyDiv w:val="1"/>
      <w:marLeft w:val="0"/>
      <w:marRight w:val="0"/>
      <w:marTop w:val="0"/>
      <w:marBottom w:val="0"/>
      <w:divBdr>
        <w:top w:val="none" w:sz="0" w:space="0" w:color="auto"/>
        <w:left w:val="none" w:sz="0" w:space="0" w:color="auto"/>
        <w:bottom w:val="none" w:sz="0" w:space="0" w:color="auto"/>
        <w:right w:val="none" w:sz="0" w:space="0" w:color="auto"/>
      </w:divBdr>
    </w:div>
    <w:div w:id="468979794">
      <w:bodyDiv w:val="1"/>
      <w:marLeft w:val="0"/>
      <w:marRight w:val="0"/>
      <w:marTop w:val="0"/>
      <w:marBottom w:val="0"/>
      <w:divBdr>
        <w:top w:val="none" w:sz="0" w:space="0" w:color="auto"/>
        <w:left w:val="none" w:sz="0" w:space="0" w:color="auto"/>
        <w:bottom w:val="none" w:sz="0" w:space="0" w:color="auto"/>
        <w:right w:val="none" w:sz="0" w:space="0" w:color="auto"/>
      </w:divBdr>
    </w:div>
    <w:div w:id="485704741">
      <w:bodyDiv w:val="1"/>
      <w:marLeft w:val="0"/>
      <w:marRight w:val="0"/>
      <w:marTop w:val="0"/>
      <w:marBottom w:val="0"/>
      <w:divBdr>
        <w:top w:val="none" w:sz="0" w:space="0" w:color="auto"/>
        <w:left w:val="none" w:sz="0" w:space="0" w:color="auto"/>
        <w:bottom w:val="none" w:sz="0" w:space="0" w:color="auto"/>
        <w:right w:val="none" w:sz="0" w:space="0" w:color="auto"/>
      </w:divBdr>
    </w:div>
    <w:div w:id="504824489">
      <w:bodyDiv w:val="1"/>
      <w:marLeft w:val="0"/>
      <w:marRight w:val="0"/>
      <w:marTop w:val="0"/>
      <w:marBottom w:val="0"/>
      <w:divBdr>
        <w:top w:val="none" w:sz="0" w:space="0" w:color="auto"/>
        <w:left w:val="none" w:sz="0" w:space="0" w:color="auto"/>
        <w:bottom w:val="none" w:sz="0" w:space="0" w:color="auto"/>
        <w:right w:val="none" w:sz="0" w:space="0" w:color="auto"/>
      </w:divBdr>
    </w:div>
    <w:div w:id="506138864">
      <w:bodyDiv w:val="1"/>
      <w:marLeft w:val="0"/>
      <w:marRight w:val="0"/>
      <w:marTop w:val="0"/>
      <w:marBottom w:val="0"/>
      <w:divBdr>
        <w:top w:val="none" w:sz="0" w:space="0" w:color="auto"/>
        <w:left w:val="none" w:sz="0" w:space="0" w:color="auto"/>
        <w:bottom w:val="none" w:sz="0" w:space="0" w:color="auto"/>
        <w:right w:val="none" w:sz="0" w:space="0" w:color="auto"/>
      </w:divBdr>
    </w:div>
    <w:div w:id="528299532">
      <w:bodyDiv w:val="1"/>
      <w:marLeft w:val="0"/>
      <w:marRight w:val="0"/>
      <w:marTop w:val="0"/>
      <w:marBottom w:val="0"/>
      <w:divBdr>
        <w:top w:val="none" w:sz="0" w:space="0" w:color="auto"/>
        <w:left w:val="none" w:sz="0" w:space="0" w:color="auto"/>
        <w:bottom w:val="none" w:sz="0" w:space="0" w:color="auto"/>
        <w:right w:val="none" w:sz="0" w:space="0" w:color="auto"/>
      </w:divBdr>
    </w:div>
    <w:div w:id="585042503">
      <w:bodyDiv w:val="1"/>
      <w:marLeft w:val="0"/>
      <w:marRight w:val="0"/>
      <w:marTop w:val="0"/>
      <w:marBottom w:val="0"/>
      <w:divBdr>
        <w:top w:val="none" w:sz="0" w:space="0" w:color="auto"/>
        <w:left w:val="none" w:sz="0" w:space="0" w:color="auto"/>
        <w:bottom w:val="none" w:sz="0" w:space="0" w:color="auto"/>
        <w:right w:val="none" w:sz="0" w:space="0" w:color="auto"/>
      </w:divBdr>
    </w:div>
    <w:div w:id="659891003">
      <w:bodyDiv w:val="1"/>
      <w:marLeft w:val="0"/>
      <w:marRight w:val="0"/>
      <w:marTop w:val="0"/>
      <w:marBottom w:val="0"/>
      <w:divBdr>
        <w:top w:val="none" w:sz="0" w:space="0" w:color="auto"/>
        <w:left w:val="none" w:sz="0" w:space="0" w:color="auto"/>
        <w:bottom w:val="none" w:sz="0" w:space="0" w:color="auto"/>
        <w:right w:val="none" w:sz="0" w:space="0" w:color="auto"/>
      </w:divBdr>
    </w:div>
    <w:div w:id="697782193">
      <w:bodyDiv w:val="1"/>
      <w:marLeft w:val="0"/>
      <w:marRight w:val="0"/>
      <w:marTop w:val="0"/>
      <w:marBottom w:val="0"/>
      <w:divBdr>
        <w:top w:val="none" w:sz="0" w:space="0" w:color="auto"/>
        <w:left w:val="none" w:sz="0" w:space="0" w:color="auto"/>
        <w:bottom w:val="none" w:sz="0" w:space="0" w:color="auto"/>
        <w:right w:val="none" w:sz="0" w:space="0" w:color="auto"/>
      </w:divBdr>
    </w:div>
    <w:div w:id="703360427">
      <w:bodyDiv w:val="1"/>
      <w:marLeft w:val="0"/>
      <w:marRight w:val="0"/>
      <w:marTop w:val="0"/>
      <w:marBottom w:val="0"/>
      <w:divBdr>
        <w:top w:val="none" w:sz="0" w:space="0" w:color="auto"/>
        <w:left w:val="none" w:sz="0" w:space="0" w:color="auto"/>
        <w:bottom w:val="none" w:sz="0" w:space="0" w:color="auto"/>
        <w:right w:val="none" w:sz="0" w:space="0" w:color="auto"/>
      </w:divBdr>
    </w:div>
    <w:div w:id="709107527">
      <w:bodyDiv w:val="1"/>
      <w:marLeft w:val="0"/>
      <w:marRight w:val="0"/>
      <w:marTop w:val="0"/>
      <w:marBottom w:val="0"/>
      <w:divBdr>
        <w:top w:val="none" w:sz="0" w:space="0" w:color="auto"/>
        <w:left w:val="none" w:sz="0" w:space="0" w:color="auto"/>
        <w:bottom w:val="none" w:sz="0" w:space="0" w:color="auto"/>
        <w:right w:val="none" w:sz="0" w:space="0" w:color="auto"/>
      </w:divBdr>
    </w:div>
    <w:div w:id="727533882">
      <w:bodyDiv w:val="1"/>
      <w:marLeft w:val="0"/>
      <w:marRight w:val="0"/>
      <w:marTop w:val="0"/>
      <w:marBottom w:val="0"/>
      <w:divBdr>
        <w:top w:val="none" w:sz="0" w:space="0" w:color="auto"/>
        <w:left w:val="none" w:sz="0" w:space="0" w:color="auto"/>
        <w:bottom w:val="none" w:sz="0" w:space="0" w:color="auto"/>
        <w:right w:val="none" w:sz="0" w:space="0" w:color="auto"/>
      </w:divBdr>
    </w:div>
    <w:div w:id="733164302">
      <w:bodyDiv w:val="1"/>
      <w:marLeft w:val="0"/>
      <w:marRight w:val="0"/>
      <w:marTop w:val="0"/>
      <w:marBottom w:val="0"/>
      <w:divBdr>
        <w:top w:val="none" w:sz="0" w:space="0" w:color="auto"/>
        <w:left w:val="none" w:sz="0" w:space="0" w:color="auto"/>
        <w:bottom w:val="none" w:sz="0" w:space="0" w:color="auto"/>
        <w:right w:val="none" w:sz="0" w:space="0" w:color="auto"/>
      </w:divBdr>
    </w:div>
    <w:div w:id="738331574">
      <w:bodyDiv w:val="1"/>
      <w:marLeft w:val="0"/>
      <w:marRight w:val="0"/>
      <w:marTop w:val="0"/>
      <w:marBottom w:val="0"/>
      <w:divBdr>
        <w:top w:val="none" w:sz="0" w:space="0" w:color="auto"/>
        <w:left w:val="none" w:sz="0" w:space="0" w:color="auto"/>
        <w:bottom w:val="none" w:sz="0" w:space="0" w:color="auto"/>
        <w:right w:val="none" w:sz="0" w:space="0" w:color="auto"/>
      </w:divBdr>
    </w:div>
    <w:div w:id="748625190">
      <w:bodyDiv w:val="1"/>
      <w:marLeft w:val="0"/>
      <w:marRight w:val="0"/>
      <w:marTop w:val="0"/>
      <w:marBottom w:val="0"/>
      <w:divBdr>
        <w:top w:val="none" w:sz="0" w:space="0" w:color="auto"/>
        <w:left w:val="none" w:sz="0" w:space="0" w:color="auto"/>
        <w:bottom w:val="none" w:sz="0" w:space="0" w:color="auto"/>
        <w:right w:val="none" w:sz="0" w:space="0" w:color="auto"/>
      </w:divBdr>
    </w:div>
    <w:div w:id="749620886">
      <w:bodyDiv w:val="1"/>
      <w:marLeft w:val="0"/>
      <w:marRight w:val="0"/>
      <w:marTop w:val="0"/>
      <w:marBottom w:val="0"/>
      <w:divBdr>
        <w:top w:val="none" w:sz="0" w:space="0" w:color="auto"/>
        <w:left w:val="none" w:sz="0" w:space="0" w:color="auto"/>
        <w:bottom w:val="none" w:sz="0" w:space="0" w:color="auto"/>
        <w:right w:val="none" w:sz="0" w:space="0" w:color="auto"/>
      </w:divBdr>
    </w:div>
    <w:div w:id="808329367">
      <w:bodyDiv w:val="1"/>
      <w:marLeft w:val="0"/>
      <w:marRight w:val="0"/>
      <w:marTop w:val="0"/>
      <w:marBottom w:val="0"/>
      <w:divBdr>
        <w:top w:val="none" w:sz="0" w:space="0" w:color="auto"/>
        <w:left w:val="none" w:sz="0" w:space="0" w:color="auto"/>
        <w:bottom w:val="none" w:sz="0" w:space="0" w:color="auto"/>
        <w:right w:val="none" w:sz="0" w:space="0" w:color="auto"/>
      </w:divBdr>
    </w:div>
    <w:div w:id="809633700">
      <w:bodyDiv w:val="1"/>
      <w:marLeft w:val="0"/>
      <w:marRight w:val="0"/>
      <w:marTop w:val="0"/>
      <w:marBottom w:val="0"/>
      <w:divBdr>
        <w:top w:val="none" w:sz="0" w:space="0" w:color="auto"/>
        <w:left w:val="none" w:sz="0" w:space="0" w:color="auto"/>
        <w:bottom w:val="none" w:sz="0" w:space="0" w:color="auto"/>
        <w:right w:val="none" w:sz="0" w:space="0" w:color="auto"/>
      </w:divBdr>
    </w:div>
    <w:div w:id="815491055">
      <w:bodyDiv w:val="1"/>
      <w:marLeft w:val="0"/>
      <w:marRight w:val="0"/>
      <w:marTop w:val="0"/>
      <w:marBottom w:val="0"/>
      <w:divBdr>
        <w:top w:val="none" w:sz="0" w:space="0" w:color="auto"/>
        <w:left w:val="none" w:sz="0" w:space="0" w:color="auto"/>
        <w:bottom w:val="none" w:sz="0" w:space="0" w:color="auto"/>
        <w:right w:val="none" w:sz="0" w:space="0" w:color="auto"/>
      </w:divBdr>
    </w:div>
    <w:div w:id="824661792">
      <w:bodyDiv w:val="1"/>
      <w:marLeft w:val="0"/>
      <w:marRight w:val="0"/>
      <w:marTop w:val="0"/>
      <w:marBottom w:val="0"/>
      <w:divBdr>
        <w:top w:val="none" w:sz="0" w:space="0" w:color="auto"/>
        <w:left w:val="none" w:sz="0" w:space="0" w:color="auto"/>
        <w:bottom w:val="none" w:sz="0" w:space="0" w:color="auto"/>
        <w:right w:val="none" w:sz="0" w:space="0" w:color="auto"/>
      </w:divBdr>
    </w:div>
    <w:div w:id="829368267">
      <w:bodyDiv w:val="1"/>
      <w:marLeft w:val="0"/>
      <w:marRight w:val="0"/>
      <w:marTop w:val="0"/>
      <w:marBottom w:val="0"/>
      <w:divBdr>
        <w:top w:val="none" w:sz="0" w:space="0" w:color="auto"/>
        <w:left w:val="none" w:sz="0" w:space="0" w:color="auto"/>
        <w:bottom w:val="none" w:sz="0" w:space="0" w:color="auto"/>
        <w:right w:val="none" w:sz="0" w:space="0" w:color="auto"/>
      </w:divBdr>
    </w:div>
    <w:div w:id="848982539">
      <w:bodyDiv w:val="1"/>
      <w:marLeft w:val="0"/>
      <w:marRight w:val="0"/>
      <w:marTop w:val="0"/>
      <w:marBottom w:val="0"/>
      <w:divBdr>
        <w:top w:val="none" w:sz="0" w:space="0" w:color="auto"/>
        <w:left w:val="none" w:sz="0" w:space="0" w:color="auto"/>
        <w:bottom w:val="none" w:sz="0" w:space="0" w:color="auto"/>
        <w:right w:val="none" w:sz="0" w:space="0" w:color="auto"/>
      </w:divBdr>
    </w:div>
    <w:div w:id="878972095">
      <w:bodyDiv w:val="1"/>
      <w:marLeft w:val="0"/>
      <w:marRight w:val="0"/>
      <w:marTop w:val="0"/>
      <w:marBottom w:val="0"/>
      <w:divBdr>
        <w:top w:val="none" w:sz="0" w:space="0" w:color="auto"/>
        <w:left w:val="none" w:sz="0" w:space="0" w:color="auto"/>
        <w:bottom w:val="none" w:sz="0" w:space="0" w:color="auto"/>
        <w:right w:val="none" w:sz="0" w:space="0" w:color="auto"/>
      </w:divBdr>
    </w:div>
    <w:div w:id="886062662">
      <w:bodyDiv w:val="1"/>
      <w:marLeft w:val="0"/>
      <w:marRight w:val="0"/>
      <w:marTop w:val="0"/>
      <w:marBottom w:val="0"/>
      <w:divBdr>
        <w:top w:val="none" w:sz="0" w:space="0" w:color="auto"/>
        <w:left w:val="none" w:sz="0" w:space="0" w:color="auto"/>
        <w:bottom w:val="none" w:sz="0" w:space="0" w:color="auto"/>
        <w:right w:val="none" w:sz="0" w:space="0" w:color="auto"/>
      </w:divBdr>
    </w:div>
    <w:div w:id="919557083">
      <w:bodyDiv w:val="1"/>
      <w:marLeft w:val="0"/>
      <w:marRight w:val="0"/>
      <w:marTop w:val="0"/>
      <w:marBottom w:val="0"/>
      <w:divBdr>
        <w:top w:val="none" w:sz="0" w:space="0" w:color="auto"/>
        <w:left w:val="none" w:sz="0" w:space="0" w:color="auto"/>
        <w:bottom w:val="none" w:sz="0" w:space="0" w:color="auto"/>
        <w:right w:val="none" w:sz="0" w:space="0" w:color="auto"/>
      </w:divBdr>
    </w:div>
    <w:div w:id="928540281">
      <w:bodyDiv w:val="1"/>
      <w:marLeft w:val="0"/>
      <w:marRight w:val="0"/>
      <w:marTop w:val="0"/>
      <w:marBottom w:val="0"/>
      <w:divBdr>
        <w:top w:val="none" w:sz="0" w:space="0" w:color="auto"/>
        <w:left w:val="none" w:sz="0" w:space="0" w:color="auto"/>
        <w:bottom w:val="none" w:sz="0" w:space="0" w:color="auto"/>
        <w:right w:val="none" w:sz="0" w:space="0" w:color="auto"/>
      </w:divBdr>
    </w:div>
    <w:div w:id="934942842">
      <w:bodyDiv w:val="1"/>
      <w:marLeft w:val="0"/>
      <w:marRight w:val="0"/>
      <w:marTop w:val="0"/>
      <w:marBottom w:val="0"/>
      <w:divBdr>
        <w:top w:val="none" w:sz="0" w:space="0" w:color="auto"/>
        <w:left w:val="none" w:sz="0" w:space="0" w:color="auto"/>
        <w:bottom w:val="none" w:sz="0" w:space="0" w:color="auto"/>
        <w:right w:val="none" w:sz="0" w:space="0" w:color="auto"/>
      </w:divBdr>
    </w:div>
    <w:div w:id="995645929">
      <w:bodyDiv w:val="1"/>
      <w:marLeft w:val="0"/>
      <w:marRight w:val="0"/>
      <w:marTop w:val="0"/>
      <w:marBottom w:val="0"/>
      <w:divBdr>
        <w:top w:val="none" w:sz="0" w:space="0" w:color="auto"/>
        <w:left w:val="none" w:sz="0" w:space="0" w:color="auto"/>
        <w:bottom w:val="none" w:sz="0" w:space="0" w:color="auto"/>
        <w:right w:val="none" w:sz="0" w:space="0" w:color="auto"/>
      </w:divBdr>
    </w:div>
    <w:div w:id="998386526">
      <w:bodyDiv w:val="1"/>
      <w:marLeft w:val="0"/>
      <w:marRight w:val="0"/>
      <w:marTop w:val="0"/>
      <w:marBottom w:val="0"/>
      <w:divBdr>
        <w:top w:val="none" w:sz="0" w:space="0" w:color="auto"/>
        <w:left w:val="none" w:sz="0" w:space="0" w:color="auto"/>
        <w:bottom w:val="none" w:sz="0" w:space="0" w:color="auto"/>
        <w:right w:val="none" w:sz="0" w:space="0" w:color="auto"/>
      </w:divBdr>
    </w:div>
    <w:div w:id="1018851384">
      <w:bodyDiv w:val="1"/>
      <w:marLeft w:val="0"/>
      <w:marRight w:val="0"/>
      <w:marTop w:val="0"/>
      <w:marBottom w:val="0"/>
      <w:divBdr>
        <w:top w:val="none" w:sz="0" w:space="0" w:color="auto"/>
        <w:left w:val="none" w:sz="0" w:space="0" w:color="auto"/>
        <w:bottom w:val="none" w:sz="0" w:space="0" w:color="auto"/>
        <w:right w:val="none" w:sz="0" w:space="0" w:color="auto"/>
      </w:divBdr>
    </w:div>
    <w:div w:id="1021323005">
      <w:bodyDiv w:val="1"/>
      <w:marLeft w:val="0"/>
      <w:marRight w:val="0"/>
      <w:marTop w:val="0"/>
      <w:marBottom w:val="0"/>
      <w:divBdr>
        <w:top w:val="none" w:sz="0" w:space="0" w:color="auto"/>
        <w:left w:val="none" w:sz="0" w:space="0" w:color="auto"/>
        <w:bottom w:val="none" w:sz="0" w:space="0" w:color="auto"/>
        <w:right w:val="none" w:sz="0" w:space="0" w:color="auto"/>
      </w:divBdr>
    </w:div>
    <w:div w:id="1037701030">
      <w:bodyDiv w:val="1"/>
      <w:marLeft w:val="0"/>
      <w:marRight w:val="0"/>
      <w:marTop w:val="0"/>
      <w:marBottom w:val="0"/>
      <w:divBdr>
        <w:top w:val="none" w:sz="0" w:space="0" w:color="auto"/>
        <w:left w:val="none" w:sz="0" w:space="0" w:color="auto"/>
        <w:bottom w:val="none" w:sz="0" w:space="0" w:color="auto"/>
        <w:right w:val="none" w:sz="0" w:space="0" w:color="auto"/>
      </w:divBdr>
    </w:div>
    <w:div w:id="1042481193">
      <w:bodyDiv w:val="1"/>
      <w:marLeft w:val="0"/>
      <w:marRight w:val="0"/>
      <w:marTop w:val="0"/>
      <w:marBottom w:val="0"/>
      <w:divBdr>
        <w:top w:val="none" w:sz="0" w:space="0" w:color="auto"/>
        <w:left w:val="none" w:sz="0" w:space="0" w:color="auto"/>
        <w:bottom w:val="none" w:sz="0" w:space="0" w:color="auto"/>
        <w:right w:val="none" w:sz="0" w:space="0" w:color="auto"/>
      </w:divBdr>
    </w:div>
    <w:div w:id="1056508451">
      <w:bodyDiv w:val="1"/>
      <w:marLeft w:val="0"/>
      <w:marRight w:val="0"/>
      <w:marTop w:val="0"/>
      <w:marBottom w:val="0"/>
      <w:divBdr>
        <w:top w:val="none" w:sz="0" w:space="0" w:color="auto"/>
        <w:left w:val="none" w:sz="0" w:space="0" w:color="auto"/>
        <w:bottom w:val="none" w:sz="0" w:space="0" w:color="auto"/>
        <w:right w:val="none" w:sz="0" w:space="0" w:color="auto"/>
      </w:divBdr>
    </w:div>
    <w:div w:id="1060133291">
      <w:bodyDiv w:val="1"/>
      <w:marLeft w:val="0"/>
      <w:marRight w:val="0"/>
      <w:marTop w:val="0"/>
      <w:marBottom w:val="0"/>
      <w:divBdr>
        <w:top w:val="none" w:sz="0" w:space="0" w:color="auto"/>
        <w:left w:val="none" w:sz="0" w:space="0" w:color="auto"/>
        <w:bottom w:val="none" w:sz="0" w:space="0" w:color="auto"/>
        <w:right w:val="none" w:sz="0" w:space="0" w:color="auto"/>
      </w:divBdr>
    </w:div>
    <w:div w:id="1163088619">
      <w:bodyDiv w:val="1"/>
      <w:marLeft w:val="0"/>
      <w:marRight w:val="0"/>
      <w:marTop w:val="0"/>
      <w:marBottom w:val="0"/>
      <w:divBdr>
        <w:top w:val="none" w:sz="0" w:space="0" w:color="auto"/>
        <w:left w:val="none" w:sz="0" w:space="0" w:color="auto"/>
        <w:bottom w:val="none" w:sz="0" w:space="0" w:color="auto"/>
        <w:right w:val="none" w:sz="0" w:space="0" w:color="auto"/>
      </w:divBdr>
    </w:div>
    <w:div w:id="1170096178">
      <w:bodyDiv w:val="1"/>
      <w:marLeft w:val="0"/>
      <w:marRight w:val="0"/>
      <w:marTop w:val="0"/>
      <w:marBottom w:val="0"/>
      <w:divBdr>
        <w:top w:val="none" w:sz="0" w:space="0" w:color="auto"/>
        <w:left w:val="none" w:sz="0" w:space="0" w:color="auto"/>
        <w:bottom w:val="none" w:sz="0" w:space="0" w:color="auto"/>
        <w:right w:val="none" w:sz="0" w:space="0" w:color="auto"/>
      </w:divBdr>
    </w:div>
    <w:div w:id="1192762371">
      <w:bodyDiv w:val="1"/>
      <w:marLeft w:val="0"/>
      <w:marRight w:val="0"/>
      <w:marTop w:val="0"/>
      <w:marBottom w:val="0"/>
      <w:divBdr>
        <w:top w:val="none" w:sz="0" w:space="0" w:color="auto"/>
        <w:left w:val="none" w:sz="0" w:space="0" w:color="auto"/>
        <w:bottom w:val="none" w:sz="0" w:space="0" w:color="auto"/>
        <w:right w:val="none" w:sz="0" w:space="0" w:color="auto"/>
      </w:divBdr>
    </w:div>
    <w:div w:id="1201475724">
      <w:bodyDiv w:val="1"/>
      <w:marLeft w:val="0"/>
      <w:marRight w:val="0"/>
      <w:marTop w:val="0"/>
      <w:marBottom w:val="0"/>
      <w:divBdr>
        <w:top w:val="none" w:sz="0" w:space="0" w:color="auto"/>
        <w:left w:val="none" w:sz="0" w:space="0" w:color="auto"/>
        <w:bottom w:val="none" w:sz="0" w:space="0" w:color="auto"/>
        <w:right w:val="none" w:sz="0" w:space="0" w:color="auto"/>
      </w:divBdr>
    </w:div>
    <w:div w:id="1216117022">
      <w:bodyDiv w:val="1"/>
      <w:marLeft w:val="0"/>
      <w:marRight w:val="0"/>
      <w:marTop w:val="0"/>
      <w:marBottom w:val="0"/>
      <w:divBdr>
        <w:top w:val="none" w:sz="0" w:space="0" w:color="auto"/>
        <w:left w:val="none" w:sz="0" w:space="0" w:color="auto"/>
        <w:bottom w:val="none" w:sz="0" w:space="0" w:color="auto"/>
        <w:right w:val="none" w:sz="0" w:space="0" w:color="auto"/>
      </w:divBdr>
    </w:div>
    <w:div w:id="1237399092">
      <w:bodyDiv w:val="1"/>
      <w:marLeft w:val="0"/>
      <w:marRight w:val="0"/>
      <w:marTop w:val="0"/>
      <w:marBottom w:val="0"/>
      <w:divBdr>
        <w:top w:val="none" w:sz="0" w:space="0" w:color="auto"/>
        <w:left w:val="none" w:sz="0" w:space="0" w:color="auto"/>
        <w:bottom w:val="none" w:sz="0" w:space="0" w:color="auto"/>
        <w:right w:val="none" w:sz="0" w:space="0" w:color="auto"/>
      </w:divBdr>
    </w:div>
    <w:div w:id="1243297379">
      <w:bodyDiv w:val="1"/>
      <w:marLeft w:val="0"/>
      <w:marRight w:val="0"/>
      <w:marTop w:val="0"/>
      <w:marBottom w:val="0"/>
      <w:divBdr>
        <w:top w:val="none" w:sz="0" w:space="0" w:color="auto"/>
        <w:left w:val="none" w:sz="0" w:space="0" w:color="auto"/>
        <w:bottom w:val="none" w:sz="0" w:space="0" w:color="auto"/>
        <w:right w:val="none" w:sz="0" w:space="0" w:color="auto"/>
      </w:divBdr>
    </w:div>
    <w:div w:id="1278833687">
      <w:bodyDiv w:val="1"/>
      <w:marLeft w:val="0"/>
      <w:marRight w:val="0"/>
      <w:marTop w:val="0"/>
      <w:marBottom w:val="0"/>
      <w:divBdr>
        <w:top w:val="none" w:sz="0" w:space="0" w:color="auto"/>
        <w:left w:val="none" w:sz="0" w:space="0" w:color="auto"/>
        <w:bottom w:val="none" w:sz="0" w:space="0" w:color="auto"/>
        <w:right w:val="none" w:sz="0" w:space="0" w:color="auto"/>
      </w:divBdr>
    </w:div>
    <w:div w:id="1362314849">
      <w:bodyDiv w:val="1"/>
      <w:marLeft w:val="0"/>
      <w:marRight w:val="0"/>
      <w:marTop w:val="0"/>
      <w:marBottom w:val="0"/>
      <w:divBdr>
        <w:top w:val="none" w:sz="0" w:space="0" w:color="auto"/>
        <w:left w:val="none" w:sz="0" w:space="0" w:color="auto"/>
        <w:bottom w:val="none" w:sz="0" w:space="0" w:color="auto"/>
        <w:right w:val="none" w:sz="0" w:space="0" w:color="auto"/>
      </w:divBdr>
    </w:div>
    <w:div w:id="1382943560">
      <w:bodyDiv w:val="1"/>
      <w:marLeft w:val="0"/>
      <w:marRight w:val="0"/>
      <w:marTop w:val="0"/>
      <w:marBottom w:val="0"/>
      <w:divBdr>
        <w:top w:val="none" w:sz="0" w:space="0" w:color="auto"/>
        <w:left w:val="none" w:sz="0" w:space="0" w:color="auto"/>
        <w:bottom w:val="none" w:sz="0" w:space="0" w:color="auto"/>
        <w:right w:val="none" w:sz="0" w:space="0" w:color="auto"/>
      </w:divBdr>
    </w:div>
    <w:div w:id="1450928193">
      <w:bodyDiv w:val="1"/>
      <w:marLeft w:val="0"/>
      <w:marRight w:val="0"/>
      <w:marTop w:val="0"/>
      <w:marBottom w:val="0"/>
      <w:divBdr>
        <w:top w:val="none" w:sz="0" w:space="0" w:color="auto"/>
        <w:left w:val="none" w:sz="0" w:space="0" w:color="auto"/>
        <w:bottom w:val="none" w:sz="0" w:space="0" w:color="auto"/>
        <w:right w:val="none" w:sz="0" w:space="0" w:color="auto"/>
      </w:divBdr>
    </w:div>
    <w:div w:id="1460996577">
      <w:bodyDiv w:val="1"/>
      <w:marLeft w:val="0"/>
      <w:marRight w:val="0"/>
      <w:marTop w:val="0"/>
      <w:marBottom w:val="0"/>
      <w:divBdr>
        <w:top w:val="none" w:sz="0" w:space="0" w:color="auto"/>
        <w:left w:val="none" w:sz="0" w:space="0" w:color="auto"/>
        <w:bottom w:val="none" w:sz="0" w:space="0" w:color="auto"/>
        <w:right w:val="none" w:sz="0" w:space="0" w:color="auto"/>
      </w:divBdr>
    </w:div>
    <w:div w:id="1560899087">
      <w:bodyDiv w:val="1"/>
      <w:marLeft w:val="0"/>
      <w:marRight w:val="0"/>
      <w:marTop w:val="0"/>
      <w:marBottom w:val="0"/>
      <w:divBdr>
        <w:top w:val="none" w:sz="0" w:space="0" w:color="auto"/>
        <w:left w:val="none" w:sz="0" w:space="0" w:color="auto"/>
        <w:bottom w:val="none" w:sz="0" w:space="0" w:color="auto"/>
        <w:right w:val="none" w:sz="0" w:space="0" w:color="auto"/>
      </w:divBdr>
    </w:div>
    <w:div w:id="1562905878">
      <w:bodyDiv w:val="1"/>
      <w:marLeft w:val="0"/>
      <w:marRight w:val="0"/>
      <w:marTop w:val="0"/>
      <w:marBottom w:val="0"/>
      <w:divBdr>
        <w:top w:val="none" w:sz="0" w:space="0" w:color="auto"/>
        <w:left w:val="none" w:sz="0" w:space="0" w:color="auto"/>
        <w:bottom w:val="none" w:sz="0" w:space="0" w:color="auto"/>
        <w:right w:val="none" w:sz="0" w:space="0" w:color="auto"/>
      </w:divBdr>
    </w:div>
    <w:div w:id="1585647163">
      <w:bodyDiv w:val="1"/>
      <w:marLeft w:val="0"/>
      <w:marRight w:val="0"/>
      <w:marTop w:val="0"/>
      <w:marBottom w:val="0"/>
      <w:divBdr>
        <w:top w:val="none" w:sz="0" w:space="0" w:color="auto"/>
        <w:left w:val="none" w:sz="0" w:space="0" w:color="auto"/>
        <w:bottom w:val="none" w:sz="0" w:space="0" w:color="auto"/>
        <w:right w:val="none" w:sz="0" w:space="0" w:color="auto"/>
      </w:divBdr>
    </w:div>
    <w:div w:id="1598363538">
      <w:bodyDiv w:val="1"/>
      <w:marLeft w:val="0"/>
      <w:marRight w:val="0"/>
      <w:marTop w:val="0"/>
      <w:marBottom w:val="0"/>
      <w:divBdr>
        <w:top w:val="none" w:sz="0" w:space="0" w:color="auto"/>
        <w:left w:val="none" w:sz="0" w:space="0" w:color="auto"/>
        <w:bottom w:val="none" w:sz="0" w:space="0" w:color="auto"/>
        <w:right w:val="none" w:sz="0" w:space="0" w:color="auto"/>
      </w:divBdr>
    </w:div>
    <w:div w:id="1670015124">
      <w:bodyDiv w:val="1"/>
      <w:marLeft w:val="0"/>
      <w:marRight w:val="0"/>
      <w:marTop w:val="0"/>
      <w:marBottom w:val="0"/>
      <w:divBdr>
        <w:top w:val="none" w:sz="0" w:space="0" w:color="auto"/>
        <w:left w:val="none" w:sz="0" w:space="0" w:color="auto"/>
        <w:bottom w:val="none" w:sz="0" w:space="0" w:color="auto"/>
        <w:right w:val="none" w:sz="0" w:space="0" w:color="auto"/>
      </w:divBdr>
    </w:div>
    <w:div w:id="1676301680">
      <w:bodyDiv w:val="1"/>
      <w:marLeft w:val="0"/>
      <w:marRight w:val="0"/>
      <w:marTop w:val="0"/>
      <w:marBottom w:val="0"/>
      <w:divBdr>
        <w:top w:val="none" w:sz="0" w:space="0" w:color="auto"/>
        <w:left w:val="none" w:sz="0" w:space="0" w:color="auto"/>
        <w:bottom w:val="none" w:sz="0" w:space="0" w:color="auto"/>
        <w:right w:val="none" w:sz="0" w:space="0" w:color="auto"/>
      </w:divBdr>
    </w:div>
    <w:div w:id="1688605187">
      <w:bodyDiv w:val="1"/>
      <w:marLeft w:val="0"/>
      <w:marRight w:val="0"/>
      <w:marTop w:val="0"/>
      <w:marBottom w:val="0"/>
      <w:divBdr>
        <w:top w:val="none" w:sz="0" w:space="0" w:color="auto"/>
        <w:left w:val="none" w:sz="0" w:space="0" w:color="auto"/>
        <w:bottom w:val="none" w:sz="0" w:space="0" w:color="auto"/>
        <w:right w:val="none" w:sz="0" w:space="0" w:color="auto"/>
      </w:divBdr>
    </w:div>
    <w:div w:id="1691686859">
      <w:bodyDiv w:val="1"/>
      <w:marLeft w:val="0"/>
      <w:marRight w:val="0"/>
      <w:marTop w:val="0"/>
      <w:marBottom w:val="0"/>
      <w:divBdr>
        <w:top w:val="none" w:sz="0" w:space="0" w:color="auto"/>
        <w:left w:val="none" w:sz="0" w:space="0" w:color="auto"/>
        <w:bottom w:val="none" w:sz="0" w:space="0" w:color="auto"/>
        <w:right w:val="none" w:sz="0" w:space="0" w:color="auto"/>
      </w:divBdr>
    </w:div>
    <w:div w:id="1692684986">
      <w:bodyDiv w:val="1"/>
      <w:marLeft w:val="0"/>
      <w:marRight w:val="0"/>
      <w:marTop w:val="0"/>
      <w:marBottom w:val="0"/>
      <w:divBdr>
        <w:top w:val="none" w:sz="0" w:space="0" w:color="auto"/>
        <w:left w:val="none" w:sz="0" w:space="0" w:color="auto"/>
        <w:bottom w:val="none" w:sz="0" w:space="0" w:color="auto"/>
        <w:right w:val="none" w:sz="0" w:space="0" w:color="auto"/>
      </w:divBdr>
    </w:div>
    <w:div w:id="1695577575">
      <w:bodyDiv w:val="1"/>
      <w:marLeft w:val="0"/>
      <w:marRight w:val="0"/>
      <w:marTop w:val="0"/>
      <w:marBottom w:val="0"/>
      <w:divBdr>
        <w:top w:val="none" w:sz="0" w:space="0" w:color="auto"/>
        <w:left w:val="none" w:sz="0" w:space="0" w:color="auto"/>
        <w:bottom w:val="none" w:sz="0" w:space="0" w:color="auto"/>
        <w:right w:val="none" w:sz="0" w:space="0" w:color="auto"/>
      </w:divBdr>
    </w:div>
    <w:div w:id="1696878647">
      <w:bodyDiv w:val="1"/>
      <w:marLeft w:val="0"/>
      <w:marRight w:val="0"/>
      <w:marTop w:val="0"/>
      <w:marBottom w:val="0"/>
      <w:divBdr>
        <w:top w:val="none" w:sz="0" w:space="0" w:color="auto"/>
        <w:left w:val="none" w:sz="0" w:space="0" w:color="auto"/>
        <w:bottom w:val="none" w:sz="0" w:space="0" w:color="auto"/>
        <w:right w:val="none" w:sz="0" w:space="0" w:color="auto"/>
      </w:divBdr>
    </w:div>
    <w:div w:id="1715614647">
      <w:bodyDiv w:val="1"/>
      <w:marLeft w:val="0"/>
      <w:marRight w:val="0"/>
      <w:marTop w:val="0"/>
      <w:marBottom w:val="0"/>
      <w:divBdr>
        <w:top w:val="none" w:sz="0" w:space="0" w:color="auto"/>
        <w:left w:val="none" w:sz="0" w:space="0" w:color="auto"/>
        <w:bottom w:val="none" w:sz="0" w:space="0" w:color="auto"/>
        <w:right w:val="none" w:sz="0" w:space="0" w:color="auto"/>
      </w:divBdr>
    </w:div>
    <w:div w:id="1726953341">
      <w:bodyDiv w:val="1"/>
      <w:marLeft w:val="0"/>
      <w:marRight w:val="0"/>
      <w:marTop w:val="0"/>
      <w:marBottom w:val="0"/>
      <w:divBdr>
        <w:top w:val="none" w:sz="0" w:space="0" w:color="auto"/>
        <w:left w:val="none" w:sz="0" w:space="0" w:color="auto"/>
        <w:bottom w:val="none" w:sz="0" w:space="0" w:color="auto"/>
        <w:right w:val="none" w:sz="0" w:space="0" w:color="auto"/>
      </w:divBdr>
    </w:div>
    <w:div w:id="1732918562">
      <w:bodyDiv w:val="1"/>
      <w:marLeft w:val="0"/>
      <w:marRight w:val="0"/>
      <w:marTop w:val="0"/>
      <w:marBottom w:val="0"/>
      <w:divBdr>
        <w:top w:val="none" w:sz="0" w:space="0" w:color="auto"/>
        <w:left w:val="none" w:sz="0" w:space="0" w:color="auto"/>
        <w:bottom w:val="none" w:sz="0" w:space="0" w:color="auto"/>
        <w:right w:val="none" w:sz="0" w:space="0" w:color="auto"/>
      </w:divBdr>
    </w:div>
    <w:div w:id="1739205695">
      <w:bodyDiv w:val="1"/>
      <w:marLeft w:val="0"/>
      <w:marRight w:val="0"/>
      <w:marTop w:val="0"/>
      <w:marBottom w:val="0"/>
      <w:divBdr>
        <w:top w:val="none" w:sz="0" w:space="0" w:color="auto"/>
        <w:left w:val="none" w:sz="0" w:space="0" w:color="auto"/>
        <w:bottom w:val="none" w:sz="0" w:space="0" w:color="auto"/>
        <w:right w:val="none" w:sz="0" w:space="0" w:color="auto"/>
      </w:divBdr>
    </w:div>
    <w:div w:id="1741292685">
      <w:bodyDiv w:val="1"/>
      <w:marLeft w:val="0"/>
      <w:marRight w:val="0"/>
      <w:marTop w:val="0"/>
      <w:marBottom w:val="0"/>
      <w:divBdr>
        <w:top w:val="none" w:sz="0" w:space="0" w:color="auto"/>
        <w:left w:val="none" w:sz="0" w:space="0" w:color="auto"/>
        <w:bottom w:val="none" w:sz="0" w:space="0" w:color="auto"/>
        <w:right w:val="none" w:sz="0" w:space="0" w:color="auto"/>
      </w:divBdr>
    </w:div>
    <w:div w:id="1757899256">
      <w:bodyDiv w:val="1"/>
      <w:marLeft w:val="0"/>
      <w:marRight w:val="0"/>
      <w:marTop w:val="0"/>
      <w:marBottom w:val="0"/>
      <w:divBdr>
        <w:top w:val="none" w:sz="0" w:space="0" w:color="auto"/>
        <w:left w:val="none" w:sz="0" w:space="0" w:color="auto"/>
        <w:bottom w:val="none" w:sz="0" w:space="0" w:color="auto"/>
        <w:right w:val="none" w:sz="0" w:space="0" w:color="auto"/>
      </w:divBdr>
    </w:div>
    <w:div w:id="1760711193">
      <w:bodyDiv w:val="1"/>
      <w:marLeft w:val="0"/>
      <w:marRight w:val="0"/>
      <w:marTop w:val="0"/>
      <w:marBottom w:val="0"/>
      <w:divBdr>
        <w:top w:val="none" w:sz="0" w:space="0" w:color="auto"/>
        <w:left w:val="none" w:sz="0" w:space="0" w:color="auto"/>
        <w:bottom w:val="none" w:sz="0" w:space="0" w:color="auto"/>
        <w:right w:val="none" w:sz="0" w:space="0" w:color="auto"/>
      </w:divBdr>
    </w:div>
    <w:div w:id="1798524248">
      <w:bodyDiv w:val="1"/>
      <w:marLeft w:val="0"/>
      <w:marRight w:val="0"/>
      <w:marTop w:val="0"/>
      <w:marBottom w:val="0"/>
      <w:divBdr>
        <w:top w:val="none" w:sz="0" w:space="0" w:color="auto"/>
        <w:left w:val="none" w:sz="0" w:space="0" w:color="auto"/>
        <w:bottom w:val="none" w:sz="0" w:space="0" w:color="auto"/>
        <w:right w:val="none" w:sz="0" w:space="0" w:color="auto"/>
      </w:divBdr>
    </w:div>
    <w:div w:id="1834954083">
      <w:bodyDiv w:val="1"/>
      <w:marLeft w:val="0"/>
      <w:marRight w:val="0"/>
      <w:marTop w:val="0"/>
      <w:marBottom w:val="0"/>
      <w:divBdr>
        <w:top w:val="none" w:sz="0" w:space="0" w:color="auto"/>
        <w:left w:val="none" w:sz="0" w:space="0" w:color="auto"/>
        <w:bottom w:val="none" w:sz="0" w:space="0" w:color="auto"/>
        <w:right w:val="none" w:sz="0" w:space="0" w:color="auto"/>
      </w:divBdr>
    </w:div>
    <w:div w:id="1836190396">
      <w:bodyDiv w:val="1"/>
      <w:marLeft w:val="0"/>
      <w:marRight w:val="0"/>
      <w:marTop w:val="0"/>
      <w:marBottom w:val="0"/>
      <w:divBdr>
        <w:top w:val="none" w:sz="0" w:space="0" w:color="auto"/>
        <w:left w:val="none" w:sz="0" w:space="0" w:color="auto"/>
        <w:bottom w:val="none" w:sz="0" w:space="0" w:color="auto"/>
        <w:right w:val="none" w:sz="0" w:space="0" w:color="auto"/>
      </w:divBdr>
    </w:div>
    <w:div w:id="1865317922">
      <w:bodyDiv w:val="1"/>
      <w:marLeft w:val="0"/>
      <w:marRight w:val="0"/>
      <w:marTop w:val="0"/>
      <w:marBottom w:val="0"/>
      <w:divBdr>
        <w:top w:val="none" w:sz="0" w:space="0" w:color="auto"/>
        <w:left w:val="none" w:sz="0" w:space="0" w:color="auto"/>
        <w:bottom w:val="none" w:sz="0" w:space="0" w:color="auto"/>
        <w:right w:val="none" w:sz="0" w:space="0" w:color="auto"/>
      </w:divBdr>
    </w:div>
    <w:div w:id="1866091167">
      <w:bodyDiv w:val="1"/>
      <w:marLeft w:val="0"/>
      <w:marRight w:val="0"/>
      <w:marTop w:val="0"/>
      <w:marBottom w:val="0"/>
      <w:divBdr>
        <w:top w:val="none" w:sz="0" w:space="0" w:color="auto"/>
        <w:left w:val="none" w:sz="0" w:space="0" w:color="auto"/>
        <w:bottom w:val="none" w:sz="0" w:space="0" w:color="auto"/>
        <w:right w:val="none" w:sz="0" w:space="0" w:color="auto"/>
      </w:divBdr>
    </w:div>
    <w:div w:id="1905752842">
      <w:bodyDiv w:val="1"/>
      <w:marLeft w:val="0"/>
      <w:marRight w:val="0"/>
      <w:marTop w:val="0"/>
      <w:marBottom w:val="0"/>
      <w:divBdr>
        <w:top w:val="none" w:sz="0" w:space="0" w:color="auto"/>
        <w:left w:val="none" w:sz="0" w:space="0" w:color="auto"/>
        <w:bottom w:val="none" w:sz="0" w:space="0" w:color="auto"/>
        <w:right w:val="none" w:sz="0" w:space="0" w:color="auto"/>
      </w:divBdr>
    </w:div>
    <w:div w:id="1944998936">
      <w:bodyDiv w:val="1"/>
      <w:marLeft w:val="0"/>
      <w:marRight w:val="0"/>
      <w:marTop w:val="0"/>
      <w:marBottom w:val="0"/>
      <w:divBdr>
        <w:top w:val="none" w:sz="0" w:space="0" w:color="auto"/>
        <w:left w:val="none" w:sz="0" w:space="0" w:color="auto"/>
        <w:bottom w:val="none" w:sz="0" w:space="0" w:color="auto"/>
        <w:right w:val="none" w:sz="0" w:space="0" w:color="auto"/>
      </w:divBdr>
    </w:div>
    <w:div w:id="1960916091">
      <w:bodyDiv w:val="1"/>
      <w:marLeft w:val="0"/>
      <w:marRight w:val="0"/>
      <w:marTop w:val="0"/>
      <w:marBottom w:val="0"/>
      <w:divBdr>
        <w:top w:val="none" w:sz="0" w:space="0" w:color="auto"/>
        <w:left w:val="none" w:sz="0" w:space="0" w:color="auto"/>
        <w:bottom w:val="none" w:sz="0" w:space="0" w:color="auto"/>
        <w:right w:val="none" w:sz="0" w:space="0" w:color="auto"/>
      </w:divBdr>
    </w:div>
    <w:div w:id="1964191379">
      <w:bodyDiv w:val="1"/>
      <w:marLeft w:val="0"/>
      <w:marRight w:val="0"/>
      <w:marTop w:val="0"/>
      <w:marBottom w:val="0"/>
      <w:divBdr>
        <w:top w:val="none" w:sz="0" w:space="0" w:color="auto"/>
        <w:left w:val="none" w:sz="0" w:space="0" w:color="auto"/>
        <w:bottom w:val="none" w:sz="0" w:space="0" w:color="auto"/>
        <w:right w:val="none" w:sz="0" w:space="0" w:color="auto"/>
      </w:divBdr>
    </w:div>
    <w:div w:id="1975985794">
      <w:bodyDiv w:val="1"/>
      <w:marLeft w:val="0"/>
      <w:marRight w:val="0"/>
      <w:marTop w:val="0"/>
      <w:marBottom w:val="0"/>
      <w:divBdr>
        <w:top w:val="none" w:sz="0" w:space="0" w:color="auto"/>
        <w:left w:val="none" w:sz="0" w:space="0" w:color="auto"/>
        <w:bottom w:val="none" w:sz="0" w:space="0" w:color="auto"/>
        <w:right w:val="none" w:sz="0" w:space="0" w:color="auto"/>
      </w:divBdr>
    </w:div>
    <w:div w:id="1986473278">
      <w:bodyDiv w:val="1"/>
      <w:marLeft w:val="0"/>
      <w:marRight w:val="0"/>
      <w:marTop w:val="0"/>
      <w:marBottom w:val="0"/>
      <w:divBdr>
        <w:top w:val="none" w:sz="0" w:space="0" w:color="auto"/>
        <w:left w:val="none" w:sz="0" w:space="0" w:color="auto"/>
        <w:bottom w:val="none" w:sz="0" w:space="0" w:color="auto"/>
        <w:right w:val="none" w:sz="0" w:space="0" w:color="auto"/>
      </w:divBdr>
    </w:div>
    <w:div w:id="2020155712">
      <w:bodyDiv w:val="1"/>
      <w:marLeft w:val="0"/>
      <w:marRight w:val="0"/>
      <w:marTop w:val="0"/>
      <w:marBottom w:val="0"/>
      <w:divBdr>
        <w:top w:val="none" w:sz="0" w:space="0" w:color="auto"/>
        <w:left w:val="none" w:sz="0" w:space="0" w:color="auto"/>
        <w:bottom w:val="none" w:sz="0" w:space="0" w:color="auto"/>
        <w:right w:val="none" w:sz="0" w:space="0" w:color="auto"/>
      </w:divBdr>
    </w:div>
    <w:div w:id="2022509065">
      <w:bodyDiv w:val="1"/>
      <w:marLeft w:val="0"/>
      <w:marRight w:val="0"/>
      <w:marTop w:val="0"/>
      <w:marBottom w:val="0"/>
      <w:divBdr>
        <w:top w:val="none" w:sz="0" w:space="0" w:color="auto"/>
        <w:left w:val="none" w:sz="0" w:space="0" w:color="auto"/>
        <w:bottom w:val="none" w:sz="0" w:space="0" w:color="auto"/>
        <w:right w:val="none" w:sz="0" w:space="0" w:color="auto"/>
      </w:divBdr>
    </w:div>
    <w:div w:id="2034384057">
      <w:bodyDiv w:val="1"/>
      <w:marLeft w:val="0"/>
      <w:marRight w:val="0"/>
      <w:marTop w:val="0"/>
      <w:marBottom w:val="0"/>
      <w:divBdr>
        <w:top w:val="none" w:sz="0" w:space="0" w:color="auto"/>
        <w:left w:val="none" w:sz="0" w:space="0" w:color="auto"/>
        <w:bottom w:val="none" w:sz="0" w:space="0" w:color="auto"/>
        <w:right w:val="none" w:sz="0" w:space="0" w:color="auto"/>
      </w:divBdr>
    </w:div>
    <w:div w:id="2037193767">
      <w:bodyDiv w:val="1"/>
      <w:marLeft w:val="0"/>
      <w:marRight w:val="0"/>
      <w:marTop w:val="0"/>
      <w:marBottom w:val="0"/>
      <w:divBdr>
        <w:top w:val="none" w:sz="0" w:space="0" w:color="auto"/>
        <w:left w:val="none" w:sz="0" w:space="0" w:color="auto"/>
        <w:bottom w:val="none" w:sz="0" w:space="0" w:color="auto"/>
        <w:right w:val="none" w:sz="0" w:space="0" w:color="auto"/>
      </w:divBdr>
    </w:div>
    <w:div w:id="2041466590">
      <w:bodyDiv w:val="1"/>
      <w:marLeft w:val="0"/>
      <w:marRight w:val="0"/>
      <w:marTop w:val="0"/>
      <w:marBottom w:val="0"/>
      <w:divBdr>
        <w:top w:val="none" w:sz="0" w:space="0" w:color="auto"/>
        <w:left w:val="none" w:sz="0" w:space="0" w:color="auto"/>
        <w:bottom w:val="none" w:sz="0" w:space="0" w:color="auto"/>
        <w:right w:val="none" w:sz="0" w:space="0" w:color="auto"/>
      </w:divBdr>
    </w:div>
    <w:div w:id="2041737541">
      <w:bodyDiv w:val="1"/>
      <w:marLeft w:val="0"/>
      <w:marRight w:val="0"/>
      <w:marTop w:val="0"/>
      <w:marBottom w:val="0"/>
      <w:divBdr>
        <w:top w:val="none" w:sz="0" w:space="0" w:color="auto"/>
        <w:left w:val="none" w:sz="0" w:space="0" w:color="auto"/>
        <w:bottom w:val="none" w:sz="0" w:space="0" w:color="auto"/>
        <w:right w:val="none" w:sz="0" w:space="0" w:color="auto"/>
      </w:divBdr>
    </w:div>
    <w:div w:id="2064020945">
      <w:bodyDiv w:val="1"/>
      <w:marLeft w:val="0"/>
      <w:marRight w:val="0"/>
      <w:marTop w:val="0"/>
      <w:marBottom w:val="0"/>
      <w:divBdr>
        <w:top w:val="none" w:sz="0" w:space="0" w:color="auto"/>
        <w:left w:val="none" w:sz="0" w:space="0" w:color="auto"/>
        <w:bottom w:val="none" w:sz="0" w:space="0" w:color="auto"/>
        <w:right w:val="none" w:sz="0" w:space="0" w:color="auto"/>
      </w:divBdr>
    </w:div>
    <w:div w:id="2070614974">
      <w:bodyDiv w:val="1"/>
      <w:marLeft w:val="0"/>
      <w:marRight w:val="0"/>
      <w:marTop w:val="0"/>
      <w:marBottom w:val="0"/>
      <w:divBdr>
        <w:top w:val="none" w:sz="0" w:space="0" w:color="auto"/>
        <w:left w:val="none" w:sz="0" w:space="0" w:color="auto"/>
        <w:bottom w:val="none" w:sz="0" w:space="0" w:color="auto"/>
        <w:right w:val="none" w:sz="0" w:space="0" w:color="auto"/>
      </w:divBdr>
    </w:div>
    <w:div w:id="2112239934">
      <w:bodyDiv w:val="1"/>
      <w:marLeft w:val="0"/>
      <w:marRight w:val="0"/>
      <w:marTop w:val="0"/>
      <w:marBottom w:val="0"/>
      <w:divBdr>
        <w:top w:val="none" w:sz="0" w:space="0" w:color="auto"/>
        <w:left w:val="none" w:sz="0" w:space="0" w:color="auto"/>
        <w:bottom w:val="none" w:sz="0" w:space="0" w:color="auto"/>
        <w:right w:val="none" w:sz="0" w:space="0" w:color="auto"/>
      </w:divBdr>
    </w:div>
    <w:div w:id="2128235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Wil06</b:Tag>
    <b:SourceType>BookSection</b:SourceType>
    <b:Guid>{BBBDE789-089B-44FF-A178-9B2021929C2A}</b:Guid>
    <b:Author>
      <b:Author>
        <b:NameList>
          <b:Person>
            <b:Last>Wilson</b:Last>
            <b:First>John-Paul</b:First>
          </b:Person>
        </b:NameList>
      </b:Author>
      <b:Editor>
        <b:NameList>
          <b:Person>
            <b:Last>Bradley</b:Last>
            <b:First>Guy</b:First>
          </b:Person>
          <b:Person>
            <b:Last>Wilson</b:Last>
            <b:First>John-Paul</b:First>
          </b:Person>
        </b:NameList>
      </b:Editor>
    </b:Author>
    <b:Title>'Ideologies of Greek Colonization</b:Title>
    <b:BookTitle>Greek &amp; Roman Colonization: Origins, Ideologies and Interactions</b:BookTitle>
    <b:Year>2006</b:Year>
    <b:Pages>25-58</b:Pages>
    <b:City>Swansea</b:City>
    <b:Publisher>Classical Press of Wales</b:Publisher>
    <b:RefOrder>2</b:RefOrder>
  </b:Source>
  <b:Source>
    <b:Tag>Dil13</b:Tag>
    <b:SourceType>Book</b:SourceType>
    <b:Guid>{2896D164-877D-4A14-8CA8-6CF2D4BD2ECA}</b:Guid>
    <b:Title>The Ancient Greeks: History and Culture from Archaic Times to the Death of Alexander</b:Title>
    <b:Year>2013</b:Year>
    <b:City>Abingdon, New York</b:City>
    <b:Publisher>Routledge</b:Publisher>
    <b:Author>
      <b:Author>
        <b:NameList>
          <b:Person>
            <b:Last>Dillon</b:Last>
            <b:First>Matthew</b:First>
          </b:Person>
          <b:Person>
            <b:Last>Garland</b:Last>
            <b:First>Lynda</b:First>
          </b:Person>
        </b:NameList>
      </b:Author>
    </b:Author>
    <b:RefOrder>3</b:RefOrder>
  </b:Source>
  <b:Source>
    <b:Tag>Sim02</b:Tag>
    <b:SourceType>Book</b:SourceType>
    <b:Guid>{3EA07019-9926-413C-B84B-03119A08862E}</b:Guid>
    <b:Author>
      <b:Author>
        <b:NameList>
          <b:Person>
            <b:Last>Hornblower</b:Last>
            <b:First>Simon</b:First>
          </b:Person>
        </b:NameList>
      </b:Author>
    </b:Author>
    <b:Title>The Greek World: 479-323 BC</b:Title>
    <b:Year>2002</b:Year>
    <b:City>London, New York</b:City>
    <b:Publisher>Routledge</b:Publisher>
    <b:Edition>3rd</b:Edition>
    <b:RefOrder>4</b:RefOrder>
  </b:Source>
  <b:Source>
    <b:Tag>Mur86</b:Tag>
    <b:SourceType>BookSection</b:SourceType>
    <b:Guid>{37E25A2A-25E8-4C01-AA3F-24A2DBC16CAC}</b:Guid>
    <b:Title>Greek Historians</b:Title>
    <b:Year>1986</b:Year>
    <b:City>Oxford</b:City>
    <b:Publisher>Oxford University Press</b:Publisher>
    <b:Author>
      <b:Author>
        <b:NameList>
          <b:Person>
            <b:Last>Murray</b:Last>
            <b:First>Oswyn</b:First>
          </b:Person>
        </b:NameList>
      </b:Author>
      <b:Editor>
        <b:NameList>
          <b:Person>
            <b:Last>Boardman</b:Last>
            <b:First>John</b:First>
          </b:Person>
          <b:Person>
            <b:Last>Griffin</b:Last>
            <b:First>Jasper</b:First>
          </b:Person>
          <b:Person>
            <b:Last>Murray</b:Last>
            <b:First>Oswyn</b:First>
          </b:Person>
        </b:NameList>
      </b:Editor>
    </b:Author>
    <b:BookTitle>Greece and the Hellenistic World</b:BookTitle>
    <b:Pages>180-197</b:Pages>
    <b:RefOrder>5</b:RefOrder>
  </b:Source>
  <b:Source>
    <b:Tag>Rob00</b:Tag>
    <b:SourceType>BookSection</b:SourceType>
    <b:Guid>{911DFEFB-B2A1-4F34-87E2-85FF84063981}</b:Guid>
    <b:Author>
      <b:Author>
        <b:NameList>
          <b:Person>
            <b:Last>Osborne</b:Last>
            <b:First>Robin</b:First>
          </b:Person>
        </b:NameList>
      </b:Author>
      <b:Editor>
        <b:NameList>
          <b:Person>
            <b:Last>Osborne</b:Last>
            <b:First>Robin</b:First>
          </b:Person>
        </b:NameList>
      </b:Editor>
    </b:Author>
    <b:Title>The Creation of Classical Greece</b:Title>
    <b:BookTitle>Classical Greece: 500-323 BC</b:BookTitle>
    <b:Year>2000</b:Year>
    <b:Pages>1-21</b:Pages>
    <b:City>Oxford</b:City>
    <b:Publisher>Oxford University Press</b:Publisher>
    <b:RefOrder>6</b:RefOrder>
  </b:Source>
  <b:Source>
    <b:Tag>Pom04</b:Tag>
    <b:SourceType>Book</b:SourceType>
    <b:Guid>{F800A395-6BBC-4E1E-AD93-35B8396583FC}</b:Guid>
    <b:Title>A Brief History of Ancient Greece: Politics, Society and Culture</b:Title>
    <b:Year>2004</b:Year>
    <b:City>Oxford</b:City>
    <b:Publisher>Oxford University Press</b:Publisher>
    <b:Author>
      <b:Author>
        <b:NameList>
          <b:Person>
            <b:Last>Pomeroy</b:Last>
            <b:Middle>B</b:Middle>
            <b:First>Sarah</b:First>
          </b:Person>
          <b:Person>
            <b:Last>Burstein</b:Last>
            <b:Middle>M</b:Middle>
            <b:First>Stanley</b:First>
          </b:Person>
          <b:Person>
            <b:Last>Donlan</b:Last>
            <b:First>Walter</b:First>
          </b:Person>
          <b:Person>
            <b:Last>Tolbert Roberts</b:Last>
            <b:First>Jennifer</b:First>
          </b:Person>
        </b:NameList>
      </b:Author>
    </b:Author>
    <b:RefOrder>7</b:RefOrder>
  </b:Source>
  <b:Source>
    <b:Tag>Vic05</b:Tag>
    <b:SourceType>Book</b:SourceType>
    <b:Guid>{6D61ECC2-C488-42D9-8EA9-04E93E391154}</b:Guid>
    <b:Author>
      <b:Author>
        <b:NameList>
          <b:Person>
            <b:Last>Hanson</b:Last>
            <b:First>Victor</b:First>
            <b:Middle>Davis</b:Middle>
          </b:Person>
        </b:NameList>
      </b:Author>
    </b:Author>
    <b:Title>A War Like No Other: How the Athenians and Spartans Fought the Peloponnesian War</b:Title>
    <b:Year>2005</b:Year>
    <b:City>London</b:City>
    <b:Publisher>Methuen</b:Publisher>
    <b:RefOrder>8</b:RefOrder>
  </b:Source>
  <b:Source>
    <b:Tag>Jul86</b:Tag>
    <b:SourceType>BookSection</b:SourceType>
    <b:Guid>{665E946A-9D23-4691-A2CC-BADA9E8B008A}</b:Guid>
    <b:Title>Classical Greek Philosophy</b:Title>
    <b:Year>1986</b:Year>
    <b:City>Oxford</b:City>
    <b:Publisher>Oxford University Press</b:Publisher>
    <b:Author>
      <b:Author>
        <b:NameList>
          <b:Person>
            <b:Last>Annas</b:Last>
            <b:First>Julia</b:First>
          </b:Person>
        </b:NameList>
      </b:Author>
      <b:Editor>
        <b:NameList>
          <b:Person>
            <b:Last>Boardman</b:Last>
            <b:First>John</b:First>
          </b:Person>
          <b:Person>
            <b:Last>Griffin</b:Last>
            <b:First>Jasper</b:First>
          </b:Person>
          <b:Person>
            <b:Last>Murray</b:Last>
            <b:First>Oswyn</b:First>
          </b:Person>
        </b:NameList>
      </b:Editor>
    </b:Author>
    <b:BookTitle>Greece and the Hellenistic World</b:BookTitle>
    <b:Pages>228-247</b:Pages>
    <b:RefOrder>9</b:RefOrder>
  </b:Source>
  <b:Source>
    <b:Tag>Geo05</b:Tag>
    <b:SourceType>Book</b:SourceType>
    <b:Guid>{F43A14AE-AF33-4C79-8C1C-DA22ABBF4C37}</b:Guid>
    <b:Title>The Greek Wars: The Failure of Persia</b:Title>
    <b:Year>2005</b:Year>
    <b:City>Oxford</b:City>
    <b:Publisher>Oxford University Press</b:Publisher>
    <b:Author>
      <b:Author>
        <b:NameList>
          <b:Person>
            <b:Last>Cankwell</b:Last>
            <b:First>George</b:First>
          </b:Person>
        </b:NameList>
      </b:Author>
    </b:Author>
    <b:RefOrder>10</b:RefOrder>
  </b:Source>
  <b:Source>
    <b:Tag>Geo86</b:Tag>
    <b:SourceType>BookSection</b:SourceType>
    <b:Guid>{EB273CDF-858C-475B-B3D7-0A211760EF1B}</b:Guid>
    <b:Title>Greece: The History of the Archaic Period</b:Title>
    <b:Year>1986</b:Year>
    <b:City>Oxford</b:City>
    <b:Publisher>Oxford University Press</b:Publisher>
    <b:Author>
      <b:Author>
        <b:NameList>
          <b:Person>
            <b:Last>Forrest</b:Last>
            <b:First>George</b:First>
          </b:Person>
        </b:NameList>
      </b:Author>
      <b:Editor>
        <b:NameList>
          <b:Person>
            <b:Last>Boardman</b:Last>
            <b:First>John</b:First>
          </b:Person>
          <b:Person>
            <b:Last>Griffin</b:Last>
            <b:First>Jasper</b:First>
          </b:Person>
          <b:Person>
            <b:Last>Murray</b:Last>
            <b:First>Oswyn</b:First>
          </b:Person>
        </b:NameList>
      </b:Editor>
    </b:Author>
    <b:BookTitle>Greece and the Hellenistic World</b:BookTitle>
    <b:Pages>13-43</b:Pages>
    <b:RefOrder>11</b:RefOrder>
  </b:Source>
  <b:Source>
    <b:Tag>Zac06</b:Tag>
    <b:SourceType>Film</b:SourceType>
    <b:Guid>{78CE1D8D-F222-4056-B3A0-140BC6E897D3}</b:Guid>
    <b:Title>300</b:Title>
    <b:Year>2006</b:Year>
    <b:ProductionCompany>Legendary Pictures</b:ProductionCompany>
    <b:Author>
      <b:Director>
        <b:NameList>
          <b:Person>
            <b:Last>Snyder</b:Last>
            <b:First>Zack</b:First>
          </b:Person>
        </b:NameList>
      </b:Director>
    </b:Author>
    <b:CountryRegion>United States</b:CountryRegion>
    <b:RefOrder>1</b:RefOrder>
  </b:Source>
  <b:Source>
    <b:Tag>Pau03</b:Tag>
    <b:SourceType>Book</b:SourceType>
    <b:Guid>{121D7C25-BE06-4037-8E15-D807CFACFD40}</b:Guid>
    <b:Title>The Spartans: An Epic History</b:Title>
    <b:Year>2003</b:Year>
    <b:Author>
      <b:Author>
        <b:NameList>
          <b:Person>
            <b:Last>Cartledge</b:Last>
            <b:First>Paul</b:First>
          </b:Person>
        </b:NameList>
      </b:Author>
    </b:Author>
    <b:City>London</b:City>
    <b:Publisher>Pan Books</b:Publisher>
    <b:Edition>2nd</b:Edition>
    <b:RefOrder>12</b:RefOrder>
  </b:Source>
  <b:Source>
    <b:Tag>AJH85</b:Tag>
    <b:SourceType>JournalArticle</b:SourceType>
    <b:Guid>{BB694849-66D8-4558-AF0A-7438FE0024A3}</b:Guid>
    <b:Title>Sparta and the First Peloponnesian War</b:Title>
    <b:Year>1985</b:Year>
    <b:Author>
      <b:Author>
        <b:NameList>
          <b:Person>
            <b:Last>Holladay</b:Last>
            <b:First>A.</b:First>
            <b:Middle>J.</b:Middle>
          </b:Person>
        </b:NameList>
      </b:Author>
    </b:Author>
    <b:JournalName>The Journal of Hellenic Studies</b:JournalName>
    <b:Pages>161-162</b:Pages>
    <b:Volume>105</b:Volume>
    <b:RefOrder>13</b:RefOrder>
  </b:Source>
  <b:Source>
    <b:Tag>Sim861</b:Tag>
    <b:SourceType>BookSection</b:SourceType>
    <b:Guid>{0350F814-284B-42ED-BAF1-2057FA332686}</b:Guid>
    <b:Title>Greece: The History of the Classical Period</b:Title>
    <b:Year>1986</b:Year>
    <b:Pages>118-149</b:Pages>
    <b:Author>
      <b:Author>
        <b:NameList>
          <b:Person>
            <b:Last>Hornblower</b:Last>
            <b:First>Simon</b:First>
          </b:Person>
        </b:NameList>
      </b:Author>
      <b:Editor>
        <b:NameList>
          <b:Person>
            <b:Last>Boardman</b:Last>
            <b:First>John</b:First>
          </b:Person>
          <b:Person>
            <b:Last>Griffin</b:Last>
            <b:First>Jasper</b:First>
          </b:Person>
          <b:Person>
            <b:Last>Murray</b:Last>
            <b:First>Oswyn</b:First>
          </b:Person>
        </b:NameList>
      </b:Editor>
    </b:Author>
    <b:BookTitle>Greece and the Hellenistic World</b:BookTitle>
    <b:City>Oxford</b:City>
    <b:Publisher>Oxford University Press</b:Publisher>
    <b:RefOrder>14</b:RefOrder>
  </b:Source>
  <b:Source>
    <b:Tag>Joh83</b:Tag>
    <b:SourceType>Book</b:SourceType>
    <b:Guid>{FE63F294-9D05-4E18-A56F-2295064DF156}</b:Guid>
    <b:Title>The Ancient Greeks: a Critical History</b:Title>
    <b:Year>1983</b:Year>
    <b:City>Cambridge, MA; London</b:City>
    <b:Publisher>Harvard University Press</b:Publisher>
    <b:Author>
      <b:Author>
        <b:NameList>
          <b:Person>
            <b:Last>Fine</b:Last>
            <b:First>John</b:First>
            <b:Middle>V. A.</b:Middle>
          </b:Person>
        </b:NameList>
      </b:Author>
    </b:Author>
    <b:RefOrder>15</b:RefOrder>
  </b:Source>
  <b:Source>
    <b:Tag>PJR10</b:Tag>
    <b:SourceType>Book</b:SourceType>
    <b:Guid>{E98AB60B-DFB2-4FA6-B3B9-45E789DD9C4A}</b:Guid>
    <b:Title>A History of the Classical Greek World: 478-323 BC</b:Title>
    <b:Year>2010</b:Year>
    <b:City>Chichester</b:City>
    <b:Publisher>Blackwell</b:Publisher>
    <b:Author>
      <b:Author>
        <b:NameList>
          <b:Person>
            <b:Last>Rhodes</b:Last>
            <b:First>P.</b:First>
            <b:Middle>J.</b:Middle>
          </b:Person>
        </b:NameList>
      </b:Author>
    </b:Author>
    <b:Edition>2nd</b:Edition>
    <b:RefOrder>16</b:RefOrder>
  </b:Source>
  <b:Source>
    <b:Tag>Har78</b:Tag>
    <b:SourceType>JournalArticle</b:SourceType>
    <b:Guid>{F8AE97DE-CAF9-4131-8356-523DECA3893E}</b:Guid>
    <b:Title>Thebes and Spartan Hegemony, 386-382 B.C.</b:Title>
    <b:Year>1978</b:Year>
    <b:Author>
      <b:Author>
        <b:NameList>
          <b:Person>
            <b:Last>Hack</b:Last>
            <b:First>Harold</b:First>
            <b:Middle>M.</b:Middle>
          </b:Person>
        </b:NameList>
      </b:Author>
    </b:Author>
    <b:JournalName>The American Journal of Philology</b:JournalName>
    <b:Pages>210-217</b:Pages>
    <b:Volume>99</b:Volume>
    <b:Issue>2</b:Issue>
    <b:RefOrder>17</b:RefOrder>
  </b:Source>
  <b:Source>
    <b:Tag>Ric15</b:Tag>
    <b:SourceType>InternetSite</b:SourceType>
    <b:Guid>{5532E392-3540-4929-9F19-F7911480461E}</b:Guid>
    <b:Title>Satrap's Revolt, c.370s-350s</b:Title>
    <b:Year>2015</b:Year>
    <b:Author>
      <b:Author>
        <b:NameList>
          <b:Person>
            <b:Last>Rickard</b:Last>
            <b:First>J</b:First>
          </b:Person>
        </b:NameList>
      </b:Author>
    </b:Author>
    <b:YearAccessed>2017</b:YearAccessed>
    <b:MonthAccessed>January</b:MonthAccessed>
    <b:DayAccessed>22nd</b:DayAccessed>
    <b:URL>http://www.historyofwar.org/articles/wars_satraps_revolt.html</b:URL>
    <b:RefOrder>18</b:RefOrder>
  </b:Source>
  <b:Source>
    <b:Tag>Raf76</b:Tag>
    <b:SourceType>Book</b:SourceType>
    <b:Guid>{1A12F7A4-1293-4A6B-B0DE-892C67F9000F}</b:Guid>
    <b:Title>A History of the Greek City States: 700-338B.C.</b:Title>
    <b:Year>1976</b:Year>
    <b:Author>
      <b:Author>
        <b:NameList>
          <b:Person>
            <b:Last>Sealey</b:Last>
            <b:First>Rafael</b:First>
          </b:Person>
        </b:NameList>
      </b:Author>
    </b:Author>
    <b:City>Berkeley, Los Angeles, London</b:City>
    <b:Publisher>University of California Press</b:Publisher>
    <b:RefOrder>19</b:RefOrder>
  </b:Source>
  <b:Source>
    <b:Tag>Joh05</b:Tag>
    <b:SourceType>Book</b:SourceType>
    <b:Guid>{88E17C9B-51F5-4592-9E7C-D80DA76EEFA8}</b:Guid>
    <b:Author>
      <b:Author>
        <b:NameList>
          <b:Person>
            <b:Last>Roberts</b:Last>
            <b:First>John</b:First>
          </b:Person>
        </b:NameList>
      </b:Author>
    </b:Author>
    <b:Title>The Oxford Dictionary of the Classical World</b:Title>
    <b:Year>2005</b:Year>
    <b:City>Oxford</b:City>
    <b:Publisher>Oxford University Press</b:Publisher>
    <b:RefOrder>20</b:RefOrder>
  </b:Source>
  <b:Source>
    <b:Tag>Sim00</b:Tag>
    <b:SourceType>JournalArticle</b:SourceType>
    <b:Guid>{DA1C10B3-AF2E-4A99-AEA4-22B30C4E1486}</b:Guid>
    <b:Title>Thucydides, Xenophon, and Lichas: Were the Spartans Excluded from the Olympic Games from 420 to 400 B. C.?</b:Title>
    <b:Year>2000</b:Year>
    <b:Author>
      <b:Author>
        <b:NameList>
          <b:Person>
            <b:Last>Hornblower</b:Last>
            <b:First>Simon</b:First>
          </b:Person>
        </b:NameList>
      </b:Author>
    </b:Author>
    <b:JournalName>Phoenix</b:JournalName>
    <b:Pages>212-215</b:Pages>
    <b:Volume>54</b:Volume>
    <b:RefOrder>21</b:RefOrder>
  </b:Source>
  <b:Source>
    <b:Tag>Nao16</b:Tag>
    <b:SourceType>InternetSite</b:SourceType>
    <b:Guid>{7446C9D9-EC51-4F2B-8790-6BE98D85D057}</b:Guid>
    <b:Title>The Ancient History of Cheating in the Olympics</b:Title>
    <b:Year>2016</b:Year>
    <b:Author>
      <b:Author>
        <b:NameList>
          <b:Person>
            <b:Last>Shavin</b:Last>
            <b:First>Naomi</b:First>
          </b:Person>
        </b:NameList>
      </b:Author>
    </b:Author>
    <b:YearAccessed>2018</b:YearAccessed>
    <b:MonthAccessed>January</b:MonthAccessed>
    <b:DayAccessed>22nd</b:DayAccessed>
    <b:URL>https://www.smithsonianmag.com/history/ancient-history-cheating-olympics-180960003/</b:URL>
    <b:RefOrder>22</b:RefOrder>
  </b:Source>
  <b:Source>
    <b:Tag>Pie18</b:Tag>
    <b:SourceType>InternetSite</b:SourceType>
    <b:Guid>{64BF4A25-CB22-42D8-9375-113884962274}</b:Guid>
    <b:Author>
      <b:Author>
        <b:NameList>
          <b:Person>
            <b:Last>Ducrey</b:Last>
            <b:First>Pierre</b:First>
          </b:Person>
        </b:NameList>
      </b:Author>
    </b:Author>
    <b:Title>The Lelantine War</b:Title>
    <b:YearAccessed>2018</b:YearAccessed>
    <b:MonthAccessed>January</b:MonthAccessed>
    <b:DayAccessed>23rd</b:DayAccessed>
    <b:URL>https://www.unil.ch/esag/en/home/menuinst/eretria/history/archaic-period/the-lelantine-war.html</b:URL>
    <b:RefOrder>23</b:RefOrder>
  </b:Source>
  <b:Source>
    <b:Tag>Pet71</b:Tag>
    <b:SourceType>JournalArticle</b:SourceType>
    <b:Guid>{749DEB21-98EA-4E50-B184-44C008B31EB9}</b:Guid>
    <b:Title>Xenophon's Developing Historiography</b:Title>
    <b:Year>1971</b:Year>
    <b:Author>
      <b:Author>
        <b:NameList>
          <b:Person>
            <b:Last>Rahn</b:Last>
            <b:First>Peter</b:First>
            <b:Middle>J.</b:Middle>
          </b:Person>
        </b:NameList>
      </b:Author>
    </b:Author>
    <b:JournalName>Transactions and Proceedings of the American Philological Association</b:JournalName>
    <b:Pages>497-508</b:Pages>
    <b:Volume>102</b:Volume>
    <b:RefOrder>24</b:RefOrder>
  </b:Source>
  <b:Source>
    <b:Tag>RMa90</b:Tag>
    <b:SourceType>Book</b:SourceType>
    <b:Guid>{8F6D1196-9106-45AC-A9C3-A029117C0B0D}</b:Guid>
    <b:Title>A History of Macedonia</b:Title>
    <b:Year>1990</b:Year>
    <b:Author>
      <b:Author>
        <b:NameList>
          <b:Person>
            <b:Last>Errington</b:Last>
            <b:First>R.</b:First>
            <b:Middle>Malcom</b:Middle>
          </b:Person>
        </b:NameList>
      </b:Author>
    </b:Author>
    <b:City>Berkeley, Los Angeles, Oxford</b:City>
    <b:Publisher>University of California Press</b:Publisher>
    <b:RefOrder>25</b:RefOrder>
  </b:Source>
  <b:Source>
    <b:Tag>Dav03</b:Tag>
    <b:SourceType>BookSection</b:SourceType>
    <b:Guid>{9D924259-10BE-45D2-91D5-9A246893019F}</b:Guid>
    <b:Title>Aristophanes, Comedian and Poet</b:Title>
    <b:Year>2003</b:Year>
    <b:City>London</b:City>
    <b:Publisher>Penguin</b:Publisher>
    <b:Author>
      <b:Author>
        <b:NameList>
          <b:Person>
            <b:Last>Barrett</b:Last>
            <b:First>David</b:First>
          </b:Person>
        </b:NameList>
      </b:Author>
      <b:Editor>
        <b:NameList>
          <b:Person>
            <b:Last>Barret</b:Last>
            <b:First>David</b:First>
          </b:Person>
          <b:Person>
            <b:Last>Sommerstein</b:Last>
            <b:First>Alan</b:First>
            <b:Middle>H.</b:Middle>
          </b:Person>
        </b:NameList>
      </b:Editor>
    </b:Author>
    <b:BookTitle>The Birds and Other Plays</b:BookTitle>
    <b:Pages>21-28</b:Pages>
    <b:RefOrder>26</b:RefOrder>
  </b:Source>
  <b:Source>
    <b:Tag>Pet86</b:Tag>
    <b:SourceType>BookSection</b:SourceType>
    <b:Guid>{442E10D3-3146-4D4C-A439-79A9B4E2E528}</b:Guid>
    <b:Author>
      <b:Author>
        <b:NameList>
          <b:Person>
            <b:Last>Levi</b:Last>
            <b:First>Peter</b:First>
          </b:Person>
        </b:NameList>
      </b:Author>
      <b:Editor>
        <b:NameList>
          <b:Person>
            <b:Last>Boardman</b:Last>
            <b:First>John</b:First>
          </b:Person>
          <b:Person>
            <b:Last>Griffin</b:Last>
            <b:First>Jasper</b:First>
          </b:Person>
          <b:Person>
            <b:Last>Murray</b:Last>
            <b:First>Oswyn</b:First>
          </b:Person>
        </b:NameList>
      </b:Editor>
    </b:Author>
    <b:Title>Greek Drama</b:Title>
    <b:BookTitle>Greece and the Hellenistic World</b:BookTitle>
    <b:Year>1986</b:Year>
    <b:Pages>150-179</b:Pages>
    <b:City>Oxford</b:City>
    <b:Publisher>Oxford University Press</b:Publisher>
    <b:RefOrder>27</b:RefOrder>
  </b:Source>
  <b:Source>
    <b:Tag>Wil85</b:Tag>
    <b:SourceType>Book</b:SourceType>
    <b:Guid>{B5AC9841-9945-40A9-BF77-6393731BE3C5}</b:Guid>
    <b:Author>
      <b:Author>
        <b:NameList>
          <b:Person>
            <b:Last>Burkert</b:Last>
            <b:First>William</b:First>
          </b:Person>
        </b:NameList>
      </b:Author>
    </b:Author>
    <b:Title>Greek Religion</b:Title>
    <b:Year>1985</b:Year>
    <b:City>Cambridge, MA</b:City>
    <b:Publisher>Harvard University Press</b:Publisher>
    <b:RefOrder>28</b:RefOrder>
  </b:Source>
  <b:Source>
    <b:Tag>TRM96</b:Tag>
    <b:SourceType>Book</b:SourceType>
    <b:Guid>{564E113C-2842-4B0A-A84C-BB13F8AC5FA8}</b:Guid>
    <b:Author>
      <b:Author>
        <b:NameList>
          <b:Person>
            <b:Last>Martin</b:Last>
            <b:First>T.R.</b:First>
          </b:Person>
        </b:NameList>
      </b:Author>
    </b:Author>
    <b:Title>Ancient Greece: From Prehistoric to Hellenic Times</b:Title>
    <b:Year>1996</b:Year>
    <b:City>Yale</b:City>
    <b:Publisher>Yale University Press</b:Publisher>
    <b:RefOrder>29</b:RefOrder>
  </b:Source>
</b:Sources>
</file>

<file path=customXml/itemProps1.xml><?xml version="1.0" encoding="utf-8"?>
<ds:datastoreItem xmlns:ds="http://schemas.openxmlformats.org/officeDocument/2006/customXml" ds:itemID="{80D99678-072E-43DC-B0F4-18FD2B46C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5550</Words>
  <Characters>31636</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dc:creator>
  <cp:keywords/>
  <dc:description/>
  <cp:lastModifiedBy>James</cp:lastModifiedBy>
  <cp:revision>2</cp:revision>
  <dcterms:created xsi:type="dcterms:W3CDTF">2018-01-23T22:49:00Z</dcterms:created>
  <dcterms:modified xsi:type="dcterms:W3CDTF">2018-01-23T22:49:00Z</dcterms:modified>
</cp:coreProperties>
</file>