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177BD" w14:textId="77777777" w:rsidR="000B7673" w:rsidRDefault="0036037D">
      <w:pPr>
        <w:spacing w:after="2000"/>
        <w:jc w:val="center"/>
      </w:pPr>
      <w:r>
        <w:rPr>
          <w:rFonts w:ascii="Arial" w:eastAsia="Arial" w:hAnsi="Arial" w:cs="Arial"/>
          <w:b/>
          <w:bCs/>
          <w:sz w:val="28"/>
          <w:szCs w:val="28"/>
        </w:rPr>
        <w:t>Discuss the impact of social media on mental health in adolescence.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00"/>
      </w:tblGrid>
      <w:tr w:rsidR="000B7673" w14:paraId="441E981A" w14:textId="77777777">
        <w:tc>
          <w:tcPr>
            <w:tcW w:w="3000" w:type="dxa"/>
            <w:tcBorders>
              <w:top w:val="none" w:sz="0" w:space="0" w:color="FFFFFF"/>
              <w:left w:val="none" w:sz="0" w:space="0" w:color="FFFFFF"/>
              <w:bottom w:val="none" w:sz="0" w:space="0" w:color="FFFFFF"/>
              <w:right w:val="none" w:sz="0" w:space="0" w:color="FFFFFF"/>
            </w:tcBorders>
          </w:tcPr>
          <w:p w14:paraId="6E4B917E" w14:textId="77777777" w:rsidR="000B7673" w:rsidRDefault="0036037D">
            <w:r>
              <w:rPr>
                <w:rFonts w:ascii="Arial" w:eastAsia="Arial" w:hAnsi="Arial" w:cs="Arial"/>
                <w:b/>
                <w:bCs/>
                <w:sz w:val="22"/>
                <w:szCs w:val="22"/>
              </w:rPr>
              <w:t>Name:</w:t>
            </w:r>
          </w:p>
        </w:tc>
        <w:tc>
          <w:tcPr>
            <w:tcW w:w="6000" w:type="dxa"/>
            <w:tcBorders>
              <w:top w:val="none" w:sz="0" w:space="0" w:color="FFFFFF"/>
              <w:left w:val="none" w:sz="0" w:space="0" w:color="FFFFFF"/>
              <w:bottom w:val="none" w:sz="0" w:space="0" w:color="FFFFFF"/>
              <w:right w:val="none" w:sz="0" w:space="0" w:color="FFFFFF"/>
            </w:tcBorders>
          </w:tcPr>
          <w:p w14:paraId="641992B8" w14:textId="040D6304" w:rsidR="000B7673" w:rsidRPr="00570C95" w:rsidRDefault="00570C95">
            <w:pPr>
              <w:rPr>
                <w:rFonts w:ascii="Arial" w:hAnsi="Arial" w:cs="Arial"/>
                <w:sz w:val="22"/>
                <w:szCs w:val="22"/>
              </w:rPr>
            </w:pPr>
            <w:r>
              <w:rPr>
                <w:rFonts w:ascii="Arial" w:hAnsi="Arial" w:cs="Arial"/>
                <w:sz w:val="22"/>
                <w:szCs w:val="22"/>
              </w:rPr>
              <w:t>Elizabeth Nuworkpor</w:t>
            </w:r>
          </w:p>
        </w:tc>
      </w:tr>
      <w:tr w:rsidR="000B7673" w14:paraId="3CAEFF74" w14:textId="77777777">
        <w:tc>
          <w:tcPr>
            <w:tcW w:w="3000" w:type="dxa"/>
            <w:tcBorders>
              <w:top w:val="none" w:sz="0" w:space="0" w:color="FFFFFF"/>
              <w:left w:val="none" w:sz="0" w:space="0" w:color="FFFFFF"/>
              <w:bottom w:val="none" w:sz="0" w:space="0" w:color="FFFFFF"/>
              <w:right w:val="none" w:sz="0" w:space="0" w:color="FFFFFF"/>
            </w:tcBorders>
          </w:tcPr>
          <w:p w14:paraId="64BDEF91" w14:textId="77777777" w:rsidR="000B7673" w:rsidRDefault="0036037D">
            <w:r>
              <w:rPr>
                <w:rFonts w:ascii="Arial" w:eastAsia="Arial" w:hAnsi="Arial" w:cs="Arial"/>
                <w:b/>
                <w:bCs/>
                <w:sz w:val="22"/>
                <w:szCs w:val="22"/>
              </w:rPr>
              <w:t>Student number:</w:t>
            </w:r>
          </w:p>
        </w:tc>
        <w:tc>
          <w:tcPr>
            <w:tcW w:w="6000" w:type="dxa"/>
            <w:tcBorders>
              <w:top w:val="none" w:sz="0" w:space="0" w:color="FFFFFF"/>
              <w:left w:val="none" w:sz="0" w:space="0" w:color="FFFFFF"/>
              <w:bottom w:val="none" w:sz="0" w:space="0" w:color="FFFFFF"/>
              <w:right w:val="none" w:sz="0" w:space="0" w:color="FFFFFF"/>
            </w:tcBorders>
          </w:tcPr>
          <w:p w14:paraId="659C6A83" w14:textId="685B9F01" w:rsidR="000B7673" w:rsidRPr="00570C95" w:rsidRDefault="00570C95">
            <w:pPr>
              <w:rPr>
                <w:rFonts w:ascii="Arial" w:hAnsi="Arial" w:cs="Arial"/>
                <w:sz w:val="22"/>
                <w:szCs w:val="22"/>
              </w:rPr>
            </w:pPr>
            <w:r w:rsidRPr="00570C95">
              <w:rPr>
                <w:rFonts w:ascii="Arial" w:hAnsi="Arial" w:cs="Arial"/>
                <w:sz w:val="22"/>
                <w:szCs w:val="22"/>
              </w:rPr>
              <w:t>2508597</w:t>
            </w:r>
          </w:p>
        </w:tc>
      </w:tr>
      <w:tr w:rsidR="000B7673" w14:paraId="1E4C943A" w14:textId="77777777">
        <w:tc>
          <w:tcPr>
            <w:tcW w:w="3000" w:type="dxa"/>
            <w:tcBorders>
              <w:top w:val="none" w:sz="0" w:space="0" w:color="FFFFFF"/>
              <w:left w:val="none" w:sz="0" w:space="0" w:color="FFFFFF"/>
              <w:bottom w:val="none" w:sz="0" w:space="0" w:color="FFFFFF"/>
              <w:right w:val="none" w:sz="0" w:space="0" w:color="FFFFFF"/>
            </w:tcBorders>
          </w:tcPr>
          <w:p w14:paraId="208AD325" w14:textId="77777777" w:rsidR="000B7673" w:rsidRDefault="0036037D">
            <w:r>
              <w:rPr>
                <w:rFonts w:ascii="Arial" w:eastAsia="Arial" w:hAnsi="Arial" w:cs="Arial"/>
                <w:b/>
                <w:bCs/>
                <w:sz w:val="22"/>
                <w:szCs w:val="22"/>
              </w:rPr>
              <w:t>Module code:</w:t>
            </w:r>
          </w:p>
        </w:tc>
        <w:tc>
          <w:tcPr>
            <w:tcW w:w="6000" w:type="dxa"/>
            <w:tcBorders>
              <w:top w:val="none" w:sz="0" w:space="0" w:color="FFFFFF"/>
              <w:left w:val="none" w:sz="0" w:space="0" w:color="FFFFFF"/>
              <w:bottom w:val="none" w:sz="0" w:space="0" w:color="FFFFFF"/>
              <w:right w:val="none" w:sz="0" w:space="0" w:color="FFFFFF"/>
            </w:tcBorders>
          </w:tcPr>
          <w:p w14:paraId="08D2E94B" w14:textId="77777777" w:rsidR="000B7673" w:rsidRDefault="0036037D">
            <w:r>
              <w:rPr>
                <w:rFonts w:ascii="Arial" w:eastAsia="Arial" w:hAnsi="Arial" w:cs="Arial"/>
                <w:sz w:val="22"/>
                <w:szCs w:val="22"/>
              </w:rPr>
              <w:t>LCHS4010</w:t>
            </w:r>
          </w:p>
        </w:tc>
      </w:tr>
      <w:tr w:rsidR="000B7673" w14:paraId="14296C3C" w14:textId="77777777">
        <w:tc>
          <w:tcPr>
            <w:tcW w:w="3000" w:type="dxa"/>
            <w:tcBorders>
              <w:top w:val="none" w:sz="0" w:space="0" w:color="FFFFFF"/>
              <w:left w:val="none" w:sz="0" w:space="0" w:color="FFFFFF"/>
              <w:bottom w:val="none" w:sz="0" w:space="0" w:color="FFFFFF"/>
              <w:right w:val="none" w:sz="0" w:space="0" w:color="FFFFFF"/>
            </w:tcBorders>
          </w:tcPr>
          <w:p w14:paraId="7ADF2E76" w14:textId="77777777" w:rsidR="000B7673" w:rsidRDefault="0036037D">
            <w:r>
              <w:rPr>
                <w:rFonts w:ascii="Arial" w:eastAsia="Arial" w:hAnsi="Arial" w:cs="Arial"/>
                <w:b/>
                <w:bCs/>
                <w:sz w:val="22"/>
                <w:szCs w:val="22"/>
              </w:rPr>
              <w:t>Module title:</w:t>
            </w:r>
          </w:p>
        </w:tc>
        <w:tc>
          <w:tcPr>
            <w:tcW w:w="6000" w:type="dxa"/>
            <w:tcBorders>
              <w:top w:val="none" w:sz="0" w:space="0" w:color="FFFFFF"/>
              <w:left w:val="none" w:sz="0" w:space="0" w:color="FFFFFF"/>
              <w:bottom w:val="none" w:sz="0" w:space="0" w:color="FFFFFF"/>
              <w:right w:val="none" w:sz="0" w:space="0" w:color="FFFFFF"/>
            </w:tcBorders>
          </w:tcPr>
          <w:p w14:paraId="5F066A50" w14:textId="77777777" w:rsidR="000B7673" w:rsidRDefault="0036037D">
            <w:r>
              <w:rPr>
                <w:rFonts w:ascii="Arial" w:eastAsia="Arial" w:hAnsi="Arial" w:cs="Arial"/>
                <w:sz w:val="22"/>
                <w:szCs w:val="22"/>
              </w:rPr>
              <w:t>Psychology in Health and Social Care</w:t>
            </w:r>
          </w:p>
        </w:tc>
      </w:tr>
      <w:tr w:rsidR="000B7673" w14:paraId="75BE446C" w14:textId="77777777">
        <w:tc>
          <w:tcPr>
            <w:tcW w:w="3000" w:type="dxa"/>
            <w:tcBorders>
              <w:top w:val="none" w:sz="0" w:space="0" w:color="FFFFFF"/>
              <w:left w:val="none" w:sz="0" w:space="0" w:color="FFFFFF"/>
              <w:bottom w:val="none" w:sz="0" w:space="0" w:color="FFFFFF"/>
              <w:right w:val="none" w:sz="0" w:space="0" w:color="FFFFFF"/>
            </w:tcBorders>
          </w:tcPr>
          <w:p w14:paraId="142A063A" w14:textId="77777777" w:rsidR="000B7673" w:rsidRDefault="0036037D">
            <w:r>
              <w:rPr>
                <w:rFonts w:ascii="Arial" w:eastAsia="Arial" w:hAnsi="Arial" w:cs="Arial"/>
                <w:b/>
                <w:bCs/>
                <w:sz w:val="22"/>
                <w:szCs w:val="22"/>
              </w:rPr>
              <w:t>Lecturer:</w:t>
            </w:r>
          </w:p>
        </w:tc>
        <w:tc>
          <w:tcPr>
            <w:tcW w:w="6000" w:type="dxa"/>
            <w:tcBorders>
              <w:top w:val="none" w:sz="0" w:space="0" w:color="FFFFFF"/>
              <w:left w:val="none" w:sz="0" w:space="0" w:color="FFFFFF"/>
              <w:bottom w:val="none" w:sz="0" w:space="0" w:color="FFFFFF"/>
              <w:right w:val="none" w:sz="0" w:space="0" w:color="FFFFFF"/>
            </w:tcBorders>
          </w:tcPr>
          <w:p w14:paraId="2B3D9D0A" w14:textId="76BFFC5D" w:rsidR="000B7673" w:rsidRPr="00570C95" w:rsidRDefault="00570C95">
            <w:pPr>
              <w:rPr>
                <w:rFonts w:ascii="Arial" w:hAnsi="Arial" w:cs="Arial"/>
                <w:sz w:val="22"/>
                <w:szCs w:val="22"/>
              </w:rPr>
            </w:pPr>
            <w:r w:rsidRPr="00570C95">
              <w:rPr>
                <w:rFonts w:ascii="Arial" w:hAnsi="Arial" w:cs="Arial"/>
                <w:sz w:val="22"/>
                <w:szCs w:val="22"/>
              </w:rPr>
              <w:t>Alice Clayton</w:t>
            </w:r>
          </w:p>
        </w:tc>
      </w:tr>
      <w:tr w:rsidR="000B7673" w14:paraId="0B07EE87" w14:textId="77777777">
        <w:tc>
          <w:tcPr>
            <w:tcW w:w="3000" w:type="dxa"/>
            <w:tcBorders>
              <w:top w:val="none" w:sz="0" w:space="0" w:color="FFFFFF"/>
              <w:left w:val="none" w:sz="0" w:space="0" w:color="FFFFFF"/>
              <w:bottom w:val="none" w:sz="0" w:space="0" w:color="FFFFFF"/>
              <w:right w:val="none" w:sz="0" w:space="0" w:color="FFFFFF"/>
            </w:tcBorders>
          </w:tcPr>
          <w:p w14:paraId="1F53E17E" w14:textId="77777777" w:rsidR="000B7673" w:rsidRDefault="0036037D">
            <w:r>
              <w:rPr>
                <w:rFonts w:ascii="Arial" w:eastAsia="Arial" w:hAnsi="Arial" w:cs="Arial"/>
                <w:b/>
                <w:bCs/>
                <w:sz w:val="22"/>
                <w:szCs w:val="22"/>
              </w:rPr>
              <w:t>Assignment title:</w:t>
            </w:r>
          </w:p>
        </w:tc>
        <w:tc>
          <w:tcPr>
            <w:tcW w:w="6000" w:type="dxa"/>
            <w:tcBorders>
              <w:top w:val="none" w:sz="0" w:space="0" w:color="FFFFFF"/>
              <w:left w:val="none" w:sz="0" w:space="0" w:color="FFFFFF"/>
              <w:bottom w:val="none" w:sz="0" w:space="0" w:color="FFFFFF"/>
              <w:right w:val="none" w:sz="0" w:space="0" w:color="FFFFFF"/>
            </w:tcBorders>
          </w:tcPr>
          <w:p w14:paraId="6FFE54CB" w14:textId="77777777" w:rsidR="000B7673" w:rsidRDefault="0036037D">
            <w:r>
              <w:rPr>
                <w:rFonts w:ascii="Arial" w:eastAsia="Arial" w:hAnsi="Arial" w:cs="Arial"/>
                <w:sz w:val="22"/>
                <w:szCs w:val="22"/>
              </w:rPr>
              <w:t>Assessment 2: Essay</w:t>
            </w:r>
          </w:p>
        </w:tc>
      </w:tr>
    </w:tbl>
    <w:p w14:paraId="4A567168" w14:textId="77777777" w:rsidR="000B7673" w:rsidRDefault="0036037D">
      <w:r>
        <w:br w:type="page"/>
      </w:r>
    </w:p>
    <w:p w14:paraId="71497DBE" w14:textId="1A6FEB2F" w:rsidR="000B7673" w:rsidRDefault="0036037D">
      <w:pPr>
        <w:spacing w:after="240" w:line="360" w:lineRule="auto"/>
        <w:jc w:val="both"/>
      </w:pPr>
      <w:r>
        <w:rPr>
          <w:rFonts w:ascii="Arial" w:eastAsia="Arial" w:hAnsi="Arial" w:cs="Arial"/>
          <w:sz w:val="22"/>
          <w:szCs w:val="22"/>
        </w:rPr>
        <w:lastRenderedPageBreak/>
        <w:t xml:space="preserve">Adolescents today are almost universally connected to social media, with recent UK government analysis reporting that 81% of 10 to 12 year olds use at least one social media app and 86% hold their own account on a social media, messaging or video-sharing platform, despite most platforms setting a minimum age of 13 (Department for Science, Innovation and Technology, 2026). Alongside this rise in use, concern about adolescent mental health has grown sharply; NHS data show that 20.3% of </w:t>
      </w:r>
      <w:r w:rsidR="00CD263A">
        <w:rPr>
          <w:rFonts w:ascii="Arial" w:eastAsia="Arial" w:hAnsi="Arial" w:cs="Arial"/>
          <w:sz w:val="22"/>
          <w:szCs w:val="22"/>
        </w:rPr>
        <w:t>8- to 16-year-olds</w:t>
      </w:r>
      <w:r>
        <w:rPr>
          <w:rFonts w:ascii="Arial" w:eastAsia="Arial" w:hAnsi="Arial" w:cs="Arial"/>
          <w:sz w:val="22"/>
          <w:szCs w:val="22"/>
        </w:rPr>
        <w:t xml:space="preserve"> in England had a probable mental disorder in 2023, up from 12.5% in 2017, with rates rising even faster among older teenagers (NHS England Digital, 2023). Whether social media use is driving this trend, merely coinciding with wider social pressures, or doing both in different ways for different young people, remains a genuinely contested question in psychology. This essay will draw on Freud's psychosexual theory, particularly the genital stage of adolescence, and Erikson's psychosocial theory of identity versus role confusion, to explain how and why adolescent mental health may be affected by exposure to social media platforms during this developmental period.</w:t>
      </w:r>
    </w:p>
    <w:p w14:paraId="2B69CF7F" w14:textId="156CBC6B" w:rsidR="000B7673" w:rsidRDefault="0036037D">
      <w:pPr>
        <w:spacing w:after="240" w:line="360" w:lineRule="auto"/>
        <w:jc w:val="both"/>
      </w:pPr>
      <w:r>
        <w:rPr>
          <w:rFonts w:ascii="Arial" w:eastAsia="Arial" w:hAnsi="Arial" w:cs="Arial"/>
          <w:sz w:val="22"/>
          <w:szCs w:val="22"/>
        </w:rPr>
        <w:t>Freud proposed that personality develops through five psychosexual stages, each defined by the libido, or sexual energy, becoming focused on a different erogenous zone, and argued that failure to resolve the conflict of any stage produces lasting fixation and later psychological difficulty (Kaur, Lantz and Ray, 2025). Adolescence corresponds to the final, genital stage, spanning roughly ages thirteen to eighteen, during which the ego becomes fully developed, sexual desires mature into the capacity for consensual adult relationships, and the individual actively seeks independence from parents (Kaur, Lantz and Ray, 2025; Haddon, 2026). Central concepts here include the libido itself, fixation, meaning an unresolved conflict from an earlier stage that continues to shape behaviour, and Freud's structural model of the id, ego and superego, the last of which represents internalised parental and societal morality. What makes this stage particularly relevant to understanding adolescence is Freud's claim that dysfunction specifically during this period can undermine an individual's later ability to form healthy, lasting relationships, and that the drive towards autonomy from parents becomes a defining feature of behaviour at this age, both of which map closely onto observable adolescent experienc</w:t>
      </w:r>
      <w:r w:rsidR="00D713F0">
        <w:rPr>
          <w:rFonts w:ascii="Arial" w:eastAsia="Arial" w:hAnsi="Arial" w:cs="Arial"/>
          <w:sz w:val="22"/>
          <w:szCs w:val="22"/>
        </w:rPr>
        <w:t>e</w:t>
      </w:r>
      <w:r w:rsidR="00360BDB">
        <w:rPr>
          <w:rFonts w:ascii="Arial" w:eastAsia="Arial" w:hAnsi="Arial" w:cs="Arial"/>
          <w:sz w:val="22"/>
          <w:szCs w:val="22"/>
        </w:rPr>
        <w:t>.</w:t>
      </w:r>
    </w:p>
    <w:p w14:paraId="1549FD27" w14:textId="3EC5A08A" w:rsidR="000B7673" w:rsidRDefault="0036037D">
      <w:pPr>
        <w:spacing w:after="240" w:line="360" w:lineRule="auto"/>
        <w:jc w:val="both"/>
      </w:pPr>
      <w:r>
        <w:rPr>
          <w:rFonts w:ascii="Arial" w:eastAsia="Arial" w:hAnsi="Arial" w:cs="Arial"/>
          <w:sz w:val="22"/>
          <w:szCs w:val="22"/>
        </w:rPr>
        <w:t>The genital stage's central developmental tasks, forming meaningful romantic relationships and achieving independence from parents, translate directly onto social media use. Platforms offer adolescents a private, largely parent-free space in which libidinal energy directed towards peers can be expressed and explored through messaging, dating apps, flirtation and romantic disclosure, without direct adult oversight, which may help explain their strong appeal at precisely this developmental stage. This</w:t>
      </w:r>
      <w:r w:rsidR="00570C95">
        <w:rPr>
          <w:rFonts w:ascii="Arial" w:eastAsia="Arial" w:hAnsi="Arial" w:cs="Arial"/>
          <w:sz w:val="22"/>
          <w:szCs w:val="22"/>
        </w:rPr>
        <w:t xml:space="preserve"> </w:t>
      </w:r>
      <w:r>
        <w:rPr>
          <w:rFonts w:ascii="Arial" w:eastAsia="Arial" w:hAnsi="Arial" w:cs="Arial"/>
          <w:sz w:val="22"/>
          <w:szCs w:val="22"/>
        </w:rPr>
        <w:t xml:space="preserve">could benefit mental health where it genuinely </w:t>
      </w:r>
      <w:r>
        <w:rPr>
          <w:rFonts w:ascii="Arial" w:eastAsia="Arial" w:hAnsi="Arial" w:cs="Arial"/>
          <w:sz w:val="22"/>
          <w:szCs w:val="22"/>
        </w:rPr>
        <w:lastRenderedPageBreak/>
        <w:t xml:space="preserve">supports the healthy formation of romantic connection and growing autonomy; a study of Malaysian adolescents found that social media use was significantly associated with greater engagement in romantic relationships (Shukri and Baharom, 2023), suggesting that these platforms can functionally support the genital stage's core task. However, the same channels expose adolescents to pressure towards premature or unhealthy sexual expression, including sexting and exposure to pornography, and the same study found that social media use, alongside pornography exposure, was itself associated with depression among adolescents in romantic relationships (Shukri and Baharom, 2023). This suggests that the libidinal expression social media enables </w:t>
      </w:r>
      <w:r w:rsidR="00CD263A">
        <w:rPr>
          <w:rFonts w:ascii="Arial" w:eastAsia="Arial" w:hAnsi="Arial" w:cs="Arial"/>
          <w:sz w:val="22"/>
          <w:szCs w:val="22"/>
        </w:rPr>
        <w:t>are</w:t>
      </w:r>
      <w:r>
        <w:rPr>
          <w:rFonts w:ascii="Arial" w:eastAsia="Arial" w:hAnsi="Arial" w:cs="Arial"/>
          <w:sz w:val="22"/>
          <w:szCs w:val="22"/>
        </w:rPr>
        <w:t xml:space="preserve"> not always resolved in a healthy way, potentially producing the anxiety and dissatisfaction that Freud associated with unresolved fixation, rather than the mature, consensual intimacy the genital stage is meant to achieve.</w:t>
      </w:r>
    </w:p>
    <w:p w14:paraId="5281759E" w14:textId="3E378FD1" w:rsidR="000B7673" w:rsidRDefault="0036037D">
      <w:pPr>
        <w:spacing w:after="240" w:line="360" w:lineRule="auto"/>
        <w:jc w:val="both"/>
      </w:pPr>
      <w:r>
        <w:rPr>
          <w:rFonts w:ascii="Arial" w:eastAsia="Arial" w:hAnsi="Arial" w:cs="Arial"/>
          <w:sz w:val="22"/>
          <w:szCs w:val="22"/>
        </w:rPr>
        <w:t xml:space="preserve">This theory is useful because it explicitly centres relationship-seeking and intimacy as core adolescent needs, </w:t>
      </w:r>
      <w:r w:rsidR="00CD263A">
        <w:rPr>
          <w:rFonts w:ascii="Arial" w:eastAsia="Arial" w:hAnsi="Arial" w:cs="Arial"/>
          <w:sz w:val="22"/>
          <w:szCs w:val="22"/>
        </w:rPr>
        <w:t>explaining</w:t>
      </w:r>
      <w:r>
        <w:rPr>
          <w:rFonts w:ascii="Arial" w:eastAsia="Arial" w:hAnsi="Arial" w:cs="Arial"/>
          <w:sz w:val="22"/>
          <w:szCs w:val="22"/>
        </w:rPr>
        <w:t xml:space="preserve"> the powerful pull towards social media as a space for romantic exploration and independence that purely cognitive or social theories can overlook. However, the theory has significant limitations. Kaur, Lantz and Ray (2025) note that Freud's model focuses solely on the internal, unconscious workings of the individual psyche and largely ignores the wider social and cultural context, a considerable gap given that social media is an inherently social, peer-embedded technology rather than a private, internal experience. The theory also assumes that personality becomes essentially fixed by the end of adolescence, an assumption directly challenged by Erikson, the second theorist considered in this essay, who argued that identity continues to develop across the entire lifespan. Freud's theory has further been criticised for reflecting a narrow, male-centred and heteronormative view of sexual development, exemplified by concepts such as penis envy (Kaur, Lantz and Ray, 2025), and for lacking robust empirical support, since it was built largely on adult clinical case studies rather than adolescents' own reported experiences, a methodological weakness also highlighted in this module's own teaching materials (</w:t>
      </w:r>
      <w:r w:rsidR="00D464EE">
        <w:rPr>
          <w:rFonts w:ascii="Arial" w:eastAsia="Arial" w:hAnsi="Arial" w:cs="Arial"/>
          <w:sz w:val="22"/>
          <w:szCs w:val="22"/>
        </w:rPr>
        <w:t>Neale Haddon</w:t>
      </w:r>
      <w:r>
        <w:rPr>
          <w:rFonts w:ascii="Arial" w:eastAsia="Arial" w:hAnsi="Arial" w:cs="Arial"/>
          <w:sz w:val="22"/>
          <w:szCs w:val="22"/>
        </w:rPr>
        <w:t>, 2026).</w:t>
      </w:r>
    </w:p>
    <w:p w14:paraId="4B8A0DEE" w14:textId="60F30C15" w:rsidR="000B7673" w:rsidRDefault="0036037D">
      <w:pPr>
        <w:spacing w:after="240" w:line="360" w:lineRule="auto"/>
        <w:jc w:val="both"/>
      </w:pPr>
      <w:r>
        <w:rPr>
          <w:rFonts w:ascii="Arial" w:eastAsia="Arial" w:hAnsi="Arial" w:cs="Arial"/>
          <w:sz w:val="22"/>
          <w:szCs w:val="22"/>
        </w:rPr>
        <w:t>Erikson's psychosocial theory, developed in part as an extension of Freud's own stage model, frames development across the entire lifespan as a series of eight crises, each requiring resolution of a particular tension between the developing self and the surrounding social world. Adolescence corresponds to the fifth stage, identity versus role confusion, in which the central task is to construct a coherent sense of self by actively exploring and testing different values, beliefs, vocational interests, and peer affiliations (Erikson, 1968</w:t>
      </w:r>
      <w:r w:rsidR="00CD263A">
        <w:rPr>
          <w:rFonts w:ascii="Arial" w:eastAsia="Arial" w:hAnsi="Arial" w:cs="Arial"/>
          <w:sz w:val="22"/>
          <w:szCs w:val="22"/>
        </w:rPr>
        <w:t>)</w:t>
      </w:r>
      <w:r>
        <w:rPr>
          <w:rFonts w:ascii="Arial" w:eastAsia="Arial" w:hAnsi="Arial" w:cs="Arial"/>
          <w:sz w:val="22"/>
          <w:szCs w:val="22"/>
        </w:rPr>
        <w:t xml:space="preserve">. Erikson described this period as a psychological moratorium, a socially sanctioned space in which teenagers can experiment with possible identities before committing to one, with successful resolution producing the virtue of fidelity, an authentic and stable sense of self capable of genuine </w:t>
      </w:r>
      <w:r>
        <w:rPr>
          <w:rFonts w:ascii="Arial" w:eastAsia="Arial" w:hAnsi="Arial" w:cs="Arial"/>
          <w:sz w:val="22"/>
          <w:szCs w:val="22"/>
        </w:rPr>
        <w:lastRenderedPageBreak/>
        <w:t xml:space="preserve">commitment to relationships and beliefs. Unsuccessful resolution, by contrast, produces role confusion, characterised by instability, uncertainty about values and direction, and a diffuse sense of who one is. This concept is especially relevant to adolescence because identity exploration is understood as the central, developmentally appropriate task of this </w:t>
      </w:r>
      <w:r w:rsidR="00CD263A">
        <w:rPr>
          <w:rFonts w:ascii="Arial" w:eastAsia="Arial" w:hAnsi="Arial" w:cs="Arial"/>
          <w:sz w:val="22"/>
          <w:szCs w:val="22"/>
        </w:rPr>
        <w:t>life</w:t>
      </w:r>
      <w:r>
        <w:rPr>
          <w:rFonts w:ascii="Arial" w:eastAsia="Arial" w:hAnsi="Arial" w:cs="Arial"/>
          <w:sz w:val="22"/>
          <w:szCs w:val="22"/>
        </w:rPr>
        <w:t xml:space="preserve"> stage rather than a peripheral or optional concern.</w:t>
      </w:r>
    </w:p>
    <w:p w14:paraId="0A455402" w14:textId="66434665" w:rsidR="000B7673" w:rsidRDefault="0036037D">
      <w:pPr>
        <w:spacing w:after="240" w:line="360" w:lineRule="auto"/>
        <w:jc w:val="both"/>
      </w:pPr>
      <w:r>
        <w:rPr>
          <w:rFonts w:ascii="Arial" w:eastAsia="Arial" w:hAnsi="Arial" w:cs="Arial"/>
          <w:sz w:val="22"/>
          <w:szCs w:val="22"/>
        </w:rPr>
        <w:t xml:space="preserve">Applied to social media, Erikson's theory helps explain both the appeal and the risks of these platforms for adolescent identity work. Social media offers an accessible, low-cost arena in which adolescents can try out different self-presentations, connect with peer groups that reflect </w:t>
      </w:r>
      <w:r w:rsidR="00CD263A">
        <w:rPr>
          <w:rFonts w:ascii="Arial" w:eastAsia="Arial" w:hAnsi="Arial" w:cs="Arial"/>
          <w:sz w:val="22"/>
          <w:szCs w:val="22"/>
        </w:rPr>
        <w:t>values</w:t>
      </w:r>
      <w:r>
        <w:rPr>
          <w:rFonts w:ascii="Arial" w:eastAsia="Arial" w:hAnsi="Arial" w:cs="Arial"/>
          <w:sz w:val="22"/>
          <w:szCs w:val="22"/>
        </w:rPr>
        <w:t xml:space="preserve">, interests or subcultures, and receive continuous social feedback on their emerging sense of self. Ragelienė's (2016) systematic review found that strong attachment to peers is consistently associated with more positive identity development, suggesting that peer-oriented platforms could genuinely support identity formation, particularly for adolescents seeking communities aligned with their interests, background or identity that may be difficult to access offline. However, the same processes can undermine mental health: curated, idealised self-presentation by peers can distort adolescents' sense of what a normal or achievable identity looks like, while negative feedback, exclusion or cyberbullying directly attacks the exploratory process itself, potentially prolonging role confusion rather than helping to resolve it. Davies et al. (2025) caution, however, that UK media coverage often overstates and oversimplifies this relationship, noting that empirical evidence links social media use only weakly, if at all, to adolescent wellbeing once other structural social factors are properly </w:t>
      </w:r>
      <w:r w:rsidR="00CD263A">
        <w:rPr>
          <w:rFonts w:ascii="Arial" w:eastAsia="Arial" w:hAnsi="Arial" w:cs="Arial"/>
          <w:sz w:val="22"/>
          <w:szCs w:val="22"/>
        </w:rPr>
        <w:t>considered</w:t>
      </w:r>
      <w:r>
        <w:rPr>
          <w:rFonts w:ascii="Arial" w:eastAsia="Arial" w:hAnsi="Arial" w:cs="Arial"/>
          <w:sz w:val="22"/>
          <w:szCs w:val="22"/>
        </w:rPr>
        <w:t>.</w:t>
      </w:r>
    </w:p>
    <w:p w14:paraId="20B47D76" w14:textId="5D864997" w:rsidR="000B7673" w:rsidRDefault="0036037D">
      <w:pPr>
        <w:spacing w:after="240" w:line="360" w:lineRule="auto"/>
        <w:jc w:val="both"/>
      </w:pPr>
      <w:r>
        <w:rPr>
          <w:rFonts w:ascii="Arial" w:eastAsia="Arial" w:hAnsi="Arial" w:cs="Arial"/>
          <w:sz w:val="22"/>
          <w:szCs w:val="22"/>
        </w:rPr>
        <w:t>Erikson's theory is useful because it captures why identity-related experiences online, such as social comparison, validation-seeking and peer rejection, matter so intensely to adolescents rather than being trivial or attention-seeking concerns. It also has clear practical relevance for professionals working in health and social care settings, since it points them towards supporting authentic identity exploration and healthy peer connection, rather than simply restricting access to platforms outright, which may cut adolescents off from valuable sources of belonging and support. Its limitations, though, include its broad, stage-based structure, which some researchers argue does not fully capture identity development as a fluid, non-linear process that may genuinely continue well beyond adolescence, into young adulthood. The theory is also difficult to test empirically in a rigorous way and was developed with limited attention to non-Western or collectivist cultural contexts, where identity may be constructed more relationally and communally than individually, a concern this module's own teaching materials raise directly when questioning how far Erikson's stage-based crises are culturally biased (</w:t>
      </w:r>
      <w:r w:rsidR="005171F8">
        <w:rPr>
          <w:rFonts w:ascii="Arial" w:eastAsia="Arial" w:hAnsi="Arial" w:cs="Arial"/>
          <w:sz w:val="22"/>
          <w:szCs w:val="22"/>
        </w:rPr>
        <w:t xml:space="preserve">Neale </w:t>
      </w:r>
      <w:r w:rsidR="00C47B91">
        <w:rPr>
          <w:rFonts w:ascii="Arial" w:eastAsia="Arial" w:hAnsi="Arial" w:cs="Arial"/>
          <w:sz w:val="22"/>
          <w:szCs w:val="22"/>
        </w:rPr>
        <w:t>Haddon</w:t>
      </w:r>
      <w:r>
        <w:rPr>
          <w:rFonts w:ascii="Arial" w:eastAsia="Arial" w:hAnsi="Arial" w:cs="Arial"/>
          <w:sz w:val="22"/>
          <w:szCs w:val="22"/>
        </w:rPr>
        <w:t xml:space="preserve">, 2025). Ragelienė (2016) further notes that most supporting studies </w:t>
      </w:r>
      <w:r>
        <w:rPr>
          <w:rFonts w:ascii="Arial" w:eastAsia="Arial" w:hAnsi="Arial" w:cs="Arial"/>
          <w:sz w:val="22"/>
          <w:szCs w:val="22"/>
        </w:rPr>
        <w:lastRenderedPageBreak/>
        <w:t>are correlational in design, meaning it remains unclear whether a stronger identity or better peer relationships tend to come first.</w:t>
      </w:r>
    </w:p>
    <w:p w14:paraId="473DDC34" w14:textId="7A4D9E64" w:rsidR="000B7673" w:rsidRDefault="0036037D">
      <w:pPr>
        <w:spacing w:after="240" w:line="360" w:lineRule="auto"/>
        <w:jc w:val="both"/>
      </w:pPr>
      <w:r>
        <w:rPr>
          <w:rFonts w:ascii="Arial" w:eastAsia="Arial" w:hAnsi="Arial" w:cs="Arial"/>
          <w:sz w:val="22"/>
          <w:szCs w:val="22"/>
        </w:rPr>
        <w:t xml:space="preserve">Taken together, these two theories suggest that the impact of social media on adolescent mental health is neither uniformly harmful nor straightforwardly </w:t>
      </w:r>
      <w:r w:rsidR="00CD263A">
        <w:rPr>
          <w:rFonts w:ascii="Arial" w:eastAsia="Arial" w:hAnsi="Arial" w:cs="Arial"/>
          <w:sz w:val="22"/>
          <w:szCs w:val="22"/>
        </w:rPr>
        <w:t>beneficial but</w:t>
      </w:r>
      <w:r>
        <w:rPr>
          <w:rFonts w:ascii="Arial" w:eastAsia="Arial" w:hAnsi="Arial" w:cs="Arial"/>
          <w:sz w:val="22"/>
          <w:szCs w:val="22"/>
        </w:rPr>
        <w:t xml:space="preserve"> depends heavily on how individual adolescents use these platforms and what psychological needs they are attempting to meet. Erikson's theory was itself developed partly as a response to Freud, shifting the focus from purely sexual drives towards broader psychosocial development and rejecting the idea that personality is fixed by the end of adolescence. Read together, then, Freud's theory explains a more biologically rooted drive towards intimacy and independence that helps account for the strong pull social media exerts at this age, while Erikson's theory explains the broader, more socially embedded task of identity formation that this same platform use ultimately serves. Rather than treating one theory as more useful than the other, this essay argues that they should be integrated: the drive towards relationship-seeking and autonomy that Freud identifies provides part of the motivation for engaging with social media, while Erikson's framework better explains why the outcomes of that engagement, whether affirming or damaging, matter so profoundly for adolescent mental health. Understanding both dimensions together offers a fuller and more balanced basis for supporting adolescent mental health within a digital environment that is unlikely to disappear.</w:t>
      </w:r>
    </w:p>
    <w:p w14:paraId="2B35838B" w14:textId="77777777" w:rsidR="000B7673" w:rsidRDefault="0036037D">
      <w:r>
        <w:br w:type="page"/>
      </w:r>
    </w:p>
    <w:p w14:paraId="3F043E5E" w14:textId="77777777" w:rsidR="000B7673" w:rsidRDefault="0036037D">
      <w:pPr>
        <w:spacing w:after="240"/>
      </w:pPr>
      <w:r>
        <w:rPr>
          <w:rFonts w:ascii="Arial" w:eastAsia="Arial" w:hAnsi="Arial" w:cs="Arial"/>
          <w:b/>
          <w:bCs/>
          <w:sz w:val="26"/>
          <w:szCs w:val="26"/>
        </w:rPr>
        <w:lastRenderedPageBreak/>
        <w:t>Reference List</w:t>
      </w:r>
    </w:p>
    <w:p w14:paraId="20D971F2" w14:textId="77777777" w:rsidR="000B7673" w:rsidRDefault="0036037D">
      <w:pPr>
        <w:spacing w:after="200" w:line="360" w:lineRule="auto"/>
        <w:ind w:left="720" w:hanging="720"/>
      </w:pPr>
      <w:r>
        <w:rPr>
          <w:rFonts w:ascii="Arial" w:eastAsia="Arial" w:hAnsi="Arial" w:cs="Arial"/>
          <w:sz w:val="22"/>
          <w:szCs w:val="22"/>
        </w:rPr>
        <w:t>Davies, J., Cadwallader, S., Black, L., Hickman Dunne, J. and Panayiotou, M. (2025) 'The representation of adolescent social media use: a systematic review and content analysis of UK newspaper articles', BMC Public Health, 25, article 3067.</w:t>
      </w:r>
    </w:p>
    <w:p w14:paraId="50F50391" w14:textId="77777777" w:rsidR="000B7673" w:rsidRDefault="0036037D">
      <w:pPr>
        <w:spacing w:after="200" w:line="360" w:lineRule="auto"/>
        <w:ind w:left="720" w:hanging="720"/>
      </w:pPr>
      <w:r>
        <w:rPr>
          <w:rFonts w:ascii="Arial" w:eastAsia="Arial" w:hAnsi="Arial" w:cs="Arial"/>
          <w:sz w:val="22"/>
          <w:szCs w:val="22"/>
        </w:rPr>
        <w:t>Department for Science, Innovation and Technology (2026) Growing up in the online world: a national conversation. Available at: https://www.gov.uk/government/consultations/growing-up-in-the-online-world-a-national-conversation/growing-up-in-the-online-world-a-national-conversation (Accessed: 5 July 2026).</w:t>
      </w:r>
    </w:p>
    <w:p w14:paraId="6296A36C" w14:textId="77777777" w:rsidR="000B7673" w:rsidRDefault="0036037D">
      <w:pPr>
        <w:spacing w:after="200" w:line="360" w:lineRule="auto"/>
        <w:ind w:left="720" w:hanging="720"/>
      </w:pPr>
      <w:r>
        <w:rPr>
          <w:rFonts w:ascii="Arial" w:eastAsia="Arial" w:hAnsi="Arial" w:cs="Arial"/>
          <w:sz w:val="22"/>
          <w:szCs w:val="22"/>
        </w:rPr>
        <w:t>Erikson, E.H. (1968) Identity: youth and crisis. New York: W.W. Norton &amp; Company.</w:t>
      </w:r>
    </w:p>
    <w:p w14:paraId="48084698" w14:textId="5243BFB5" w:rsidR="000B7673" w:rsidRDefault="00C47B91">
      <w:pPr>
        <w:spacing w:after="200" w:line="360" w:lineRule="auto"/>
        <w:ind w:left="720" w:hanging="720"/>
      </w:pPr>
      <w:r>
        <w:rPr>
          <w:rFonts w:ascii="Arial" w:eastAsia="Arial" w:hAnsi="Arial" w:cs="Arial"/>
          <w:sz w:val="22"/>
          <w:szCs w:val="22"/>
        </w:rPr>
        <w:t>Neale Haddon</w:t>
      </w:r>
      <w:r w:rsidR="00570C95">
        <w:rPr>
          <w:rFonts w:ascii="Arial" w:eastAsia="Arial" w:hAnsi="Arial" w:cs="Arial"/>
          <w:sz w:val="22"/>
          <w:szCs w:val="22"/>
        </w:rPr>
        <w:t>. (2025) LCHS4010 Psychology in Health and Social Care: Week 2 - Social and emotional development [PowerPoint presentation]. University of Wales Trinity Saint David. Available at: UWTSD Virtual Learning Environment (Accessed: 5 July 2026).</w:t>
      </w:r>
    </w:p>
    <w:p w14:paraId="0088FF54" w14:textId="5DC1B8EF" w:rsidR="000B7673" w:rsidRDefault="00C47B91">
      <w:pPr>
        <w:spacing w:after="200" w:line="360" w:lineRule="auto"/>
        <w:ind w:left="720" w:hanging="720"/>
      </w:pPr>
      <w:r>
        <w:rPr>
          <w:rFonts w:ascii="Arial" w:eastAsia="Arial" w:hAnsi="Arial" w:cs="Arial"/>
          <w:sz w:val="22"/>
          <w:szCs w:val="22"/>
        </w:rPr>
        <w:t>Neale Haddon</w:t>
      </w:r>
      <w:r w:rsidR="00570C95">
        <w:rPr>
          <w:rFonts w:ascii="Arial" w:eastAsia="Arial" w:hAnsi="Arial" w:cs="Arial"/>
          <w:sz w:val="22"/>
          <w:szCs w:val="22"/>
        </w:rPr>
        <w:t>. (2026) LCHS4010 Psychology in Health and Social Care: Week 7 - Sigmund Freud and the importance of childhood [PowerPoint presentation]. University of Wales Trinity Saint David. Available at: UWTSD Virtual Learning Environment (Accessed: 5 July 2026).</w:t>
      </w:r>
    </w:p>
    <w:p w14:paraId="22B7DF48" w14:textId="77777777" w:rsidR="000B7673" w:rsidRDefault="0036037D">
      <w:pPr>
        <w:spacing w:after="200" w:line="360" w:lineRule="auto"/>
        <w:ind w:left="720" w:hanging="720"/>
      </w:pPr>
      <w:r>
        <w:rPr>
          <w:rFonts w:ascii="Arial" w:eastAsia="Arial" w:hAnsi="Arial" w:cs="Arial"/>
          <w:sz w:val="22"/>
          <w:szCs w:val="22"/>
        </w:rPr>
        <w:t>Kaur, J., Lantz, S.E. and Ray, S. (2025) 'Freud's developmental theory', in StatPearls [Internet]. Treasure Island (FL): StatPearls Publishing. Available at: https://www.ncbi.nlm.nih.gov/books/NBK557526/ (Accessed: 5 July 2026).</w:t>
      </w:r>
    </w:p>
    <w:p w14:paraId="02FD959E" w14:textId="77777777" w:rsidR="000B7673" w:rsidRDefault="0036037D">
      <w:pPr>
        <w:spacing w:after="200" w:line="360" w:lineRule="auto"/>
        <w:ind w:left="720" w:hanging="720"/>
      </w:pPr>
      <w:r>
        <w:rPr>
          <w:rFonts w:ascii="Arial" w:eastAsia="Arial" w:hAnsi="Arial" w:cs="Arial"/>
          <w:sz w:val="22"/>
          <w:szCs w:val="22"/>
        </w:rPr>
        <w:t>NHS England Digital (2023) Mental health of children and young people in England, 2023 - wave 4 follow up to the 2017 survey. Available at: https://digital.nhs.uk/data-and-information/publications/statistical/mental-health-of-children-and-young-people-in-england/2023-wave-4-follow-up (Accessed: 5 July 2026).</w:t>
      </w:r>
    </w:p>
    <w:p w14:paraId="55617FD0" w14:textId="77777777" w:rsidR="000B7673" w:rsidRDefault="0036037D">
      <w:pPr>
        <w:spacing w:after="200" w:line="360" w:lineRule="auto"/>
        <w:ind w:left="720" w:hanging="720"/>
      </w:pPr>
      <w:r>
        <w:rPr>
          <w:rFonts w:ascii="Arial" w:eastAsia="Arial" w:hAnsi="Arial" w:cs="Arial"/>
          <w:sz w:val="22"/>
          <w:szCs w:val="22"/>
        </w:rPr>
        <w:t>Ragelienė, T. (2016) 'Links of adolescents identity development and relationship with peers: a systematic literature review', Journal of the Canadian Academy of Child and Adolescent Psychiatry, 25(2), pp. 97-105.</w:t>
      </w:r>
    </w:p>
    <w:p w14:paraId="1871339C" w14:textId="77777777" w:rsidR="000B7673" w:rsidRDefault="0036037D">
      <w:pPr>
        <w:spacing w:after="200" w:line="360" w:lineRule="auto"/>
        <w:ind w:left="720" w:hanging="720"/>
      </w:pPr>
      <w:r>
        <w:rPr>
          <w:rFonts w:ascii="Arial" w:eastAsia="Arial" w:hAnsi="Arial" w:cs="Arial"/>
          <w:sz w:val="22"/>
          <w:szCs w:val="22"/>
        </w:rPr>
        <w:t>Shukri, M.I.M. and Baharom, A. (2023) 'Psychosocial determinants of adolescent romantic relationship in Malaysia: social media use, pornography surfing, sexual and reproductive health knowledge, and depression', PLOS ONE, 18(12), e0295933.</w:t>
      </w:r>
    </w:p>
    <w:sectPr w:rsidR="000B7673">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69682" w14:textId="77777777" w:rsidR="004251EC" w:rsidRDefault="004251EC">
      <w:r>
        <w:separator/>
      </w:r>
    </w:p>
  </w:endnote>
  <w:endnote w:type="continuationSeparator" w:id="0">
    <w:p w14:paraId="701BDF8B" w14:textId="77777777" w:rsidR="004251EC" w:rsidRDefault="00425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380D2" w14:textId="77777777" w:rsidR="000B7673" w:rsidRDefault="0036037D">
    <w:pPr>
      <w:jc w:val="cente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570C95">
      <w:rPr>
        <w:rFonts w:ascii="Arial" w:eastAsia="Arial" w:hAnsi="Arial" w:cs="Arial"/>
        <w:noProof/>
        <w:sz w:val="22"/>
        <w:szCs w:val="22"/>
      </w:rPr>
      <w:t>1</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B475" w14:textId="77777777" w:rsidR="004251EC" w:rsidRDefault="004251EC">
      <w:r>
        <w:separator/>
      </w:r>
    </w:p>
  </w:footnote>
  <w:footnote w:type="continuationSeparator" w:id="0">
    <w:p w14:paraId="17843419" w14:textId="77777777" w:rsidR="004251EC" w:rsidRDefault="004251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7C2A" w14:textId="77777777" w:rsidR="000B7673" w:rsidRDefault="000B76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46039"/>
    <w:multiLevelType w:val="hybridMultilevel"/>
    <w:tmpl w:val="833AE8F0"/>
    <w:lvl w:ilvl="0" w:tplc="F83C9F86">
      <w:start w:val="1"/>
      <w:numFmt w:val="bullet"/>
      <w:lvlText w:val="●"/>
      <w:lvlJc w:val="left"/>
      <w:pPr>
        <w:ind w:left="720" w:hanging="360"/>
      </w:pPr>
    </w:lvl>
    <w:lvl w:ilvl="1" w:tplc="7362E80C">
      <w:start w:val="1"/>
      <w:numFmt w:val="bullet"/>
      <w:lvlText w:val="○"/>
      <w:lvlJc w:val="left"/>
      <w:pPr>
        <w:ind w:left="1440" w:hanging="360"/>
      </w:pPr>
    </w:lvl>
    <w:lvl w:ilvl="2" w:tplc="CD8ADA2C">
      <w:start w:val="1"/>
      <w:numFmt w:val="bullet"/>
      <w:lvlText w:val="■"/>
      <w:lvlJc w:val="left"/>
      <w:pPr>
        <w:ind w:left="2160" w:hanging="360"/>
      </w:pPr>
    </w:lvl>
    <w:lvl w:ilvl="3" w:tplc="8A6A6B3E">
      <w:start w:val="1"/>
      <w:numFmt w:val="bullet"/>
      <w:lvlText w:val="●"/>
      <w:lvlJc w:val="left"/>
      <w:pPr>
        <w:ind w:left="2880" w:hanging="360"/>
      </w:pPr>
    </w:lvl>
    <w:lvl w:ilvl="4" w:tplc="A6429E02">
      <w:start w:val="1"/>
      <w:numFmt w:val="bullet"/>
      <w:lvlText w:val="○"/>
      <w:lvlJc w:val="left"/>
      <w:pPr>
        <w:ind w:left="3600" w:hanging="360"/>
      </w:pPr>
    </w:lvl>
    <w:lvl w:ilvl="5" w:tplc="4CA244D6">
      <w:start w:val="1"/>
      <w:numFmt w:val="bullet"/>
      <w:lvlText w:val="■"/>
      <w:lvlJc w:val="left"/>
      <w:pPr>
        <w:ind w:left="4320" w:hanging="360"/>
      </w:pPr>
    </w:lvl>
    <w:lvl w:ilvl="6" w:tplc="1B560DD6">
      <w:start w:val="1"/>
      <w:numFmt w:val="bullet"/>
      <w:lvlText w:val="●"/>
      <w:lvlJc w:val="left"/>
      <w:pPr>
        <w:ind w:left="5040" w:hanging="360"/>
      </w:pPr>
    </w:lvl>
    <w:lvl w:ilvl="7" w:tplc="20167720">
      <w:start w:val="1"/>
      <w:numFmt w:val="bullet"/>
      <w:lvlText w:val="●"/>
      <w:lvlJc w:val="left"/>
      <w:pPr>
        <w:ind w:left="5760" w:hanging="360"/>
      </w:pPr>
    </w:lvl>
    <w:lvl w:ilvl="8" w:tplc="A1F60B66">
      <w:start w:val="1"/>
      <w:numFmt w:val="bullet"/>
      <w:lvlText w:val="●"/>
      <w:lvlJc w:val="left"/>
      <w:pPr>
        <w:ind w:left="6480" w:hanging="360"/>
      </w:pPr>
    </w:lvl>
  </w:abstractNum>
  <w:num w:numId="1" w16cid:durableId="9470812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673"/>
    <w:rsid w:val="000B7673"/>
    <w:rsid w:val="00220552"/>
    <w:rsid w:val="00306618"/>
    <w:rsid w:val="0036037D"/>
    <w:rsid w:val="00360BDB"/>
    <w:rsid w:val="003E24C9"/>
    <w:rsid w:val="004251EC"/>
    <w:rsid w:val="004C1186"/>
    <w:rsid w:val="005171F8"/>
    <w:rsid w:val="00570C95"/>
    <w:rsid w:val="00723BA6"/>
    <w:rsid w:val="00735B7C"/>
    <w:rsid w:val="007C12B1"/>
    <w:rsid w:val="00871AC6"/>
    <w:rsid w:val="00AE658A"/>
    <w:rsid w:val="00B306CB"/>
    <w:rsid w:val="00C47B91"/>
    <w:rsid w:val="00CD263A"/>
    <w:rsid w:val="00D464EE"/>
    <w:rsid w:val="00D713F0"/>
    <w:rsid w:val="00E65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D61B5"/>
  <w15:docId w15:val="{315DD4EA-916D-44C1-A028-BA3536FC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Nuwopkor</dc:creator>
  <cp:lastModifiedBy>Elizabeth Nuworkpor</cp:lastModifiedBy>
  <cp:revision>10</cp:revision>
  <dcterms:created xsi:type="dcterms:W3CDTF">2026-07-20T18:25:00Z</dcterms:created>
  <dcterms:modified xsi:type="dcterms:W3CDTF">2026-07-27T17:48:00Z</dcterms:modified>
</cp:coreProperties>
</file>