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B3E5C" w14:textId="77777777" w:rsidR="00FC6285" w:rsidRDefault="00FC6285" w:rsidP="00FC6285">
      <w:pPr>
        <w:pStyle w:val="NormalWeb"/>
        <w:rPr>
          <w:color w:val="252525"/>
        </w:rPr>
      </w:pPr>
      <w:r>
        <w:rPr>
          <w:color w:val="252525"/>
        </w:rPr>
        <w:t>This essay is going to attempt to evaluate the national conveyancing protocol by looking at changes made by the law society that were completed in 2019. Conveyancing protocol is a series of procedures to adhere to when buying or selling a home for a homeowner. The protocol can be applied to residential leasehold and freehold property transfers. The technique is not intended to be used when buying newly constructed homes. By following protocol, it enables the process to standardise the residential conveyancing process, make it more transparent and efficient, and improve the experience for solicitors, clients, and lenders. The protocol is not an exhaustive set of steps, nor is it intended to be. The steps can be completed sequentially or simultaneously. The protocol will assume that the buyer and seller both have mortgages in place and that you act for the lender and client (Law Society, 2020).</w:t>
      </w:r>
    </w:p>
    <w:p w14:paraId="6E9407C4" w14:textId="749199E2" w:rsidR="00FC6285" w:rsidRDefault="00FC6285" w:rsidP="00FC6285">
      <w:pPr>
        <w:pStyle w:val="NormalWeb"/>
        <w:rPr>
          <w:color w:val="252525"/>
        </w:rPr>
      </w:pPr>
      <w:r>
        <w:rPr>
          <w:color w:val="252525"/>
        </w:rPr>
        <w:t xml:space="preserve">The Conveyancing Protocol of the Law Society was first introduced on April 1, 2011. Broadhead (2016) said the protocol has a sound organisational framework and that each component of the structure has a specific function. The guiding concepts for conveyancing are laid out in the first part. These are the general obligations of lawyers to their clients and to one </w:t>
      </w:r>
      <w:r w:rsidR="00853BBB">
        <w:rPr>
          <w:color w:val="252525"/>
        </w:rPr>
        <w:t>another. Solicitors</w:t>
      </w:r>
      <w:r>
        <w:rPr>
          <w:color w:val="252525"/>
        </w:rPr>
        <w:t xml:space="preserve"> must disclose all conveyance-related information to </w:t>
      </w:r>
      <w:r w:rsidR="00DC3CB3">
        <w:rPr>
          <w:color w:val="252525"/>
        </w:rPr>
        <w:t>clients. The</w:t>
      </w:r>
      <w:r>
        <w:rPr>
          <w:color w:val="252525"/>
        </w:rPr>
        <w:t xml:space="preserve"> method by which the conveyance process will proceed must be disclosed to the clients. They are given the assurance that the solicitors will treat them honestly and that nothing about the transaction will be kept a secret from them. In the 2011 protocol, clients had to have been made aware of the solicitors' communication plan during the conveyance process. The start of conveyance establishes the appropriate channels of communication. Whatever communication method is agreed upon for conveyance, it must be accessible to the clients. All parties to the transaction must be able to communicate, but the method used must also be secret enough to protect each party's privacy.</w:t>
      </w:r>
    </w:p>
    <w:p w14:paraId="3FFADAD2" w14:textId="77777777" w:rsidR="00FC6285" w:rsidRDefault="00FC6285" w:rsidP="00FC6285">
      <w:pPr>
        <w:pStyle w:val="NormalWeb"/>
        <w:rPr>
          <w:color w:val="252525"/>
        </w:rPr>
      </w:pPr>
      <w:r>
        <w:rPr>
          <w:color w:val="252525"/>
        </w:rPr>
        <w:t>According to Smithers (Law Gazette, 2011), the Conveyancing Quality Scheme (CQS) is increasing. The initial firms have received accreditation, and applications are arriving quickly. Although the idea of raising standards is scarcely controversial, providing practitioners with the resources they need to work within the framework has been a crucial component of the Law Society's continued efforts to support solicitors. Conveyancing Protocol was created in conjunction with CQS and will be formally introduced on April 1. The standard form of contract must be used according to the protocol, and the CQS also included updating the standard conditions of sale to make sure they are appropriate for use. The National Conditions of Sale and the Law Society's Conditions were combined to create the conditions, which have been in use for about 20 years. He then states that there is still a lot of work to be done, including a quick review of the Property Information form to ensure it asks for and provides the information that should be a part of the process.</w:t>
      </w:r>
    </w:p>
    <w:p w14:paraId="15A9846E" w14:textId="3D4C5141" w:rsidR="00FC6285" w:rsidRDefault="00FC6285" w:rsidP="00FC6285">
      <w:pPr>
        <w:pStyle w:val="NormalWeb"/>
        <w:rPr>
          <w:color w:val="252525"/>
        </w:rPr>
      </w:pPr>
      <w:r>
        <w:rPr>
          <w:color w:val="252525"/>
        </w:rPr>
        <w:t xml:space="preserve">The Ministry of Housing, Communities, and Local Government (2019) put a call out for evidence in 2017 before the potential changes to the protocol that came into place in 2019, and they said that there is no desire to fully dismantle the current system for buying and selling properties in England and Wales. They </w:t>
      </w:r>
      <w:r w:rsidR="006C36C3">
        <w:rPr>
          <w:color w:val="252525"/>
        </w:rPr>
        <w:t>did not</w:t>
      </w:r>
      <w:r>
        <w:rPr>
          <w:color w:val="252525"/>
        </w:rPr>
        <w:t xml:space="preserve"> intend to replace it with something else because one of its greatest virtues is how thorough it is. However, there are undoubtedly things that we can learn from other nations. We should not automatically assume that purchasing and selling properties is a process that will be hampered by delays, marked by mistrust between buyers and sellers, and subject to a high failure rate, according to international comparisons. The Ministry of Housing, Communities, and Local Government went and spoke to people currently involved in the conveyancing process. There were findings that made it clear that we were and still are on the verge of a digital revolution that will enable us to replace the existing paper-based method of purchasing and selling. People </w:t>
      </w:r>
      <w:r>
        <w:rPr>
          <w:color w:val="252525"/>
        </w:rPr>
        <w:lastRenderedPageBreak/>
        <w:t xml:space="preserve">promise us that everything will be significantly different in 25 years. However, we do not want to wait 25 years for change and instead believe it is time to have a discussion about the changes we need to make and how to implement them. This is not how it must be, and it is not how it ought to be. The process will be improved by the government to make it less expensive, quicker, and less stressful. This relates to the reason why the protocol was in desperate need of change: the public and solicitors require change </w:t>
      </w:r>
      <w:proofErr w:type="gramStart"/>
      <w:r>
        <w:rPr>
          <w:color w:val="252525"/>
        </w:rPr>
        <w:t>in order for</w:t>
      </w:r>
      <w:proofErr w:type="gramEnd"/>
      <w:r>
        <w:rPr>
          <w:color w:val="252525"/>
        </w:rPr>
        <w:t xml:space="preserve"> systems to be simplified.</w:t>
      </w:r>
    </w:p>
    <w:p w14:paraId="234A3725" w14:textId="77777777" w:rsidR="00FC6285" w:rsidRDefault="00FC6285" w:rsidP="00FC6285">
      <w:pPr>
        <w:pStyle w:val="NormalWeb"/>
        <w:rPr>
          <w:color w:val="252525"/>
        </w:rPr>
      </w:pPr>
      <w:r>
        <w:rPr>
          <w:color w:val="252525"/>
        </w:rPr>
        <w:t>Cilex (2018) says that the Protocol's modifications appear to offer more assistance, clarification, and direction in some areas of conveyancing transactions that have been producing problems, annoyances, and delays for both customers and conveyancers. It is encouraging to see the term "conveyancer" used in place of "solicitor" throughout the protocol because it more accurately describes the variety of legal practitioners who perform this type of work. We support the suggestion to provide additional details up front, and for consumers to make confident decisions, they should be given the information they require when they need it. The Council for Licensing Conveyancers (CLC) believes that the protocol's goal is still unclear despite the suggested adjustments. The Protocol lays forth a fundamental foundation of minimal requirements that the CLC would anticipate all conveyancers to satisfy.</w:t>
      </w:r>
    </w:p>
    <w:p w14:paraId="71324F58" w14:textId="77777777" w:rsidR="00FC6285" w:rsidRDefault="00FC6285" w:rsidP="00FC6285">
      <w:pPr>
        <w:pStyle w:val="NormalWeb"/>
        <w:rPr>
          <w:color w:val="252525"/>
        </w:rPr>
      </w:pPr>
      <w:r>
        <w:rPr>
          <w:color w:val="252525"/>
        </w:rPr>
        <w:t>In 2019, the protocol was revised. The new revised protocol was aimed at improving certain areas of the conveyancing protocol. The areas intended for change were the CQS core practise management standards, court of appeals decisions, SRA transparency rules, government consultation on the home buying and selling process, and the leasehold system. These changes were put in place in the hope of reminding us of our expected obligations, reducing the amount of fraud, and increasing the efficiency of the entire process. (Law Society, 2020)</w:t>
      </w:r>
    </w:p>
    <w:p w14:paraId="321AD90F" w14:textId="5BA79154" w:rsidR="00FC6285" w:rsidRDefault="00FC6285" w:rsidP="00FC6285">
      <w:pPr>
        <w:pStyle w:val="NormalWeb"/>
        <w:rPr>
          <w:color w:val="252525"/>
        </w:rPr>
      </w:pPr>
      <w:r>
        <w:rPr>
          <w:color w:val="252525"/>
        </w:rPr>
        <w:t xml:space="preserve">With regard to sale and purchase transactions, the National Protocol has always imposed professional obligations on conveyancers. However, the obligations of conveyancers have come into focus as a result of the revision of the Protocol and the Law Society Code for Completion by Post, as well as recent events and case </w:t>
      </w:r>
      <w:r w:rsidR="00DC3CB3">
        <w:rPr>
          <w:color w:val="252525"/>
        </w:rPr>
        <w:t>law. These</w:t>
      </w:r>
      <w:r>
        <w:rPr>
          <w:color w:val="252525"/>
        </w:rPr>
        <w:t xml:space="preserve"> obligations are in place for the ultimate protection of clients involved in conveyancing transactions. Dreamvar (UK) Limited v. Mishcon De Reya (a Firm) [2018] is the case in question that brought attention to the law and highlighted the importance of determining the identity of a property seller. Conveyancers were reminded of the critical importance of confirming that the person claiming to be the owner of a property is authorised to convey that property, is the true owner under the contract, and is entitled to receive the purchase money from the buyer's solicitor upon completion; as a result of this case, a change to the Law Society Code for Completion by Post was implemented (Barrett &amp; Co., 2019).</w:t>
      </w:r>
    </w:p>
    <w:p w14:paraId="4B05D21D" w14:textId="77777777" w:rsidR="00FC6285" w:rsidRDefault="00FC6285" w:rsidP="00FC6285">
      <w:pPr>
        <w:pStyle w:val="NormalWeb"/>
        <w:rPr>
          <w:color w:val="252525"/>
        </w:rPr>
      </w:pPr>
      <w:r>
        <w:rPr>
          <w:color w:val="252525"/>
        </w:rPr>
        <w:t xml:space="preserve">It would seem that the changes to the protocol ruffled the feathers of many, in particular Finlyson (2022). He said that as a result, not everyone is convinced of the scheme's practical use, and it is sometimes believed that it is little more than a "money maker" for the society. This is logical given that reaccreditation expenses for a lone practitioner are £285 annually and application fees of at least £476, The Chartered Institute of Legal Executives has also expressed questions about the claim that the plan, which is exclusively open to solicitors' businesses, is an accurate representation of the entire range of options or quality in the industry. Finlyson then moves on to say that the Law Society will need to update some of its application forms in the future since they still make references to the 1998 accounting rules </w:t>
      </w:r>
      <w:r>
        <w:rPr>
          <w:color w:val="252525"/>
        </w:rPr>
        <w:lastRenderedPageBreak/>
        <w:t>and the SRA Handbook, many of which were already seriously out-of-date before the most recent modifications. One requirement for many panel memberships is a criteria that is not thoroughly examined, only applies to solicitors, and is mostly a source of revenue for the Law Society rather than an actual effort to raise the calibre of services provided by companies.</w:t>
      </w:r>
    </w:p>
    <w:p w14:paraId="395A8F2F" w14:textId="77777777" w:rsidR="00FC6285" w:rsidRDefault="00FC6285" w:rsidP="00FC6285">
      <w:pPr>
        <w:pStyle w:val="NormalWeb"/>
        <w:rPr>
          <w:color w:val="252525"/>
        </w:rPr>
      </w:pPr>
      <w:r>
        <w:rPr>
          <w:color w:val="252525"/>
        </w:rPr>
        <w:t>The 2011 version of the protocol is replaced with the 2019 version, which goes into effect on August 19. Members who have earned accreditation under the society's conveyancing quality scheme must adhere to it. According to Chancery Lane, there are now fewer processes involved in the following stages: instructions, contract submission, before contract exchange, contract exchange, completion, and post-completion. "The protocol is a tool that allows conveyancing solicitors to achieve the transfer of residential property most effectively," said Simon Davis, president of the Law Society. It seeks to increase effectiveness and provide consistency across transactions. To ensure that it remains relevant for practitioners, it has been modified. This also applies to the updated Law Society Code for Completion created in response to the Dreamvar Court of Appeal ruling (Fouzder, 2019).</w:t>
      </w:r>
    </w:p>
    <w:p w14:paraId="6233C016" w14:textId="77777777" w:rsidR="00FC6285" w:rsidRDefault="00FC6285" w:rsidP="00FC6285">
      <w:pPr>
        <w:pStyle w:val="NormalWeb"/>
        <w:rPr>
          <w:color w:val="252525"/>
        </w:rPr>
      </w:pPr>
      <w:r>
        <w:rPr>
          <w:color w:val="252525"/>
        </w:rPr>
        <w:t>King (n.d.) says that the new 2019 protocol looks into further matters and says additional requirements have been tightened to reduce the dangers of mortgage and property fraud, as well as the dangers of money laundering and financing terrorism. The revised standards strengthen responsibilities for client identity checks and checks against the conveyancer representing the other party. Also with effect from May 2019, CQS firms must have a policy in place regarding the calculation of guidance provided to homebuyers on their land tax liabilities. According to the revised Standards, member firms will be able to show a complete audit chain of the advice offered to clients, data gathered to determine tax liabilities, and confirmation of the land tax computation recorded on the file.</w:t>
      </w:r>
    </w:p>
    <w:p w14:paraId="765CE6CD" w14:textId="77777777" w:rsidR="00FC6285" w:rsidRDefault="00FC6285" w:rsidP="00FC6285">
      <w:pPr>
        <w:pStyle w:val="NormalWeb"/>
        <w:rPr>
          <w:color w:val="252525"/>
        </w:rPr>
      </w:pPr>
      <w:r>
        <w:rPr>
          <w:color w:val="252525"/>
        </w:rPr>
        <w:t>Thompson (2022) recorded a webinar where she advises that further information had been given in regards to the new 2019 protocol and that the Law Society announced at the end of March that on-site CQS assessments would start on May 1, 2022, and that CQS accredited firms should be "assessment ready" by then. The Law Society has also released new core practise management requirements for 2022, and CQS accredited companies must begin implementing these new standards as of May 1 in order to be in compliance with them. They will have a two-week notification window to enable firms to have everything in line for their visit. Thompson (2022) also says that the CQS scheme rules are meant to be a continuing process that will be updated as needed in response to modifications to the standard, new legislators, and suggested best practises.</w:t>
      </w:r>
    </w:p>
    <w:p w14:paraId="650F4C5E" w14:textId="77777777" w:rsidR="00FC6285" w:rsidRDefault="00FC6285" w:rsidP="00FC6285">
      <w:pPr>
        <w:pStyle w:val="NormalWeb"/>
        <w:rPr>
          <w:color w:val="252525"/>
        </w:rPr>
      </w:pPr>
      <w:r>
        <w:rPr>
          <w:color w:val="252525"/>
        </w:rPr>
        <w:t>In March 2022, the Law Society published an article in regards to the updated process of digital ID checks. The framework is an element of a project to develop a digital ID system that can replace traditional forms of identification like passports and bank statements. The government intends to introduce laws and has noted that these actions would be crucial to the conveyancing process as customers are frequently forced to provide several proofs of their identification. The ideas to develop a digital ID for consumers have the backing of law societies, and they believe that it will reduce the load on customers, assist in lowering fraud and cybercrime, and hopefully shorten the conveyancing process (law society, 2022).</w:t>
      </w:r>
    </w:p>
    <w:p w14:paraId="16F1A2C5" w14:textId="77777777" w:rsidR="00FC6285" w:rsidRDefault="00FC6285" w:rsidP="00FC6285">
      <w:pPr>
        <w:pStyle w:val="NormalWeb"/>
        <w:rPr>
          <w:color w:val="252525"/>
        </w:rPr>
      </w:pPr>
      <w:r>
        <w:rPr>
          <w:color w:val="252525"/>
        </w:rPr>
        <w:t xml:space="preserve">The Law Society also proposes changes to the TA6 form in the near future that will give all information about a house upfront at the time of being put on the market, which they believe would speed up the whole house buying process. They are working with the ministry of </w:t>
      </w:r>
      <w:r>
        <w:rPr>
          <w:color w:val="252525"/>
        </w:rPr>
        <w:lastRenderedPageBreak/>
        <w:t>housing, , and local governments with the goal of improving the home buying experience for all (Law Society, 2021).</w:t>
      </w:r>
    </w:p>
    <w:p w14:paraId="4EFE1344" w14:textId="60858429" w:rsidR="00FC6285" w:rsidRDefault="00FC6285" w:rsidP="00FC6285">
      <w:pPr>
        <w:pStyle w:val="NormalWeb"/>
        <w:rPr>
          <w:color w:val="252525"/>
        </w:rPr>
      </w:pPr>
      <w:r>
        <w:rPr>
          <w:color w:val="252525"/>
        </w:rPr>
        <w:t xml:space="preserve">Lewis (2022) published an article that stated that in England and Wales, the conveyancing system is broken. Homebuyers are left to negotiate an antiquated moving process that is taking longer than it did at the height of the rush to beat the first stamp duty deadline in June 2021, while lawyers are departing the profession in large numbers. She claimed that data showed that the average time it took for a property deal to close was 138.5 </w:t>
      </w:r>
      <w:r w:rsidR="002A526D">
        <w:rPr>
          <w:color w:val="252525"/>
        </w:rPr>
        <w:t>days. According</w:t>
      </w:r>
      <w:r>
        <w:rPr>
          <w:color w:val="252525"/>
        </w:rPr>
        <w:t xml:space="preserve"> to statistics gathered by View My Chain, an online conveyancing management service for estate agents, vendors, and purchasers, typical exchanges occurred in June of last year, 2021, after 88 days. It seems the legal community did look into this and in 2021 made suggestions to improve the home conveyancing system. The government has presented reform suggestions in response to consumer complaints that the procedure is drawn out, expensive, and unpleasant. They intend to form a reservation agreement, which is a contract between a buyer and a seller indicating that the sale will proceed. If either party withdraws before the exchange of contracts, one of them must make up the difference. The government hopes that a short standard reservation agreement will reduce the number of failed transactions by encouraging buyers and sellers to commit earlier in the process and preventing the seller from accepting a higher offer, a practise known as "gazumping."</w:t>
      </w:r>
    </w:p>
    <w:p w14:paraId="0435FE49" w14:textId="3C30BD7D" w:rsidR="00FC6285" w:rsidRDefault="00FC6285" w:rsidP="00FC6285">
      <w:pPr>
        <w:pStyle w:val="NormalWeb"/>
        <w:rPr>
          <w:color w:val="252525"/>
        </w:rPr>
      </w:pPr>
      <w:r>
        <w:rPr>
          <w:color w:val="252525"/>
        </w:rPr>
        <w:t xml:space="preserve">To empower customers to make better decisions, the government aims to improve price and service transparency. It intends to cooperate with both customers and conveyancers. The Law Society also confirms changes to the buying of a leasehold property, searches for which can take </w:t>
      </w:r>
      <w:r w:rsidR="006C36C3">
        <w:rPr>
          <w:color w:val="252525"/>
        </w:rPr>
        <w:t>an exceptionally long</w:t>
      </w:r>
      <w:r>
        <w:rPr>
          <w:color w:val="252525"/>
        </w:rPr>
        <w:t xml:space="preserve"> time (they hope to reduce this to </w:t>
      </w:r>
      <w:proofErr w:type="gramStart"/>
      <w:r>
        <w:rPr>
          <w:color w:val="252525"/>
        </w:rPr>
        <w:t>10</w:t>
      </w:r>
      <w:proofErr w:type="gramEnd"/>
      <w:r>
        <w:rPr>
          <w:color w:val="252525"/>
        </w:rPr>
        <w:t xml:space="preserve"> working days), and they also plan to look at the way estate agents are regulated and the reporting of referral fees. The government has stated that it will cooperate with businesses to make small adjustments to the procedures for purchasing and selling homes. There are currently no plans for new laws; however, the proposed modifications should make present procedures simpler and improve the customer experience. Any process changes for solicitors to adopt the law society in 2021 should be relatively simple.</w:t>
      </w:r>
    </w:p>
    <w:p w14:paraId="2668DD2F" w14:textId="13CB6E59" w:rsidR="00FC6285" w:rsidRDefault="00FC6285" w:rsidP="00FC6285">
      <w:pPr>
        <w:pStyle w:val="NormalWeb"/>
        <w:rPr>
          <w:color w:val="252525"/>
        </w:rPr>
      </w:pPr>
      <w:r>
        <w:rPr>
          <w:color w:val="252525"/>
        </w:rPr>
        <w:t>According to the data, it is reasonable to conclude that the 2011 conveyancing protocol required updating, which was done in 2019. The legal society thought that it would increase efficiency for everyone and reduce paperwork, among other things. There is little doubt that there will be a lot more updates and modifications to the conveyance protocol in the near future. The evidence also implies that the protocol needs further adjustments to enable a modern system that is compatible with the rapid pace of change the world experiences.</w:t>
      </w:r>
    </w:p>
    <w:p w14:paraId="7E550041" w14:textId="45F38031" w:rsidR="003C6C10" w:rsidRDefault="003C6C10" w:rsidP="00FC6285">
      <w:pPr>
        <w:pStyle w:val="NormalWeb"/>
        <w:rPr>
          <w:color w:val="252525"/>
        </w:rPr>
      </w:pPr>
      <w:r>
        <w:rPr>
          <w:color w:val="252525"/>
        </w:rPr>
        <w:t xml:space="preserve">By Ceri-anne Johnson </w:t>
      </w:r>
    </w:p>
    <w:p w14:paraId="040046AE" w14:textId="77777777" w:rsidR="00C64E35" w:rsidRPr="006128BD" w:rsidRDefault="00C64E35" w:rsidP="00A53373">
      <w:pPr>
        <w:pStyle w:val="NormalWeb"/>
        <w:spacing w:before="0" w:beforeAutospacing="0" w:after="240" w:afterAutospacing="0" w:line="360" w:lineRule="auto"/>
        <w:rPr>
          <w:sz w:val="28"/>
          <w:szCs w:val="28"/>
        </w:rPr>
      </w:pPr>
    </w:p>
    <w:p w14:paraId="48F0FEDA" w14:textId="77777777" w:rsidR="00C64E35" w:rsidRDefault="00C64E35" w:rsidP="00A53373">
      <w:pPr>
        <w:pStyle w:val="NormalWeb"/>
        <w:spacing w:before="0" w:beforeAutospacing="0" w:after="240" w:afterAutospacing="0" w:line="360" w:lineRule="auto"/>
      </w:pPr>
    </w:p>
    <w:p w14:paraId="543F8F17" w14:textId="77777777" w:rsidR="0004023C" w:rsidRDefault="0004023C" w:rsidP="00A53373">
      <w:pPr>
        <w:pStyle w:val="NormalWeb"/>
        <w:spacing w:before="0" w:beforeAutospacing="0" w:after="240" w:afterAutospacing="0" w:line="360" w:lineRule="auto"/>
      </w:pPr>
    </w:p>
    <w:p w14:paraId="22150C8F" w14:textId="77777777" w:rsidR="0004023C" w:rsidRDefault="0004023C" w:rsidP="00A53373">
      <w:pPr>
        <w:pStyle w:val="NormalWeb"/>
        <w:spacing w:before="0" w:beforeAutospacing="0" w:after="240" w:afterAutospacing="0" w:line="360" w:lineRule="auto"/>
      </w:pPr>
    </w:p>
    <w:p w14:paraId="38CFB7D0" w14:textId="77777777" w:rsidR="003C6C10" w:rsidRDefault="003C6C10" w:rsidP="00A53373">
      <w:pPr>
        <w:pStyle w:val="NormalWeb"/>
        <w:spacing w:before="0" w:beforeAutospacing="0" w:after="240" w:afterAutospacing="0" w:line="360" w:lineRule="auto"/>
      </w:pPr>
    </w:p>
    <w:p w14:paraId="5FC67278" w14:textId="66572913" w:rsidR="00A53373" w:rsidRDefault="00064FB2" w:rsidP="00A53373">
      <w:pPr>
        <w:pStyle w:val="NormalWeb"/>
        <w:spacing w:before="0" w:beforeAutospacing="0" w:after="240" w:afterAutospacing="0" w:line="360" w:lineRule="auto"/>
      </w:pPr>
      <w:r>
        <w:t>B</w:t>
      </w:r>
      <w:r w:rsidR="00A53373">
        <w:t xml:space="preserve">arret &amp; co (2019). </w:t>
      </w:r>
      <w:r w:rsidR="00A53373">
        <w:rPr>
          <w:i/>
          <w:iCs/>
        </w:rPr>
        <w:t>National Conveyancing Protocol &amp; Its Importance - Barrett &amp; Co Solicitors in Reading, Berkshire</w:t>
      </w:r>
      <w:r w:rsidR="00A53373">
        <w:t xml:space="preserve">. [online] Barrett &amp; Co. Available at: </w:t>
      </w:r>
      <w:hyperlink r:id="rId4" w:history="1">
        <w:r w:rsidR="00A53373" w:rsidRPr="00305B9D">
          <w:rPr>
            <w:rStyle w:val="Hyperlink"/>
          </w:rPr>
          <w:t>https://www.barrettandco.co.uk/2019/11/28/national-conveyancing-protocol-its-importance/</w:t>
        </w:r>
      </w:hyperlink>
      <w:r w:rsidR="00A53373">
        <w:t>.  [Accessed 1 Nov. 2022].</w:t>
      </w:r>
    </w:p>
    <w:p w14:paraId="6ECA90F0" w14:textId="108D1D57" w:rsidR="00B2100E" w:rsidRDefault="00B2100E" w:rsidP="00B2100E">
      <w:pPr>
        <w:pStyle w:val="NormalWeb"/>
        <w:spacing w:before="0" w:beforeAutospacing="0" w:after="240" w:afterAutospacing="0" w:line="360" w:lineRule="auto"/>
      </w:pPr>
      <w:r>
        <w:t xml:space="preserve">Broadhead, M. (2016). </w:t>
      </w:r>
      <w:r>
        <w:rPr>
          <w:i/>
          <w:iCs/>
        </w:rPr>
        <w:t>Establishment of law society conveyancing protocol</w:t>
      </w:r>
      <w:r>
        <w:t xml:space="preserve">. [online] NBM Solicitors. Available at: </w:t>
      </w:r>
      <w:hyperlink r:id="rId5" w:history="1">
        <w:r w:rsidRPr="00305B9D">
          <w:rPr>
            <w:rStyle w:val="Hyperlink"/>
          </w:rPr>
          <w:t>https://www.nbmlaw.co.uk/2016/12/07/establishmentoflawsocietyconveyancingprotocol/</w:t>
        </w:r>
      </w:hyperlink>
      <w:r>
        <w:t xml:space="preserve">. </w:t>
      </w:r>
      <w:r>
        <w:t xml:space="preserve"> [Accessed 9 Nov. 2022].</w:t>
      </w:r>
    </w:p>
    <w:p w14:paraId="4C29285F" w14:textId="5BA2B7DB" w:rsidR="00EF2D51" w:rsidRDefault="00EF2D51" w:rsidP="00EF2D51">
      <w:pPr>
        <w:pStyle w:val="NormalWeb"/>
        <w:spacing w:before="0" w:beforeAutospacing="0" w:after="240" w:afterAutospacing="0" w:line="360" w:lineRule="auto"/>
      </w:pPr>
      <w:r>
        <w:t xml:space="preserve">Finlyson, D. (2022). </w:t>
      </w:r>
      <w:r>
        <w:rPr>
          <w:i/>
          <w:iCs/>
        </w:rPr>
        <w:t>2022 Updates to the Conveyancing Quality Scheme (CQS)</w:t>
      </w:r>
      <w:r>
        <w:t xml:space="preserve">. [online] </w:t>
      </w:r>
      <w:r w:rsidR="002A526D">
        <w:t>Info legal</w:t>
      </w:r>
      <w:r>
        <w:t xml:space="preserve">. Available at: </w:t>
      </w:r>
      <w:hyperlink r:id="rId6" w:history="1">
        <w:r w:rsidRPr="00305B9D">
          <w:rPr>
            <w:rStyle w:val="Hyperlink"/>
          </w:rPr>
          <w:t>https://www.infolegal.co.uk/2022-updates-to-the-conveyancing-quality-scheme-cqs/</w:t>
        </w:r>
      </w:hyperlink>
      <w:r>
        <w:t>.  [Accessed 1 Nov. 2022].</w:t>
      </w:r>
    </w:p>
    <w:p w14:paraId="16708BE6" w14:textId="2D6DAD00" w:rsidR="00D32A06" w:rsidRDefault="00D32A06" w:rsidP="00D32A06">
      <w:pPr>
        <w:pStyle w:val="NormalWeb"/>
        <w:spacing w:before="0" w:beforeAutospacing="0" w:after="240" w:afterAutospacing="0" w:line="360" w:lineRule="auto"/>
      </w:pPr>
      <w:r>
        <w:t xml:space="preserve">Fouzder, M. (2019). </w:t>
      </w:r>
      <w:r>
        <w:rPr>
          <w:i/>
          <w:iCs/>
        </w:rPr>
        <w:t>Society updates best-practice guide for conveyancers</w:t>
      </w:r>
      <w:r>
        <w:t xml:space="preserve">. [online] Law Gazette. Available at: </w:t>
      </w:r>
      <w:hyperlink r:id="rId7" w:history="1">
        <w:r w:rsidRPr="00305B9D">
          <w:rPr>
            <w:rStyle w:val="Hyperlink"/>
          </w:rPr>
          <w:t>https://www.lawgazette.co.uk/practice/society-updates-best-practice-guide-for-conveyancers/5071049</w:t>
        </w:r>
      </w:hyperlink>
      <w:r>
        <w:t>.</w:t>
      </w:r>
      <w:r w:rsidR="008E391F">
        <w:t>. Article</w:t>
      </w:r>
      <w:r>
        <w:t xml:space="preserve"> [Accessed 7 Nov. 2022].</w:t>
      </w:r>
    </w:p>
    <w:p w14:paraId="157606B1" w14:textId="406B283A" w:rsidR="00304F63" w:rsidRDefault="00304F63" w:rsidP="00304F63">
      <w:pPr>
        <w:pStyle w:val="NormalWeb"/>
        <w:spacing w:before="0" w:beforeAutospacing="0" w:after="240" w:afterAutospacing="0" w:line="360" w:lineRule="auto"/>
      </w:pPr>
      <w:r>
        <w:t xml:space="preserve">king, J. (n.d.). </w:t>
      </w:r>
      <w:r>
        <w:rPr>
          <w:i/>
          <w:iCs/>
        </w:rPr>
        <w:t>The Law Society’s Conveyancing Quality Scheme is changing</w:t>
      </w:r>
      <w:r>
        <w:t xml:space="preserve">. [online] LSSA. Available at: </w:t>
      </w:r>
      <w:hyperlink r:id="rId8" w:history="1">
        <w:r w:rsidRPr="00305B9D">
          <w:rPr>
            <w:rStyle w:val="Hyperlink"/>
          </w:rPr>
          <w:t>https://www.lssa.co.uk/2019/05/07/the-law-societys-conveyancing-quality-scheme-is-changing/</w:t>
        </w:r>
      </w:hyperlink>
      <w:r>
        <w:t xml:space="preserve">. </w:t>
      </w:r>
      <w:r>
        <w:t xml:space="preserve"> [Accessed 7 Nov. 2022].</w:t>
      </w:r>
    </w:p>
    <w:p w14:paraId="422F2084" w14:textId="75B76B54" w:rsidR="00C01C7B" w:rsidRDefault="00C01C7B" w:rsidP="00C01C7B">
      <w:pPr>
        <w:pStyle w:val="NormalWeb"/>
        <w:spacing w:before="0" w:beforeAutospacing="0" w:after="240" w:afterAutospacing="0" w:line="360" w:lineRule="auto"/>
      </w:pPr>
      <w:r>
        <w:t xml:space="preserve">Lewis, C. (2022). Why does conveyancing take so long? </w:t>
      </w:r>
      <w:r>
        <w:rPr>
          <w:i/>
          <w:iCs/>
        </w:rPr>
        <w:t>www.thetimes.co.uk</w:t>
      </w:r>
      <w:r>
        <w:t xml:space="preserve">. [online] 18 Mar. Available at: </w:t>
      </w:r>
      <w:hyperlink r:id="rId9" w:history="1">
        <w:r w:rsidRPr="00305B9D">
          <w:rPr>
            <w:rStyle w:val="Hyperlink"/>
          </w:rPr>
          <w:t>https://www.thetimes.co.uk/article/why-does-conveyancing-take-so-long-v9rd3jc9g?gclid=Cj0KCQiA37KbBhDgARIsAIzce14lo9JLo2luPC9GVQEZY8-1CpJAmJT7LufnL6fLwNerVg9udTmmp1waAhlrEALw_wcB</w:t>
        </w:r>
      </w:hyperlink>
      <w:r>
        <w:t xml:space="preserve">. </w:t>
      </w:r>
      <w:r>
        <w:t xml:space="preserve"> [Accessed 10 Nov. 2022].</w:t>
      </w:r>
    </w:p>
    <w:p w14:paraId="4B50FA10" w14:textId="1B05DCC0" w:rsidR="001E0DA4" w:rsidRDefault="001E0DA4" w:rsidP="001E0DA4">
      <w:pPr>
        <w:pStyle w:val="NormalWeb"/>
        <w:spacing w:before="0" w:beforeAutospacing="0" w:after="240" w:afterAutospacing="0" w:line="360" w:lineRule="auto"/>
      </w:pPr>
      <w:r>
        <w:t xml:space="preserve">Ministry of Housing, Communities &amp; Local Government (2019). </w:t>
      </w:r>
      <w:r>
        <w:rPr>
          <w:i/>
          <w:iCs/>
        </w:rPr>
        <w:t>Ministry of Housing, Communities &amp; Local Government</w:t>
      </w:r>
      <w:r>
        <w:t xml:space="preserve">. [online] GOV.UK. Available at: </w:t>
      </w:r>
      <w:hyperlink r:id="rId10" w:history="1">
        <w:r w:rsidRPr="00305B9D">
          <w:rPr>
            <w:rStyle w:val="Hyperlink"/>
          </w:rPr>
          <w:t>https://www.gov.uk/government/organisations/ministry-of-housing-communities-and-local-government</w:t>
        </w:r>
      </w:hyperlink>
      <w:r>
        <w:t>.  [Accessed 1 Nov. 2022].</w:t>
      </w:r>
    </w:p>
    <w:p w14:paraId="4FB8DA90" w14:textId="37D16626" w:rsidR="00E959F8" w:rsidRDefault="00E959F8" w:rsidP="00E959F8">
      <w:pPr>
        <w:pStyle w:val="NormalWeb"/>
        <w:spacing w:before="0" w:beforeAutospacing="0" w:after="240" w:afterAutospacing="0" w:line="360" w:lineRule="auto"/>
      </w:pPr>
      <w:r>
        <w:t xml:space="preserve">Smithers2011-03-24T00:00:00+00:00, J. (2011). </w:t>
      </w:r>
      <w:r>
        <w:rPr>
          <w:i/>
          <w:iCs/>
        </w:rPr>
        <w:t>Conveyancing Protocol update</w:t>
      </w:r>
      <w:r>
        <w:t xml:space="preserve">. [online] Law Gazette. Available at: </w:t>
      </w:r>
      <w:hyperlink r:id="rId11" w:history="1">
        <w:r w:rsidRPr="00305B9D">
          <w:rPr>
            <w:rStyle w:val="Hyperlink"/>
          </w:rPr>
          <w:t>https://www.lawgazette.co.uk/law/conveyancing-protocol-update/59659.article</w:t>
        </w:r>
      </w:hyperlink>
      <w:r>
        <w:t>.  [Accessed 1 Nov. 2022].</w:t>
      </w:r>
    </w:p>
    <w:p w14:paraId="1A2A5B41" w14:textId="19F752B5" w:rsidR="004522E3" w:rsidRDefault="004522E3" w:rsidP="00E959F8">
      <w:pPr>
        <w:pStyle w:val="NormalWeb"/>
        <w:spacing w:before="0" w:beforeAutospacing="0" w:after="240" w:afterAutospacing="0" w:line="360" w:lineRule="auto"/>
        <w:rPr>
          <w:rFonts w:asciiTheme="minorHAnsi" w:eastAsiaTheme="minorHAnsi" w:hAnsiTheme="minorHAnsi" w:cstheme="minorBidi"/>
          <w:sz w:val="22"/>
          <w:szCs w:val="22"/>
          <w:lang w:eastAsia="en-US"/>
        </w:rPr>
      </w:pPr>
      <w:r>
        <w:lastRenderedPageBreak/>
        <w:t>The specialist property law regulator. (2018)</w:t>
      </w:r>
      <w:r w:rsidR="00DD749F">
        <w:t>. Proposed changes to the law soc</w:t>
      </w:r>
      <w:r w:rsidR="0070295A">
        <w:t xml:space="preserve">iety national protocol. [pdf]. England &amp; </w:t>
      </w:r>
      <w:r w:rsidR="000F69C2">
        <w:t>Wales: council</w:t>
      </w:r>
      <w:r w:rsidR="00CC0FB7">
        <w:t xml:space="preserve"> for licensed conveyancers. Available </w:t>
      </w:r>
      <w:r w:rsidR="003F7A0A">
        <w:t>at:</w:t>
      </w:r>
      <w:r w:rsidR="00CC0FB7">
        <w:t xml:space="preserve"> </w:t>
      </w:r>
      <w:hyperlink r:id="rId12" w:history="1">
        <w:r w:rsidR="003F7A0A" w:rsidRPr="003F7A0A">
          <w:rPr>
            <w:rFonts w:asciiTheme="minorHAnsi" w:eastAsiaTheme="minorHAnsi" w:hAnsiTheme="minorHAnsi" w:cstheme="minorBidi"/>
            <w:color w:val="0000FF"/>
            <w:sz w:val="22"/>
            <w:szCs w:val="22"/>
            <w:u w:val="single"/>
            <w:lang w:eastAsia="en-US"/>
          </w:rPr>
          <w:t>180511-CLC-response-TLS-National-Protocol.pdf (clc-uk.org)</w:t>
        </w:r>
      </w:hyperlink>
      <w:r w:rsidR="003F7A0A">
        <w:rPr>
          <w:rFonts w:asciiTheme="minorHAnsi" w:eastAsiaTheme="minorHAnsi" w:hAnsiTheme="minorHAnsi" w:cstheme="minorBidi"/>
          <w:sz w:val="22"/>
          <w:szCs w:val="22"/>
          <w:lang w:eastAsia="en-US"/>
        </w:rPr>
        <w:t xml:space="preserve"> [date of </w:t>
      </w:r>
      <w:r w:rsidR="00E9239E">
        <w:rPr>
          <w:rFonts w:asciiTheme="minorHAnsi" w:eastAsiaTheme="minorHAnsi" w:hAnsiTheme="minorHAnsi" w:cstheme="minorBidi"/>
          <w:sz w:val="22"/>
          <w:szCs w:val="22"/>
          <w:lang w:eastAsia="en-US"/>
        </w:rPr>
        <w:t>access</w:t>
      </w:r>
      <w:r w:rsidR="00A478F5">
        <w:rPr>
          <w:rFonts w:asciiTheme="minorHAnsi" w:eastAsiaTheme="minorHAnsi" w:hAnsiTheme="minorHAnsi" w:cstheme="minorBidi"/>
          <w:sz w:val="22"/>
          <w:szCs w:val="22"/>
          <w:lang w:eastAsia="en-US"/>
        </w:rPr>
        <w:t>:</w:t>
      </w:r>
      <w:r w:rsidR="003F7A0A">
        <w:rPr>
          <w:rFonts w:asciiTheme="minorHAnsi" w:eastAsiaTheme="minorHAnsi" w:hAnsiTheme="minorHAnsi" w:cstheme="minorBidi"/>
          <w:sz w:val="22"/>
          <w:szCs w:val="22"/>
          <w:lang w:eastAsia="en-US"/>
        </w:rPr>
        <w:t xml:space="preserve"> 1 nov 2022]</w:t>
      </w:r>
    </w:p>
    <w:p w14:paraId="00D10FD0" w14:textId="53B706DF" w:rsidR="00556A77" w:rsidRDefault="00556A77" w:rsidP="00556A77">
      <w:pPr>
        <w:pStyle w:val="NormalWeb"/>
        <w:spacing w:before="0" w:beforeAutospacing="0" w:after="240" w:afterAutospacing="0" w:line="360" w:lineRule="auto"/>
      </w:pPr>
      <w:r>
        <w:t xml:space="preserve">Thompson, T. (2022). </w:t>
      </w:r>
      <w:r>
        <w:rPr>
          <w:i/>
          <w:iCs/>
        </w:rPr>
        <w:t>The Conveyancing Quality Scheme - The Latest Compliance Guidelines - Webinar</w:t>
      </w:r>
      <w:r>
        <w:t xml:space="preserve">. [online] www.mblseminars.com. Available at: </w:t>
      </w:r>
      <w:hyperlink r:id="rId13" w:history="1">
        <w:r w:rsidRPr="00305B9D">
          <w:rPr>
            <w:rStyle w:val="Hyperlink"/>
          </w:rPr>
          <w:t>https://www.mblseminars.com/Outline/The-Conveyancing-Quality-Scheme---The-Latest-Compliance-Guidelines---Webinar/14317</w:t>
        </w:r>
      </w:hyperlink>
      <w:r>
        <w:t xml:space="preserve">. </w:t>
      </w:r>
      <w:r>
        <w:t xml:space="preserve"> [Accessed 7 Nov. 2022].</w:t>
      </w:r>
    </w:p>
    <w:p w14:paraId="474EDFF6" w14:textId="583E76AC" w:rsidR="00CD7F15" w:rsidRPr="007D0F2F" w:rsidRDefault="003F0EF8" w:rsidP="00E959F8">
      <w:pPr>
        <w:pStyle w:val="NormalWeb"/>
        <w:spacing w:before="0" w:beforeAutospacing="0" w:after="240" w:afterAutospacing="0" w:line="360" w:lineRule="auto"/>
      </w:pPr>
      <w:r>
        <w:rPr>
          <w:rFonts w:asciiTheme="minorHAnsi" w:eastAsiaTheme="minorHAnsi" w:hAnsiTheme="minorHAnsi" w:cstheme="minorBidi"/>
          <w:sz w:val="22"/>
          <w:szCs w:val="22"/>
          <w:lang w:eastAsia="en-US"/>
        </w:rPr>
        <w:t xml:space="preserve">Departments for communities and local </w:t>
      </w:r>
      <w:r w:rsidR="00BC6770">
        <w:rPr>
          <w:rFonts w:asciiTheme="minorHAnsi" w:eastAsiaTheme="minorHAnsi" w:hAnsiTheme="minorHAnsi" w:cstheme="minorBidi"/>
          <w:sz w:val="22"/>
          <w:szCs w:val="22"/>
          <w:lang w:eastAsia="en-US"/>
        </w:rPr>
        <w:t>government. (2017). Improving the home buying process</w:t>
      </w:r>
      <w:r w:rsidR="007D0F2F">
        <w:rPr>
          <w:rFonts w:asciiTheme="minorHAnsi" w:eastAsiaTheme="minorHAnsi" w:hAnsiTheme="minorHAnsi" w:cstheme="minorBidi"/>
          <w:sz w:val="22"/>
          <w:szCs w:val="22"/>
          <w:lang w:eastAsia="en-US"/>
        </w:rPr>
        <w:t xml:space="preserve">, </w:t>
      </w:r>
      <w:r w:rsidR="007D0F2F">
        <w:rPr>
          <w:rFonts w:asciiTheme="minorHAnsi" w:eastAsiaTheme="minorHAnsi" w:hAnsiTheme="minorHAnsi" w:cstheme="minorBidi"/>
          <w:i/>
          <w:iCs/>
          <w:sz w:val="22"/>
          <w:szCs w:val="22"/>
          <w:lang w:eastAsia="en-US"/>
        </w:rPr>
        <w:t>Call for evidence. [PDF]</w:t>
      </w:r>
      <w:r w:rsidR="007762AF">
        <w:rPr>
          <w:rFonts w:asciiTheme="minorHAnsi" w:eastAsiaTheme="minorHAnsi" w:hAnsiTheme="minorHAnsi" w:cstheme="minorBidi"/>
          <w:i/>
          <w:iCs/>
          <w:sz w:val="22"/>
          <w:szCs w:val="22"/>
          <w:lang w:eastAsia="en-US"/>
        </w:rPr>
        <w:t xml:space="preserve">. </w:t>
      </w:r>
      <w:r w:rsidR="00E9239E">
        <w:rPr>
          <w:rFonts w:asciiTheme="minorHAnsi" w:eastAsiaTheme="minorHAnsi" w:hAnsiTheme="minorHAnsi" w:cstheme="minorBidi"/>
          <w:i/>
          <w:iCs/>
          <w:sz w:val="22"/>
          <w:szCs w:val="22"/>
          <w:lang w:eastAsia="en-US"/>
        </w:rPr>
        <w:t>Available</w:t>
      </w:r>
      <w:r w:rsidR="007762AF">
        <w:rPr>
          <w:rFonts w:asciiTheme="minorHAnsi" w:eastAsiaTheme="minorHAnsi" w:hAnsiTheme="minorHAnsi" w:cstheme="minorBidi"/>
          <w:i/>
          <w:iCs/>
          <w:sz w:val="22"/>
          <w:szCs w:val="22"/>
          <w:lang w:eastAsia="en-US"/>
        </w:rPr>
        <w:t xml:space="preserve"> at:</w:t>
      </w:r>
      <w:r w:rsidR="007762AF" w:rsidRPr="007762AF">
        <w:rPr>
          <w:rFonts w:asciiTheme="minorHAnsi" w:eastAsiaTheme="minorHAnsi" w:hAnsiTheme="minorHAnsi" w:cstheme="minorBidi"/>
          <w:sz w:val="22"/>
          <w:szCs w:val="22"/>
          <w:lang w:eastAsia="en-US"/>
        </w:rPr>
        <w:t xml:space="preserve"> </w:t>
      </w:r>
      <w:hyperlink r:id="rId14" w:history="1">
        <w:r w:rsidR="007762AF" w:rsidRPr="007762AF">
          <w:rPr>
            <w:rFonts w:asciiTheme="minorHAnsi" w:eastAsiaTheme="minorHAnsi" w:hAnsiTheme="minorHAnsi" w:cstheme="minorBidi"/>
            <w:color w:val="0000FF"/>
            <w:sz w:val="22"/>
            <w:szCs w:val="22"/>
            <w:u w:val="single"/>
            <w:lang w:eastAsia="en-US"/>
          </w:rPr>
          <w:t>Title (cilexregulation.org.uk)</w:t>
        </w:r>
      </w:hyperlink>
      <w:r w:rsidR="007D3BFE">
        <w:rPr>
          <w:rFonts w:asciiTheme="minorHAnsi" w:eastAsiaTheme="minorHAnsi" w:hAnsiTheme="minorHAnsi" w:cstheme="minorBidi"/>
          <w:sz w:val="22"/>
          <w:szCs w:val="22"/>
          <w:lang w:eastAsia="en-US"/>
        </w:rPr>
        <w:t xml:space="preserve"> [date accessed 1 </w:t>
      </w:r>
      <w:r w:rsidR="0004023C">
        <w:rPr>
          <w:rFonts w:asciiTheme="minorHAnsi" w:eastAsiaTheme="minorHAnsi" w:hAnsiTheme="minorHAnsi" w:cstheme="minorBidi"/>
          <w:sz w:val="22"/>
          <w:szCs w:val="22"/>
          <w:lang w:eastAsia="en-US"/>
        </w:rPr>
        <w:t>November</w:t>
      </w:r>
      <w:r w:rsidR="007D3BFE">
        <w:rPr>
          <w:rFonts w:asciiTheme="minorHAnsi" w:eastAsiaTheme="minorHAnsi" w:hAnsiTheme="minorHAnsi" w:cstheme="minorBidi"/>
          <w:sz w:val="22"/>
          <w:szCs w:val="22"/>
          <w:lang w:eastAsia="en-US"/>
        </w:rPr>
        <w:t xml:space="preserve"> 2022]</w:t>
      </w:r>
      <w:r w:rsidR="007762AF">
        <w:rPr>
          <w:rFonts w:asciiTheme="minorHAnsi" w:eastAsiaTheme="minorHAnsi" w:hAnsiTheme="minorHAnsi" w:cstheme="minorBidi"/>
          <w:i/>
          <w:iCs/>
          <w:sz w:val="22"/>
          <w:szCs w:val="22"/>
          <w:lang w:eastAsia="en-US"/>
        </w:rPr>
        <w:t xml:space="preserve"> </w:t>
      </w:r>
    </w:p>
    <w:p w14:paraId="319C471A" w14:textId="19C39AC7" w:rsidR="00EC43ED" w:rsidRDefault="00EC43ED" w:rsidP="00EC43ED">
      <w:pPr>
        <w:pStyle w:val="NormalWeb"/>
        <w:spacing w:before="0" w:beforeAutospacing="0" w:after="240" w:afterAutospacing="0" w:line="360" w:lineRule="auto"/>
      </w:pPr>
      <w:r>
        <w:t xml:space="preserve">www.lawsociety.org.uk. (2020). </w:t>
      </w:r>
      <w:r>
        <w:rPr>
          <w:i/>
          <w:iCs/>
        </w:rPr>
        <w:t>Conveyancing Protocol</w:t>
      </w:r>
      <w:r>
        <w:t xml:space="preserve">. [online] Available at: </w:t>
      </w:r>
      <w:hyperlink r:id="rId15" w:history="1">
        <w:r w:rsidRPr="00305B9D">
          <w:rPr>
            <w:rStyle w:val="Hyperlink"/>
          </w:rPr>
          <w:t>https://www.lawsociety.org.uk/topics/property/conveyancing-protocol</w:t>
        </w:r>
      </w:hyperlink>
      <w:r w:rsidR="00564D59">
        <w:t xml:space="preserve">. </w:t>
      </w:r>
      <w:r>
        <w:t>[Accessed Oct. 30AD].</w:t>
      </w:r>
    </w:p>
    <w:p w14:paraId="21B088AE" w14:textId="35893787" w:rsidR="00F42925" w:rsidRDefault="00F42925" w:rsidP="00F42925">
      <w:pPr>
        <w:pStyle w:val="NormalWeb"/>
        <w:spacing w:before="0" w:beforeAutospacing="0" w:after="240" w:afterAutospacing="0" w:line="360" w:lineRule="auto"/>
      </w:pPr>
      <w:r>
        <w:t xml:space="preserve">www.lawsociety.org.uk. (2022). </w:t>
      </w:r>
      <w:r>
        <w:rPr>
          <w:i/>
          <w:iCs/>
        </w:rPr>
        <w:t>Digital ID trust framework</w:t>
      </w:r>
      <w:r>
        <w:t xml:space="preserve">. [online] Available at: </w:t>
      </w:r>
      <w:hyperlink r:id="rId16" w:history="1">
        <w:r w:rsidRPr="00305B9D">
          <w:rPr>
            <w:rStyle w:val="Hyperlink"/>
          </w:rPr>
          <w:t>https://www.lawsociety.org.uk/Topics/Anti-money-laundering/Whats-changing/Digital-ID-trust-framework</w:t>
        </w:r>
      </w:hyperlink>
      <w:r>
        <w:t xml:space="preserve">. </w:t>
      </w:r>
      <w:r>
        <w:t xml:space="preserve"> [Accessed 9 Nov. 2022].</w:t>
      </w:r>
    </w:p>
    <w:p w14:paraId="75D66806" w14:textId="7697A70D" w:rsidR="00C8655C" w:rsidRDefault="00C8655C" w:rsidP="00C8655C">
      <w:pPr>
        <w:pStyle w:val="NormalWeb"/>
        <w:spacing w:before="0" w:beforeAutospacing="0" w:after="240" w:afterAutospacing="0" w:line="360" w:lineRule="auto"/>
      </w:pPr>
      <w:r>
        <w:t xml:space="preserve">www.lawsociety.org.uk. (2021). </w:t>
      </w:r>
      <w:r>
        <w:rPr>
          <w:i/>
          <w:iCs/>
        </w:rPr>
        <w:t>TA6 Part 1 – up-front information for homebuyers</w:t>
      </w:r>
      <w:r>
        <w:t xml:space="preserve">. [online] Available at: </w:t>
      </w:r>
      <w:hyperlink r:id="rId17" w:history="1">
        <w:r w:rsidRPr="00305B9D">
          <w:rPr>
            <w:rStyle w:val="Hyperlink"/>
          </w:rPr>
          <w:t>https://www.lawsociety.org.uk/Topics/Property/Whats-changing/ta6-part-1-upfront-information-for-homebuyers</w:t>
        </w:r>
      </w:hyperlink>
      <w:r>
        <w:t xml:space="preserve">. </w:t>
      </w:r>
      <w:r>
        <w:t xml:space="preserve"> [Accessed 9 Nov. 2022].</w:t>
      </w:r>
    </w:p>
    <w:p w14:paraId="45E75AD7" w14:textId="350CE748" w:rsidR="0004023C" w:rsidRDefault="0004023C" w:rsidP="0004023C">
      <w:pPr>
        <w:pStyle w:val="NormalWeb"/>
        <w:spacing w:before="0" w:beforeAutospacing="0" w:after="240" w:afterAutospacing="0" w:line="360" w:lineRule="auto"/>
      </w:pPr>
      <w:r>
        <w:t xml:space="preserve">www.lawsociety.org.uk. (2021a). </w:t>
      </w:r>
      <w:r>
        <w:rPr>
          <w:i/>
          <w:iCs/>
        </w:rPr>
        <w:t>improving home buying selling process</w:t>
      </w:r>
      <w:r>
        <w:t xml:space="preserve">. [online] Available at: </w:t>
      </w:r>
      <w:hyperlink r:id="rId18" w:history="1">
        <w:r w:rsidRPr="00305B9D">
          <w:rPr>
            <w:rStyle w:val="Hyperlink"/>
          </w:rPr>
          <w:t>https://www.lawsociety.org.uk/Topics/Property/Whats-changing/improving-home-buying-selling-process</w:t>
        </w:r>
      </w:hyperlink>
      <w:r>
        <w:t xml:space="preserve">. </w:t>
      </w:r>
      <w:r>
        <w:t xml:space="preserve"> [Accessed 10 Nov. 2022].</w:t>
      </w:r>
    </w:p>
    <w:p w14:paraId="1DDF05B9" w14:textId="77777777" w:rsidR="0004023C" w:rsidRDefault="0004023C" w:rsidP="0004023C">
      <w:pPr>
        <w:pStyle w:val="NormalWeb"/>
        <w:spacing w:before="0" w:beforeAutospacing="0" w:after="240" w:afterAutospacing="0" w:line="360" w:lineRule="auto"/>
      </w:pPr>
      <w:r>
        <w:t>Case Law</w:t>
      </w:r>
    </w:p>
    <w:p w14:paraId="232ACE64" w14:textId="2DBBEF7B" w:rsidR="004F745A" w:rsidRDefault="004F745A" w:rsidP="0004023C">
      <w:pPr>
        <w:pStyle w:val="NormalWeb"/>
        <w:spacing w:before="0" w:beforeAutospacing="0" w:after="240" w:afterAutospacing="0" w:line="360" w:lineRule="auto"/>
      </w:pPr>
      <w:r w:rsidRPr="004F745A">
        <w:t>Dreamvar (UK) Limited v. Mishcon De Reya (a Firm) [2018]</w:t>
      </w:r>
    </w:p>
    <w:sectPr w:rsidR="004F74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206"/>
    <w:rsid w:val="00035A08"/>
    <w:rsid w:val="000373DA"/>
    <w:rsid w:val="0004023C"/>
    <w:rsid w:val="00045D9E"/>
    <w:rsid w:val="00045FA4"/>
    <w:rsid w:val="000552A2"/>
    <w:rsid w:val="00057594"/>
    <w:rsid w:val="00063B34"/>
    <w:rsid w:val="00064FB2"/>
    <w:rsid w:val="00081819"/>
    <w:rsid w:val="000C2FF0"/>
    <w:rsid w:val="000C32B7"/>
    <w:rsid w:val="000D785D"/>
    <w:rsid w:val="000E0DFB"/>
    <w:rsid w:val="000F275A"/>
    <w:rsid w:val="000F69C2"/>
    <w:rsid w:val="001002EE"/>
    <w:rsid w:val="00111556"/>
    <w:rsid w:val="001177FF"/>
    <w:rsid w:val="00151EE0"/>
    <w:rsid w:val="00152C80"/>
    <w:rsid w:val="001548F7"/>
    <w:rsid w:val="001552B2"/>
    <w:rsid w:val="001773CF"/>
    <w:rsid w:val="001E0DA4"/>
    <w:rsid w:val="001E5EA0"/>
    <w:rsid w:val="001E7751"/>
    <w:rsid w:val="001F1241"/>
    <w:rsid w:val="001F7B34"/>
    <w:rsid w:val="00210F44"/>
    <w:rsid w:val="00211926"/>
    <w:rsid w:val="002140F9"/>
    <w:rsid w:val="0022554B"/>
    <w:rsid w:val="00233B87"/>
    <w:rsid w:val="0029456A"/>
    <w:rsid w:val="002A526D"/>
    <w:rsid w:val="002B1E1D"/>
    <w:rsid w:val="002C3EA0"/>
    <w:rsid w:val="002E76C8"/>
    <w:rsid w:val="002F5D64"/>
    <w:rsid w:val="002F688B"/>
    <w:rsid w:val="00304F63"/>
    <w:rsid w:val="00332614"/>
    <w:rsid w:val="003573A9"/>
    <w:rsid w:val="003B4973"/>
    <w:rsid w:val="003C6C10"/>
    <w:rsid w:val="003C7DCA"/>
    <w:rsid w:val="003D5CA3"/>
    <w:rsid w:val="003E750E"/>
    <w:rsid w:val="003F0EF8"/>
    <w:rsid w:val="003F7A0A"/>
    <w:rsid w:val="0041744B"/>
    <w:rsid w:val="004238EA"/>
    <w:rsid w:val="00433EEB"/>
    <w:rsid w:val="00441C24"/>
    <w:rsid w:val="00447D69"/>
    <w:rsid w:val="004522E3"/>
    <w:rsid w:val="00452C6B"/>
    <w:rsid w:val="0047285B"/>
    <w:rsid w:val="00474277"/>
    <w:rsid w:val="0048171B"/>
    <w:rsid w:val="004A2BA3"/>
    <w:rsid w:val="004B521B"/>
    <w:rsid w:val="004C1048"/>
    <w:rsid w:val="004E0145"/>
    <w:rsid w:val="004F745A"/>
    <w:rsid w:val="00503E9A"/>
    <w:rsid w:val="00510E63"/>
    <w:rsid w:val="00522F2A"/>
    <w:rsid w:val="005405CE"/>
    <w:rsid w:val="00556A77"/>
    <w:rsid w:val="00564D59"/>
    <w:rsid w:val="00591BE5"/>
    <w:rsid w:val="00596388"/>
    <w:rsid w:val="005B6CE4"/>
    <w:rsid w:val="005D2EC1"/>
    <w:rsid w:val="005D4234"/>
    <w:rsid w:val="005D58BA"/>
    <w:rsid w:val="00604915"/>
    <w:rsid w:val="006128BD"/>
    <w:rsid w:val="006218BB"/>
    <w:rsid w:val="006272A4"/>
    <w:rsid w:val="00631EB3"/>
    <w:rsid w:val="006362D6"/>
    <w:rsid w:val="006C36C3"/>
    <w:rsid w:val="0070295A"/>
    <w:rsid w:val="00715832"/>
    <w:rsid w:val="00722F83"/>
    <w:rsid w:val="007266DE"/>
    <w:rsid w:val="00747B8D"/>
    <w:rsid w:val="0077209E"/>
    <w:rsid w:val="007762AF"/>
    <w:rsid w:val="007B1888"/>
    <w:rsid w:val="007B2DEC"/>
    <w:rsid w:val="007B7E15"/>
    <w:rsid w:val="007D0F2F"/>
    <w:rsid w:val="007D3BFE"/>
    <w:rsid w:val="007E45CF"/>
    <w:rsid w:val="007E7405"/>
    <w:rsid w:val="007F387B"/>
    <w:rsid w:val="0080260B"/>
    <w:rsid w:val="00825B3C"/>
    <w:rsid w:val="00840DF8"/>
    <w:rsid w:val="008449F4"/>
    <w:rsid w:val="00845271"/>
    <w:rsid w:val="00853BBB"/>
    <w:rsid w:val="00855FBD"/>
    <w:rsid w:val="0089460C"/>
    <w:rsid w:val="008A1466"/>
    <w:rsid w:val="008B13A4"/>
    <w:rsid w:val="008B634D"/>
    <w:rsid w:val="008C167E"/>
    <w:rsid w:val="008D0984"/>
    <w:rsid w:val="008D408E"/>
    <w:rsid w:val="008D4446"/>
    <w:rsid w:val="008E1B61"/>
    <w:rsid w:val="008E391F"/>
    <w:rsid w:val="009021AA"/>
    <w:rsid w:val="00905195"/>
    <w:rsid w:val="00920873"/>
    <w:rsid w:val="0092480F"/>
    <w:rsid w:val="00927EA0"/>
    <w:rsid w:val="009301C6"/>
    <w:rsid w:val="00937AB8"/>
    <w:rsid w:val="00963E49"/>
    <w:rsid w:val="00991229"/>
    <w:rsid w:val="00995FE1"/>
    <w:rsid w:val="009A6B48"/>
    <w:rsid w:val="009A7E39"/>
    <w:rsid w:val="009C4C41"/>
    <w:rsid w:val="009C72C0"/>
    <w:rsid w:val="009F5A88"/>
    <w:rsid w:val="00A15210"/>
    <w:rsid w:val="00A174F6"/>
    <w:rsid w:val="00A20EA7"/>
    <w:rsid w:val="00A45431"/>
    <w:rsid w:val="00A478F5"/>
    <w:rsid w:val="00A47CD7"/>
    <w:rsid w:val="00A53373"/>
    <w:rsid w:val="00A53C2E"/>
    <w:rsid w:val="00A64313"/>
    <w:rsid w:val="00A70728"/>
    <w:rsid w:val="00A73FE2"/>
    <w:rsid w:val="00A93073"/>
    <w:rsid w:val="00AA01B0"/>
    <w:rsid w:val="00AE409F"/>
    <w:rsid w:val="00AE54FC"/>
    <w:rsid w:val="00AF6C46"/>
    <w:rsid w:val="00B2100E"/>
    <w:rsid w:val="00B33601"/>
    <w:rsid w:val="00B56F68"/>
    <w:rsid w:val="00B900EC"/>
    <w:rsid w:val="00B90E49"/>
    <w:rsid w:val="00B95669"/>
    <w:rsid w:val="00BC6770"/>
    <w:rsid w:val="00BF00C7"/>
    <w:rsid w:val="00C01C7B"/>
    <w:rsid w:val="00C14B21"/>
    <w:rsid w:val="00C2471B"/>
    <w:rsid w:val="00C516C4"/>
    <w:rsid w:val="00C64E35"/>
    <w:rsid w:val="00C8655C"/>
    <w:rsid w:val="00CA15DB"/>
    <w:rsid w:val="00CB003E"/>
    <w:rsid w:val="00CB1D2F"/>
    <w:rsid w:val="00CB7C68"/>
    <w:rsid w:val="00CC0FB7"/>
    <w:rsid w:val="00CC2166"/>
    <w:rsid w:val="00CC68BA"/>
    <w:rsid w:val="00CD7F15"/>
    <w:rsid w:val="00CE5FD6"/>
    <w:rsid w:val="00CE5FEB"/>
    <w:rsid w:val="00CF531D"/>
    <w:rsid w:val="00D00098"/>
    <w:rsid w:val="00D04674"/>
    <w:rsid w:val="00D1290A"/>
    <w:rsid w:val="00D2541A"/>
    <w:rsid w:val="00D27206"/>
    <w:rsid w:val="00D32A06"/>
    <w:rsid w:val="00D35CE9"/>
    <w:rsid w:val="00D5791C"/>
    <w:rsid w:val="00D60727"/>
    <w:rsid w:val="00D77653"/>
    <w:rsid w:val="00D81CA7"/>
    <w:rsid w:val="00D83383"/>
    <w:rsid w:val="00D8516A"/>
    <w:rsid w:val="00DA3316"/>
    <w:rsid w:val="00DC38B1"/>
    <w:rsid w:val="00DC3CB3"/>
    <w:rsid w:val="00DC404A"/>
    <w:rsid w:val="00DC7486"/>
    <w:rsid w:val="00DD09C3"/>
    <w:rsid w:val="00DD749F"/>
    <w:rsid w:val="00E10748"/>
    <w:rsid w:val="00E36D6A"/>
    <w:rsid w:val="00E60B1C"/>
    <w:rsid w:val="00E6611B"/>
    <w:rsid w:val="00E84558"/>
    <w:rsid w:val="00E9239E"/>
    <w:rsid w:val="00E959F8"/>
    <w:rsid w:val="00E95FAD"/>
    <w:rsid w:val="00E971D5"/>
    <w:rsid w:val="00EC43ED"/>
    <w:rsid w:val="00EF2D51"/>
    <w:rsid w:val="00F0169D"/>
    <w:rsid w:val="00F056DC"/>
    <w:rsid w:val="00F0756A"/>
    <w:rsid w:val="00F42925"/>
    <w:rsid w:val="00F451DD"/>
    <w:rsid w:val="00F62C11"/>
    <w:rsid w:val="00F70076"/>
    <w:rsid w:val="00F72A5B"/>
    <w:rsid w:val="00F818D8"/>
    <w:rsid w:val="00FA1BA8"/>
    <w:rsid w:val="00FB7031"/>
    <w:rsid w:val="00FC6285"/>
    <w:rsid w:val="00FE1552"/>
    <w:rsid w:val="00FF7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8E22E"/>
  <w15:chartTrackingRefBased/>
  <w15:docId w15:val="{B08D3E93-AE59-416C-9A5F-E0116CFA5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C43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C43ED"/>
    <w:rPr>
      <w:color w:val="0563C1" w:themeColor="hyperlink"/>
      <w:u w:val="single"/>
    </w:rPr>
  </w:style>
  <w:style w:type="character" w:styleId="UnresolvedMention">
    <w:name w:val="Unresolved Mention"/>
    <w:basedOn w:val="DefaultParagraphFont"/>
    <w:uiPriority w:val="99"/>
    <w:semiHidden/>
    <w:unhideWhenUsed/>
    <w:rsid w:val="00EC43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07383">
      <w:bodyDiv w:val="1"/>
      <w:marLeft w:val="0"/>
      <w:marRight w:val="0"/>
      <w:marTop w:val="0"/>
      <w:marBottom w:val="0"/>
      <w:divBdr>
        <w:top w:val="none" w:sz="0" w:space="0" w:color="auto"/>
        <w:left w:val="none" w:sz="0" w:space="0" w:color="auto"/>
        <w:bottom w:val="none" w:sz="0" w:space="0" w:color="auto"/>
        <w:right w:val="none" w:sz="0" w:space="0" w:color="auto"/>
      </w:divBdr>
      <w:divsChild>
        <w:div w:id="492839121">
          <w:marLeft w:val="0"/>
          <w:marRight w:val="0"/>
          <w:marTop w:val="0"/>
          <w:marBottom w:val="0"/>
          <w:divBdr>
            <w:top w:val="none" w:sz="0" w:space="0" w:color="auto"/>
            <w:left w:val="none" w:sz="0" w:space="0" w:color="auto"/>
            <w:bottom w:val="none" w:sz="0" w:space="0" w:color="auto"/>
            <w:right w:val="none" w:sz="0" w:space="0" w:color="auto"/>
          </w:divBdr>
        </w:div>
      </w:divsChild>
    </w:div>
    <w:div w:id="86854636">
      <w:bodyDiv w:val="1"/>
      <w:marLeft w:val="0"/>
      <w:marRight w:val="0"/>
      <w:marTop w:val="0"/>
      <w:marBottom w:val="0"/>
      <w:divBdr>
        <w:top w:val="none" w:sz="0" w:space="0" w:color="auto"/>
        <w:left w:val="none" w:sz="0" w:space="0" w:color="auto"/>
        <w:bottom w:val="none" w:sz="0" w:space="0" w:color="auto"/>
        <w:right w:val="none" w:sz="0" w:space="0" w:color="auto"/>
      </w:divBdr>
      <w:divsChild>
        <w:div w:id="474760344">
          <w:marLeft w:val="0"/>
          <w:marRight w:val="0"/>
          <w:marTop w:val="0"/>
          <w:marBottom w:val="0"/>
          <w:divBdr>
            <w:top w:val="none" w:sz="0" w:space="0" w:color="auto"/>
            <w:left w:val="none" w:sz="0" w:space="0" w:color="auto"/>
            <w:bottom w:val="none" w:sz="0" w:space="0" w:color="auto"/>
            <w:right w:val="none" w:sz="0" w:space="0" w:color="auto"/>
          </w:divBdr>
        </w:div>
      </w:divsChild>
    </w:div>
    <w:div w:id="95373794">
      <w:bodyDiv w:val="1"/>
      <w:marLeft w:val="0"/>
      <w:marRight w:val="0"/>
      <w:marTop w:val="0"/>
      <w:marBottom w:val="0"/>
      <w:divBdr>
        <w:top w:val="none" w:sz="0" w:space="0" w:color="auto"/>
        <w:left w:val="none" w:sz="0" w:space="0" w:color="auto"/>
        <w:bottom w:val="none" w:sz="0" w:space="0" w:color="auto"/>
        <w:right w:val="none" w:sz="0" w:space="0" w:color="auto"/>
      </w:divBdr>
      <w:divsChild>
        <w:div w:id="463743209">
          <w:marLeft w:val="0"/>
          <w:marRight w:val="0"/>
          <w:marTop w:val="0"/>
          <w:marBottom w:val="0"/>
          <w:divBdr>
            <w:top w:val="none" w:sz="0" w:space="0" w:color="auto"/>
            <w:left w:val="none" w:sz="0" w:space="0" w:color="auto"/>
            <w:bottom w:val="none" w:sz="0" w:space="0" w:color="auto"/>
            <w:right w:val="none" w:sz="0" w:space="0" w:color="auto"/>
          </w:divBdr>
        </w:div>
      </w:divsChild>
    </w:div>
    <w:div w:id="483620469">
      <w:bodyDiv w:val="1"/>
      <w:marLeft w:val="0"/>
      <w:marRight w:val="0"/>
      <w:marTop w:val="0"/>
      <w:marBottom w:val="0"/>
      <w:divBdr>
        <w:top w:val="none" w:sz="0" w:space="0" w:color="auto"/>
        <w:left w:val="none" w:sz="0" w:space="0" w:color="auto"/>
        <w:bottom w:val="none" w:sz="0" w:space="0" w:color="auto"/>
        <w:right w:val="none" w:sz="0" w:space="0" w:color="auto"/>
      </w:divBdr>
      <w:divsChild>
        <w:div w:id="1570574775">
          <w:marLeft w:val="0"/>
          <w:marRight w:val="0"/>
          <w:marTop w:val="0"/>
          <w:marBottom w:val="0"/>
          <w:divBdr>
            <w:top w:val="none" w:sz="0" w:space="0" w:color="auto"/>
            <w:left w:val="none" w:sz="0" w:space="0" w:color="auto"/>
            <w:bottom w:val="none" w:sz="0" w:space="0" w:color="auto"/>
            <w:right w:val="none" w:sz="0" w:space="0" w:color="auto"/>
          </w:divBdr>
        </w:div>
      </w:divsChild>
    </w:div>
    <w:div w:id="508835568">
      <w:bodyDiv w:val="1"/>
      <w:marLeft w:val="0"/>
      <w:marRight w:val="0"/>
      <w:marTop w:val="0"/>
      <w:marBottom w:val="0"/>
      <w:divBdr>
        <w:top w:val="none" w:sz="0" w:space="0" w:color="auto"/>
        <w:left w:val="none" w:sz="0" w:space="0" w:color="auto"/>
        <w:bottom w:val="none" w:sz="0" w:space="0" w:color="auto"/>
        <w:right w:val="none" w:sz="0" w:space="0" w:color="auto"/>
      </w:divBdr>
    </w:div>
    <w:div w:id="776409348">
      <w:bodyDiv w:val="1"/>
      <w:marLeft w:val="0"/>
      <w:marRight w:val="0"/>
      <w:marTop w:val="0"/>
      <w:marBottom w:val="0"/>
      <w:divBdr>
        <w:top w:val="none" w:sz="0" w:space="0" w:color="auto"/>
        <w:left w:val="none" w:sz="0" w:space="0" w:color="auto"/>
        <w:bottom w:val="none" w:sz="0" w:space="0" w:color="auto"/>
        <w:right w:val="none" w:sz="0" w:space="0" w:color="auto"/>
      </w:divBdr>
      <w:divsChild>
        <w:div w:id="1575235331">
          <w:marLeft w:val="0"/>
          <w:marRight w:val="0"/>
          <w:marTop w:val="0"/>
          <w:marBottom w:val="0"/>
          <w:divBdr>
            <w:top w:val="none" w:sz="0" w:space="0" w:color="auto"/>
            <w:left w:val="none" w:sz="0" w:space="0" w:color="auto"/>
            <w:bottom w:val="none" w:sz="0" w:space="0" w:color="auto"/>
            <w:right w:val="none" w:sz="0" w:space="0" w:color="auto"/>
          </w:divBdr>
        </w:div>
      </w:divsChild>
    </w:div>
    <w:div w:id="798379140">
      <w:bodyDiv w:val="1"/>
      <w:marLeft w:val="0"/>
      <w:marRight w:val="0"/>
      <w:marTop w:val="0"/>
      <w:marBottom w:val="0"/>
      <w:divBdr>
        <w:top w:val="none" w:sz="0" w:space="0" w:color="auto"/>
        <w:left w:val="none" w:sz="0" w:space="0" w:color="auto"/>
        <w:bottom w:val="none" w:sz="0" w:space="0" w:color="auto"/>
        <w:right w:val="none" w:sz="0" w:space="0" w:color="auto"/>
      </w:divBdr>
      <w:divsChild>
        <w:div w:id="876816465">
          <w:marLeft w:val="0"/>
          <w:marRight w:val="0"/>
          <w:marTop w:val="0"/>
          <w:marBottom w:val="0"/>
          <w:divBdr>
            <w:top w:val="none" w:sz="0" w:space="0" w:color="auto"/>
            <w:left w:val="none" w:sz="0" w:space="0" w:color="auto"/>
            <w:bottom w:val="none" w:sz="0" w:space="0" w:color="auto"/>
            <w:right w:val="none" w:sz="0" w:space="0" w:color="auto"/>
          </w:divBdr>
        </w:div>
      </w:divsChild>
    </w:div>
    <w:div w:id="951667134">
      <w:bodyDiv w:val="1"/>
      <w:marLeft w:val="0"/>
      <w:marRight w:val="0"/>
      <w:marTop w:val="0"/>
      <w:marBottom w:val="0"/>
      <w:divBdr>
        <w:top w:val="none" w:sz="0" w:space="0" w:color="auto"/>
        <w:left w:val="none" w:sz="0" w:space="0" w:color="auto"/>
        <w:bottom w:val="none" w:sz="0" w:space="0" w:color="auto"/>
        <w:right w:val="none" w:sz="0" w:space="0" w:color="auto"/>
      </w:divBdr>
      <w:divsChild>
        <w:div w:id="1246961704">
          <w:marLeft w:val="0"/>
          <w:marRight w:val="0"/>
          <w:marTop w:val="0"/>
          <w:marBottom w:val="0"/>
          <w:divBdr>
            <w:top w:val="none" w:sz="0" w:space="0" w:color="auto"/>
            <w:left w:val="none" w:sz="0" w:space="0" w:color="auto"/>
            <w:bottom w:val="none" w:sz="0" w:space="0" w:color="auto"/>
            <w:right w:val="none" w:sz="0" w:space="0" w:color="auto"/>
          </w:divBdr>
        </w:div>
      </w:divsChild>
    </w:div>
    <w:div w:id="1043822938">
      <w:bodyDiv w:val="1"/>
      <w:marLeft w:val="0"/>
      <w:marRight w:val="0"/>
      <w:marTop w:val="0"/>
      <w:marBottom w:val="0"/>
      <w:divBdr>
        <w:top w:val="none" w:sz="0" w:space="0" w:color="auto"/>
        <w:left w:val="none" w:sz="0" w:space="0" w:color="auto"/>
        <w:bottom w:val="none" w:sz="0" w:space="0" w:color="auto"/>
        <w:right w:val="none" w:sz="0" w:space="0" w:color="auto"/>
      </w:divBdr>
      <w:divsChild>
        <w:div w:id="47610863">
          <w:marLeft w:val="0"/>
          <w:marRight w:val="0"/>
          <w:marTop w:val="0"/>
          <w:marBottom w:val="0"/>
          <w:divBdr>
            <w:top w:val="none" w:sz="0" w:space="0" w:color="auto"/>
            <w:left w:val="none" w:sz="0" w:space="0" w:color="auto"/>
            <w:bottom w:val="none" w:sz="0" w:space="0" w:color="auto"/>
            <w:right w:val="none" w:sz="0" w:space="0" w:color="auto"/>
          </w:divBdr>
        </w:div>
      </w:divsChild>
    </w:div>
    <w:div w:id="1105073937">
      <w:bodyDiv w:val="1"/>
      <w:marLeft w:val="0"/>
      <w:marRight w:val="0"/>
      <w:marTop w:val="0"/>
      <w:marBottom w:val="0"/>
      <w:divBdr>
        <w:top w:val="none" w:sz="0" w:space="0" w:color="auto"/>
        <w:left w:val="none" w:sz="0" w:space="0" w:color="auto"/>
        <w:bottom w:val="none" w:sz="0" w:space="0" w:color="auto"/>
        <w:right w:val="none" w:sz="0" w:space="0" w:color="auto"/>
      </w:divBdr>
      <w:divsChild>
        <w:div w:id="1238636854">
          <w:marLeft w:val="0"/>
          <w:marRight w:val="0"/>
          <w:marTop w:val="0"/>
          <w:marBottom w:val="0"/>
          <w:divBdr>
            <w:top w:val="none" w:sz="0" w:space="0" w:color="auto"/>
            <w:left w:val="none" w:sz="0" w:space="0" w:color="auto"/>
            <w:bottom w:val="none" w:sz="0" w:space="0" w:color="auto"/>
            <w:right w:val="none" w:sz="0" w:space="0" w:color="auto"/>
          </w:divBdr>
        </w:div>
      </w:divsChild>
    </w:div>
    <w:div w:id="1324966933">
      <w:bodyDiv w:val="1"/>
      <w:marLeft w:val="0"/>
      <w:marRight w:val="0"/>
      <w:marTop w:val="0"/>
      <w:marBottom w:val="0"/>
      <w:divBdr>
        <w:top w:val="none" w:sz="0" w:space="0" w:color="auto"/>
        <w:left w:val="none" w:sz="0" w:space="0" w:color="auto"/>
        <w:bottom w:val="none" w:sz="0" w:space="0" w:color="auto"/>
        <w:right w:val="none" w:sz="0" w:space="0" w:color="auto"/>
      </w:divBdr>
    </w:div>
    <w:div w:id="1475218844">
      <w:bodyDiv w:val="1"/>
      <w:marLeft w:val="0"/>
      <w:marRight w:val="0"/>
      <w:marTop w:val="0"/>
      <w:marBottom w:val="0"/>
      <w:divBdr>
        <w:top w:val="none" w:sz="0" w:space="0" w:color="auto"/>
        <w:left w:val="none" w:sz="0" w:space="0" w:color="auto"/>
        <w:bottom w:val="none" w:sz="0" w:space="0" w:color="auto"/>
        <w:right w:val="none" w:sz="0" w:space="0" w:color="auto"/>
      </w:divBdr>
      <w:divsChild>
        <w:div w:id="1267273428">
          <w:marLeft w:val="0"/>
          <w:marRight w:val="0"/>
          <w:marTop w:val="0"/>
          <w:marBottom w:val="0"/>
          <w:divBdr>
            <w:top w:val="none" w:sz="0" w:space="0" w:color="auto"/>
            <w:left w:val="none" w:sz="0" w:space="0" w:color="auto"/>
            <w:bottom w:val="none" w:sz="0" w:space="0" w:color="auto"/>
            <w:right w:val="none" w:sz="0" w:space="0" w:color="auto"/>
          </w:divBdr>
        </w:div>
      </w:divsChild>
    </w:div>
    <w:div w:id="1487428275">
      <w:bodyDiv w:val="1"/>
      <w:marLeft w:val="0"/>
      <w:marRight w:val="0"/>
      <w:marTop w:val="0"/>
      <w:marBottom w:val="0"/>
      <w:divBdr>
        <w:top w:val="none" w:sz="0" w:space="0" w:color="auto"/>
        <w:left w:val="none" w:sz="0" w:space="0" w:color="auto"/>
        <w:bottom w:val="none" w:sz="0" w:space="0" w:color="auto"/>
        <w:right w:val="none" w:sz="0" w:space="0" w:color="auto"/>
      </w:divBdr>
      <w:divsChild>
        <w:div w:id="447117696">
          <w:marLeft w:val="0"/>
          <w:marRight w:val="0"/>
          <w:marTop w:val="0"/>
          <w:marBottom w:val="0"/>
          <w:divBdr>
            <w:top w:val="none" w:sz="0" w:space="0" w:color="auto"/>
            <w:left w:val="none" w:sz="0" w:space="0" w:color="auto"/>
            <w:bottom w:val="none" w:sz="0" w:space="0" w:color="auto"/>
            <w:right w:val="none" w:sz="0" w:space="0" w:color="auto"/>
          </w:divBdr>
        </w:div>
      </w:divsChild>
    </w:div>
    <w:div w:id="1723824586">
      <w:bodyDiv w:val="1"/>
      <w:marLeft w:val="0"/>
      <w:marRight w:val="0"/>
      <w:marTop w:val="0"/>
      <w:marBottom w:val="0"/>
      <w:divBdr>
        <w:top w:val="none" w:sz="0" w:space="0" w:color="auto"/>
        <w:left w:val="none" w:sz="0" w:space="0" w:color="auto"/>
        <w:bottom w:val="none" w:sz="0" w:space="0" w:color="auto"/>
        <w:right w:val="none" w:sz="0" w:space="0" w:color="auto"/>
      </w:divBdr>
      <w:divsChild>
        <w:div w:id="1408382449">
          <w:marLeft w:val="0"/>
          <w:marRight w:val="0"/>
          <w:marTop w:val="0"/>
          <w:marBottom w:val="0"/>
          <w:divBdr>
            <w:top w:val="none" w:sz="0" w:space="0" w:color="auto"/>
            <w:left w:val="none" w:sz="0" w:space="0" w:color="auto"/>
            <w:bottom w:val="none" w:sz="0" w:space="0" w:color="auto"/>
            <w:right w:val="none" w:sz="0" w:space="0" w:color="auto"/>
          </w:divBdr>
        </w:div>
      </w:divsChild>
    </w:div>
    <w:div w:id="1826697365">
      <w:bodyDiv w:val="1"/>
      <w:marLeft w:val="0"/>
      <w:marRight w:val="0"/>
      <w:marTop w:val="0"/>
      <w:marBottom w:val="0"/>
      <w:divBdr>
        <w:top w:val="none" w:sz="0" w:space="0" w:color="auto"/>
        <w:left w:val="none" w:sz="0" w:space="0" w:color="auto"/>
        <w:bottom w:val="none" w:sz="0" w:space="0" w:color="auto"/>
        <w:right w:val="none" w:sz="0" w:space="0" w:color="auto"/>
      </w:divBdr>
      <w:divsChild>
        <w:div w:id="1363283575">
          <w:marLeft w:val="0"/>
          <w:marRight w:val="0"/>
          <w:marTop w:val="0"/>
          <w:marBottom w:val="0"/>
          <w:divBdr>
            <w:top w:val="none" w:sz="0" w:space="0" w:color="auto"/>
            <w:left w:val="none" w:sz="0" w:space="0" w:color="auto"/>
            <w:bottom w:val="none" w:sz="0" w:space="0" w:color="auto"/>
            <w:right w:val="none" w:sz="0" w:space="0" w:color="auto"/>
          </w:divBdr>
        </w:div>
      </w:divsChild>
    </w:div>
    <w:div w:id="1831292595">
      <w:bodyDiv w:val="1"/>
      <w:marLeft w:val="0"/>
      <w:marRight w:val="0"/>
      <w:marTop w:val="0"/>
      <w:marBottom w:val="0"/>
      <w:divBdr>
        <w:top w:val="none" w:sz="0" w:space="0" w:color="auto"/>
        <w:left w:val="none" w:sz="0" w:space="0" w:color="auto"/>
        <w:bottom w:val="none" w:sz="0" w:space="0" w:color="auto"/>
        <w:right w:val="none" w:sz="0" w:space="0" w:color="auto"/>
      </w:divBdr>
      <w:divsChild>
        <w:div w:id="3285612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ssa.co.uk/2019/05/07/the-law-societys-conveyancing-quality-scheme-is-changing/" TargetMode="External"/><Relationship Id="rId13" Type="http://schemas.openxmlformats.org/officeDocument/2006/relationships/hyperlink" Target="https://www.mblseminars.com/Outline/The-Conveyancing-Quality-Scheme---The-Latest-Compliance-Guidelines---Webinar/14317" TargetMode="External"/><Relationship Id="rId18" Type="http://schemas.openxmlformats.org/officeDocument/2006/relationships/hyperlink" Target="https://www.lawsociety.org.uk/Topics/Property/Whats-changing/improving-home-buying-selling-process" TargetMode="External"/><Relationship Id="rId3" Type="http://schemas.openxmlformats.org/officeDocument/2006/relationships/webSettings" Target="webSettings.xml"/><Relationship Id="rId7" Type="http://schemas.openxmlformats.org/officeDocument/2006/relationships/hyperlink" Target="https://www.lawgazette.co.uk/practice/society-updates-best-practice-guide-for-conveyancers/5071049" TargetMode="External"/><Relationship Id="rId12" Type="http://schemas.openxmlformats.org/officeDocument/2006/relationships/hyperlink" Target="https://www.clc-uk.org/wp-content/uploads/2018/06/180511-CLC-response-TLS-National-Protocol.pdf" TargetMode="External"/><Relationship Id="rId17" Type="http://schemas.openxmlformats.org/officeDocument/2006/relationships/hyperlink" Target="https://www.lawsociety.org.uk/Topics/Property/Whats-changing/ta6-part-1-upfront-information-for-homebuyers" TargetMode="External"/><Relationship Id="rId2" Type="http://schemas.openxmlformats.org/officeDocument/2006/relationships/settings" Target="settings.xml"/><Relationship Id="rId16" Type="http://schemas.openxmlformats.org/officeDocument/2006/relationships/hyperlink" Target="https://www.lawsociety.org.uk/Topics/Anti-money-laundering/Whats-changing/Digital-ID-trust-framework"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infolegal.co.uk/2022-updates-to-the-conveyancing-quality-scheme-cqs/" TargetMode="External"/><Relationship Id="rId11" Type="http://schemas.openxmlformats.org/officeDocument/2006/relationships/hyperlink" Target="https://www.lawgazette.co.uk/law/conveyancing-protocol-update/59659.article" TargetMode="External"/><Relationship Id="rId5" Type="http://schemas.openxmlformats.org/officeDocument/2006/relationships/hyperlink" Target="https://www.nbmlaw.co.uk/2016/12/07/establishmentoflawsocietyconveyancingprotocol/" TargetMode="External"/><Relationship Id="rId15" Type="http://schemas.openxmlformats.org/officeDocument/2006/relationships/hyperlink" Target="https://www.lawsociety.org.uk/topics/property/conveyancing-protocol" TargetMode="External"/><Relationship Id="rId10" Type="http://schemas.openxmlformats.org/officeDocument/2006/relationships/hyperlink" Target="https://www.gov.uk/government/organisations/ministry-of-housing-communities-and-local-government" TargetMode="External"/><Relationship Id="rId19" Type="http://schemas.openxmlformats.org/officeDocument/2006/relationships/fontTable" Target="fontTable.xml"/><Relationship Id="rId4" Type="http://schemas.openxmlformats.org/officeDocument/2006/relationships/hyperlink" Target="https://www.barrettandco.co.uk/2019/11/28/national-conveyancing-protocol-its-importance/" TargetMode="External"/><Relationship Id="rId9" Type="http://schemas.openxmlformats.org/officeDocument/2006/relationships/hyperlink" Target="https://www.thetimes.co.uk/article/why-does-conveyancing-take-so-long-v9rd3jc9g?gclid=Cj0KCQiA37KbBhDgARIsAIzce14lo9JLo2luPC9GVQEZY8-1CpJAmJT7LufnL6fLwNerVg9udTmmp1waAhlrEALw_wcB" TargetMode="External"/><Relationship Id="rId14" Type="http://schemas.openxmlformats.org/officeDocument/2006/relationships/hyperlink" Target="https://cilexregulation.org.uk/wp-content/uploads/2019/01/Home_buying_and_sell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3013</Words>
  <Characters>17179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ceri-anne johnson</dc:creator>
  <cp:keywords/>
  <dc:description/>
  <cp:lastModifiedBy>ceri-anne johnson</cp:lastModifiedBy>
  <cp:revision>2</cp:revision>
  <cp:lastPrinted>2022-11-07T23:27:00Z</cp:lastPrinted>
  <dcterms:created xsi:type="dcterms:W3CDTF">2022-11-10T13:00:00Z</dcterms:created>
  <dcterms:modified xsi:type="dcterms:W3CDTF">2022-11-10T13:00:00Z</dcterms:modified>
</cp:coreProperties>
</file>