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12"/>
        <w:jc w:val="center"/>
        <w:rPr>
          <w:b/>
          <w:sz w:val="56"/>
        </w:rPr>
      </w:pPr>
      <w:r>
        <w:rPr>
          <w:b/>
          <w:sz w:val="56"/>
        </w:rPr>
        <w:drawing>
          <wp:inline distT="0" distB="0" distL="0" distR="0">
            <wp:extent cx="3524250" cy="1404620"/>
            <wp:effectExtent l="0" t="0" r="6350" b="177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pPr>
        <w:spacing w:before="212"/>
        <w:jc w:val="center"/>
        <w:rPr>
          <w:b/>
          <w:sz w:val="36"/>
          <w:szCs w:val="36"/>
        </w:rPr>
      </w:pPr>
    </w:p>
    <w:p>
      <w:pPr>
        <w:spacing w:before="212"/>
        <w:rPr>
          <w:b/>
          <w:sz w:val="56"/>
        </w:rPr>
      </w:pPr>
    </w:p>
    <w:p>
      <w:pPr>
        <w:spacing w:before="212"/>
        <w:rPr>
          <w:b/>
          <w:sz w:val="48"/>
          <w:szCs w:val="48"/>
        </w:rPr>
      </w:pPr>
      <w:r>
        <w:rPr>
          <w:b/>
          <w:sz w:val="48"/>
          <w:szCs w:val="48"/>
        </w:rPr>
        <w:t>MODULE CODE: EDCE7020</w:t>
      </w:r>
    </w:p>
    <w:p>
      <w:pPr>
        <w:spacing w:before="212"/>
        <w:rPr>
          <w:b/>
          <w:sz w:val="48"/>
          <w:szCs w:val="48"/>
        </w:rPr>
      </w:pPr>
    </w:p>
    <w:p>
      <w:pPr>
        <w:spacing w:before="212"/>
        <w:rPr>
          <w:b/>
          <w:sz w:val="48"/>
          <w:szCs w:val="48"/>
        </w:rPr>
      </w:pPr>
      <w:r>
        <w:rPr>
          <w:b/>
          <w:sz w:val="48"/>
          <w:szCs w:val="48"/>
        </w:rPr>
        <w:t>ASSESSMENT COMPONENT: 2</w:t>
      </w:r>
    </w:p>
    <w:p>
      <w:pPr>
        <w:spacing w:before="7"/>
        <w:jc w:val="center"/>
        <w:rPr>
          <w:b/>
          <w:sz w:val="44"/>
        </w:rPr>
      </w:pPr>
    </w:p>
    <w:p>
      <w:pPr>
        <w:spacing w:before="3"/>
        <w:rPr>
          <w:rFonts w:hint="default"/>
          <w:b/>
          <w:sz w:val="48"/>
          <w:szCs w:val="48"/>
          <w:lang w:val="en-US"/>
        </w:rPr>
      </w:pPr>
      <w:r>
        <w:rPr>
          <w:b/>
          <w:sz w:val="48"/>
          <w:szCs w:val="48"/>
        </w:rPr>
        <w:t>STUDENT NAME:</w:t>
      </w:r>
      <w:r>
        <w:rPr>
          <w:rFonts w:hint="default"/>
          <w:b/>
          <w:sz w:val="48"/>
          <w:szCs w:val="48"/>
          <w:lang w:val="en-US"/>
        </w:rPr>
        <w:t xml:space="preserve"> Jing Xin</w:t>
      </w:r>
    </w:p>
    <w:p>
      <w:pPr>
        <w:spacing w:before="3"/>
        <w:rPr>
          <w:b/>
          <w:sz w:val="48"/>
          <w:szCs w:val="48"/>
        </w:rPr>
      </w:pPr>
    </w:p>
    <w:p>
      <w:pPr>
        <w:spacing w:before="3"/>
        <w:rPr>
          <w:rFonts w:hint="default"/>
          <w:b/>
          <w:sz w:val="48"/>
          <w:szCs w:val="48"/>
          <w:lang w:val="en-US"/>
        </w:rPr>
      </w:pPr>
      <w:r>
        <w:rPr>
          <w:b/>
          <w:sz w:val="48"/>
          <w:szCs w:val="48"/>
        </w:rPr>
        <w:t>STUDENT NUMBER:</w:t>
      </w:r>
      <w:r>
        <w:rPr>
          <w:rFonts w:hint="default"/>
          <w:b/>
          <w:sz w:val="48"/>
          <w:szCs w:val="48"/>
          <w:lang w:val="en-US"/>
        </w:rPr>
        <w:t xml:space="preserve"> 2406841</w:t>
      </w:r>
    </w:p>
    <w:p>
      <w:pPr>
        <w:rPr>
          <w:b/>
          <w:sz w:val="47"/>
        </w:rPr>
      </w:pPr>
    </w:p>
    <w:p>
      <w:pPr>
        <w:ind w:left="100"/>
        <w:jc w:val="center"/>
        <w:rPr>
          <w:b/>
          <w:sz w:val="47"/>
        </w:rPr>
      </w:pPr>
    </w:p>
    <w:p>
      <w:pPr>
        <w:ind w:left="100"/>
        <w:rPr>
          <w:b/>
          <w:sz w:val="47"/>
        </w:rPr>
      </w:pPr>
    </w:p>
    <w:p>
      <w:pPr>
        <w:ind w:left="100"/>
        <w:rPr>
          <w:b/>
          <w:sz w:val="47"/>
        </w:rPr>
      </w:pPr>
    </w:p>
    <w:p>
      <w:pPr>
        <w:ind w:left="100"/>
        <w:rPr>
          <w:b/>
          <w:sz w:val="47"/>
        </w:rPr>
      </w:pPr>
    </w:p>
    <w:p>
      <w:pPr>
        <w:ind w:left="100"/>
        <w:rPr>
          <w:b/>
          <w:sz w:val="47"/>
        </w:rPr>
      </w:pPr>
    </w:p>
    <w:p>
      <w:pPr>
        <w:ind w:left="100"/>
        <w:rPr>
          <w:b/>
          <w:sz w:val="47"/>
        </w:rPr>
      </w:pPr>
      <w:r>
        <w:rPr>
          <w:b/>
          <w:sz w:val="47"/>
        </w:rPr>
        <w:t>Doctorate in Education (EdD)</w:t>
      </w:r>
    </w:p>
    <w:p>
      <w:pPr>
        <w:ind w:left="100"/>
        <w:rPr>
          <w:b/>
          <w:sz w:val="47"/>
        </w:rPr>
      </w:pPr>
    </w:p>
    <w:p>
      <w:pPr>
        <w:ind w:left="100"/>
        <w:rPr>
          <w:b/>
          <w:sz w:val="47"/>
        </w:rPr>
      </w:pPr>
    </w:p>
    <w:p>
      <w:pPr>
        <w:jc w:val="both"/>
        <w:rPr>
          <w:rFonts w:hint="default" w:ascii="Calibri Regular" w:hAnsi="Calibri Regular" w:cs="Calibri Regular"/>
          <w:sz w:val="20"/>
          <w:szCs w:val="20"/>
          <w:lang w:val="en-US"/>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0"/>
        <w:rPr>
          <w:rFonts w:hint="default" w:ascii="Calibri Bold" w:hAnsi="Calibri Bold" w:eastAsia="SimSun" w:cs="Calibri Bold"/>
          <w:b/>
          <w:bCs/>
          <w:sz w:val="20"/>
          <w:szCs w:val="20"/>
          <w:lang w:val="en-US" w:eastAsia="zh-CN"/>
        </w:rPr>
      </w:pPr>
      <w:r>
        <w:rPr>
          <w:rFonts w:hint="default" w:ascii="Calibri Bold" w:hAnsi="Calibri Bold" w:eastAsia="SimSun" w:cs="Calibri Bold"/>
          <w:b/>
          <w:bCs/>
          <w:sz w:val="20"/>
          <w:szCs w:val="20"/>
          <w:lang w:val="en-US" w:eastAsia="zh-CN"/>
        </w:rPr>
        <w:t>Introduction</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r>
        <w:rPr>
          <w:rFonts w:hint="default" w:ascii="Calibri Regular" w:hAnsi="Calibri Regular" w:cs="Calibri Regular"/>
          <w:sz w:val="20"/>
          <w:szCs w:val="20"/>
          <w:lang w:val="en-US"/>
        </w:rPr>
        <w:t xml:space="preserve">The rapid development of generative AI, led by tools such as ChatGPT, has sparked growing interest in its role in EFL writing instruction. Recent research </w:t>
      </w:r>
      <w:r>
        <w:rPr>
          <w:rFonts w:hint="eastAsia" w:ascii="Calibri Regular" w:hAnsi="Calibri Regular" w:eastAsia="SimSun" w:cs="Calibri Regular"/>
          <w:sz w:val="20"/>
          <w:szCs w:val="20"/>
          <w:lang w:val="en-US" w:eastAsia="zh-CN"/>
        </w:rPr>
        <w:t>in this</w:t>
      </w:r>
      <w:r>
        <w:rPr>
          <w:rFonts w:hint="default" w:ascii="Calibri Regular" w:hAnsi="Calibri Regular" w:eastAsia="SimSun" w:cs="Calibri Regular"/>
          <w:sz w:val="20"/>
          <w:szCs w:val="20"/>
          <w:lang w:val="en-US" w:eastAsia="zh-CN"/>
        </w:rPr>
        <w:t xml:space="preserve"> field</w:t>
      </w:r>
      <w:r>
        <w:rPr>
          <w:rFonts w:hint="eastAsia" w:ascii="Calibri Regular" w:hAnsi="Calibri Regular" w:eastAsia="SimSun" w:cs="Calibri Regular"/>
          <w:sz w:val="20"/>
          <w:szCs w:val="20"/>
          <w:lang w:val="en-US" w:eastAsia="zh-CN"/>
        </w:rPr>
        <w:t xml:space="preserve"> </w:t>
      </w:r>
      <w:r>
        <w:rPr>
          <w:rFonts w:hint="default" w:ascii="Calibri Regular" w:hAnsi="Calibri Regular" w:cs="Calibri Regular"/>
          <w:sz w:val="20"/>
          <w:szCs w:val="20"/>
          <w:lang w:val="en-US"/>
        </w:rPr>
        <w:t xml:space="preserve">has shifted from general discussions of </w:t>
      </w:r>
      <w:r>
        <w:rPr>
          <w:rFonts w:hint="eastAsia" w:ascii="Calibri Regular" w:hAnsi="Calibri Regular" w:eastAsia="SimSun" w:cs="Calibri Regular"/>
          <w:sz w:val="20"/>
          <w:szCs w:val="20"/>
          <w:lang w:val="en-US" w:eastAsia="zh-CN"/>
        </w:rPr>
        <w:t>C</w:t>
      </w:r>
      <w:r>
        <w:rPr>
          <w:rFonts w:hint="default" w:ascii="Calibri Regular" w:hAnsi="Calibri Regular" w:eastAsia="SimSun" w:cs="Calibri Regular"/>
          <w:sz w:val="20"/>
          <w:szCs w:val="20"/>
          <w:lang w:val="en-US" w:eastAsia="zh-CN"/>
        </w:rPr>
        <w:t xml:space="preserve">hatGPT’s </w:t>
      </w:r>
      <w:r>
        <w:rPr>
          <w:rFonts w:hint="default" w:ascii="Calibri Regular" w:hAnsi="Calibri Regular" w:cs="Calibri Regular"/>
          <w:sz w:val="20"/>
          <w:szCs w:val="20"/>
          <w:lang w:val="en-US"/>
        </w:rPr>
        <w:t xml:space="preserve">benefits and concerns(Barrot, 2023; Thorp, 2023) to more empirical investigations into its actual impact on students’ writing proficiency and experience(Dong, 2024; </w:t>
      </w:r>
      <w:r>
        <w:rPr>
          <w:rFonts w:hint="eastAsia" w:ascii="Calibri Regular" w:hAnsi="Calibri Regular" w:eastAsia="SimSun" w:cs="Calibri Regular"/>
          <w:sz w:val="20"/>
          <w:szCs w:val="20"/>
          <w:lang w:val="en-US" w:eastAsia="zh-CN"/>
        </w:rPr>
        <w:t xml:space="preserve">Kim </w:t>
      </w:r>
      <w:r>
        <w:rPr>
          <w:rFonts w:hint="default" w:ascii="Calibri Italic" w:hAnsi="Calibri Italic" w:cs="Calibri Italic"/>
          <w:i/>
          <w:iCs/>
          <w:sz w:val="20"/>
          <w:szCs w:val="20"/>
          <w:lang w:val="en-US"/>
        </w:rPr>
        <w:t>et al</w:t>
      </w:r>
      <w:r>
        <w:rPr>
          <w:rFonts w:hint="eastAsia" w:ascii="Calibri Italic" w:hAnsi="Calibri Italic" w:eastAsia="SimSun" w:cs="Calibri Italic"/>
          <w:i/>
          <w:iCs/>
          <w:sz w:val="20"/>
          <w:szCs w:val="20"/>
          <w:lang w:val="en-US" w:eastAsia="zh-CN"/>
        </w:rPr>
        <w:t>.</w:t>
      </w:r>
      <w:r>
        <w:rPr>
          <w:rFonts w:hint="default" w:ascii="Calibri Regular" w:hAnsi="Calibri Regular" w:cs="Calibri Regular"/>
          <w:sz w:val="20"/>
          <w:szCs w:val="20"/>
          <w:lang w:val="en-US"/>
        </w:rPr>
        <w:t>,</w:t>
      </w:r>
      <w:r>
        <w:rPr>
          <w:rFonts w:hint="eastAsia" w:ascii="Calibri Regular" w:hAnsi="Calibri Regular" w:eastAsia="SimSun" w:cs="Calibri Regular"/>
          <w:sz w:val="20"/>
          <w:szCs w:val="20"/>
          <w:lang w:val="en-US" w:eastAsia="zh-CN"/>
        </w:rPr>
        <w:t xml:space="preserve"> 2024; </w:t>
      </w:r>
      <w:r>
        <w:rPr>
          <w:rFonts w:hint="default" w:ascii="Calibri Regular" w:hAnsi="Calibri Regular" w:cs="Calibri Regular"/>
          <w:sz w:val="20"/>
          <w:szCs w:val="20"/>
          <w:lang w:val="en-US"/>
        </w:rPr>
        <w:t xml:space="preserve">Niloy </w:t>
      </w:r>
      <w:r>
        <w:rPr>
          <w:rFonts w:hint="default" w:ascii="Calibri Italic" w:hAnsi="Calibri Italic" w:cs="Calibri Italic"/>
          <w:i/>
          <w:iCs/>
          <w:sz w:val="20"/>
          <w:szCs w:val="20"/>
          <w:lang w:val="en-US"/>
        </w:rPr>
        <w:t>et al.</w:t>
      </w:r>
      <w:r>
        <w:rPr>
          <w:rFonts w:hint="default" w:ascii="Calibri Regular" w:hAnsi="Calibri Regular" w:cs="Calibri Regular"/>
          <w:sz w:val="20"/>
          <w:szCs w:val="20"/>
          <w:lang w:val="en-US"/>
        </w:rPr>
        <w:t xml:space="preserve">, 2024).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eastAsia="SimSun" w:cs="Calibri Regular"/>
          <w:sz w:val="20"/>
          <w:szCs w:val="20"/>
          <w:lang w:val="en-US" w:eastAsia="zh-CN"/>
        </w:rPr>
      </w:pPr>
      <w:r>
        <w:rPr>
          <w:rFonts w:hint="default" w:ascii="Calibri Regular" w:hAnsi="Calibri Regular" w:cs="Calibri Regular"/>
          <w:sz w:val="20"/>
          <w:szCs w:val="20"/>
          <w:lang w:val="en-US"/>
        </w:rPr>
        <w:t>While previous studies has explored the linguistic impacts of generative AI tools on students’ writing, findings remain mixed, particularly regarding grammatical accuracy and complexity. More empirical evidence is needed to provide deeper insights into these areas. Moreover, existing</w:t>
      </w:r>
      <w:r>
        <w:rPr>
          <w:rFonts w:hint="eastAsia" w:ascii="Calibri Regular" w:hAnsi="Calibri Regular" w:eastAsia="SimSun" w:cs="Calibri Regular"/>
          <w:sz w:val="20"/>
          <w:szCs w:val="20"/>
          <w:lang w:val="en-US" w:eastAsia="zh-CN"/>
        </w:rPr>
        <w:t xml:space="preserve"> </w:t>
      </w:r>
      <w:r>
        <w:rPr>
          <w:rFonts w:hint="default" w:ascii="Calibri Regular" w:hAnsi="Calibri Regular" w:cs="Calibri Regular"/>
          <w:sz w:val="20"/>
          <w:szCs w:val="20"/>
          <w:lang w:val="en-US"/>
        </w:rPr>
        <w:t>studies on</w:t>
      </w:r>
      <w:r>
        <w:rPr>
          <w:rFonts w:hint="eastAsia" w:ascii="Calibri Regular" w:hAnsi="Calibri Regular" w:eastAsia="SimSun" w:cs="Calibri Regular"/>
          <w:sz w:val="20"/>
          <w:szCs w:val="20"/>
          <w:lang w:val="en-US" w:eastAsia="zh-CN"/>
        </w:rPr>
        <w:t xml:space="preserve"> </w:t>
      </w:r>
      <w:r>
        <w:rPr>
          <w:rFonts w:hint="default" w:ascii="Calibri Regular" w:hAnsi="Calibri Regular" w:eastAsia="SimSun" w:cs="Calibri Regular"/>
          <w:sz w:val="20"/>
          <w:szCs w:val="20"/>
          <w:lang w:val="en-US" w:eastAsia="zh-CN"/>
        </w:rPr>
        <w:t xml:space="preserve">the impact of generative AI on writing </w:t>
      </w:r>
      <w:r>
        <w:rPr>
          <w:rFonts w:hint="default" w:ascii="Calibri Regular" w:hAnsi="Calibri Regular" w:cs="Calibri Regular"/>
          <w:sz w:val="20"/>
          <w:szCs w:val="20"/>
          <w:lang w:val="en-US"/>
        </w:rPr>
        <w:t>in EFL contexts across China (Yan, 2023; Song and Song</w:t>
      </w:r>
      <w:r>
        <w:rPr>
          <w:rFonts w:hint="eastAsia" w:ascii="Calibri Regular" w:hAnsi="Calibri Regular" w:eastAsia="SimSun" w:cs="Calibri Regular"/>
          <w:sz w:val="20"/>
          <w:szCs w:val="20"/>
          <w:lang w:val="en-US" w:eastAsia="zh-CN"/>
        </w:rPr>
        <w:t xml:space="preserve">, 2023), Indonesia (Nugroho </w:t>
      </w:r>
      <w:r>
        <w:rPr>
          <w:rFonts w:hint="default" w:ascii="Calibri Italic" w:hAnsi="Calibri Italic" w:eastAsia="SimSun" w:cs="Calibri Italic"/>
          <w:i/>
          <w:iCs/>
          <w:sz w:val="20"/>
          <w:szCs w:val="20"/>
          <w:lang w:val="en-US" w:eastAsia="zh-CN"/>
        </w:rPr>
        <w:t>et al.</w:t>
      </w:r>
      <w:r>
        <w:rPr>
          <w:rFonts w:hint="eastAsia" w:ascii="Calibri Regular" w:hAnsi="Calibri Regular" w:eastAsia="SimSun" w:cs="Calibri Regular"/>
          <w:sz w:val="20"/>
          <w:szCs w:val="20"/>
          <w:lang w:val="en-US" w:eastAsia="zh-CN"/>
        </w:rPr>
        <w:t xml:space="preserve">, 2024; Werdiningsih </w:t>
      </w:r>
      <w:r>
        <w:rPr>
          <w:rFonts w:hint="default" w:ascii="Calibri Italic" w:hAnsi="Calibri Italic" w:eastAsia="SimSun" w:cs="Calibri Italic"/>
          <w:i/>
          <w:iCs/>
          <w:sz w:val="20"/>
          <w:szCs w:val="20"/>
          <w:lang w:val="en-US" w:eastAsia="zh-CN"/>
        </w:rPr>
        <w:t>et al.</w:t>
      </w:r>
      <w:r>
        <w:rPr>
          <w:rFonts w:hint="eastAsia" w:ascii="Calibri Regular" w:hAnsi="Calibri Regular" w:eastAsia="SimSun" w:cs="Calibri Regular"/>
          <w:sz w:val="20"/>
          <w:szCs w:val="20"/>
          <w:lang w:val="en-US" w:eastAsia="zh-CN"/>
        </w:rPr>
        <w:t xml:space="preserve">, 2024), Thailand, and Vietnam (Meniado </w:t>
      </w:r>
      <w:r>
        <w:rPr>
          <w:rFonts w:hint="default" w:ascii="Calibri Italic" w:hAnsi="Calibri Italic" w:eastAsia="SimSun" w:cs="Calibri Italic"/>
          <w:i/>
          <w:iCs/>
          <w:sz w:val="20"/>
          <w:szCs w:val="20"/>
          <w:lang w:val="en-US" w:eastAsia="zh-CN"/>
        </w:rPr>
        <w:t>et al</w:t>
      </w:r>
      <w:r>
        <w:rPr>
          <w:rFonts w:hint="eastAsia" w:ascii="Calibri Regular" w:hAnsi="Calibri Regular" w:eastAsia="SimSun" w:cs="Calibri Regular"/>
          <w:sz w:val="20"/>
          <w:szCs w:val="20"/>
          <w:lang w:val="en-US" w:eastAsia="zh-CN"/>
        </w:rPr>
        <w:t xml:space="preserve">., 2024) have mainly focused on ChatGPT. </w:t>
      </w:r>
      <w:r>
        <w:rPr>
          <w:rFonts w:hint="default" w:ascii="Calibri Regular" w:hAnsi="Calibri Regular" w:eastAsia="SimSun" w:cs="Calibri Regular"/>
          <w:sz w:val="20"/>
          <w:szCs w:val="20"/>
          <w:lang w:val="en-US" w:eastAsia="zh-CN"/>
        </w:rPr>
        <w:t xml:space="preserve">Considering the different </w:t>
      </w:r>
      <w:r>
        <w:rPr>
          <w:rFonts w:hint="eastAsia" w:ascii="Calibri Regular" w:hAnsi="Calibri Regular" w:eastAsia="SimSun" w:cs="Calibri Regular"/>
          <w:sz w:val="20"/>
          <w:szCs w:val="20"/>
          <w:lang w:val="en-US" w:eastAsia="zh-CN"/>
        </w:rPr>
        <w:t>accessibility of ChatGPT among university students</w:t>
      </w:r>
      <w:r>
        <w:rPr>
          <w:rFonts w:hint="default" w:ascii="Calibri Regular" w:hAnsi="Calibri Regular" w:eastAsia="SimSun" w:cs="Calibri Regular"/>
          <w:sz w:val="20"/>
          <w:szCs w:val="20"/>
          <w:lang w:val="en-US" w:eastAsia="zh-CN"/>
        </w:rPr>
        <w:t xml:space="preserve"> in China</w:t>
      </w:r>
      <w:r>
        <w:rPr>
          <w:rFonts w:hint="eastAsia" w:ascii="Calibri Regular" w:hAnsi="Calibri Regular" w:eastAsia="SimSun" w:cs="Calibri Regular"/>
          <w:sz w:val="20"/>
          <w:szCs w:val="20"/>
          <w:lang w:val="en-US" w:eastAsia="zh-CN"/>
        </w:rPr>
        <w:t xml:space="preserve">, it is important to investigate the use of </w:t>
      </w:r>
      <w:r>
        <w:rPr>
          <w:rFonts w:hint="default" w:ascii="Calibri Regular" w:hAnsi="Calibri Regular" w:eastAsia="SimSun" w:cs="Calibri Regular"/>
          <w:sz w:val="20"/>
          <w:szCs w:val="20"/>
          <w:lang w:val="en-US" w:eastAsia="zh-CN"/>
        </w:rPr>
        <w:t xml:space="preserve">generative </w:t>
      </w:r>
      <w:r>
        <w:rPr>
          <w:rFonts w:hint="eastAsia" w:ascii="Calibri Regular" w:hAnsi="Calibri Regular" w:eastAsia="SimSun" w:cs="Calibri Regular"/>
          <w:sz w:val="20"/>
          <w:szCs w:val="20"/>
          <w:lang w:val="en-US" w:eastAsia="zh-CN"/>
        </w:rPr>
        <w:t xml:space="preserve">AI tools that are </w:t>
      </w:r>
      <w:r>
        <w:rPr>
          <w:rFonts w:hint="default" w:ascii="Calibri Regular" w:hAnsi="Calibri Regular" w:eastAsia="SimSun" w:cs="Calibri Regular"/>
          <w:sz w:val="20"/>
          <w:szCs w:val="20"/>
          <w:lang w:val="en-US" w:eastAsia="zh-CN"/>
        </w:rPr>
        <w:t xml:space="preserve">locally developed and more </w:t>
      </w:r>
      <w:r>
        <w:rPr>
          <w:rFonts w:hint="eastAsia" w:ascii="Calibri Regular" w:hAnsi="Calibri Regular" w:eastAsia="SimSun" w:cs="Calibri Regular"/>
          <w:sz w:val="20"/>
          <w:szCs w:val="20"/>
          <w:lang w:val="en-US" w:eastAsia="zh-CN"/>
        </w:rPr>
        <w:t>widely adopted in China.</w:t>
      </w:r>
      <w:r>
        <w:rPr>
          <w:rFonts w:hint="default" w:ascii="Calibri Regular" w:hAnsi="Calibri Regular" w:eastAsia="SimSun" w:cs="Calibri Regular"/>
          <w:sz w:val="20"/>
          <w:szCs w:val="20"/>
          <w:lang w:val="en-US" w:eastAsia="zh-CN"/>
        </w:rPr>
        <w:t xml:space="preserve"> In addition</w:t>
      </w:r>
      <w:r>
        <w:rPr>
          <w:rFonts w:hint="eastAsia" w:ascii="Calibri Regular" w:hAnsi="Calibri Regular" w:eastAsia="SimSun" w:cs="Calibri Regular"/>
          <w:sz w:val="20"/>
          <w:szCs w:val="20"/>
          <w:lang w:val="en-US" w:eastAsia="zh-CN"/>
        </w:rPr>
        <w:t>, while some research has addressed students</w:t>
      </w:r>
      <w:r>
        <w:rPr>
          <w:rFonts w:hint="default" w:ascii="Calibri Regular" w:hAnsi="Calibri Regular" w:eastAsia="SimSun" w:cs="Calibri Regular"/>
          <w:sz w:val="20"/>
          <w:szCs w:val="20"/>
          <w:lang w:val="en-US" w:eastAsia="zh-CN"/>
        </w:rPr>
        <w:t>’</w:t>
      </w:r>
      <w:r>
        <w:rPr>
          <w:rFonts w:hint="eastAsia" w:ascii="Calibri Regular" w:hAnsi="Calibri Regular" w:eastAsia="SimSun" w:cs="Calibri Regular"/>
          <w:sz w:val="20"/>
          <w:szCs w:val="20"/>
          <w:lang w:val="en-US" w:eastAsia="zh-CN"/>
        </w:rPr>
        <w:t xml:space="preserve"> perceptions of </w:t>
      </w:r>
      <w:r>
        <w:rPr>
          <w:rFonts w:hint="default" w:ascii="Calibri Regular" w:hAnsi="Calibri Regular" w:eastAsia="SimSun" w:cs="Calibri Regular"/>
          <w:sz w:val="20"/>
          <w:szCs w:val="20"/>
          <w:lang w:val="en-US" w:eastAsia="zh-CN"/>
        </w:rPr>
        <w:t xml:space="preserve">generative </w:t>
      </w:r>
      <w:r>
        <w:rPr>
          <w:rFonts w:hint="eastAsia" w:ascii="Calibri Regular" w:hAnsi="Calibri Regular" w:eastAsia="SimSun" w:cs="Calibri Regular"/>
          <w:sz w:val="20"/>
          <w:szCs w:val="20"/>
          <w:lang w:val="en-US" w:eastAsia="zh-CN"/>
        </w:rPr>
        <w:t>AI</w:t>
      </w:r>
      <w:r>
        <w:rPr>
          <w:rFonts w:hint="default" w:ascii="Calibri Regular" w:hAnsi="Calibri Regular" w:eastAsia="SimSun" w:cs="Calibri Regular"/>
          <w:sz w:val="20"/>
          <w:szCs w:val="20"/>
          <w:lang w:val="en-US" w:eastAsia="zh-CN"/>
        </w:rPr>
        <w:t xml:space="preserve"> tools in writing as the main focus of their studies (Nugroho </w:t>
      </w:r>
      <w:r>
        <w:rPr>
          <w:rFonts w:hint="default" w:ascii="Calibri Italic" w:hAnsi="Calibri Italic" w:eastAsia="SimSun" w:cs="Calibri Italic"/>
          <w:i/>
          <w:iCs/>
          <w:sz w:val="20"/>
          <w:szCs w:val="20"/>
          <w:lang w:val="en-US" w:eastAsia="zh-CN"/>
        </w:rPr>
        <w:t>et al.,</w:t>
      </w:r>
      <w:r>
        <w:rPr>
          <w:rFonts w:hint="default" w:ascii="Calibri Regular" w:hAnsi="Calibri Regular" w:eastAsia="SimSun" w:cs="Calibri Regular"/>
          <w:sz w:val="20"/>
          <w:szCs w:val="20"/>
          <w:lang w:val="en-US" w:eastAsia="zh-CN"/>
        </w:rPr>
        <w:t xml:space="preserve"> 2024; Kim </w:t>
      </w:r>
      <w:r>
        <w:rPr>
          <w:rFonts w:hint="default" w:ascii="Calibri Italic" w:hAnsi="Calibri Italic" w:eastAsia="SimSun" w:cs="Calibri Italic"/>
          <w:i/>
          <w:iCs/>
          <w:sz w:val="20"/>
          <w:szCs w:val="20"/>
          <w:lang w:val="en-US" w:eastAsia="zh-CN"/>
        </w:rPr>
        <w:t>et al.</w:t>
      </w:r>
      <w:r>
        <w:rPr>
          <w:rFonts w:hint="default" w:ascii="Calibri Regular" w:hAnsi="Calibri Regular" w:eastAsia="SimSun" w:cs="Calibri Regular"/>
          <w:sz w:val="20"/>
          <w:szCs w:val="20"/>
          <w:lang w:val="en-US" w:eastAsia="zh-CN"/>
        </w:rPr>
        <w:t>, 2025)</w:t>
      </w:r>
      <w:r>
        <w:rPr>
          <w:rFonts w:hint="eastAsia" w:ascii="Calibri Regular" w:hAnsi="Calibri Regular" w:eastAsia="SimSun" w:cs="Calibri Regular"/>
          <w:sz w:val="20"/>
          <w:szCs w:val="20"/>
          <w:lang w:val="en-US" w:eastAsia="zh-CN"/>
        </w:rPr>
        <w:t>, less is known about t</w:t>
      </w:r>
      <w:r>
        <w:rPr>
          <w:rFonts w:hint="default" w:ascii="Calibri Regular" w:hAnsi="Calibri Regular" w:eastAsia="SimSun" w:cs="Calibri Regular"/>
          <w:sz w:val="20"/>
          <w:szCs w:val="20"/>
          <w:lang w:val="en-US" w:eastAsia="zh-CN"/>
        </w:rPr>
        <w:t xml:space="preserve">he broader social and pedagogical factors that may shape students’ perceptions and influence their use of the tools.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eastAsia="SimSun" w:cs="Calibri Regular"/>
          <w:sz w:val="20"/>
          <w:szCs w:val="20"/>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r>
        <w:rPr>
          <w:rFonts w:hint="default" w:ascii="Calibri Regular" w:hAnsi="Calibri Regular" w:cs="Calibri Regular"/>
          <w:sz w:val="20"/>
          <w:szCs w:val="20"/>
          <w:lang w:val="en-US"/>
        </w:rPr>
        <w:t xml:space="preserve">Therefore, this study aims to explore how Chinese-developed generative AI tools can support English as a Foreign Language (EFL) students in China with their writing. Specifically, it investigates the impact of generative AI tools on students’ writing performance and their perceptions of AI-assisted writing. The study addresses the following research questions: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r>
        <w:rPr>
          <w:rFonts w:hint="default" w:ascii="Calibri Bold" w:hAnsi="Calibri Bold" w:cs="Calibri Bold"/>
          <w:b/>
          <w:bCs/>
          <w:sz w:val="20"/>
          <w:szCs w:val="20"/>
          <w:lang w:val="en-US"/>
        </w:rPr>
        <w:t>Main Research Question</w:t>
      </w:r>
      <w:r>
        <w:rPr>
          <w:rFonts w:hint="default" w:ascii="Calibri Regular" w:hAnsi="Calibri Regular" w:cs="Calibri Regular"/>
          <w:sz w:val="20"/>
          <w:szCs w:val="20"/>
          <w:lang w:val="en-US"/>
        </w:rPr>
        <w:t xml:space="preserve">: How can generative AI tools support English as a Foreign Language (EFL) students’ in their writing?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r>
        <w:rPr>
          <w:rFonts w:hint="default" w:ascii="Calibri Bold" w:hAnsi="Calibri Bold" w:cs="Calibri Bold"/>
          <w:b/>
          <w:bCs/>
          <w:sz w:val="20"/>
          <w:szCs w:val="20"/>
          <w:lang w:val="en-US"/>
        </w:rPr>
        <w:t>Sub-Research Question 1</w:t>
      </w:r>
      <w:r>
        <w:rPr>
          <w:rFonts w:hint="default" w:ascii="Calibri Regular" w:hAnsi="Calibri Regular" w:cs="Calibri Regular"/>
          <w:sz w:val="20"/>
          <w:szCs w:val="20"/>
          <w:lang w:val="en-US"/>
        </w:rPr>
        <w:t>: To what extent does the use of Chinese-developed generative AI tools influence EFL students’ writing performance, in terms of linguistic features and overall writing quality, compared to those who do not use such tools?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r>
        <w:rPr>
          <w:rFonts w:hint="default" w:ascii="Calibri Bold" w:hAnsi="Calibri Bold" w:cs="Calibri Bold"/>
          <w:b/>
          <w:bCs/>
          <w:sz w:val="20"/>
          <w:szCs w:val="20"/>
          <w:lang w:val="en-US"/>
        </w:rPr>
        <w:t>Sub Research Question 2</w:t>
      </w:r>
      <w:r>
        <w:rPr>
          <w:rFonts w:hint="default" w:ascii="Calibri Regular" w:hAnsi="Calibri Regular" w:cs="Calibri Regular"/>
          <w:sz w:val="20"/>
          <w:szCs w:val="20"/>
          <w:lang w:val="en-US"/>
        </w:rPr>
        <w:t>: How do students perceive the role of generative AI in their writing process, and what personal, social and pedagogical factors influence both their perceptions and use of these tools?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Calibri Regular" w:hAnsi="Calibri Regular" w:cs="Calibri Regular"/>
          <w:sz w:val="20"/>
          <w:szCs w:val="20"/>
          <w:lang w:val="en-US"/>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0"/>
        <w:rPr>
          <w:rFonts w:hint="default" w:ascii="Calibri Bold" w:hAnsi="Calibri Bold" w:cs="Calibri Bold" w:eastAsiaTheme="majorEastAsia"/>
          <w:b/>
          <w:bCs/>
          <w:color w:val="auto"/>
          <w:kern w:val="0"/>
          <w:sz w:val="20"/>
          <w:szCs w:val="20"/>
          <w:lang w:val="en-US" w:eastAsia="zh-CN" w:bidi="ar-SA"/>
          <w14:ligatures w14:val="none"/>
        </w:rPr>
      </w:pPr>
      <w:r>
        <w:rPr>
          <w:rFonts w:hint="default" w:ascii="Calibri Bold" w:hAnsi="Calibri Bold" w:cs="Calibri Bold" w:eastAsiaTheme="majorEastAsia"/>
          <w:b/>
          <w:bCs/>
          <w:color w:val="auto"/>
          <w:kern w:val="0"/>
          <w:sz w:val="24"/>
          <w:szCs w:val="24"/>
          <w:lang w:val="en-US" w:eastAsia="en-GB" w:bidi="ar-SA"/>
          <w14:ligatures w14:val="none"/>
        </w:rPr>
        <w:t xml:space="preserve">Chosen Method </w:t>
      </w:r>
    </w:p>
    <w:p>
      <w:pPr>
        <w:keepNext w:val="0"/>
        <w:keepLines w:val="0"/>
        <w:pageBreakBefore w:val="0"/>
        <w:widowControl/>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Bold" w:hAnsi="Calibri Bold" w:cs="Calibri Bold" w:eastAsiaTheme="majorEastAsia"/>
          <w:b/>
          <w:bCs/>
          <w:color w:val="auto"/>
          <w:kern w:val="0"/>
          <w:sz w:val="20"/>
          <w:szCs w:val="20"/>
          <w:lang w:val="en-US" w:eastAsia="zh-CN"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Philosophical Foundations</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Every  piece of research is grounded in a philosophical foundation, which includes assumptions about ‘what is considered real in the world (ontology) and how we gain knowledge of what we know (epistemology)’(Creswell and Plano Clark, 2018, p.89). This study adopts a pragmatic ontological stance, recognising that reality is multifaceted: on one hand, students’ AI-assisted writing performance may appear objectively measurable through automated language analysis tools and standardised scoring; on the other hand, the writing performance is influenced by students’ interaction and engagement with generative AI tools and the broader educational contexts in which the writing task takes place, making it contextually constructed, rather than purely objective.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From an epistemological perspective, this study is also rooted in pragmatism, a research philosophy that values both objective and subjective dimensions of a research topic. The study employs both quantitative methods to examine the impact of GAI on students’ writing performance, and qualitative methods to explore students’ perceptions and experiences during the generative AI-assisted writing process. This dual approach reflects the pragmatic epistemology that knowledge can be acquired through both objective measurement and subjective interpretation, depending on the nature of the research questions.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Bold" w:hAnsi="Calibri Bold" w:cs="Calibri Bold" w:eastAsiaTheme="majorEastAsia"/>
          <w:b/>
          <w:bCs/>
          <w:color w:val="auto"/>
          <w:kern w:val="0"/>
          <w:sz w:val="20"/>
          <w:szCs w:val="20"/>
          <w:lang w:val="en-US" w:eastAsia="zh-CN"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Mixed Methods Approach</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Pragmatism is a philosophical tradition that has evolved over time and is widely recognised as a key philosophical foundation of mixed methods research. Teddlie and Tashakkori (2003) were among the first to formally link pragmatism with mixed methods research. Pragmatism moves beyond the traditional divisions between positivism, interpretivism and critical realism (Denscombe, 2010a), and emphasises practicality and the value of using multiple forms of data to generate meaningful insights(Creswell and Plano Clark, 2018),</w:t>
      </w:r>
      <w:r>
        <w:rPr>
          <w:rFonts w:hint="eastAsia" w:ascii="Calibri" w:hAnsi="Calibri" w:cs="Calibri" w:eastAsiaTheme="majorEastAsia"/>
          <w:b w:val="0"/>
          <w:bCs w:val="0"/>
          <w:color w:val="auto"/>
          <w:kern w:val="0"/>
          <w:sz w:val="20"/>
          <w:szCs w:val="20"/>
          <w:lang w:val="en-US" w:eastAsia="zh-CN" w:bidi="ar-SA"/>
          <w14:ligatures w14:val="none"/>
        </w:rPr>
        <w:t xml:space="preserve"> which</w:t>
      </w:r>
      <w:r>
        <w:rPr>
          <w:rFonts w:hint="default" w:ascii="Calibri" w:hAnsi="Calibri" w:cs="Calibri" w:eastAsiaTheme="majorEastAsia"/>
          <w:b w:val="0"/>
          <w:bCs w:val="0"/>
          <w:color w:val="auto"/>
          <w:kern w:val="0"/>
          <w:sz w:val="20"/>
          <w:szCs w:val="20"/>
          <w:lang w:val="en-US" w:eastAsia="zh-CN" w:bidi="ar-SA"/>
          <w14:ligatures w14:val="none"/>
        </w:rPr>
        <w:t xml:space="preserve"> fits closely with the aims of this study.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This study adopts a sequential mixed-methods approach (</w:t>
      </w:r>
      <w:r>
        <w:rPr>
          <w:rFonts w:hint="eastAsia" w:ascii="Calibri" w:hAnsi="Calibri" w:cs="Calibri" w:eastAsiaTheme="majorEastAsia"/>
          <w:b w:val="0"/>
          <w:bCs w:val="0"/>
          <w:color w:val="auto"/>
          <w:kern w:val="0"/>
          <w:sz w:val="20"/>
          <w:szCs w:val="20"/>
          <w:highlight w:val="none"/>
          <w:lang w:val="en-US" w:eastAsia="zh-CN" w:bidi="ar-SA"/>
          <w14:ligatures w14:val="none"/>
        </w:rPr>
        <w:t>Cohen, Manion, and Morrison, 2018</w:t>
      </w:r>
      <w:r>
        <w:rPr>
          <w:rFonts w:hint="default" w:ascii="Calibri" w:hAnsi="Calibri" w:cs="Calibri" w:eastAsiaTheme="majorEastAsia"/>
          <w:b w:val="0"/>
          <w:bCs w:val="0"/>
          <w:color w:val="auto"/>
          <w:kern w:val="0"/>
          <w:sz w:val="20"/>
          <w:szCs w:val="20"/>
          <w:highlight w:val="none"/>
          <w:lang w:val="en-US" w:eastAsia="zh-CN" w:bidi="ar-SA"/>
          <w14:ligatures w14:val="none"/>
        </w:rPr>
        <w:t>)</w:t>
      </w:r>
      <w:r>
        <w:rPr>
          <w:rFonts w:hint="default" w:ascii="Calibri" w:hAnsi="Calibri" w:cs="Calibri" w:eastAsiaTheme="majorEastAsia"/>
          <w:b w:val="0"/>
          <w:bCs w:val="0"/>
          <w:color w:val="auto"/>
          <w:kern w:val="0"/>
          <w:sz w:val="20"/>
          <w:szCs w:val="20"/>
          <w:lang w:val="en-US" w:eastAsia="zh-CN" w:bidi="ar-SA"/>
          <w14:ligatures w14:val="none"/>
        </w:rPr>
        <w:t xml:space="preserve">, integrating both quantitative and qualitative approaches to address its dual research focus. In the quantitative </w:t>
      </w:r>
      <w:r>
        <w:rPr>
          <w:rFonts w:hint="eastAsia" w:ascii="Calibri" w:hAnsi="Calibri" w:cs="Calibri" w:eastAsiaTheme="majorEastAsia"/>
          <w:b w:val="0"/>
          <w:bCs w:val="0"/>
          <w:color w:val="auto"/>
          <w:kern w:val="0"/>
          <w:sz w:val="20"/>
          <w:szCs w:val="20"/>
          <w:lang w:val="en-US" w:eastAsia="zh-CN" w:bidi="ar-SA"/>
          <w14:ligatures w14:val="none"/>
        </w:rPr>
        <w:t>phase</w:t>
      </w:r>
      <w:r>
        <w:rPr>
          <w:rFonts w:hint="default" w:ascii="Calibri" w:hAnsi="Calibri" w:cs="Calibri" w:eastAsiaTheme="majorEastAsia"/>
          <w:b w:val="0"/>
          <w:bCs w:val="0"/>
          <w:color w:val="auto"/>
          <w:kern w:val="0"/>
          <w:sz w:val="20"/>
          <w:szCs w:val="20"/>
          <w:lang w:val="en-US" w:eastAsia="zh-CN" w:bidi="ar-SA"/>
          <w14:ligatures w14:val="none"/>
        </w:rPr>
        <w:t>, students’ writing samples from the comparative writing experiment are collected as primary data. Linguistic analysis tools are employed to generate numerical data, examining differences in grammatical accuracy, lexical complexity, and syntactic complexity between the generative AI-assisted and non-generative-AI-assisted groups. T</w:t>
      </w:r>
      <w:r>
        <w:rPr>
          <w:rFonts w:hint="default" w:ascii="Calibri" w:hAnsi="Calibri" w:cs="Calibri" w:eastAsiaTheme="majorEastAsia"/>
          <w:b w:val="0"/>
          <w:bCs w:val="0"/>
          <w:color w:val="auto"/>
          <w:kern w:val="0"/>
          <w:sz w:val="20"/>
          <w:szCs w:val="20"/>
          <w:highlight w:val="none"/>
          <w:lang w:val="en-US" w:eastAsia="zh-CN" w:bidi="ar-SA"/>
          <w14:ligatures w14:val="none"/>
        </w:rPr>
        <w:t>eachers’ manual assessments, using standardised criteria, provide an additional set of quantitative data on overall writing quality.</w:t>
      </w:r>
      <w:r>
        <w:rPr>
          <w:rFonts w:hint="eastAsia" w:ascii="Calibri" w:hAnsi="Calibri" w:cs="Calibri" w:eastAsiaTheme="majorEastAsia"/>
          <w:b w:val="0"/>
          <w:bCs w:val="0"/>
          <w:color w:val="auto"/>
          <w:kern w:val="0"/>
          <w:sz w:val="20"/>
          <w:szCs w:val="20"/>
          <w:highlight w:val="none"/>
          <w:lang w:val="en-US" w:eastAsia="zh-CN" w:bidi="ar-SA"/>
          <w14:ligatures w14:val="none"/>
        </w:rPr>
        <w:t xml:space="preserve"> </w:t>
      </w:r>
      <w:r>
        <w:rPr>
          <w:rFonts w:hint="eastAsia" w:ascii="Calibri" w:hAnsi="Calibri" w:cs="Calibri" w:eastAsiaTheme="majorEastAsia"/>
          <w:b w:val="0"/>
          <w:bCs w:val="0"/>
          <w:color w:val="auto"/>
          <w:kern w:val="0"/>
          <w:sz w:val="20"/>
          <w:szCs w:val="20"/>
          <w:lang w:val="en-US" w:eastAsia="zh-CN" w:bidi="ar-SA"/>
          <w14:ligatures w14:val="none"/>
        </w:rPr>
        <w:t>In t</w:t>
      </w:r>
      <w:r>
        <w:rPr>
          <w:rFonts w:hint="default" w:ascii="Calibri" w:hAnsi="Calibri" w:cs="Calibri" w:eastAsiaTheme="majorEastAsia"/>
          <w:b w:val="0"/>
          <w:bCs w:val="0"/>
          <w:color w:val="auto"/>
          <w:kern w:val="0"/>
          <w:sz w:val="20"/>
          <w:szCs w:val="20"/>
          <w:lang w:val="en-US" w:eastAsia="zh-CN" w:bidi="ar-SA"/>
          <w14:ligatures w14:val="none"/>
        </w:rPr>
        <w:t xml:space="preserve">he qualitative </w:t>
      </w:r>
      <w:r>
        <w:rPr>
          <w:rFonts w:hint="eastAsia" w:ascii="Calibri" w:hAnsi="Calibri" w:cs="Calibri" w:eastAsiaTheme="majorEastAsia"/>
          <w:b w:val="0"/>
          <w:bCs w:val="0"/>
          <w:color w:val="auto"/>
          <w:kern w:val="0"/>
          <w:sz w:val="20"/>
          <w:szCs w:val="20"/>
          <w:lang w:val="en-US" w:eastAsia="zh-CN" w:bidi="ar-SA"/>
          <w14:ligatures w14:val="none"/>
        </w:rPr>
        <w:t>ph</w:t>
      </w:r>
      <w:r>
        <w:rPr>
          <w:rFonts w:hint="default" w:ascii="Calibri" w:hAnsi="Calibri" w:cs="Calibri" w:eastAsiaTheme="majorEastAsia"/>
          <w:b w:val="0"/>
          <w:bCs w:val="0"/>
          <w:color w:val="auto"/>
          <w:kern w:val="0"/>
          <w:sz w:val="20"/>
          <w:szCs w:val="20"/>
          <w:lang w:val="en-US" w:eastAsia="zh-CN" w:bidi="ar-SA"/>
          <w14:ligatures w14:val="none"/>
        </w:rPr>
        <w:t xml:space="preserve">ase, semi-structured interviews are carried out to explore how students perceive the use of generative AI tools during the writing process, as well as the personal, social, and pedagogical factors that shape their attitudes toward generative AI-assisted writing.  The two components of the study focus on different aspects of the research question, but they work together to provide a comprehensive understanding of how this emerging AI technology is influencing EFL writing instruction.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Strengths and challenges of MMR Design</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Mixed methods research(MMR), often referred to as ‘the third research community’(Teddlie</w:t>
      </w:r>
      <w:r>
        <w:rPr>
          <w:rFonts w:hint="eastAsia" w:ascii="Calibri" w:hAnsi="Calibri" w:cs="Calibri" w:eastAsiaTheme="majorEastAsia"/>
          <w:b w:val="0"/>
          <w:bCs w:val="0"/>
          <w:color w:val="auto"/>
          <w:kern w:val="0"/>
          <w:sz w:val="20"/>
          <w:szCs w:val="20"/>
          <w:lang w:val="en-US" w:eastAsia="zh-CN" w:bidi="ar-SA"/>
          <w14:ligatures w14:val="none"/>
        </w:rPr>
        <w:t xml:space="preserve"> and </w:t>
      </w:r>
      <w:r>
        <w:rPr>
          <w:rFonts w:hint="default" w:ascii="Calibri" w:hAnsi="Calibri" w:cs="Calibri" w:eastAsiaTheme="majorEastAsia"/>
          <w:b w:val="0"/>
          <w:bCs w:val="0"/>
          <w:color w:val="auto"/>
          <w:kern w:val="0"/>
          <w:sz w:val="20"/>
          <w:szCs w:val="20"/>
          <w:lang w:val="en-US" w:eastAsia="zh-CN" w:bidi="ar-SA"/>
          <w14:ligatures w14:val="none"/>
        </w:rPr>
        <w:t xml:space="preserve">Tashakkori, 2009, p.3) after quantitative and qualitative research, is characterised by the rigorous integration of quantitative and qualitative data to address research questions(Creswell and Plano Clark, 2018). This approach connects numeric data with rich contextual insights, providing a valuable framework for exploring complex and multifaceted research problems. In the context of this study, such complexity arises with the emergence of generative AI-assisted writing in language education. </w:t>
      </w:r>
      <w:r>
        <w:rPr>
          <w:rFonts w:hint="default" w:ascii="Calibri" w:hAnsi="Calibri" w:cs="Calibri" w:eastAsiaTheme="majorEastAsia"/>
          <w:b w:val="0"/>
          <w:bCs w:val="0"/>
          <w:color w:val="auto"/>
          <w:kern w:val="0"/>
          <w:sz w:val="20"/>
          <w:szCs w:val="20"/>
          <w:highlight w:val="none"/>
          <w:lang w:val="en-US" w:eastAsia="zh-CN" w:bidi="ar-SA"/>
          <w14:ligatures w14:val="none"/>
        </w:rPr>
        <w:t>Writing by itself is a complex cognitive and social activity (Weigle, 2002), and learning to write in a foreign language is one of the most challenging aspects of foreign language learning (Hyland, 2003)</w:t>
      </w:r>
      <w:r>
        <w:rPr>
          <w:rFonts w:hint="default" w:ascii="Calibri" w:hAnsi="Calibri" w:cs="Calibri" w:eastAsiaTheme="majorEastAsia"/>
          <w:b w:val="0"/>
          <w:bCs w:val="0"/>
          <w:color w:val="auto"/>
          <w:kern w:val="0"/>
          <w:sz w:val="20"/>
          <w:szCs w:val="20"/>
          <w:lang w:val="en-US" w:eastAsia="zh-CN" w:bidi="ar-SA"/>
          <w14:ligatures w14:val="none"/>
        </w:rPr>
        <w:t xml:space="preserve">. This complexity is further intensified with the use of generative AI tools.  Students’ writing performance is no long merely a reflection of their individual writing proficiency, but rather the product of their interaction with the tools. Learners’ perceptions of the tools, their engagement strategies, the way they respond to AI-generated feedback, and even the broader social and pedagogical factors all influence how they use the tool -- and ultimately, the different writing outcomes. MMR enables the researcher to capture both sides of the complexity: the measurable linguistic impacts to reveal the difference that generative AI can make in writing performance and learners’ subjective experiences to cover their perceptions and factors behind that shape the attitude and usage.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Although MMR provides the opportunity to first measure outcomes through quantitative data and then explore learners’ experiences and influencing factors through qualitative inquiry, it also presents challenges common to all sequential designs, as outlined by Creswell and Plano Clark (2018). </w:t>
      </w:r>
      <w:r>
        <w:rPr>
          <w:rFonts w:hint="default" w:ascii="Calibri Bold" w:hAnsi="Calibri Bold" w:cs="Calibri Bold" w:eastAsiaTheme="majorEastAsia"/>
          <w:b/>
          <w:bCs/>
          <w:color w:val="auto"/>
          <w:kern w:val="0"/>
          <w:sz w:val="20"/>
          <w:szCs w:val="20"/>
          <w:lang w:val="en-US" w:eastAsia="zh-CN" w:bidi="ar-SA"/>
          <w14:ligatures w14:val="none"/>
        </w:rPr>
        <w:t>First</w:t>
      </w:r>
      <w:r>
        <w:rPr>
          <w:rFonts w:hint="default" w:ascii="Calibri" w:hAnsi="Calibri" w:cs="Calibri" w:eastAsiaTheme="majorEastAsia"/>
          <w:b w:val="0"/>
          <w:bCs w:val="0"/>
          <w:color w:val="auto"/>
          <w:kern w:val="0"/>
          <w:sz w:val="20"/>
          <w:szCs w:val="20"/>
          <w:lang w:val="en-US" w:eastAsia="zh-CN" w:bidi="ar-SA"/>
          <w14:ligatures w14:val="none"/>
        </w:rPr>
        <w:t xml:space="preserve">, there is the issue of time. The two-phase design of the study makes the research process more time-consuming in terms of both data collection and analysis, as the qualitative phase can only begin after the completion of the quantitative analysis. </w:t>
      </w:r>
      <w:r>
        <w:rPr>
          <w:rFonts w:hint="default" w:ascii="Calibri Bold" w:hAnsi="Calibri Bold" w:cs="Calibri Bold" w:eastAsiaTheme="majorEastAsia"/>
          <w:b/>
          <w:bCs/>
          <w:color w:val="auto"/>
          <w:kern w:val="0"/>
          <w:sz w:val="20"/>
          <w:szCs w:val="20"/>
          <w:lang w:val="en-US" w:eastAsia="zh-CN" w:bidi="ar-SA"/>
          <w14:ligatures w14:val="none"/>
        </w:rPr>
        <w:t>Second</w:t>
      </w:r>
      <w:r>
        <w:rPr>
          <w:rFonts w:hint="default" w:ascii="Calibri" w:hAnsi="Calibri" w:cs="Calibri" w:eastAsiaTheme="majorEastAsia"/>
          <w:b w:val="0"/>
          <w:bCs w:val="0"/>
          <w:color w:val="auto"/>
          <w:kern w:val="0"/>
          <w:sz w:val="20"/>
          <w:szCs w:val="20"/>
          <w:lang w:val="en-US" w:eastAsia="zh-CN" w:bidi="ar-SA"/>
          <w14:ligatures w14:val="none"/>
        </w:rPr>
        <w:t xml:space="preserve">, the design of the qualitative phase cannot be fully specified in advance, as it needs to be informed by the findings of the first phase. This uncertainty is a typical feature of sequential mixed methods designs (Creswell and Plano Clark, 2018). To mitigate this limitation, a preliminary set of open-ended questions will be prepared, which can be further refined once the quantitative results are available. </w:t>
      </w:r>
      <w:r>
        <w:rPr>
          <w:rFonts w:hint="default" w:ascii="Calibri Bold" w:hAnsi="Calibri Bold" w:cs="Calibri Bold" w:eastAsiaTheme="majorEastAsia"/>
          <w:b/>
          <w:bCs/>
          <w:color w:val="auto"/>
          <w:kern w:val="0"/>
          <w:sz w:val="20"/>
          <w:szCs w:val="20"/>
          <w:lang w:val="en-US" w:eastAsia="zh-CN" w:bidi="ar-SA"/>
          <w14:ligatures w14:val="none"/>
        </w:rPr>
        <w:t>Finally</w:t>
      </w:r>
      <w:r>
        <w:rPr>
          <w:rFonts w:hint="default" w:ascii="Calibri" w:hAnsi="Calibri" w:cs="Calibri" w:eastAsiaTheme="majorEastAsia"/>
          <w:b w:val="0"/>
          <w:bCs w:val="0"/>
          <w:color w:val="auto"/>
          <w:kern w:val="0"/>
          <w:sz w:val="20"/>
          <w:szCs w:val="20"/>
          <w:lang w:val="en-US" w:eastAsia="zh-CN" w:bidi="ar-SA"/>
          <w14:ligatures w14:val="none"/>
        </w:rPr>
        <w:t xml:space="preserve">, the selection of participants for the follow-up interviews presents an additional challenge. It is difficult to determine in advance who will be interviewed in the sequential design as participants are typically selected based on the findings from the quantitative phase. This issue will be discussed in greater details in the sampling section.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pStyle w:val="2"/>
        <w:bidi w:val="0"/>
        <w:rPr>
          <w:rFonts w:hint="default" w:ascii="Calibri Bold" w:hAnsi="Calibri Bold" w:cs="Calibri Bold" w:eastAsiaTheme="majorEastAsia"/>
          <w:b/>
          <w:bCs/>
          <w:color w:val="auto"/>
          <w:kern w:val="0"/>
          <w:sz w:val="24"/>
          <w:szCs w:val="24"/>
          <w:lang w:val="en-US" w:eastAsia="en-GB" w:bidi="ar-SA"/>
          <w14:ligatures w14:val="none"/>
        </w:rPr>
      </w:pPr>
      <w:r>
        <w:rPr>
          <w:rFonts w:hint="default" w:ascii="Calibri Bold" w:hAnsi="Calibri Bold" w:cs="Calibri Bold" w:eastAsiaTheme="majorEastAsia"/>
          <w:b/>
          <w:bCs/>
          <w:color w:val="auto"/>
          <w:kern w:val="0"/>
          <w:sz w:val="24"/>
          <w:szCs w:val="24"/>
          <w:lang w:val="en-US" w:eastAsia="en-GB" w:bidi="ar-SA"/>
          <w14:ligatures w14:val="none"/>
        </w:rPr>
        <w:t xml:space="preserve">Research Tools </w:t>
      </w:r>
    </w:p>
    <w:p>
      <w:pPr>
        <w:rPr>
          <w:rFonts w:hint="default" w:ascii="Calibri Bold" w:hAnsi="Calibri Bold" w:cs="Calibri Bold" w:eastAsiaTheme="majorEastAsia"/>
          <w:b/>
          <w:bCs/>
          <w:color w:val="auto"/>
          <w:kern w:val="0"/>
          <w:sz w:val="24"/>
          <w:szCs w:val="24"/>
          <w:lang w:val="en-US" w:eastAsia="en-GB" w:bidi="ar-SA"/>
          <w14:ligatures w14:val="none"/>
        </w:rPr>
      </w:pPr>
    </w:p>
    <w:p>
      <w:pPr>
        <w:keepNext w:val="0"/>
        <w:keepLines w:val="0"/>
        <w:pageBreakBefore w:val="0"/>
        <w:widowControl/>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Bold" w:hAnsi="Calibri Bold" w:cs="Calibri Bold" w:eastAsiaTheme="majorEastAsia"/>
          <w:b/>
          <w:bCs/>
          <w:color w:val="auto"/>
          <w:kern w:val="0"/>
          <w:sz w:val="20"/>
          <w:szCs w:val="20"/>
          <w:lang w:val="en-US" w:eastAsia="zh-CN" w:bidi="ar-SA"/>
          <w14:ligatures w14:val="none"/>
        </w:rPr>
      </w:pPr>
      <w:r>
        <w:rPr>
          <w:rFonts w:hint="eastAsia" w:ascii="Calibri Bold" w:hAnsi="Calibri Bold" w:cs="Calibri Bold" w:eastAsiaTheme="majorEastAsia"/>
          <w:b/>
          <w:bCs/>
          <w:color w:val="auto"/>
          <w:kern w:val="0"/>
          <w:sz w:val="20"/>
          <w:szCs w:val="20"/>
          <w:lang w:val="en-US" w:eastAsia="zh-CN" w:bidi="ar-SA"/>
          <w14:ligatures w14:val="none"/>
        </w:rPr>
        <w:t xml:space="preserve">Overview of the </w:t>
      </w:r>
      <w:r>
        <w:rPr>
          <w:rFonts w:hint="default" w:ascii="Calibri Bold" w:hAnsi="Calibri Bold" w:cs="Calibri Bold" w:eastAsiaTheme="majorEastAsia"/>
          <w:b/>
          <w:bCs/>
          <w:color w:val="auto"/>
          <w:kern w:val="0"/>
          <w:sz w:val="20"/>
          <w:szCs w:val="20"/>
          <w:lang w:val="en-US" w:eastAsia="zh-CN" w:bidi="ar-SA"/>
          <w14:ligatures w14:val="none"/>
        </w:rPr>
        <w:t>S</w:t>
      </w:r>
      <w:r>
        <w:rPr>
          <w:rFonts w:hint="eastAsia" w:ascii="Calibri Bold" w:hAnsi="Calibri Bold" w:cs="Calibri Bold" w:eastAsiaTheme="majorEastAsia"/>
          <w:b/>
          <w:bCs/>
          <w:color w:val="auto"/>
          <w:kern w:val="0"/>
          <w:sz w:val="20"/>
          <w:szCs w:val="20"/>
          <w:lang w:val="en-US" w:eastAsia="zh-CN" w:bidi="ar-SA"/>
          <w14:ligatures w14:val="none"/>
        </w:rPr>
        <w:t xml:space="preserve">tudy </w:t>
      </w:r>
      <w:r>
        <w:rPr>
          <w:rFonts w:hint="default" w:ascii="Calibri Bold" w:hAnsi="Calibri Bold" w:cs="Calibri Bold" w:eastAsiaTheme="majorEastAsia"/>
          <w:b/>
          <w:bCs/>
          <w:color w:val="auto"/>
          <w:kern w:val="0"/>
          <w:sz w:val="20"/>
          <w:szCs w:val="20"/>
          <w:lang w:val="en-US" w:eastAsia="zh-CN" w:bidi="ar-SA"/>
          <w14:ligatures w14:val="none"/>
        </w:rPr>
        <w:t>D</w:t>
      </w:r>
      <w:r>
        <w:rPr>
          <w:rFonts w:hint="eastAsia" w:ascii="Calibri Bold" w:hAnsi="Calibri Bold" w:cs="Calibri Bold" w:eastAsiaTheme="majorEastAsia"/>
          <w:b/>
          <w:bCs/>
          <w:color w:val="auto"/>
          <w:kern w:val="0"/>
          <w:sz w:val="20"/>
          <w:szCs w:val="20"/>
          <w:lang w:val="en-US" w:eastAsia="zh-CN" w:bidi="ar-SA"/>
          <w14:ligatures w14:val="none"/>
        </w:rPr>
        <w:t>esign</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This study adopts a sequential mixed-methods design, and Figure 1, adapted from Ivankova and Stick (2007, p.98), provides an overview of the phases, procedures, and product associated with each stage of the research process.</w:t>
      </w:r>
    </w:p>
    <w:p>
      <w:pPr>
        <w:keepNext w:val="0"/>
        <w:keepLines w:val="0"/>
        <w:pageBreakBefore w:val="0"/>
        <w:widowControl/>
        <w:kinsoku/>
        <w:wordWrap/>
        <w:overflowPunct/>
        <w:topLinePunct w:val="0"/>
        <w:autoSpaceDE/>
        <w:autoSpaceDN/>
        <w:bidi w:val="0"/>
        <w:adjustRightInd/>
        <w:snapToGrid/>
        <w:spacing w:line="360" w:lineRule="auto"/>
        <w:jc w:val="center"/>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drawing>
          <wp:inline distT="0" distB="0" distL="114300" distR="114300">
            <wp:extent cx="4883150" cy="7260590"/>
            <wp:effectExtent l="0" t="0" r="0" b="0"/>
            <wp:docPr id="1" name="图片 1" descr="流程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流程图"/>
                    <pic:cNvPicPr>
                      <a:picLocks noChangeAspect="1"/>
                    </pic:cNvPicPr>
                  </pic:nvPicPr>
                  <pic:blipFill>
                    <a:blip r:embed="rId7"/>
                    <a:srcRect b="16357"/>
                    <a:stretch>
                      <a:fillRect/>
                    </a:stretch>
                  </pic:blipFill>
                  <pic:spPr>
                    <a:xfrm>
                      <a:off x="0" y="0"/>
                      <a:ext cx="4883150" cy="7260590"/>
                    </a:xfrm>
                    <a:prstGeom prst="rect">
                      <a:avLst/>
                    </a:prstGeom>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9"/>
        <w:rPr>
          <w:rFonts w:hint="default" w:ascii="Calibri Bold" w:hAnsi="Calibri Bold" w:cs="Calibri Bold" w:eastAsiaTheme="majorEastAsia"/>
          <w:b/>
          <w:bCs/>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9"/>
        <w:rPr>
          <w:rFonts w:hint="default" w:ascii="Calibri Italic" w:hAnsi="Calibri Italic" w:cs="Calibri Italic" w:eastAsiaTheme="majorEastAsia"/>
          <w:b w:val="0"/>
          <w:bCs w:val="0"/>
          <w:i/>
          <w:iCs/>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Figure 1. Sequential Mixed-Methods Design: Overview of phases, procedure, and products. </w:t>
      </w:r>
      <w:r>
        <w:rPr>
          <w:rFonts w:hint="default" w:ascii="Calibri Italic" w:hAnsi="Calibri Italic" w:cs="Calibri Italic" w:eastAsiaTheme="majorEastAsia"/>
          <w:b w:val="0"/>
          <w:bCs w:val="0"/>
          <w:i/>
          <w:iCs/>
          <w:color w:val="auto"/>
          <w:kern w:val="0"/>
          <w:sz w:val="20"/>
          <w:szCs w:val="20"/>
          <w:lang w:val="en-US" w:eastAsia="zh-CN" w:bidi="ar-SA"/>
          <w14:ligatures w14:val="none"/>
        </w:rPr>
        <w:t>Adapted from Ivankova and Stick (2007,p. 98)</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9"/>
        <w:rPr>
          <w:rFonts w:hint="default" w:ascii="Calibri Italic" w:hAnsi="Calibri Italic" w:cs="Calibri Italic" w:eastAsiaTheme="majorEastAsia"/>
          <w:b w:val="0"/>
          <w:bCs w:val="0"/>
          <w:i/>
          <w:iCs/>
          <w:color w:val="auto"/>
          <w:kern w:val="0"/>
          <w:sz w:val="20"/>
          <w:szCs w:val="20"/>
          <w:lang w:val="en-US" w:eastAsia="zh-CN" w:bidi="ar-SA"/>
          <w14:ligatures w14:val="none"/>
        </w:rPr>
      </w:pPr>
    </w:p>
    <w:p>
      <w:pPr>
        <w:keepNext w:val="0"/>
        <w:keepLines w:val="0"/>
        <w:pageBreakBefore w:val="0"/>
        <w:widowControl/>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Bold" w:hAnsi="Calibri Bold" w:cs="Calibri Bold" w:eastAsiaTheme="majorEastAsia"/>
          <w:b/>
          <w:bCs/>
          <w:color w:val="auto"/>
          <w:kern w:val="0"/>
          <w:sz w:val="20"/>
          <w:szCs w:val="20"/>
          <w:lang w:val="en-US" w:eastAsia="zh-CN"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Experiment</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Bold" w:hAnsi="Calibri Bold" w:cs="Calibri Bold" w:eastAsiaTheme="majorEastAsia"/>
          <w:b/>
          <w:bCs/>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The quantitative component of this study begins with a controlled comparative writing experiment to investigate the impact of generative AI tools on students’ writing performance. Following Denscombe’s (2010b) definition, an experiment is a systematic investigation conducted under controlled conditions to explore the characteristics of and relationships between specific variables. In this study, the experiment ‘deliberately controls and manipulates’ (Cohen, Manion and Morrison, 2018, p. 391) a specific condition --whether or not participants are allowed to use generative AI tools --</w:t>
      </w:r>
      <w:r>
        <w:rPr>
          <w:rFonts w:hint="default" w:ascii="Calibri" w:hAnsi="Calibri" w:cs="Calibri" w:eastAsiaTheme="majorEastAsia"/>
          <w:b w:val="0"/>
          <w:bCs w:val="0"/>
          <w:color w:val="auto"/>
          <w:kern w:val="0"/>
          <w:sz w:val="20"/>
          <w:szCs w:val="20"/>
          <w:highlight w:val="none"/>
          <w:lang w:val="en-US" w:eastAsia="zh-CN" w:bidi="ar-SA"/>
          <w14:ligatures w14:val="none"/>
        </w:rPr>
        <w:t>while keeping all other fa</w:t>
      </w:r>
      <w:r>
        <w:rPr>
          <w:rFonts w:hint="default" w:ascii="Calibri" w:hAnsi="Calibri" w:cs="Calibri" w:eastAsiaTheme="majorEastAsia"/>
          <w:b w:val="0"/>
          <w:bCs w:val="0"/>
          <w:color w:val="auto"/>
          <w:kern w:val="0"/>
          <w:sz w:val="20"/>
          <w:szCs w:val="20"/>
          <w:lang w:val="en-US" w:eastAsia="zh-CN" w:bidi="ar-SA"/>
          <w14:ligatures w14:val="none"/>
        </w:rPr>
        <w:t>ctors relevantly constant.</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Sixty university students will be recruited though posters targeting those who are interested in participating generative AI-assisted writing research. The participants are then assigned to two groups. The AI-assisted group is allowed to use both generative AI tools and web resources during the writing task, while the Non-AI group is only allowed access  to web resources, without the use of any generative AI tools. Participants will be clearly informed of the aims of the study and the rationale behind the grouping arrangement. To protect their privacy, no screen monitoring or surveillance tools will be used during the writing session. Instead, the two groups will be seated on different sides of the classroom, and the researcher will walk around to ensure that all participants follow the AI-use rules.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Both groups will be asked to complete a speech writing task on the same topic in a university computer lab.  The task requires participants to write a 400-word exposition with argumentative elements on a topic related to Chinese culture, to be completed within one and a half hours. Before the experiment begins, all participants will be provided with a Participant Information Sheet and Consent form. The information sheet clearly explains the purpose, procedure, and ethical consideration of the study. Participants are expected to read the information carefully and sign the Consent Form to confirm that they understand the nature of the study and are willing to take part. After that, they will receive  task instructions, which includes background information of the writing topic, scoring criteria, specific steps for completing the writing task, and, for group A, a brief guideline on the appropriate use of generative AI tools.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After submission, three experienced university writing instructors will be invited to independently assess all writing samples. To ensure fairness, the raters will not be informed of the participants’ identities or group allocation. A 100-point scale will be used, based on an assessment rubric adapted from the IELTS Writing Task 2 criteria, which include task response, coherence and cohesion, lexical resources, and grammatical range and accuracy (IELTS,2023).</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The first phase of the study will generate two sets of data: students’ writing samples (in Microsoft Word Format) and scores given by three independent raters. To support the quantitative analysis, the written texts will first be processed using automated linguistic tools. Grammarly (2025), an automatic writing assistant, will be used to evaluate grammatical accuracy, while LanguageData (Jin and Lu, 2023) will be employed to analyse lexical and syntactic complexity. The scores from the three independent raters will be averaged to produce an overall quality score for each participant. These datasets will then be used for statistic analysis to address the first research question: To what extent the use of generative AI may influence differences in writing performance between students who use the tool and those who do not. The findings from this quantitative phase will also inform the follow-up interviews in the qualitative stage.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Given that existing previous research has generated mixed findings on how generative AI tools influence language outcomes,  this experiment seeks to offer more empirical evidence of their impact on EFL learners’ writing performance. However, it is important to acknowledge its inherent limitations, as is the case with all quantitative social science studies, especially those involving human participants. Social and cultural contexts, along with individual variations, inevitably influence the outcomes of such research (Dörnyei, 2007). Additionally, in this study, participants’ prior experience with generative AI tools is not taken into consideration during either recruitment or group assignment, and such individual differences may have influenced the outcomes of the generative AI-assisted writing task.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Bold" w:hAnsi="Calibri Bold" w:cs="Calibri Bold" w:eastAsiaTheme="majorEastAsia"/>
          <w:b/>
          <w:bCs/>
          <w:color w:val="auto"/>
          <w:kern w:val="0"/>
          <w:sz w:val="20"/>
          <w:szCs w:val="20"/>
          <w:lang w:val="en-US" w:eastAsia="zh-CN"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Semi-structured Interviews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Bold" w:hAnsi="Calibri Bold" w:cs="Calibri Bold" w:eastAsiaTheme="majorEastAsia"/>
          <w:b/>
          <w:bCs/>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highlight w:val="none"/>
          <w:lang w:val="en-US" w:eastAsia="en-GB"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The limitations of the quantitative experiment may be complemented by qualitative insights</w:t>
      </w:r>
      <w:r>
        <w:rPr>
          <w:rFonts w:hint="default" w:ascii="Calibri" w:hAnsi="Calibri" w:cs="Calibri" w:eastAsiaTheme="majorEastAsia"/>
          <w:b w:val="0"/>
          <w:bCs w:val="0"/>
          <w:color w:val="auto"/>
          <w:kern w:val="0"/>
          <w:sz w:val="20"/>
          <w:szCs w:val="20"/>
          <w:highlight w:val="none"/>
          <w:lang w:val="en-US" w:eastAsia="zh-CN" w:bidi="ar-SA"/>
          <w14:ligatures w14:val="none"/>
        </w:rPr>
        <w:t xml:space="preserve">. According to </w:t>
      </w:r>
      <w:r>
        <w:rPr>
          <w:rFonts w:hint="default" w:ascii="Calibri" w:hAnsi="Calibri" w:cs="Calibri" w:eastAsiaTheme="majorEastAsia"/>
          <w:b w:val="0"/>
          <w:bCs w:val="0"/>
          <w:color w:val="auto"/>
          <w:kern w:val="0"/>
          <w:sz w:val="20"/>
          <w:szCs w:val="20"/>
          <w:highlight w:val="none"/>
          <w:lang w:val="en-US" w:eastAsia="en-GB" w:bidi="ar-SA"/>
          <w14:ligatures w14:val="none"/>
        </w:rPr>
        <w:t xml:space="preserve">Denscombe (2010b), interviews are often the most appropriate method when the research aims to understand people’s thoughts, feelings, and experiences. In light of this, the second phase of the research involves semi-structured interviews, aiming at understanding how students experience and engage with generative AI tools in their writing tasks. The interviews also explore their attitudes toward such tools and the factors that may shape their use. This research tool gives students opportunities to express their views in their own words, and allows the researcher to follow up on interesting or unclear points. The natural conversations in the interviews help participant feel at ease (Lambert, 2019), making them more likely to share their genuine perspectives.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Twelve students from the group that uses generative AI tools will be invited to participate in follow-up interviews. The selection criteria are detailed in the sampling section. Each interview will be conducted one-on-one in a classroom setting. Before it starts, participants will be informed of its purpose and asked to provide their consent for audio recording.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Each interview will last about 40 minutes. The researcher will begin with a set of open-ended questions prepared in advance, covering key areas related to students’ use of generative AI in their writing. These questions serve as a flexible guide rather an a fixed structure, allowing the conversation to flow naturally. As the discussion develops, the researcher may ask follow-up questions to probe more deeply into students’ thoughts and encourage them to elaborate on their experiences. During the interview, handwritten notes will be taken to capture reflections and contextual details, which will later support and enrich the analysis of the interview data.</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The qualitative data collected during this stage will include three components: the original audio recordings (in MP3 format), the transcriptions produced by the recorder’s built-in software, and the researchers’ handwritten notes. At the end of each interview, during a short debriefing, participants will be invited to check and confirm the accuracy of the transcript,  helping to ensure the reliability of the data.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In semi-structured interviews, although the questions are prepared in advance, they are open-ended and often need to be adapted to each interviewee. The wording and order of questions may also need to adjusted depending on the flow of the conversation(Cohen, Manion and Morrison, 2018), which places high demands on the interviewer’s skills. As a novel researcher in qualitative interviewing, one possible way to address this challenge is to pilot the interview questions and procedures beforehand, allowing for refinement before actual data collection (Creswell, 2007).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pStyle w:val="2"/>
        <w:bidi w:val="0"/>
        <w:rPr>
          <w:rFonts w:hint="default" w:ascii="Calibri Bold" w:hAnsi="Calibri Bold" w:cs="Calibri Bold" w:eastAsiaTheme="majorEastAsia"/>
          <w:b/>
          <w:bCs/>
          <w:color w:val="auto"/>
          <w:kern w:val="0"/>
          <w:sz w:val="24"/>
          <w:szCs w:val="24"/>
          <w:lang w:val="en-US" w:eastAsia="zh-CN" w:bidi="ar-SA"/>
          <w14:ligatures w14:val="none"/>
        </w:rPr>
      </w:pPr>
      <w:r>
        <w:rPr>
          <w:rFonts w:hint="default" w:ascii="Calibri Bold" w:hAnsi="Calibri Bold" w:cs="Calibri Bold" w:eastAsiaTheme="majorEastAsia"/>
          <w:b/>
          <w:bCs/>
          <w:color w:val="auto"/>
          <w:kern w:val="0"/>
          <w:sz w:val="24"/>
          <w:szCs w:val="24"/>
          <w:lang w:val="en-US" w:eastAsia="en-GB" w:bidi="ar-SA"/>
          <w14:ligatures w14:val="none"/>
        </w:rPr>
        <w:t xml:space="preserve">Sampling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Sampling in MMR commonly involves the use of more than one type of sample and samples of different sizes (Teddlie and Yu, 2007). In sequential mixed methods sampling, the sample for one phase of the study is selected first and may directly inform or influence the sample for the subsequent phase (Cohen, Manion and Morrison, 2018). So the following sampling strategy is discussed in two parts: the first outlines the sampling for the quantitative experiment phase, and the second describes the sampling for the subsequent qualitative interview phase.</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4"/>
          <w:szCs w:val="24"/>
          <w:lang w:val="en-US" w:eastAsia="en-GB"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 xml:space="preserve">Sampling for the Quantitative Experiment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 convenience sampling strategy is first employed to recruit volunteers for the writing experiment, using posters at a Chinese university. As many researchers recommend a minimum sample size for statistical analysis is 30 (Cohen, Manion and Morrison, 2018), the sample size for this phase is set at 30 participants per group, resulting in a total of 60 participants.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All undergraduate students who are interested in generative AI-assisted English writing, regardless of their majors, are eligible to volunteer for the experiment. There are no specific requirements regarding prior experience with generative AI tools. However, participants are required to meet a minimum English proficiency. Specifically, English majors are required to pass the Test for English Majors Band 4 (TEM-4), a national English proficiency test designed for undergraduate English majors in China. For non-English majors, the minimum requirement is a score above 425 in College English Test Band 6 (CET-6), which is officially considered as a passing grade. Both qualifications are generally considered equivalent to the B2 level of the Common European Framework of Reference for Languages (CEFR).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To ensure that participants in the two comparison groups have comparable levels of English proficiency, and to minimise potential differences in writing performance caused by language ability, a cluster sampling strategy is adopted prior to randomly assigning participants to either group. Potential participants are first grouped into three proficiency clusters based on their English proficiency tests results: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Basic (CET 6 Score 425-500; TEM 4 Score 60-69)</w:t>
      </w:r>
    </w:p>
    <w:p>
      <w:pPr>
        <w:keepNext w:val="0"/>
        <w:keepLines w:val="0"/>
        <w:pageBreakBefore w:val="0"/>
        <w:widowControl/>
        <w:numPr>
          <w:ilvl w:val="0"/>
          <w:numId w:val="3"/>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Intermediate (CET 6 Score 501-550; TEM 4 Score 70-79)</w:t>
      </w:r>
    </w:p>
    <w:p>
      <w:pPr>
        <w:keepNext w:val="0"/>
        <w:keepLines w:val="0"/>
        <w:pageBreakBefore w:val="0"/>
        <w:widowControl/>
        <w:numPr>
          <w:ilvl w:val="0"/>
          <w:numId w:val="3"/>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Advanced (CET 6 Score 550+; TEM 4 Score 80+)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Once each cluster reaches 20 students, participants within each cluster are then randomly assigned to either the AI group (Group A) or the Non-AI group (Group B). To maintain confidentiality, each participant is labelled anonymously as A1-- A30 for Group A and B1 -- B30 for Group B.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These combination of convenience sampling, cluster sampling and random assignment help ensure that both groups contain a balanced distribution of English proficiency levels.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Bold" w:hAnsi="Calibri Bold" w:cs="Calibri Bold" w:eastAsiaTheme="majorEastAsia"/>
          <w:b/>
          <w:bCs/>
          <w:color w:val="auto"/>
          <w:kern w:val="0"/>
          <w:sz w:val="20"/>
          <w:szCs w:val="20"/>
          <w:lang w:val="en-US" w:eastAsia="zh-CN" w:bidi="ar-SA"/>
          <w14:ligatures w14:val="none"/>
        </w:rPr>
        <w:t>Sampling for the Qualitative Interviews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In a mixed methods approach, data obtained from one method can serve as the foundation for selecting participants for another, contrasting method of research (Denscombe, 2010b). In the second part of the study, a purposive sampling strategy is adopted to select participants for the follow-up interviews. 12 participants are selected from Group A, as this part of the study focuses on students’ experiences with generative AI tools in the writing process. Participants from Group B, who do not use these tools during the task, are excluded to save time and resources.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The decision to interview 12 participants is informed by Guest, Bunce and Johnson (2006), who conducted a thematic analysis of 60 in-depth interviews and found that 70% of all themes were identified within the first six interviews, and over 90% were captured within the first 12. Similarly, Morgan (1997) observed that the first five to six interviews often yield the majority of key concepts. Drawing on these findings, the current study considers 12 interviews as both manageable and sufficient for capturing students’ perceptions and experiences of using generative AI tools in the writing process.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The purposeful sampling in this phase is guided by three criteria. First, participants’ overall writing performance, as assessed by human raters, is considered. Individuals representing a range of score levels -- high, medium, and low -- are included to ensure a balanced sample on AI-assisted writing performance. Second, participants’ English proficiency levels are also taken into account, ensuring variations across different language levels. Third, participants’ prior experience with generative AI tools, as indicated in their registration form, is considered to ensure representation of both experienced and inexperienced users.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This purposive sampling is consistent with what Teddlie and Yu (2007) and Teddlie and Tashakkori (2009) describe as maximum variation sampling, which involves deliberately selecting participants who exhibit ‘a broad range of characteristics or behaviours’ (Cohen, Manion, and Morrison, 2018, p. 248), allowing researchers to explore diverse perspectives and experiences.</w:t>
      </w:r>
    </w:p>
    <w:p>
      <w:pPr>
        <w:rPr>
          <w:rFonts w:hint="default" w:ascii="Calibri" w:hAnsi="Calibri" w:cs="Calibri" w:eastAsiaTheme="majorEastAsia"/>
          <w:b w:val="0"/>
          <w:bCs w:val="0"/>
          <w:color w:val="auto"/>
          <w:kern w:val="0"/>
          <w:sz w:val="24"/>
          <w:szCs w:val="24"/>
          <w:lang w:val="en-US" w:eastAsia="en-GB" w:bidi="ar-SA"/>
          <w14:ligatures w14:val="none"/>
        </w:rPr>
      </w:pP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4"/>
          <w:szCs w:val="24"/>
          <w:lang w:val="en-US" w:eastAsia="zh-CN" w:bidi="ar-SA"/>
          <w14:ligatures w14:val="none"/>
        </w:rPr>
      </w:pPr>
      <w:r>
        <w:rPr>
          <w:rFonts w:hint="default" w:ascii="Calibri Bold" w:hAnsi="Calibri Bold" w:cs="Calibri Bold" w:eastAsiaTheme="majorEastAsia"/>
          <w:b/>
          <w:bCs/>
          <w:color w:val="auto"/>
          <w:kern w:val="0"/>
          <w:sz w:val="20"/>
          <w:szCs w:val="20"/>
          <w:lang w:val="en-US" w:eastAsia="en-GB" w:bidi="ar-SA"/>
          <w14:ligatures w14:val="none"/>
        </w:rPr>
        <w:t>Sampling Challenges in This Study</w:t>
      </w:r>
      <w:r>
        <w:rPr>
          <w:rFonts w:hint="eastAsia" w:ascii="Calibri Bold" w:hAnsi="Calibri Bold" w:cs="Calibri Bold" w:eastAsiaTheme="majorEastAsia"/>
          <w:b/>
          <w:bCs/>
          <w:color w:val="auto"/>
          <w:kern w:val="0"/>
          <w:sz w:val="20"/>
          <w:szCs w:val="20"/>
          <w:lang w:val="en-US" w:eastAsia="zh-CN" w:bidi="ar-SA"/>
          <w14:ligatures w14:val="none"/>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There are a few challenges in the sampling process. The first challenge relates to the inherent limitations of convenience sampling, which by nature, does not represent a broader population (Cohen, Manion and Morrison, 2018). Therefore, the findings of the study should be viewed as context-specific, reflecting students’ perceptions and experiences under specific experimental conditions rather than generalisable conclusions.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The second challenge involves the use of two different sample sizes for the quantitative and qualitative components. The quantitative phase requires a larger number of participants to meed the requirement for meaningful statistical analysis, while  a smaller, purposefully selected group is suitable for the researcher to explore individual experiences and perspectives in greater depth. Combining insights from these two sources can also be challenging and requires careful consideration and proper integration.</w:t>
      </w:r>
    </w:p>
    <w:p>
      <w:pPr>
        <w:pStyle w:val="2"/>
        <w:bidi w:val="0"/>
        <w:rPr>
          <w:rFonts w:hint="default" w:ascii="Calibri Bold" w:hAnsi="Calibri Bold" w:cs="Calibri Bold" w:eastAsiaTheme="majorEastAsia"/>
          <w:b/>
          <w:bCs/>
          <w:color w:val="auto"/>
          <w:kern w:val="0"/>
          <w:sz w:val="24"/>
          <w:szCs w:val="24"/>
          <w:lang w:val="en-US" w:eastAsia="zh-CN" w:bidi="ar-SA"/>
          <w14:ligatures w14:val="none"/>
        </w:rPr>
      </w:pPr>
      <w:r>
        <w:rPr>
          <w:rFonts w:hint="default" w:ascii="Calibri Bold" w:hAnsi="Calibri Bold" w:cs="Calibri Bold" w:eastAsiaTheme="majorEastAsia"/>
          <w:b/>
          <w:bCs/>
          <w:color w:val="auto"/>
          <w:kern w:val="0"/>
          <w:sz w:val="24"/>
          <w:szCs w:val="24"/>
          <w:lang w:val="en-US" w:eastAsia="en-GB" w:bidi="ar-SA"/>
          <w14:ligatures w14:val="none"/>
        </w:rPr>
        <w:t>Ethics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highlight w:val="none"/>
          <w:lang w:val="en-US" w:eastAsia="zh-CN" w:bidi="ar-SA"/>
          <w14:ligatures w14:val="none"/>
        </w:rPr>
      </w:pPr>
      <w:r>
        <w:rPr>
          <w:rFonts w:hint="default" w:ascii="Calibri" w:hAnsi="Calibri" w:cs="Calibri" w:eastAsiaTheme="majorEastAsia"/>
          <w:b w:val="0"/>
          <w:bCs w:val="0"/>
          <w:color w:val="auto"/>
          <w:kern w:val="0"/>
          <w:sz w:val="20"/>
          <w:szCs w:val="20"/>
          <w:highlight w:val="none"/>
          <w:lang w:val="en-US" w:eastAsia="zh-CN" w:bidi="ar-SA"/>
          <w14:ligatures w14:val="none"/>
        </w:rPr>
        <w:t xml:space="preserve">Maintaining ethical integrity is vital for conducting research responsibly. This study is conducted following the guide from the British Educational Research Association (BERA) Ethical Guidelines (2024) and the University of Wales Trinity Saint David (UWTSD) Research Ethics &amp; Integrity Code of Practice (2022). As stated in the university guidelines, researchers must demonstrate ‘honesty, rigour, openness, care and respect’ (UWTSD, 2022, p.3) throughout the research process. These core principles have been carefully considered in designing and conducting the research to meet high standards of academic quality and ethical responsibility.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highlight w:val="none"/>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highlight w:val="none"/>
          <w:lang w:val="en-US" w:eastAsia="zh-CN" w:bidi="ar-SA"/>
          <w14:ligatures w14:val="none"/>
        </w:rPr>
      </w:pPr>
      <w:r>
        <w:rPr>
          <w:rFonts w:hint="default" w:ascii="Calibri" w:hAnsi="Calibri" w:cs="Calibri" w:eastAsiaTheme="majorEastAsia"/>
          <w:b w:val="0"/>
          <w:bCs w:val="0"/>
          <w:color w:val="auto"/>
          <w:kern w:val="0"/>
          <w:sz w:val="20"/>
          <w:szCs w:val="20"/>
          <w:highlight w:val="none"/>
          <w:lang w:val="en-US" w:eastAsia="zh-CN" w:bidi="ar-SA"/>
          <w14:ligatures w14:val="none"/>
        </w:rPr>
        <w:t xml:space="preserve">Here are some key ethical considerations that need to be addressed in this study. </w:t>
      </w:r>
    </w:p>
    <w:p>
      <w:pPr>
        <w:jc w:val="both"/>
        <w:rPr>
          <w:rFonts w:hint="default"/>
          <w:highlight w:val="yellow"/>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Use of AI Platforms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As pointed out in the BERA Ethical Guidelines (2024), artificial intelligence is a rapidly evolving domain, and the ethical conventions surrounding its use are not yet as clearly established as those in other areas of research. Nevertheless, BERA (2024) emphasise that the core principles of ethical research remain applicable. Accordingly, this study adopts a cautious and responsible approach to ensure data security and participant privacy in the use of AI platforms.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In this study, participants in one group are permitted to use generative AI tools of their own choice to support their writing tasks. To safeguard privacy, participants are free to choose the AI platforms they prefer and may log into their personal accounts if necessary. Participants are reminded not to include any personally identifiable information in their writing. The only data collected in this phase consists of their final written texts, submitted in Microsoft Word format. No interaction data on the AI platform will be collected.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Grouping and Comparison</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As outlined in the BERA Ethical Guidelines (2024), certain research designs may result in unequal benefits among participants; however, such compromises must be ethically justified, clearly acknowledged, and appropriately explained. This principle is particularly relevant to the group-based comparison used in this study.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In the context of this study, participants are first grouped based on their English proficiency levels and then randomly assigned to either an AI group or a Non-AI group, in order to compare the extent to which generative AI tools influence EFL learners’ writing performance. Due to this division, participants in the  Non-AI group do not have access to generative AI support during the task, which may lead to feelings of disadvantage, increased pressure, or reduced confidence. Nevertheless, this comparative design is a necessary part of the research, as it enables the study to investigate whether the use of generative AI results in improvements in linguistic features and higher overall scores as assessed by human raters.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highlight w:val="none"/>
          <w:lang w:val="en-US" w:eastAsia="zh-CN" w:bidi="ar-SA"/>
          <w14:ligatures w14:val="none"/>
        </w:rPr>
      </w:pPr>
      <w:r>
        <w:rPr>
          <w:rFonts w:hint="default" w:ascii="Calibri" w:hAnsi="Calibri" w:cs="Calibri" w:eastAsiaTheme="majorEastAsia"/>
          <w:b w:val="0"/>
          <w:bCs w:val="0"/>
          <w:color w:val="auto"/>
          <w:kern w:val="0"/>
          <w:sz w:val="20"/>
          <w:szCs w:val="20"/>
          <w:highlight w:val="none"/>
          <w:lang w:val="en-US" w:eastAsia="zh-CN" w:bidi="ar-SA"/>
          <w14:ligatures w14:val="none"/>
        </w:rPr>
        <w:t xml:space="preserve">BERA (2024) states that ‘researchers should minimise the effects of research designs that advantage or are perceived to advantage one group of participants over others’(p. 21). Following this guidance, the study adopts the following steps to minimise any potential sense of unfairness that may arise from the group allocation. First, all participants will receive the same feedback after the study concludes, including a summary of the main findings and suggestions for the appropriate use of generative AI tools for writing purposes. Second, for participants in the Non-AI group, who do not have the chance to explore generative AI-assisted writing during the experiment, additional opportunities will be provided if they wish to try these tools afterwards.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highlight w:val="yellow"/>
          <w:lang w:val="en-US" w:eastAsia="zh-CN" w:bidi="ar-SA"/>
          <w14:ligatures w14:val="none"/>
        </w:rPr>
      </w:pPr>
    </w:p>
    <w:p>
      <w:pPr>
        <w:numPr>
          <w:ilvl w:val="0"/>
          <w:numId w:val="0"/>
        </w:numPr>
        <w:ind w:leftChars="0"/>
        <w:jc w:val="both"/>
        <w:rPr>
          <w:rFonts w:hint="default"/>
          <w:lang w:val="en-US" w:eastAsia="zh-CN"/>
        </w:rPr>
      </w:pPr>
      <w:r>
        <w:rPr>
          <w:rFonts w:hint="default"/>
          <w:lang w:val="en-US" w:eastAsia="zh-CN"/>
        </w:rPr>
        <w:t xml:space="preserve"> </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Consent and Data Collection</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According to the BERA Ethical Guidelines (2024), ‘appropriate treatment of participants’ data is essential to ensure ethical conduct of research’(p. 22). In this study, data collection will begin only after participants have been fully informed about the nature and purpose of the research and have provided informed consent. The data collected will include students’ writing samples  and audio recordings from the follow-up interviews. To protect participants’ identities, unique codes will be used throughout the processes of manual rating, data analysis, and final reporting.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All data will be handled in full compliance with the General Data Protection Regulation (GDPR, 2016) and the Data Protection Act (DPA, 2018), following the requirements of the university.  Only the researcher will have access to the data, which will be securely stored on a university-recognised platform and protected by authentication.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jc w:val="both"/>
        <w:rPr>
          <w:rFonts w:hint="default" w:ascii="Calibri Bold" w:hAnsi="Calibri Bold" w:cs="Calibri Bold" w:eastAsiaTheme="majorEastAsia"/>
          <w:b/>
          <w:bCs/>
          <w:color w:val="auto"/>
          <w:kern w:val="0"/>
          <w:sz w:val="24"/>
          <w:szCs w:val="24"/>
          <w:lang w:val="en-US" w:eastAsia="en-GB" w:bidi="ar-SA"/>
          <w14:ligatures w14:val="none"/>
        </w:rPr>
      </w:pPr>
    </w:p>
    <w:p>
      <w:pPr>
        <w:jc w:val="both"/>
        <w:outlineLvl w:val="0"/>
        <w:rPr>
          <w:rFonts w:hint="default" w:ascii="Calibri Bold" w:hAnsi="Calibri Bold" w:cs="Calibri Bold" w:eastAsiaTheme="majorEastAsia"/>
          <w:b/>
          <w:bCs/>
          <w:color w:val="auto"/>
          <w:kern w:val="0"/>
          <w:sz w:val="24"/>
          <w:szCs w:val="24"/>
          <w:lang w:val="en-US" w:eastAsia="en-GB" w:bidi="ar-SA"/>
          <w14:ligatures w14:val="none"/>
        </w:rPr>
      </w:pPr>
      <w:r>
        <w:rPr>
          <w:rFonts w:hint="default" w:ascii="Calibri Bold" w:hAnsi="Calibri Bold" w:cs="Calibri Bold" w:eastAsiaTheme="majorEastAsia"/>
          <w:b/>
          <w:bCs/>
          <w:color w:val="auto"/>
          <w:kern w:val="0"/>
          <w:sz w:val="24"/>
          <w:szCs w:val="24"/>
          <w:lang w:val="en-US" w:eastAsia="en-GB" w:bidi="ar-SA"/>
          <w14:ligatures w14:val="none"/>
        </w:rPr>
        <w:t>Data analysis Methods</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Data analysis in this study follows a sequential mixed methods design, in which quantitative analysis is conducted first, followed by qualitative analysis. As emphasised in mixed methods research, this process involves not only analysing each data set independently, but also integrating the findings to address the research questions more comprehensively (Creswell and Plano C</w:t>
      </w:r>
      <w:r>
        <w:rPr>
          <w:rFonts w:hint="eastAsia" w:ascii="Calibri" w:hAnsi="Calibri" w:cs="Calibri" w:eastAsiaTheme="majorEastAsia"/>
          <w:b w:val="0"/>
          <w:bCs w:val="0"/>
          <w:color w:val="auto"/>
          <w:kern w:val="0"/>
          <w:sz w:val="20"/>
          <w:szCs w:val="20"/>
          <w:lang w:val="en-US" w:eastAsia="zh-CN" w:bidi="ar-SA"/>
          <w14:ligatures w14:val="none"/>
        </w:rPr>
        <w:t>lark</w:t>
      </w:r>
      <w:r>
        <w:rPr>
          <w:rFonts w:hint="default" w:ascii="Calibri" w:hAnsi="Calibri" w:cs="Calibri" w:eastAsiaTheme="majorEastAsia"/>
          <w:b w:val="0"/>
          <w:bCs w:val="0"/>
          <w:color w:val="auto"/>
          <w:kern w:val="0"/>
          <w:sz w:val="20"/>
          <w:szCs w:val="20"/>
          <w:lang w:val="en-US" w:eastAsia="zh-CN" w:bidi="ar-SA"/>
          <w14:ligatures w14:val="none"/>
        </w:rPr>
        <w:t>, 2018).</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4"/>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Quantitative Data Analysis</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Grammatical accuracy is assessed using Grammarly (2025), which automatically evaluates writing samples and provides feedback across four domains: correctness, clarity, engagement, and delivery. For the purpose of this study, only grammatical errors identified under the ‘correctness’ category are included in the analysis. For each writing sample, the total number of grammatical errors is recorded and double checked by the researcher to ensure accuracy. The raw error count of each text is divided by the total number of words and multiplied by 100 to calculate the grammatical error rate per 100 words, which is used for subsequent statistical analysis.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The linguistic analysis tool LanguageData (2023) is used to evaluate two aspects of participants’ writing samples: lexical complexity and syntactic complexity. The tool is fully automatic: after inputting a text sample into the system, it generates numerical scores for the two dimensions. These scores are also benchmarked against China’s Standard English Language Ability (CSE), making the tool particularly suitable for EFL students in the Chinese higher education context. The numerical scores output from the tool are used directly in the next stage of analysis.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For the human-rated data, each writing sample is independently scored on a 100-point scale by three raters. The three scores for the same piece of writing are then averaged to generate a single overall writing quality score for each participant.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All above three datasets -- grammatical error rate, linguistic complexity numbers, and human-rated writing scores -- are then entered into SPSS for statistical analysis. Descriptive analysis is used to summarise the overall writing performance of both the AI group and Non-AI group. In addition, an independent samples t-test is conducted to determine whether the difference between the two groups is statistically significant in terms of grammatical accuracy, lexical and syntactic complexity and overall writing quality. </w:t>
      </w:r>
    </w:p>
    <w:p>
      <w:pPr>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numPr>
          <w:ilvl w:val="0"/>
          <w:numId w:val="0"/>
        </w:numPr>
        <w:ind w:leftChars="0"/>
        <w:jc w:val="both"/>
        <w:rPr>
          <w:rFonts w:hint="default"/>
          <w:lang w:val="en-US" w:eastAsia="zh-CN"/>
        </w:rPr>
      </w:pPr>
      <w:r>
        <w:rPr>
          <w:rFonts w:hint="default"/>
          <w:lang w:val="en-US" w:eastAsia="zh-CN"/>
        </w:rPr>
        <w:t xml:space="preserve">  </w:t>
      </w:r>
    </w:p>
    <w:p>
      <w:pPr>
        <w:keepNext w:val="0"/>
        <w:keepLines w:val="0"/>
        <w:pageBreakBefore w:val="0"/>
        <w:widowControl/>
        <w:numPr>
          <w:ilvl w:val="0"/>
          <w:numId w:val="4"/>
        </w:numPr>
        <w:kinsoku/>
        <w:wordWrap/>
        <w:overflowPunct/>
        <w:topLinePunct w:val="0"/>
        <w:autoSpaceDE/>
        <w:autoSpaceDN/>
        <w:bidi w:val="0"/>
        <w:adjustRightInd/>
        <w:snapToGrid/>
        <w:spacing w:line="360" w:lineRule="auto"/>
        <w:ind w:left="420" w:leftChars="0" w:hanging="420" w:firstLineChars="0"/>
        <w:jc w:val="both"/>
        <w:textAlignment w:val="auto"/>
        <w:outlineLvl w:val="1"/>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Q</w:t>
      </w:r>
      <w:r>
        <w:rPr>
          <w:rFonts w:hint="eastAsia" w:ascii="Calibri" w:hAnsi="Calibri" w:cs="Calibri" w:eastAsiaTheme="majorEastAsia"/>
          <w:b w:val="0"/>
          <w:bCs w:val="0"/>
          <w:color w:val="auto"/>
          <w:kern w:val="0"/>
          <w:sz w:val="20"/>
          <w:szCs w:val="20"/>
          <w:lang w:val="en-US" w:eastAsia="zh-CN" w:bidi="ar-SA"/>
          <w14:ligatures w14:val="none"/>
        </w:rPr>
        <w:t>ua</w:t>
      </w:r>
      <w:r>
        <w:rPr>
          <w:rFonts w:hint="default" w:ascii="Calibri" w:hAnsi="Calibri" w:cs="Calibri" w:eastAsiaTheme="majorEastAsia"/>
          <w:b w:val="0"/>
          <w:bCs w:val="0"/>
          <w:color w:val="auto"/>
          <w:kern w:val="0"/>
          <w:sz w:val="20"/>
          <w:szCs w:val="20"/>
          <w:lang w:val="en-US" w:eastAsia="zh-CN" w:bidi="ar-SA"/>
          <w14:ligatures w14:val="none"/>
        </w:rPr>
        <w:t>litative D</w:t>
      </w:r>
      <w:r>
        <w:rPr>
          <w:rFonts w:hint="eastAsia" w:ascii="Calibri" w:hAnsi="Calibri" w:cs="Calibri" w:eastAsiaTheme="majorEastAsia"/>
          <w:b w:val="0"/>
          <w:bCs w:val="0"/>
          <w:color w:val="auto"/>
          <w:kern w:val="0"/>
          <w:sz w:val="20"/>
          <w:szCs w:val="20"/>
          <w:lang w:val="en-US" w:eastAsia="zh-CN" w:bidi="ar-SA"/>
          <w14:ligatures w14:val="none"/>
        </w:rPr>
        <w:t>ata</w:t>
      </w:r>
      <w:r>
        <w:rPr>
          <w:rFonts w:hint="default" w:ascii="Calibri" w:hAnsi="Calibri" w:cs="Calibri" w:eastAsiaTheme="majorEastAsia"/>
          <w:b w:val="0"/>
          <w:bCs w:val="0"/>
          <w:color w:val="auto"/>
          <w:kern w:val="0"/>
          <w:sz w:val="20"/>
          <w:szCs w:val="20"/>
          <w:lang w:val="en-US" w:eastAsia="zh-CN" w:bidi="ar-SA"/>
          <w14:ligatures w14:val="none"/>
        </w:rPr>
        <w:t xml:space="preserve"> Analysis</w:t>
      </w:r>
      <w:r>
        <w:rPr>
          <w:rFonts w:hint="eastAsia" w:ascii="Calibri" w:hAnsi="Calibri" w:cs="Calibri" w:eastAsiaTheme="majorEastAsia"/>
          <w:b w:val="0"/>
          <w:bCs w:val="0"/>
          <w:color w:val="auto"/>
          <w:kern w:val="0"/>
          <w:sz w:val="20"/>
          <w:szCs w:val="20"/>
          <w:lang w:val="en-US" w:eastAsia="zh-CN" w:bidi="ar-SA"/>
          <w14:ligatures w14:val="none"/>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The qualitative data collected from the semi-structured interviews are analysed using thematic analysis, following the six-phase approached proposed by Braun and Clarke (2006): (1) familiarisation with the data, (2)generation of initial codes, (3)searching for themes, (4)reviewing the themes, (5) defining and naming themes, and (6)writing up. This approach is selected for its flexibility and its suitability for exploring participants’ perception, beliefs, and experiences in educational context, which aligns well with the aims and nature of  this study.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highlight w:val="none"/>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The interviews are conducted in Mandarin, which is the participants’ native language, and they are able to express themselves more freely and fully. However, since the final report is written in English, language translation becomes an important part of the analysis process. As </w:t>
      </w:r>
      <w:r>
        <w:rPr>
          <w:rFonts w:hint="default" w:ascii="Calibri" w:hAnsi="Calibri" w:cs="Calibri" w:eastAsiaTheme="majorEastAsia"/>
          <w:b w:val="0"/>
          <w:bCs w:val="0"/>
          <w:color w:val="auto"/>
          <w:kern w:val="0"/>
          <w:sz w:val="20"/>
          <w:szCs w:val="20"/>
          <w:highlight w:val="none"/>
          <w:lang w:val="en-US" w:eastAsia="zh-CN" w:bidi="ar-SA"/>
          <w14:ligatures w14:val="none"/>
        </w:rPr>
        <w:t xml:space="preserve">Smith, Chen and Liu (2008) point out, conducting qualitative research across languages brings certain challenges. First, translating transcripts from one language to another can be costly and time-consuming. More importantly, there is always a risk that meaning might be lost or distorted during translation. Given these concerns, the role of the translator becomes crucial in qualitative studies involving two languages. This study follows the example from Smith, Chen and Liu (2018), collecting and transcribing the interview data in original Mandarin, and then coding and analysing the themes in English. When using supporting quotations in the final report, both the original Mandarin and their English translations will be provided to ensure clarity and transparency.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highlight w:val="none"/>
          <w:lang w:val="en-US" w:eastAsia="zh-CN"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0"/>
        <w:rPr>
          <w:rFonts w:hint="default" w:ascii="Calibri Bold" w:hAnsi="Calibri Bold" w:cs="Calibri Bold" w:eastAsiaTheme="majorEastAsia"/>
          <w:b/>
          <w:bCs/>
          <w:color w:val="auto"/>
          <w:kern w:val="0"/>
          <w:sz w:val="20"/>
          <w:szCs w:val="20"/>
          <w:lang w:val="en-US" w:eastAsia="en-GB" w:bidi="ar-SA"/>
          <w14:ligatures w14:val="none"/>
        </w:rPr>
      </w:pPr>
      <w:r>
        <w:rPr>
          <w:rFonts w:hint="default" w:ascii="Calibri Bold" w:hAnsi="Calibri Bold" w:cs="Calibri Bold" w:eastAsiaTheme="majorEastAsia"/>
          <w:b/>
          <w:bCs/>
          <w:color w:val="auto"/>
          <w:kern w:val="0"/>
          <w:sz w:val="20"/>
          <w:szCs w:val="20"/>
          <w:lang w:val="en-US" w:eastAsia="en-GB" w:bidi="ar-SA"/>
          <w14:ligatures w14:val="none"/>
        </w:rPr>
        <w:t xml:space="preserve">Conclusion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r>
        <w:rPr>
          <w:rFonts w:hint="default" w:ascii="Calibri" w:hAnsi="Calibri" w:cs="Calibri" w:eastAsiaTheme="majorEastAsia"/>
          <w:b w:val="0"/>
          <w:bCs w:val="0"/>
          <w:color w:val="auto"/>
          <w:kern w:val="0"/>
          <w:sz w:val="20"/>
          <w:szCs w:val="20"/>
          <w:lang w:val="en-US" w:eastAsia="en-GB" w:bidi="ar-SA"/>
          <w14:ligatures w14:val="none"/>
        </w:rPr>
        <w:t xml:space="preserve">Grounded in a pragmatic philosophical stance, this sequential mixed-methods study explores how Chinese- developed generative AI tools support university students in China with their writing. By integrating quantitative analysis of a writing experiment result with qualitative insights into their experiences and perceptions from the interviews, the study aims to offer practical recommendations for how such tools can be thoughtfully integrated into EFL writing instruction.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9"/>
        <w:rPr>
          <w:rFonts w:hint="default" w:ascii="Calibri" w:hAnsi="Calibri" w:cs="Calibri" w:eastAsiaTheme="majorEastAsia"/>
          <w:b w:val="0"/>
          <w:bCs w:val="0"/>
          <w:color w:val="auto"/>
          <w:kern w:val="0"/>
          <w:sz w:val="20"/>
          <w:szCs w:val="20"/>
          <w:lang w:val="en-US" w:eastAsia="en-GB" w:bidi="ar-SA"/>
          <w14:ligatures w14:val="none"/>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outlineLvl w:val="0"/>
        <w:rPr>
          <w:rFonts w:hint="default" w:ascii="Calibri Bold" w:hAnsi="Calibri Bold" w:cs="Calibri Bold" w:eastAsiaTheme="majorEastAsia"/>
          <w:b/>
          <w:bCs/>
          <w:color w:val="auto"/>
          <w:kern w:val="0"/>
          <w:sz w:val="20"/>
          <w:szCs w:val="20"/>
          <w:lang w:val="en-US" w:eastAsia="en-GB" w:bidi="ar-SA"/>
          <w14:ligatures w14:val="none"/>
        </w:rPr>
      </w:pPr>
      <w:r>
        <w:rPr>
          <w:rFonts w:hint="default" w:ascii="Calibri Bold" w:hAnsi="Calibri Bold" w:cs="Calibri Bold" w:eastAsiaTheme="majorEastAsia"/>
          <w:b/>
          <w:bCs/>
          <w:color w:val="auto"/>
          <w:kern w:val="0"/>
          <w:sz w:val="20"/>
          <w:szCs w:val="20"/>
          <w:lang w:val="en-US" w:eastAsia="en-GB" w:bidi="ar-SA"/>
          <w14:ligatures w14:val="none"/>
        </w:rPr>
        <w:t xml:space="preserve">Reference </w:t>
      </w:r>
    </w:p>
    <w:p>
      <w:pPr>
        <w:rPr>
          <w:rFonts w:hint="default"/>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rPr>
      </w:pPr>
      <w:r>
        <w:rPr>
          <w:rFonts w:hint="default" w:ascii="Calibri Regular" w:hAnsi="Calibri Regular" w:eastAsia="Times New Roman" w:cs="Calibri Regular"/>
        </w:rPr>
        <w:t xml:space="preserve">Almaiah, M.A., Alamri, M.M. and AlRahmi, W. (2019) ‘Applying the UTAUT model to explain the students’ acceptance of mobile learning system in higher education’, </w:t>
      </w:r>
      <w:r>
        <w:rPr>
          <w:rFonts w:hint="default" w:ascii="Calibri Italic" w:hAnsi="Calibri Italic" w:eastAsia="Times New Roman" w:cs="Calibri Italic"/>
          <w:i/>
          <w:iCs/>
        </w:rPr>
        <w:t>IEEE Access</w:t>
      </w:r>
      <w:r>
        <w:rPr>
          <w:rFonts w:hint="default" w:ascii="Calibri Regular" w:hAnsi="Calibri Regular" w:eastAsia="Times New Roman" w:cs="Calibri Regular"/>
        </w:rPr>
        <w:t xml:space="preserve">, 7, pp.174673-174686. Available at: </w:t>
      </w:r>
      <w:r>
        <w:rPr>
          <w:rFonts w:hint="default" w:ascii="Calibri Regular" w:hAnsi="Calibri Regular" w:eastAsia="Times New Roman" w:cs="Calibri Regular"/>
        </w:rPr>
        <w:fldChar w:fldCharType="begin"/>
      </w:r>
      <w:r>
        <w:rPr>
          <w:rFonts w:hint="default" w:ascii="Calibri Regular" w:hAnsi="Calibri Regular" w:eastAsia="Times New Roman" w:cs="Calibri Regular"/>
        </w:rPr>
        <w:instrText xml:space="preserve"> HYPERLINK "http://doi.org/10.1109/ACCESS.2019.2957206" </w:instrText>
      </w:r>
      <w:r>
        <w:rPr>
          <w:rFonts w:hint="default" w:ascii="Calibri Regular" w:hAnsi="Calibri Regular" w:eastAsia="Times New Roman" w:cs="Calibri Regular"/>
        </w:rPr>
        <w:fldChar w:fldCharType="separate"/>
      </w:r>
      <w:r>
        <w:rPr>
          <w:rStyle w:val="19"/>
          <w:rFonts w:hint="default" w:ascii="Calibri Regular" w:hAnsi="Calibri Regular" w:eastAsia="Times New Roman" w:cs="Calibri Regular"/>
        </w:rPr>
        <w:t>http://doi.org/10.1109/ACCESS.2019.2957206</w:t>
      </w:r>
      <w:r>
        <w:rPr>
          <w:rFonts w:hint="default" w:ascii="Calibri Regular" w:hAnsi="Calibri Regular" w:eastAsia="Times New Roman" w:cs="Calibri Regular"/>
        </w:rPr>
        <w:fldChar w:fldCharType="end"/>
      </w:r>
      <w:r>
        <w:rPr>
          <w:rFonts w:hint="default" w:ascii="Calibri Regular" w:hAnsi="Calibri Regular" w:eastAsia="Times New Roman" w:cs="Calibri Regular"/>
          <w:lang w:val="en-US"/>
        </w:rPr>
        <w:t xml:space="preserve"> </w:t>
      </w:r>
      <w:r>
        <w:rPr>
          <w:rFonts w:hint="default" w:ascii="Calibri Regular" w:hAnsi="Calibri Regular" w:eastAsia="Times New Roman" w:cs="Calibri Regular"/>
        </w:rPr>
        <w:t xml:space="preserve"> </w:t>
      </w:r>
    </w:p>
    <w:p>
      <w:pPr>
        <w:rPr>
          <w:rFonts w:hint="default"/>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eastAsia="SimSun" w:cs="Calibri Regular"/>
          <w:lang w:val="en-US" w:eastAsia="zh-CN"/>
        </w:rPr>
      </w:pPr>
      <w:r>
        <w:rPr>
          <w:rFonts w:hint="default" w:ascii="Calibri Regular" w:hAnsi="Calibri Regular" w:cs="Calibri Regular"/>
        </w:rPr>
        <w:t xml:space="preserve">Barrot, J.S. (2023) ‘Using ChatGPT for second language writing: pitfalls and potentials’, </w:t>
      </w:r>
      <w:r>
        <w:rPr>
          <w:rFonts w:hint="default" w:ascii="Calibri Italic" w:hAnsi="Calibri Italic" w:cs="Calibri Italic"/>
          <w:i/>
          <w:iCs/>
        </w:rPr>
        <w:t>Assessing Writing</w:t>
      </w:r>
      <w:r>
        <w:rPr>
          <w:rFonts w:hint="default" w:ascii="Calibri Regular" w:hAnsi="Calibri Regular" w:cs="Calibri Regular"/>
        </w:rPr>
        <w:t xml:space="preserve">, 57, article 100745. Available at:  </w:t>
      </w:r>
      <w:r>
        <w:rPr>
          <w:rFonts w:hint="default" w:ascii="Calibri Regular" w:hAnsi="Calibri Regular" w:cs="Calibri Regular"/>
          <w:color w:val="auto"/>
          <w:u w:val="none"/>
        </w:rPr>
        <w:fldChar w:fldCharType="begin"/>
      </w:r>
      <w:r>
        <w:rPr>
          <w:rFonts w:hint="default" w:ascii="Calibri Regular" w:hAnsi="Calibri Regular" w:cs="Calibri Regular"/>
          <w:color w:val="auto"/>
          <w:u w:val="none"/>
        </w:rPr>
        <w:instrText xml:space="preserve"> HYPERLINK "https://doi.org/10.1016/j.asw.2023.100745" </w:instrText>
      </w:r>
      <w:r>
        <w:rPr>
          <w:rFonts w:hint="default" w:ascii="Calibri Regular" w:hAnsi="Calibri Regular" w:cs="Calibri Regular"/>
          <w:color w:val="auto"/>
          <w:u w:val="none"/>
        </w:rPr>
        <w:fldChar w:fldCharType="separate"/>
      </w:r>
      <w:r>
        <w:rPr>
          <w:rStyle w:val="19"/>
          <w:rFonts w:hint="default" w:ascii="Calibri Regular" w:hAnsi="Calibri Regular" w:cs="Calibri Regular"/>
        </w:rPr>
        <w:t>https://doi.org/10.1016/j.asw.2023.100745</w:t>
      </w:r>
      <w:r>
        <w:rPr>
          <w:rFonts w:hint="default" w:ascii="Calibri Regular" w:hAnsi="Calibri Regular" w:cs="Calibri Regular"/>
          <w:color w:val="auto"/>
          <w:u w:val="none"/>
        </w:rPr>
        <w:fldChar w:fldCharType="end"/>
      </w:r>
      <w:r>
        <w:rPr>
          <w:rFonts w:hint="eastAsia" w:ascii="Calibri Regular" w:hAnsi="Calibri Regular" w:eastAsia="SimSun" w:cs="Calibri Regular"/>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eastAsia="SimSun"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SimSun" w:cs="Calibri Regular"/>
          <w:lang w:val="en-US" w:eastAsia="zh-CN"/>
        </w:rPr>
      </w:pPr>
      <w:r>
        <w:rPr>
          <w:rFonts w:hint="eastAsia" w:ascii="Calibri Regular" w:hAnsi="Calibri Regular" w:eastAsia="SimSun" w:cs="Calibri Regular"/>
          <w:lang w:val="en-US" w:eastAsia="zh-CN"/>
        </w:rPr>
        <w:t xml:space="preserve">British Educational Research Association [BERA] (2024) </w:t>
      </w:r>
      <w:r>
        <w:rPr>
          <w:rFonts w:hint="default" w:ascii="Calibri Italic" w:hAnsi="Calibri Italic" w:eastAsia="SimSun" w:cs="Calibri Italic"/>
          <w:i/>
          <w:iCs/>
          <w:lang w:val="en-US" w:eastAsia="zh-CN"/>
        </w:rPr>
        <w:t>Ethical guidelines for educational research</w:t>
      </w:r>
      <w:r>
        <w:rPr>
          <w:rFonts w:hint="eastAsia" w:ascii="Calibri Regular" w:hAnsi="Calibri Regular" w:eastAsia="SimSun" w:cs="Calibri Regular"/>
          <w:lang w:val="en-US" w:eastAsia="zh-CN"/>
        </w:rPr>
        <w:t xml:space="preserve">. 5th edn. Available at:  </w:t>
      </w:r>
      <w:r>
        <w:rPr>
          <w:rFonts w:hint="eastAsia" w:ascii="Calibri Regular" w:hAnsi="Calibri Regular" w:eastAsia="SimSun" w:cs="Calibri Regular"/>
          <w:lang w:val="en-US" w:eastAsia="zh-CN"/>
        </w:rPr>
        <w:fldChar w:fldCharType="begin"/>
      </w:r>
      <w:r>
        <w:rPr>
          <w:rFonts w:hint="eastAsia" w:ascii="Calibri Regular" w:hAnsi="Calibri Regular" w:eastAsia="SimSun" w:cs="Calibri Regular"/>
          <w:lang w:val="en-US" w:eastAsia="zh-CN"/>
        </w:rPr>
        <w:instrText xml:space="preserve"> HYPERLINK "http://www.bera.ac.uk/publication/ethicalguidelines-for-educational-research-2024" </w:instrText>
      </w:r>
      <w:r>
        <w:rPr>
          <w:rFonts w:hint="eastAsia" w:ascii="Calibri Regular" w:hAnsi="Calibri Regular" w:eastAsia="SimSun" w:cs="Calibri Regular"/>
          <w:lang w:val="en-US" w:eastAsia="zh-CN"/>
        </w:rPr>
        <w:fldChar w:fldCharType="separate"/>
      </w:r>
      <w:r>
        <w:rPr>
          <w:rStyle w:val="19"/>
          <w:rFonts w:hint="eastAsia" w:ascii="Calibri Regular" w:hAnsi="Calibri Regular" w:eastAsia="SimSun" w:cs="Calibri Regular"/>
          <w:lang w:val="en-US" w:eastAsia="zh-CN"/>
        </w:rPr>
        <w:t>www.bera.ac.uk/publication/ethicalguidelines-for-educational-research-2024</w:t>
      </w:r>
      <w:r>
        <w:rPr>
          <w:rFonts w:hint="eastAsia" w:ascii="Calibri Regular" w:hAnsi="Calibri Regular" w:eastAsia="SimSun" w:cs="Calibri Regular"/>
          <w:lang w:val="en-US" w:eastAsia="zh-CN"/>
        </w:rPr>
        <w:fldChar w:fldCharType="end"/>
      </w:r>
      <w:r>
        <w:rPr>
          <w:rFonts w:hint="default" w:ascii="Calibri Regular" w:hAnsi="Calibri Regular" w:eastAsia="SimSun" w:cs="Calibri Regular"/>
          <w:lang w:val="en-US" w:eastAsia="zh-CN"/>
        </w:rPr>
        <w:t xml:space="preserve"> </w:t>
      </w:r>
      <w:r>
        <w:rPr>
          <w:rFonts w:hint="eastAsia" w:ascii="Calibri Regular" w:hAnsi="Calibri Regular" w:eastAsia="SimSun" w:cs="Calibri Regular"/>
          <w:lang w:val="en-US" w:eastAsia="zh-CN"/>
        </w:rPr>
        <w:t>(Accessed</w:t>
      </w:r>
      <w:r>
        <w:rPr>
          <w:rFonts w:hint="default" w:ascii="Calibri Regular" w:hAnsi="Calibri Regular" w:eastAsia="SimSun" w:cs="Calibri Regular"/>
          <w:lang w:val="en-US" w:eastAsia="zh-CN"/>
        </w:rPr>
        <w:t>: 7 April, 2025).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eastAsia="SimSun"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eastAsia="Times New Roman" w:cs="Calibri Regular"/>
          <w:lang w:val="en-US" w:eastAsia="zh-CN"/>
        </w:rPr>
      </w:pPr>
      <w:r>
        <w:rPr>
          <w:rFonts w:hint="eastAsia" w:ascii="Calibri Regular" w:hAnsi="Calibri Regular" w:eastAsia="Times New Roman" w:cs="Calibri Regular"/>
          <w:lang w:val="en-US" w:eastAsia="zh-CN"/>
        </w:rPr>
        <w:t xml:space="preserve">Cohen, L., Manion, L. and Morrison, K. (2018) </w:t>
      </w:r>
      <w:r>
        <w:rPr>
          <w:rFonts w:hint="default" w:ascii="Calibri Italic" w:hAnsi="Calibri Italic" w:eastAsia="Times New Roman" w:cs="Calibri Italic"/>
          <w:i/>
          <w:iCs/>
          <w:lang w:val="en-US" w:eastAsia="zh-CN"/>
        </w:rPr>
        <w:t>Research methods in education</w:t>
      </w:r>
      <w:r>
        <w:rPr>
          <w:rFonts w:hint="eastAsia" w:ascii="Calibri Regular" w:hAnsi="Calibri Regular" w:eastAsia="Times New Roman" w:cs="Calibri Regular"/>
          <w:lang w:val="en-US" w:eastAsia="zh-CN"/>
        </w:rPr>
        <w:t>. 8th edn. London, and New York: Routledge.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eastAsia="Times New Roman"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rPr>
        <w:t>Creswell, J.W. and P</w:t>
      </w:r>
      <w:r>
        <w:rPr>
          <w:rFonts w:hint="eastAsia" w:ascii="Calibri Regular" w:hAnsi="Calibri Regular" w:eastAsia="Times New Roman" w:cs="Calibri Regular"/>
          <w:lang w:val="en-US" w:eastAsia="zh-CN"/>
        </w:rPr>
        <w:t>l</w:t>
      </w:r>
      <w:r>
        <w:rPr>
          <w:rFonts w:hint="default" w:ascii="Calibri Regular" w:hAnsi="Calibri Regular" w:eastAsia="Times New Roman" w:cs="Calibri Regular"/>
          <w:lang w:val="en-US"/>
        </w:rPr>
        <w:t xml:space="preserve">ano Clark, V.L. (2018) </w:t>
      </w:r>
      <w:r>
        <w:rPr>
          <w:rFonts w:hint="default" w:ascii="Calibri Italic" w:hAnsi="Calibri Italic" w:eastAsia="Times New Roman" w:cs="Calibri Italic"/>
          <w:i/>
          <w:iCs/>
          <w:lang w:val="en-US"/>
        </w:rPr>
        <w:t>Designing and conducting mixed methods research</w:t>
      </w:r>
      <w:r>
        <w:rPr>
          <w:rFonts w:hint="default" w:ascii="Calibri Regular" w:hAnsi="Calibri Regular" w:eastAsia="Times New Roman" w:cs="Calibri Regular"/>
          <w:lang w:val="en-US"/>
        </w:rPr>
        <w:t>. 3</w:t>
      </w:r>
      <w:r>
        <w:rPr>
          <w:rFonts w:hint="eastAsia" w:ascii="Calibri Regular" w:hAnsi="Calibri Regular" w:eastAsia="Times New Roman" w:cs="Calibri Regular"/>
          <w:lang w:val="en-US" w:eastAsia="zh-CN"/>
        </w:rPr>
        <w:t>rd</w:t>
      </w:r>
      <w:r>
        <w:rPr>
          <w:rFonts w:hint="default" w:ascii="Calibri Regular" w:hAnsi="Calibri Regular" w:eastAsia="Times New Roman" w:cs="Calibri Regular"/>
          <w:lang w:val="en-US" w:eastAsia="zh-CN"/>
        </w:rPr>
        <w:t xml:space="preserve"> </w:t>
      </w:r>
      <w:r>
        <w:rPr>
          <w:rFonts w:hint="default" w:ascii="Calibri Regular" w:hAnsi="Calibri Regular" w:eastAsia="Times New Roman" w:cs="Calibri Regular"/>
          <w:lang w:val="en-US"/>
        </w:rPr>
        <w:t>edn. Thousand Oaks: SAGE.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rPr>
        <w:t>Denscombe, M. (2010a)</w:t>
      </w:r>
      <w:r>
        <w:rPr>
          <w:rFonts w:hint="default" w:ascii="Calibri Italic" w:hAnsi="Calibri Italic" w:eastAsia="Times New Roman" w:cs="Calibri Italic"/>
          <w:i/>
          <w:iCs/>
          <w:lang w:val="en-US"/>
        </w:rPr>
        <w:t xml:space="preserve"> Ground rules for social research: Guidelines for good practice</w:t>
      </w:r>
      <w:r>
        <w:rPr>
          <w:rFonts w:hint="default" w:ascii="Calibri Regular" w:hAnsi="Calibri Regular" w:eastAsia="Times New Roman" w:cs="Calibri Regular"/>
          <w:lang w:val="en-US"/>
        </w:rPr>
        <w:t>. 2nd edn. Maidenhead: Open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rPr>
        <w:t xml:space="preserve">Denscombe, M. (2010b) </w:t>
      </w:r>
      <w:r>
        <w:rPr>
          <w:rFonts w:hint="default" w:ascii="Calibri Italic" w:hAnsi="Calibri Italic" w:eastAsia="Times New Roman" w:cs="Calibri Italic"/>
          <w:i/>
          <w:iCs/>
          <w:lang w:val="en-US"/>
        </w:rPr>
        <w:t>The good research guide for small-scale social research projects</w:t>
      </w:r>
      <w:r>
        <w:rPr>
          <w:rFonts w:hint="default" w:ascii="Calibri Regular" w:hAnsi="Calibri Regular" w:eastAsia="Times New Roman" w:cs="Calibri Regular"/>
          <w:lang w:val="en-US"/>
        </w:rPr>
        <w:t>. 4th edn. Maidenhead: Open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r>
        <w:rPr>
          <w:rFonts w:hint="default" w:ascii="Calibri Regular" w:hAnsi="Calibri Regular" w:cs="Calibri Regular"/>
        </w:rPr>
        <w:t xml:space="preserve">Dong, L. (2024) ‘‘‘Brave New World” or not?: A mixed-methods study of the relationship between second language writing learners’ perceptions of ChatGPT, behaviors of using ChatGPT, and writing proficiency’, </w:t>
      </w:r>
      <w:r>
        <w:rPr>
          <w:rFonts w:hint="default" w:ascii="Calibri Italic" w:hAnsi="Calibri Italic" w:cs="Calibri Italic"/>
          <w:i/>
          <w:iCs/>
        </w:rPr>
        <w:t>Current Psychology</w:t>
      </w:r>
      <w:r>
        <w:rPr>
          <w:rFonts w:hint="default" w:ascii="Calibri Regular" w:hAnsi="Calibri Regular" w:cs="Calibri Regular"/>
        </w:rPr>
        <w:t xml:space="preserve">, 43(21), pp. 19481–19495. Available at: </w:t>
      </w:r>
      <w:r>
        <w:rPr>
          <w:rFonts w:hint="default" w:ascii="Calibri Regular" w:hAnsi="Calibri Regular" w:cs="Calibri Regular"/>
          <w:color w:val="auto"/>
          <w:u w:val="none"/>
        </w:rPr>
        <w:fldChar w:fldCharType="begin"/>
      </w:r>
      <w:r>
        <w:rPr>
          <w:rFonts w:hint="default" w:ascii="Calibri Regular" w:hAnsi="Calibri Regular" w:cs="Calibri Regular"/>
          <w:color w:val="auto"/>
          <w:u w:val="none"/>
        </w:rPr>
        <w:instrText xml:space="preserve"> HYPERLINK "https://doi.org/10.1007/s12144-024-05728-9" </w:instrText>
      </w:r>
      <w:r>
        <w:rPr>
          <w:rFonts w:hint="default" w:ascii="Calibri Regular" w:hAnsi="Calibri Regular" w:cs="Calibri Regular"/>
          <w:color w:val="auto"/>
          <w:u w:val="none"/>
        </w:rPr>
        <w:fldChar w:fldCharType="separate"/>
      </w:r>
      <w:r>
        <w:rPr>
          <w:rStyle w:val="19"/>
          <w:rFonts w:hint="default" w:ascii="Calibri Regular" w:hAnsi="Calibri Regular" w:cs="Calibri Regular"/>
        </w:rPr>
        <w:t>https://doi.org/10.1007/s12144-024-05728-9</w:t>
      </w:r>
      <w:r>
        <w:rPr>
          <w:rFonts w:hint="default" w:ascii="Calibri Regular" w:hAnsi="Calibri Regular" w:cs="Calibri Regular"/>
          <w:color w:val="auto"/>
          <w:u w:val="none"/>
        </w:rPr>
        <w:fldChar w:fldCharType="end"/>
      </w:r>
      <w:r>
        <w:rPr>
          <w:rFonts w:hint="default" w:ascii="Calibri Regular" w:hAnsi="Calibri Regular" w:cs="Calibri Regular"/>
          <w:lang w:val="en-US"/>
        </w:rPr>
        <w:t xml:space="preserve"> </w:t>
      </w:r>
      <w:r>
        <w:rPr>
          <w:rFonts w:hint="default" w:ascii="Calibri Regular" w:hAnsi="Calibri Regular" w:cs="Calibri Regular"/>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r>
        <w:rPr>
          <w:rFonts w:hint="default" w:ascii="Calibri Regular" w:hAnsi="Calibri Regular" w:cs="Calibri Regular"/>
        </w:rPr>
        <w:t>Dörnyei</w:t>
      </w:r>
      <w:r>
        <w:rPr>
          <w:rFonts w:hint="default" w:ascii="Calibri Regular" w:hAnsi="Calibri Regular" w:cs="Calibri Regular"/>
          <w:lang w:val="en-US"/>
        </w:rPr>
        <w:t xml:space="preserve">, Z.(2007) </w:t>
      </w:r>
      <w:r>
        <w:rPr>
          <w:rFonts w:hint="default" w:ascii="Calibri Italic" w:hAnsi="Calibri Italic" w:cs="Calibri Italic"/>
          <w:i/>
          <w:iCs/>
          <w:lang w:val="en-US"/>
        </w:rPr>
        <w:t>Research methods in applied linguistics</w:t>
      </w:r>
      <w:r>
        <w:rPr>
          <w:rFonts w:hint="default" w:ascii="Calibri Regular" w:hAnsi="Calibri Regular" w:cs="Calibri Regular"/>
          <w:lang w:val="en-US"/>
        </w:rPr>
        <w:t xml:space="preserve">. Oxford: Oxford University Press.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European Union (2016) General data protection regulation[GDPR]. </w:t>
      </w:r>
      <w:r>
        <w:rPr>
          <w:rFonts w:hint="default" w:ascii="Calibri Italic" w:hAnsi="Calibri Italic" w:cs="Calibri Italic"/>
          <w:i/>
          <w:iCs/>
          <w:lang w:val="en-US"/>
        </w:rPr>
        <w:t>Off J Eur Union,</w:t>
      </w:r>
      <w:r>
        <w:rPr>
          <w:rFonts w:hint="default" w:ascii="Calibri Regular" w:hAnsi="Calibri Regular" w:cs="Calibri Regular"/>
          <w:lang w:val="en-US"/>
        </w:rPr>
        <w:t xml:space="preserve"> L119.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"https://eur-lex.europa.eu/legal-content/EN/TXT/PDF/?uri=CELEX:32016R0679"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https://eur-lex.europa.eu/legal-content/EN/TXT/PDF/?uri=CELEX:32016R0679</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Gawlewicz, A. (2020) </w:t>
      </w:r>
      <w:r>
        <w:rPr>
          <w:rFonts w:hint="default" w:ascii="Calibri Italic" w:hAnsi="Calibri Italic" w:cs="Calibri Italic"/>
          <w:i/>
          <w:iCs/>
          <w:lang w:val="en-US"/>
        </w:rPr>
        <w:t>Translation in qualitative methods</w:t>
      </w:r>
      <w:r>
        <w:rPr>
          <w:rFonts w:hint="default" w:ascii="Calibri Regular" w:hAnsi="Calibri Regular" w:cs="Calibri Regular"/>
          <w:lang w:val="en-US"/>
        </w:rPr>
        <w:t>. London: SAGE Publications Limited.</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Grammarly (2025)  ‘Grammarly: Free AI Writing Assistance’,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"https://app.grammarly.com"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https://app.grammarly.com</w:t>
      </w:r>
      <w:r>
        <w:rPr>
          <w:rFonts w:hint="default" w:ascii="Calibri Regular" w:hAnsi="Calibri Regular" w:cs="Calibri Regular"/>
          <w:lang w:val="en-US"/>
        </w:rPr>
        <w:fldChar w:fldCharType="end"/>
      </w:r>
      <w:r>
        <w:rPr>
          <w:rFonts w:hint="default" w:ascii="Calibri Regular" w:hAnsi="Calibri Regular" w:cs="Calibri Regular"/>
          <w:lang w:val="en-US"/>
        </w:rPr>
        <w:t xml:space="preserve"> (Assessed: 2 April 2025).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Guest, G., Bunce, A. and Johnson, L. (2006) ‘How many interviews are enough? An experiment with data saturation and variability’,</w:t>
      </w:r>
      <w:r>
        <w:rPr>
          <w:rFonts w:hint="default" w:ascii="Calibri Italic" w:hAnsi="Calibri Italic" w:cs="Calibri Italic"/>
          <w:i/>
          <w:iCs/>
          <w:lang w:val="en-US"/>
        </w:rPr>
        <w:t xml:space="preserve"> Field methods</w:t>
      </w:r>
      <w:r>
        <w:rPr>
          <w:rFonts w:hint="default" w:ascii="Calibri Regular" w:hAnsi="Calibri Regular" w:cs="Calibri Regular"/>
          <w:lang w:val="en-US"/>
        </w:rPr>
        <w:t xml:space="preserve">, 18(1), pp.59-82.Available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"https://doi.org/10.1177/1525822X05279903"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https://doi.org/10.1177/1525822X05279903</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Hyland, K. (2003) </w:t>
      </w:r>
      <w:r>
        <w:rPr>
          <w:rFonts w:hint="default" w:ascii="Calibri Italic" w:hAnsi="Calibri Italic" w:cs="Calibri Italic"/>
          <w:i/>
          <w:iCs/>
          <w:lang w:val="en-US"/>
        </w:rPr>
        <w:t>Second language writing</w:t>
      </w:r>
      <w:r>
        <w:rPr>
          <w:rFonts w:hint="default" w:ascii="Calibri Regular" w:hAnsi="Calibri Regular" w:cs="Calibri Regular"/>
          <w:lang w:val="en-US"/>
        </w:rPr>
        <w:t xml:space="preserve">. Cambridge: Cambridge University Press.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Ivankova, N.v., and Stick, S.L.(2007) ‘Students’ persistence in a distributed doctoral program in educational leadership in higher education: A mixed methods study’, </w:t>
      </w:r>
      <w:r>
        <w:rPr>
          <w:rFonts w:hint="default" w:ascii="Calibri Italic" w:hAnsi="Calibri Italic" w:cs="Calibri Italic" w:eastAsiaTheme="majorEastAsia"/>
          <w:b w:val="0"/>
          <w:bCs w:val="0"/>
          <w:i/>
          <w:iCs/>
          <w:color w:val="auto"/>
          <w:kern w:val="0"/>
          <w:sz w:val="20"/>
          <w:szCs w:val="20"/>
          <w:lang w:val="en-US" w:eastAsia="zh-CN" w:bidi="ar-SA"/>
          <w14:ligatures w14:val="none"/>
        </w:rPr>
        <w:t>Research in Higher Education</w:t>
      </w:r>
      <w:r>
        <w:rPr>
          <w:rFonts w:hint="default" w:ascii="Calibri" w:hAnsi="Calibri" w:cs="Calibri" w:eastAsiaTheme="majorEastAsia"/>
          <w:b w:val="0"/>
          <w:bCs w:val="0"/>
          <w:color w:val="auto"/>
          <w:kern w:val="0"/>
          <w:sz w:val="20"/>
          <w:szCs w:val="20"/>
          <w:lang w:val="en-US" w:eastAsia="zh-CN" w:bidi="ar-SA"/>
          <w14:ligatures w14:val="none"/>
        </w:rPr>
        <w:t>, 48(1), 93-135.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 xml:space="preserve">IELTS (2020) ‘Writing Bank Descriptors’, Available at: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fldChar w:fldCharType="begin"/>
      </w:r>
      <w:r>
        <w:rPr>
          <w:rFonts w:hint="default" w:ascii="Calibri" w:hAnsi="Calibri" w:cs="Calibri" w:eastAsiaTheme="majorEastAsia"/>
          <w:b w:val="0"/>
          <w:bCs w:val="0"/>
          <w:color w:val="auto"/>
          <w:kern w:val="0"/>
          <w:sz w:val="20"/>
          <w:szCs w:val="20"/>
          <w:lang w:val="en-US" w:eastAsia="zh-CN" w:bidi="ar-SA"/>
          <w14:ligatures w14:val="none"/>
        </w:rPr>
        <w:instrText xml:space="preserve"> HYPERLINK "https://s3.eu-west-2.amazonaws.com/ielts-web-static/production/Guides/ielts-writing-band-descriptors.pdf" </w:instrText>
      </w:r>
      <w:r>
        <w:rPr>
          <w:rFonts w:hint="default" w:ascii="Calibri" w:hAnsi="Calibri" w:cs="Calibri" w:eastAsiaTheme="majorEastAsia"/>
          <w:b w:val="0"/>
          <w:bCs w:val="0"/>
          <w:color w:val="auto"/>
          <w:kern w:val="0"/>
          <w:sz w:val="20"/>
          <w:szCs w:val="20"/>
          <w:lang w:val="en-US" w:eastAsia="zh-CN" w:bidi="ar-SA"/>
          <w14:ligatures w14:val="none"/>
        </w:rPr>
        <w:fldChar w:fldCharType="separate"/>
      </w:r>
      <w:r>
        <w:rPr>
          <w:rStyle w:val="19"/>
          <w:rFonts w:hint="default" w:ascii="Calibri" w:hAnsi="Calibri" w:cs="Calibri" w:eastAsiaTheme="majorEastAsia"/>
          <w:b w:val="0"/>
          <w:bCs w:val="0"/>
          <w:kern w:val="0"/>
          <w:sz w:val="20"/>
          <w:szCs w:val="20"/>
          <w:lang w:val="en-US" w:eastAsia="zh-CN" w:bidi="ar-SA"/>
          <w14:ligatures w14:val="none"/>
        </w:rPr>
        <w:t>https://s3.eu-west-2.amazonaws.com/ielts-web-static/production/Guides/ielts-writing-band-descriptors.pdf</w:t>
      </w:r>
      <w:r>
        <w:rPr>
          <w:rFonts w:hint="default" w:ascii="Calibri" w:hAnsi="Calibri" w:cs="Calibri" w:eastAsiaTheme="majorEastAsia"/>
          <w:b w:val="0"/>
          <w:bCs w:val="0"/>
          <w:color w:val="auto"/>
          <w:kern w:val="0"/>
          <w:sz w:val="20"/>
          <w:szCs w:val="20"/>
          <w:lang w:val="en-US" w:eastAsia="zh-CN" w:bidi="ar-SA"/>
          <w14:ligatures w14:val="none"/>
        </w:rPr>
        <w:fldChar w:fldCharType="end"/>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r>
        <w:rPr>
          <w:rFonts w:hint="default" w:ascii="Calibri" w:hAnsi="Calibri" w:cs="Calibri" w:eastAsiaTheme="majorEastAsia"/>
          <w:b w:val="0"/>
          <w:bCs w:val="0"/>
          <w:color w:val="auto"/>
          <w:kern w:val="0"/>
          <w:sz w:val="20"/>
          <w:szCs w:val="20"/>
          <w:lang w:val="en-US" w:eastAsia="zh-CN" w:bidi="ar-SA"/>
          <w14:ligatures w14:val="none"/>
        </w:rPr>
        <w:t>(Accessed:  2 April 2025).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eastAsia="zh-CN"/>
        </w:rPr>
        <w:t xml:space="preserve">Jin, T. and Lu, X.F. (2023) ‘LanguageData’, Available at: </w:t>
      </w:r>
      <w:r>
        <w:rPr>
          <w:rFonts w:hint="eastAsia" w:ascii="Calibri Regular" w:hAnsi="Calibri Regular" w:eastAsia="Times New Roman" w:cs="Calibri Regular"/>
          <w:color w:val="auto"/>
          <w:u w:val="none"/>
        </w:rPr>
        <w:fldChar w:fldCharType="begin"/>
      </w:r>
      <w:r>
        <w:rPr>
          <w:rFonts w:hint="eastAsia" w:ascii="Calibri Regular" w:hAnsi="Calibri Regular" w:eastAsia="Times New Roman" w:cs="Calibri Regular"/>
          <w:color w:val="auto"/>
          <w:u w:val="none"/>
        </w:rPr>
        <w:instrText xml:space="preserve"> HYPERLINK "https://languagedata.net/tester/" </w:instrText>
      </w:r>
      <w:r>
        <w:rPr>
          <w:rFonts w:hint="eastAsia" w:ascii="Calibri Regular" w:hAnsi="Calibri Regular" w:eastAsia="Times New Roman" w:cs="Calibri Regular"/>
          <w:color w:val="auto"/>
          <w:u w:val="none"/>
        </w:rPr>
        <w:fldChar w:fldCharType="separate"/>
      </w:r>
      <w:r>
        <w:rPr>
          <w:rStyle w:val="19"/>
          <w:rFonts w:hint="eastAsia" w:ascii="Calibri Regular" w:hAnsi="Calibri Regular" w:eastAsia="Times New Roman" w:cs="Calibri Regular"/>
        </w:rPr>
        <w:t>languagedata.net/tester</w:t>
      </w:r>
      <w:r>
        <w:rPr>
          <w:rFonts w:hint="eastAsia" w:ascii="Calibri Regular" w:hAnsi="Calibri Regular" w:eastAsia="Times New Roman" w:cs="Calibri Regular"/>
          <w:color w:val="auto"/>
          <w:u w:val="none"/>
        </w:rPr>
        <w:fldChar w:fldCharType="end"/>
      </w:r>
      <w:r>
        <w:rPr>
          <w:rFonts w:hint="default" w:ascii="Calibri Regular" w:hAnsi="Calibri Regular" w:eastAsia="Times New Roman" w:cs="Calibri Regular"/>
          <w:color w:val="auto"/>
          <w:u w:val="none"/>
          <w:lang w:val="en-US"/>
        </w:rPr>
        <w:t xml:space="preserve"> (Assessed: 2 April 2025). </w:t>
      </w:r>
      <w:r>
        <w:rPr>
          <w:rFonts w:hint="default" w:ascii="Calibri Regular" w:hAnsi="Calibri Regular" w:eastAsia="Times New Roman" w:cs="Calibri Regular"/>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w:hAnsi="Calibri" w:cs="Calibri" w:eastAsiaTheme="majorEastAsia"/>
          <w:b w:val="0"/>
          <w:bCs w:val="0"/>
          <w:color w:val="auto"/>
          <w:kern w:val="0"/>
          <w:sz w:val="20"/>
          <w:szCs w:val="20"/>
          <w:lang w:val="en-US" w:eastAsia="zh-CN" w:bidi="ar-SA"/>
          <w14:ligatures w14:val="none"/>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r>
        <w:rPr>
          <w:rFonts w:hint="default" w:ascii="Calibri Regular" w:hAnsi="Calibri Regular" w:cs="Calibri Regular"/>
        </w:rPr>
        <w:t>Kim, J.</w:t>
      </w:r>
      <w:r>
        <w:rPr>
          <w:rFonts w:hint="eastAsia" w:ascii="Calibri Regular" w:hAnsi="Calibri Regular" w:eastAsia="SimSun" w:cs="Calibri Regular"/>
          <w:lang w:val="en-US" w:eastAsia="zh-CN"/>
        </w:rPr>
        <w:t>, Yu, S., Detrick, R. and Li, N.</w:t>
      </w:r>
      <w:r>
        <w:rPr>
          <w:rFonts w:hint="default" w:ascii="Calibri Regular" w:hAnsi="Calibri Regular" w:cs="Calibri Regular"/>
        </w:rPr>
        <w:t xml:space="preserve"> (2025) ‘Exploring students’ perspectives on Generative AI-assisted academic writing’, </w:t>
      </w:r>
      <w:r>
        <w:rPr>
          <w:rFonts w:hint="default" w:ascii="Calibri Italic" w:hAnsi="Calibri Italic" w:cs="Calibri Italic"/>
          <w:i/>
          <w:iCs/>
        </w:rPr>
        <w:t>Education and Information Technologies</w:t>
      </w:r>
      <w:r>
        <w:rPr>
          <w:rFonts w:hint="default" w:ascii="Calibri Regular" w:hAnsi="Calibri Regular" w:cs="Calibri Regular"/>
        </w:rPr>
        <w:t xml:space="preserve">, 30(1), pp. 1265–1300.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default" w:ascii="Calibri Regular" w:hAnsi="Calibri Regular" w:cs="Calibri Regular"/>
        </w:rPr>
        <w:t>Available at:</w:t>
      </w:r>
      <w:r>
        <w:rPr>
          <w:rFonts w:hint="eastAsia" w:ascii="Calibri Regular" w:hAnsi="Calibri Regular" w:eastAsia="SimSun" w:cs="Calibri Regular"/>
          <w:lang w:val="en-US" w:eastAsia="zh-CN"/>
        </w:rPr>
        <w:t xml:space="preserve"> </w:t>
      </w:r>
      <w:r>
        <w:rPr>
          <w:rFonts w:hint="default" w:ascii="Calibri Regular" w:hAnsi="Calibri Regular" w:cs="Calibri Regular"/>
          <w:color w:val="auto"/>
          <w:u w:val="none"/>
        </w:rPr>
        <w:fldChar w:fldCharType="begin"/>
      </w:r>
      <w:r>
        <w:rPr>
          <w:rFonts w:hint="default" w:ascii="Calibri Regular" w:hAnsi="Calibri Regular" w:cs="Calibri Regular"/>
          <w:color w:val="auto"/>
          <w:u w:val="none"/>
        </w:rPr>
        <w:instrText xml:space="preserve"> HYPERLINK "https://doi.org/10.1007/s10639-024-12878-7" </w:instrText>
      </w:r>
      <w:r>
        <w:rPr>
          <w:rFonts w:hint="default" w:ascii="Calibri Regular" w:hAnsi="Calibri Regular" w:cs="Calibri Regular"/>
          <w:color w:val="auto"/>
          <w:u w:val="none"/>
        </w:rPr>
        <w:fldChar w:fldCharType="separate"/>
      </w:r>
      <w:r>
        <w:rPr>
          <w:rStyle w:val="19"/>
          <w:rFonts w:hint="default" w:ascii="Calibri Regular" w:hAnsi="Calibri Regular" w:cs="Calibri Regular"/>
        </w:rPr>
        <w:t>https://doi.org/10.1007/s10639-024-12878-7</w:t>
      </w:r>
      <w:r>
        <w:rPr>
          <w:rFonts w:hint="default" w:ascii="Calibri Regular" w:hAnsi="Calibri Regular" w:cs="Calibri Regular"/>
          <w:color w:val="auto"/>
          <w:u w:val="none"/>
        </w:rPr>
        <w:fldChar w:fldCharType="end"/>
      </w:r>
      <w:r>
        <w:rPr>
          <w:rFonts w:hint="eastAsia" w:ascii="Calibri Regular" w:hAnsi="Calibri Regular" w:eastAsia="SimSun" w:cs="Calibri Regular"/>
          <w:lang w:val="en-US" w:eastAsia="zh-CN"/>
        </w:rPr>
        <w:t xml:space="preserve">  </w:t>
      </w:r>
      <w:r>
        <w:rPr>
          <w:rFonts w:hint="default" w:ascii="Calibri Regular" w:hAnsi="Calibri Regular" w:cs="Calibri Regular"/>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default" w:ascii="Calibri Regular" w:hAnsi="Calibri Regular" w:cs="Calibri Regular"/>
          <w:lang w:val="en-US" w:eastAsia="zh-CN"/>
        </w:rPr>
        <w:t xml:space="preserve">Lambert, M.(2019) </w:t>
      </w:r>
      <w:r>
        <w:rPr>
          <w:rFonts w:hint="default" w:ascii="Calibri Italic" w:hAnsi="Calibri Italic" w:cs="Calibri Italic"/>
          <w:i/>
          <w:iCs/>
          <w:lang w:val="en-US" w:eastAsia="zh-CN"/>
        </w:rPr>
        <w:t>Practical research methods in education: an early researcher’s critical guide</w:t>
      </w:r>
      <w:r>
        <w:rPr>
          <w:rFonts w:hint="default" w:ascii="Calibri Regular" w:hAnsi="Calibri Regular" w:cs="Calibri Regular"/>
          <w:lang w:val="en-US" w:eastAsia="zh-CN"/>
        </w:rPr>
        <w:t>. Abingdon, Oxon: Routledge.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rPr>
        <w:t xml:space="preserve">Meniado, J.C., Huyen D. T. T., Panyadilokpong, N. and Lerkomolwit, P. (2024) ‘Using ChatGPT for second language writing: Experiences and perceptions of EFL learners in Thailand and Vietnam’, </w:t>
      </w:r>
      <w:r>
        <w:rPr>
          <w:rFonts w:hint="default" w:ascii="Calibri Italic" w:hAnsi="Calibri Italic" w:cs="Calibri Italic"/>
          <w:i/>
          <w:iCs/>
        </w:rPr>
        <w:t>Computers and Education: Artificial Intelligence</w:t>
      </w:r>
      <w:r>
        <w:rPr>
          <w:rFonts w:hint="default" w:ascii="Calibri Regular" w:hAnsi="Calibri Regular" w:cs="Calibri Regular"/>
        </w:rPr>
        <w:t xml:space="preserve">, 7, p. 100313. Available at: </w:t>
      </w:r>
      <w:r>
        <w:rPr>
          <w:rFonts w:hint="default" w:ascii="Calibri Regular" w:hAnsi="Calibri Regular" w:cs="Calibri Regular"/>
        </w:rPr>
        <w:fldChar w:fldCharType="begin"/>
      </w:r>
      <w:r>
        <w:rPr>
          <w:rFonts w:hint="default" w:ascii="Calibri Regular" w:hAnsi="Calibri Regular" w:cs="Calibri Regular"/>
        </w:rPr>
        <w:instrText xml:space="preserve"> HYPERLINK "https://doi.org/10.1016/j.caeai.2024.100313n" </w:instrText>
      </w:r>
      <w:r>
        <w:rPr>
          <w:rFonts w:hint="default" w:ascii="Calibri Regular" w:hAnsi="Calibri Regular" w:cs="Calibri Regular"/>
        </w:rPr>
        <w:fldChar w:fldCharType="separate"/>
      </w:r>
      <w:r>
        <w:rPr>
          <w:rStyle w:val="19"/>
          <w:rFonts w:hint="default" w:ascii="Calibri Regular" w:hAnsi="Calibri Regular" w:cs="Calibri Regular"/>
        </w:rPr>
        <w:t>https://doi.org/10.1016/j.caeai.2024.100313n</w:t>
      </w:r>
      <w:r>
        <w:rPr>
          <w:rFonts w:hint="default" w:ascii="Calibri Regular" w:hAnsi="Calibri Regular" w:cs="Calibri Regular"/>
        </w:rPr>
        <w:fldChar w:fldCharType="end"/>
      </w:r>
      <w:r>
        <w:rPr>
          <w:rFonts w:hint="default" w:ascii="Calibri Regular" w:hAnsi="Calibri Regular" w:cs="Calibri Regular"/>
          <w:lang w:val="en-US"/>
        </w:rPr>
        <w:t xml:space="preserve"> </w:t>
      </w:r>
      <w:r>
        <w:rPr>
          <w:rFonts w:hint="default" w:ascii="Calibri Regular" w:hAnsi="Calibri Regular" w:cs="Calibri Regular"/>
        </w:rPr>
        <w:t xml:space="preserve"> </w:t>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r>
        <w:rPr>
          <w:rFonts w:hint="default" w:ascii="Calibri Regular" w:hAnsi="Calibri Regular" w:cs="Calibri Regular"/>
        </w:rPr>
        <w:t>Morgan, M.G.</w:t>
      </w:r>
      <w:r>
        <w:rPr>
          <w:rFonts w:hint="eastAsia" w:ascii="Calibri Regular" w:hAnsi="Calibri Regular" w:eastAsia="SimSun" w:cs="Calibri Regular"/>
          <w:lang w:val="en-US" w:eastAsia="zh-CN"/>
        </w:rPr>
        <w:t xml:space="preserve"> (</w:t>
      </w:r>
      <w:r>
        <w:rPr>
          <w:rFonts w:hint="default" w:ascii="Calibri Regular" w:hAnsi="Calibri Regular" w:cs="Calibri Regular"/>
        </w:rPr>
        <w:t>2002</w:t>
      </w:r>
      <w:r>
        <w:rPr>
          <w:rFonts w:hint="eastAsia" w:ascii="Calibri Regular" w:hAnsi="Calibri Regular" w:eastAsia="SimSun" w:cs="Calibri Regular"/>
          <w:lang w:val="en-US" w:eastAsia="zh-CN"/>
        </w:rPr>
        <w:t>)</w:t>
      </w:r>
      <w:r>
        <w:rPr>
          <w:rFonts w:hint="default" w:ascii="Calibri Regular" w:hAnsi="Calibri Regular" w:cs="Calibri Regular"/>
        </w:rPr>
        <w:t xml:space="preserve"> </w:t>
      </w:r>
      <w:r>
        <w:rPr>
          <w:rFonts w:hint="default" w:ascii="Calibri Italic" w:hAnsi="Calibri Italic" w:cs="Calibri Italic"/>
          <w:i/>
          <w:iCs/>
        </w:rPr>
        <w:t>Risk communication: A mental models approach</w:t>
      </w:r>
      <w:r>
        <w:rPr>
          <w:rFonts w:hint="default" w:ascii="Calibri Regular" w:hAnsi="Calibri Regular" w:cs="Calibri Regular"/>
        </w:rPr>
        <w:t>.</w:t>
      </w:r>
      <w:r>
        <w:rPr>
          <w:rFonts w:hint="eastAsia" w:ascii="Calibri Regular" w:hAnsi="Calibri Regular" w:eastAsia="SimSun" w:cs="Calibri Regular"/>
          <w:lang w:val="en-US" w:eastAsia="zh-CN"/>
        </w:rPr>
        <w:t xml:space="preserve"> Cambridge:</w:t>
      </w:r>
      <w:r>
        <w:rPr>
          <w:rFonts w:hint="default" w:ascii="Calibri Regular" w:hAnsi="Calibri Regular" w:cs="Calibri Regular"/>
        </w:rPr>
        <w:t xml:space="preserve"> Cambridge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Nguyen, H.T. and Chu Q. P. (2021) ‘Estimating university students’ acceptance of technological tools for studying English through the UTAUT model’, </w:t>
      </w:r>
      <w:r>
        <w:rPr>
          <w:rFonts w:hint="default" w:ascii="Calibri Italic" w:hAnsi="Calibri Italic" w:cs="Calibri Italic"/>
          <w:i/>
          <w:iCs/>
          <w:lang w:val="en-US"/>
        </w:rPr>
        <w:t>International Journal of TESOL &amp; Education</w:t>
      </w:r>
      <w:r>
        <w:rPr>
          <w:rFonts w:hint="default" w:ascii="Calibri Regular" w:hAnsi="Calibri Regular" w:cs="Calibri Regular"/>
          <w:lang w:val="en-US"/>
        </w:rPr>
        <w:t xml:space="preserve">, 1(3), pp. 209-234.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"http://eoi.citefactor.org/10.11250/ijte.01.03.012"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http://eoi.citefactor.org/10.11250/ijte.01.03.012</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rPr>
        <w:t xml:space="preserve">Niloy, A.C., Akter, S., Sultana, N., Sultana, J. and Rahman, S.I.U. (2024) ‘Is Chatgpt a menace for creative writing ability? An experiment’, </w:t>
      </w:r>
      <w:r>
        <w:rPr>
          <w:rFonts w:hint="default" w:ascii="Calibri Italic" w:hAnsi="Calibri Italic" w:cs="Calibri Italic"/>
          <w:i/>
          <w:iCs/>
        </w:rPr>
        <w:t>Journal of Computer Assisted Learning</w:t>
      </w:r>
      <w:r>
        <w:rPr>
          <w:rFonts w:hint="default" w:ascii="Calibri Regular" w:hAnsi="Calibri Regular" w:cs="Calibri Regular"/>
        </w:rPr>
        <w:t xml:space="preserve">, 40(2), pp. 919–930. Available at: </w:t>
      </w:r>
      <w:r>
        <w:rPr>
          <w:rFonts w:hint="default" w:ascii="Calibri Regular" w:hAnsi="Calibri Regular" w:cs="Calibri Regular"/>
          <w:color w:val="auto"/>
          <w:u w:val="none"/>
        </w:rPr>
        <w:fldChar w:fldCharType="begin"/>
      </w:r>
      <w:r>
        <w:rPr>
          <w:rFonts w:hint="default" w:ascii="Calibri Regular" w:hAnsi="Calibri Regular" w:cs="Calibri Regular"/>
          <w:color w:val="auto"/>
          <w:u w:val="none"/>
        </w:rPr>
        <w:instrText xml:space="preserve"> HYPERLINK "https://doi.org/10.1111/jcal.12929" </w:instrText>
      </w:r>
      <w:r>
        <w:rPr>
          <w:rFonts w:hint="default" w:ascii="Calibri Regular" w:hAnsi="Calibri Regular" w:cs="Calibri Regular"/>
          <w:color w:val="auto"/>
          <w:u w:val="none"/>
        </w:rPr>
        <w:fldChar w:fldCharType="separate"/>
      </w:r>
      <w:r>
        <w:rPr>
          <w:rStyle w:val="19"/>
          <w:rFonts w:hint="default" w:ascii="Calibri Regular" w:hAnsi="Calibri Regular" w:cs="Calibri Regular"/>
        </w:rPr>
        <w:t>https://doi.org/10.1111/jcal.12929</w:t>
      </w:r>
      <w:r>
        <w:rPr>
          <w:rFonts w:hint="default" w:ascii="Calibri Regular" w:hAnsi="Calibri Regular" w:cs="Calibri Regular"/>
          <w:color w:val="auto"/>
          <w:u w:val="none"/>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Nugroho, A.，Andriyanti, E., Widodo, P. and Mutiaraningrum I.(2024) ‘Students’ appraisals post-ChatGPT use: Students’ narrative after using ChatGPT for writing’, Innovations in Education and Teaching International, pp. 1–13.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"https://doi.org/10.1080/14703297.2024.2319184"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https://doi.org/10.1080/14703297.2024.2319184</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Smith, H.J., Chen, J. and Liu, X. (2008) ‘Language and rigour in qualitative research: Problems and principles in analyzing data collected in Mandarin’, </w:t>
      </w:r>
      <w:r>
        <w:rPr>
          <w:rFonts w:hint="default" w:ascii="Calibri Italic" w:hAnsi="Calibri Italic" w:cs="Calibri Italic"/>
          <w:i/>
          <w:iCs/>
          <w:lang w:val="en-US"/>
        </w:rPr>
        <w:t>BMC medical research methodology</w:t>
      </w:r>
      <w:r>
        <w:rPr>
          <w:rFonts w:hint="default" w:ascii="Calibri Regular" w:hAnsi="Calibri Regular" w:cs="Calibri Regular"/>
          <w:lang w:val="en-US"/>
        </w:rPr>
        <w:t xml:space="preserve">, 8, pp.1-8. Available at: </w:t>
      </w:r>
      <w:r>
        <w:rPr>
          <w:rStyle w:val="19"/>
          <w:rFonts w:hint="default" w:ascii="Calibri Regular" w:hAnsi="Calibri Regular" w:cs="Calibri Regular"/>
          <w:lang w:val="en-US"/>
        </w:rPr>
        <w:fldChar w:fldCharType="begin"/>
      </w:r>
      <w:r>
        <w:rPr>
          <w:rStyle w:val="19"/>
          <w:rFonts w:hint="default" w:ascii="Calibri Regular" w:hAnsi="Calibri Regular" w:cs="Calibri Regular"/>
          <w:lang w:val="en-US"/>
        </w:rPr>
        <w:instrText xml:space="preserve"> HYPERLINK "https://doi.org/10.1186/1471-2288-8-44" </w:instrText>
      </w:r>
      <w:r>
        <w:rPr>
          <w:rStyle w:val="19"/>
          <w:rFonts w:hint="default" w:ascii="Calibri Regular" w:hAnsi="Calibri Regular" w:cs="Calibri Regular"/>
          <w:lang w:val="en-US"/>
        </w:rPr>
        <w:fldChar w:fldCharType="separate"/>
      </w:r>
      <w:r>
        <w:rPr>
          <w:rStyle w:val="19"/>
          <w:rFonts w:hint="default" w:ascii="Calibri Regular" w:hAnsi="Calibri Regular" w:cs="Calibri Regular"/>
          <w:lang w:val="en-US"/>
        </w:rPr>
        <w:t>https://doi.org/10.1186/1471-2288-8-44</w:t>
      </w:r>
      <w:r>
        <w:rPr>
          <w:rStyle w:val="19"/>
          <w:rFonts w:hint="default" w:ascii="Calibri Regular" w:hAnsi="Calibri Regular" w:cs="Calibri Regular"/>
          <w:lang w:val="en-US"/>
        </w:rPr>
        <w:fldChar w:fldCharType="end"/>
      </w:r>
      <w:r>
        <w:rPr>
          <w:rStyle w:val="19"/>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Song, C. and Song, Y. (2023) ‘Enhancing academic writing skills and motivation: assessing the efficacy of ChatGPT in AI-assisted language learning for EFL students’, </w:t>
      </w:r>
      <w:r>
        <w:rPr>
          <w:rFonts w:hint="default" w:ascii="Calibri Italic" w:hAnsi="Calibri Italic" w:cs="Calibri Italic"/>
          <w:i/>
          <w:iCs/>
          <w:lang w:val="en-US"/>
        </w:rPr>
        <w:t>Frontiers in Psychology</w:t>
      </w:r>
      <w:r>
        <w:rPr>
          <w:rFonts w:hint="default" w:ascii="Calibri Regular" w:hAnsi="Calibri Regular" w:cs="Calibri Regular"/>
          <w:lang w:val="en-US"/>
        </w:rPr>
        <w:t xml:space="preserve">, 14.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"https://doi.org/10.3389/fpsyg.2023.1260843"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https://doi.org/10.3389/fpsyg.2023.1260843</w:t>
      </w:r>
      <w:r>
        <w:rPr>
          <w:rFonts w:hint="default" w:ascii="Calibri Regular" w:hAnsi="Calibri Regular" w:cs="Calibri Regular"/>
          <w:lang w:val="en-US"/>
        </w:rPr>
        <w:fldChar w:fldCharType="end"/>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rPr>
        <w:t xml:space="preserve">Teddlie, C and Tashakkori, A. (2003) </w:t>
      </w:r>
      <w:r>
        <w:rPr>
          <w:rFonts w:hint="default" w:ascii="Calibri Italic" w:hAnsi="Calibri Italic" w:eastAsia="Times New Roman" w:cs="Calibri Italic"/>
          <w:i/>
          <w:iCs/>
          <w:lang w:val="en-US"/>
        </w:rPr>
        <w:t>Handbook of mixed methods in social &amp; behavioral research</w:t>
      </w:r>
      <w:r>
        <w:rPr>
          <w:rFonts w:hint="default" w:ascii="Calibri Regular" w:hAnsi="Calibri Regular" w:eastAsia="Times New Roman" w:cs="Calibri Regular"/>
          <w:lang w:val="en-US"/>
        </w:rPr>
        <w:t xml:space="preserve">. Thousand Oaks: Sage.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rPr>
        <w:t>Tedd</w:t>
      </w:r>
      <w:r>
        <w:rPr>
          <w:rFonts w:hint="default" w:ascii="Calibri Regular" w:hAnsi="Calibri Regular" w:cs="Calibri Regular"/>
          <w:lang w:val="en-US"/>
        </w:rPr>
        <w:t>l</w:t>
      </w:r>
      <w:r>
        <w:rPr>
          <w:rFonts w:hint="default" w:ascii="Calibri Regular" w:hAnsi="Calibri Regular" w:eastAsia="Times New Roman" w:cs="Calibri Regular"/>
          <w:lang w:val="en-US"/>
        </w:rPr>
        <w:t xml:space="preserve">ie , C and Tashakkori, A. (2009) </w:t>
      </w:r>
      <w:r>
        <w:rPr>
          <w:rFonts w:hint="default" w:ascii="Calibri Italic" w:hAnsi="Calibri Italic" w:eastAsia="Times New Roman" w:cs="Calibri Italic"/>
          <w:i/>
          <w:iCs/>
          <w:lang w:val="en-US"/>
        </w:rPr>
        <w:t>Foundations of mixed methods research: Integrating quantitative and qualitative approaches in the social and behavioral science.</w:t>
      </w:r>
      <w:r>
        <w:rPr>
          <w:rFonts w:hint="default" w:ascii="Calibri Regular" w:hAnsi="Calibri Regular" w:eastAsia="Times New Roman" w:cs="Calibri Regular"/>
          <w:lang w:val="en-US"/>
        </w:rPr>
        <w:t xml:space="preserve"> Thousand Oaks: Sage.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Teddlie, C. and Yu. F. (2007) Mixed methods sampling: a typology with examples. </w:t>
      </w:r>
      <w:r>
        <w:rPr>
          <w:rFonts w:hint="default" w:ascii="Calibri Italic" w:hAnsi="Calibri Italic" w:cs="Calibri Italic"/>
          <w:i/>
          <w:iCs/>
          <w:lang w:val="en-US"/>
        </w:rPr>
        <w:t>Journal of Mixed Methods Research</w:t>
      </w:r>
      <w:r>
        <w:rPr>
          <w:rFonts w:hint="default" w:ascii="Calibri Regular" w:hAnsi="Calibri Regular" w:cs="Calibri Regular"/>
          <w:lang w:val="en-US"/>
        </w:rPr>
        <w:t xml:space="preserve">, 1(1), pp. 77-100.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"https://doi.org/10.1177/2345678906292430" </w:instrText>
      </w:r>
      <w:r>
        <w:rPr>
          <w:rFonts w:hint="default" w:ascii="Calibri Regular" w:hAnsi="Calibri Regular" w:cs="Calibri Regular"/>
          <w:lang w:val="en-US"/>
        </w:rPr>
        <w:fldChar w:fldCharType="separate"/>
      </w:r>
      <w:r>
        <w:rPr>
          <w:rStyle w:val="18"/>
          <w:rFonts w:hint="default" w:ascii="Calibri Regular" w:hAnsi="Calibri Regular" w:cs="Calibri Regular"/>
          <w:lang w:val="en-US"/>
        </w:rPr>
        <w:t>https://doi.org/10.1177/2345678906292430</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default" w:ascii="Calibri Regular" w:hAnsi="Calibri Regular" w:cs="Calibri Regular"/>
          <w:lang w:val="en-US"/>
        </w:rPr>
        <w:t xml:space="preserve">Thorp, H. H. (2023) </w:t>
      </w:r>
      <w:r>
        <w:rPr>
          <w:rFonts w:hint="default" w:ascii="Calibri Regular" w:hAnsi="Calibri Regular" w:cs="Calibri Regular"/>
          <w:lang w:val="en-US" w:eastAsia="zh-CN"/>
        </w:rPr>
        <w:t>‘</w:t>
      </w:r>
      <w:r>
        <w:rPr>
          <w:rFonts w:hint="default" w:ascii="Calibri Regular" w:hAnsi="Calibri Regular" w:cs="Calibri Regular"/>
          <w:lang w:val="en-US"/>
        </w:rPr>
        <w:t>ChatGPT is fun, but not an author</w:t>
      </w:r>
      <w:r>
        <w:rPr>
          <w:rFonts w:hint="default" w:ascii="Calibri Regular" w:hAnsi="Calibri Regular" w:cs="Calibri Regular"/>
          <w:lang w:val="en-US" w:eastAsia="zh-CN"/>
        </w:rPr>
        <w:t xml:space="preserve">’, </w:t>
      </w:r>
      <w:r>
        <w:rPr>
          <w:rFonts w:hint="default" w:ascii="Calibri Italic" w:hAnsi="Calibri Italic" w:cs="Calibri Italic"/>
          <w:i/>
          <w:iCs/>
          <w:lang w:val="en-US"/>
        </w:rPr>
        <w:t>Science</w:t>
      </w:r>
      <w:r>
        <w:rPr>
          <w:rFonts w:hint="default" w:ascii="Calibri Regular" w:hAnsi="Calibri Regular" w:cs="Calibri Regular"/>
          <w:lang w:val="en-US"/>
        </w:rPr>
        <w:t>, 379(6630),</w:t>
      </w:r>
      <w:r>
        <w:rPr>
          <w:rFonts w:hint="default" w:ascii="Calibri Regular" w:hAnsi="Calibri Regular" w:cs="Calibri Regular"/>
          <w:lang w:val="en-US" w:eastAsia="zh-CN"/>
        </w:rPr>
        <w:t xml:space="preserve"> p.</w:t>
      </w:r>
      <w:r>
        <w:rPr>
          <w:rFonts w:hint="default" w:ascii="Calibri Regular" w:hAnsi="Calibri Regular" w:cs="Calibri Regular"/>
          <w:lang w:val="en-US"/>
        </w:rPr>
        <w:t xml:space="preserve"> 313. </w:t>
      </w:r>
      <w:r>
        <w:rPr>
          <w:rFonts w:hint="default" w:ascii="Calibri Regular" w:hAnsi="Calibri Regular" w:cs="Calibri Regular"/>
          <w:lang w:val="en-US" w:eastAsia="zh-CN"/>
        </w:rPr>
        <w:t xml:space="preserve">Available at : </w:t>
      </w:r>
      <w:r>
        <w:rPr>
          <w:rFonts w:hint="default" w:ascii="Calibri Regular" w:hAnsi="Calibri Regular" w:cs="Calibri Regular"/>
          <w:color w:val="auto"/>
          <w:u w:val="none"/>
          <w:lang w:val="en-US"/>
        </w:rPr>
        <w:fldChar w:fldCharType="begin"/>
      </w:r>
      <w:r>
        <w:rPr>
          <w:rFonts w:hint="default" w:ascii="Calibri Regular" w:hAnsi="Calibri Regular" w:cs="Calibri Regular"/>
          <w:color w:val="auto"/>
          <w:u w:val="none"/>
          <w:lang w:val="en-US"/>
        </w:rPr>
        <w:instrText xml:space="preserve"> HYPERLINK "https://doi.org/10.1126/science.adg7879" </w:instrText>
      </w:r>
      <w:r>
        <w:rPr>
          <w:rFonts w:hint="default" w:ascii="Calibri Regular" w:hAnsi="Calibri Regular" w:cs="Calibri Regular"/>
          <w:color w:val="auto"/>
          <w:u w:val="none"/>
          <w:lang w:val="en-US"/>
        </w:rPr>
        <w:fldChar w:fldCharType="separate"/>
      </w:r>
      <w:r>
        <w:rPr>
          <w:rStyle w:val="19"/>
          <w:rFonts w:hint="default" w:ascii="Calibri Regular" w:hAnsi="Calibri Regular" w:cs="Calibri Regular"/>
          <w:lang w:val="en-US"/>
        </w:rPr>
        <w:t>https://doi.org/10.1126/science.adg7879</w:t>
      </w:r>
      <w:r>
        <w:rPr>
          <w:rFonts w:hint="default" w:ascii="Calibri Regular" w:hAnsi="Calibri Regular" w:cs="Calibri Regular"/>
          <w:color w:val="auto"/>
          <w:u w:val="none"/>
          <w:lang w:val="en-US"/>
        </w:rPr>
        <w:fldChar w:fldCharType="end"/>
      </w:r>
      <w:r>
        <w:rPr>
          <w:rFonts w:hint="default" w:ascii="Calibri Regular" w:hAnsi="Calibri Regular" w:cs="Calibri Regular"/>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default" w:ascii="Calibri Regular" w:hAnsi="Calibri Regular" w:cs="Calibri Regular"/>
          <w:lang w:val="en-US" w:eastAsia="zh-CN"/>
        </w:rPr>
        <w:t xml:space="preserve">UK Government (2018) Data Protection Act. Available at: </w:t>
      </w:r>
      <w:r>
        <w:rPr>
          <w:rFonts w:hint="default" w:ascii="Calibri Regular" w:hAnsi="Calibri Regular" w:cs="Calibri Regular"/>
          <w:lang w:val="en-US" w:eastAsia="zh-CN"/>
        </w:rPr>
        <w:fldChar w:fldCharType="begin"/>
      </w:r>
      <w:r>
        <w:rPr>
          <w:rFonts w:hint="default" w:ascii="Calibri Regular" w:hAnsi="Calibri Regular" w:cs="Calibri Regular"/>
          <w:lang w:val="en-US" w:eastAsia="zh-CN"/>
        </w:rPr>
        <w:instrText xml:space="preserve"> HYPERLINK "https://www.legislation.gov.uk/ukpga/2018/12/contents/enacted" </w:instrText>
      </w:r>
      <w:r>
        <w:rPr>
          <w:rFonts w:hint="default" w:ascii="Calibri Regular" w:hAnsi="Calibri Regular" w:cs="Calibri Regular"/>
          <w:lang w:val="en-US" w:eastAsia="zh-CN"/>
        </w:rPr>
        <w:fldChar w:fldCharType="separate"/>
      </w:r>
      <w:r>
        <w:rPr>
          <w:rStyle w:val="19"/>
          <w:rFonts w:hint="default" w:ascii="Calibri Regular" w:hAnsi="Calibri Regular" w:cs="Calibri Regular"/>
          <w:lang w:val="en-US" w:eastAsia="zh-CN"/>
        </w:rPr>
        <w:t>https://www.legislation.gov.uk/ukpga/2018/12/contents/enacted</w:t>
      </w:r>
      <w:r>
        <w:rPr>
          <w:rFonts w:hint="default" w:ascii="Calibri Regular" w:hAnsi="Calibri Regular" w:cs="Calibri Regular"/>
          <w:lang w:val="en-US" w:eastAsia="zh-CN"/>
        </w:rPr>
        <w:fldChar w:fldCharType="end"/>
      </w:r>
      <w:r>
        <w:rPr>
          <w:rFonts w:hint="default" w:ascii="Calibri Regular" w:hAnsi="Calibri Regular" w:cs="Calibri Regular"/>
          <w:lang w:val="en-US" w:eastAsia="zh-CN"/>
        </w:rPr>
        <w:t xml:space="preserve"> (Assessed: 7 April 7, 2025)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default" w:ascii="Calibri Regular" w:hAnsi="Calibri Regular" w:cs="Calibri Regular"/>
          <w:lang w:val="en-US" w:eastAsia="zh-CN"/>
        </w:rPr>
        <w:t xml:space="preserve">University of Wales Trinity Saint David [UWTSD](2022) </w:t>
      </w:r>
      <w:r>
        <w:rPr>
          <w:rFonts w:hint="default" w:ascii="Calibri Italic" w:hAnsi="Calibri Italic" w:cs="Calibri Italic"/>
          <w:i/>
          <w:iCs/>
          <w:lang w:val="en-US" w:eastAsia="zh-CN"/>
        </w:rPr>
        <w:t>Research ethics and integrity code of practice.</w:t>
      </w:r>
      <w:r>
        <w:rPr>
          <w:rFonts w:hint="default" w:ascii="Calibri Regular" w:hAnsi="Calibri Regular" w:cs="Calibri Regular"/>
          <w:lang w:val="en-US" w:eastAsia="zh-CN"/>
        </w:rPr>
        <w:t xml:space="preserve"> Available at: </w:t>
      </w:r>
      <w:r>
        <w:rPr>
          <w:rFonts w:hint="default" w:ascii="Calibri Regular" w:hAnsi="Calibri Regular" w:cs="Calibri Regular"/>
          <w:lang w:val="en-US" w:eastAsia="zh-CN"/>
        </w:rPr>
        <w:fldChar w:fldCharType="begin"/>
      </w:r>
      <w:r>
        <w:rPr>
          <w:rFonts w:hint="default" w:ascii="Calibri Regular" w:hAnsi="Calibri Regular" w:cs="Calibri Regular"/>
          <w:lang w:val="en-US" w:eastAsia="zh-CN"/>
        </w:rPr>
        <w:instrText xml:space="preserve"> HYPERLINK "https://www.uwtsd.ac.uk/research/research-integrity-and-ethics" </w:instrText>
      </w:r>
      <w:r>
        <w:rPr>
          <w:rFonts w:hint="default" w:ascii="Calibri Regular" w:hAnsi="Calibri Regular" w:cs="Calibri Regular"/>
          <w:lang w:val="en-US" w:eastAsia="zh-CN"/>
        </w:rPr>
        <w:fldChar w:fldCharType="separate"/>
      </w:r>
      <w:r>
        <w:rPr>
          <w:rStyle w:val="19"/>
          <w:rFonts w:hint="default" w:ascii="Calibri Regular" w:hAnsi="Calibri Regular" w:cs="Calibri Regular"/>
          <w:lang w:val="en-US" w:eastAsia="zh-CN"/>
        </w:rPr>
        <w:t>https://www.uwtsd.ac.uk/research/research-integrity-and-ethics</w:t>
      </w:r>
      <w:r>
        <w:rPr>
          <w:rFonts w:hint="default" w:ascii="Calibri Regular" w:hAnsi="Calibri Regular" w:cs="Calibri Regular"/>
          <w:lang w:val="en-US" w:eastAsia="zh-CN"/>
        </w:rPr>
        <w:fldChar w:fldCharType="end"/>
      </w:r>
      <w:r>
        <w:rPr>
          <w:rFonts w:hint="default" w:ascii="Calibri Regular" w:hAnsi="Calibri Regular" w:cs="Calibri Regular"/>
          <w:lang w:val="en-US" w:eastAsia="zh-CN"/>
        </w:rPr>
        <w:t xml:space="preserve">  (Accessed:7 April 2025).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eastAsia="zh-CN"/>
        </w:rPr>
        <w:t>Weigle, S.C., (2002) </w:t>
      </w:r>
      <w:r>
        <w:rPr>
          <w:rFonts w:hint="default" w:ascii="Calibri Italic" w:hAnsi="Calibri Italic" w:eastAsia="Times New Roman" w:cs="Calibri Italic"/>
          <w:i/>
          <w:iCs/>
          <w:lang w:val="en-US" w:eastAsia="zh-CN"/>
        </w:rPr>
        <w:t>Assessing writing</w:t>
      </w:r>
      <w:r>
        <w:rPr>
          <w:rFonts w:hint="default" w:ascii="Calibri Regular" w:hAnsi="Calibri Regular" w:eastAsia="Times New Roman" w:cs="Calibri Regular"/>
          <w:lang w:val="en-US" w:eastAsia="zh-CN"/>
        </w:rPr>
        <w:t>. Cambridge: Cambridge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Werdiningsih, I., Marzuki, Indrawati, I., Rusdin, D., Ivone, F.M, Basthomi, Y., and Zulfahreza (2024) ‘Revolutionizing EFL writing: unveiling the strategic use of ChatGPT by Indonesian master’s students’, </w:t>
      </w:r>
      <w:r>
        <w:rPr>
          <w:rFonts w:hint="default" w:ascii="Calibri Italic" w:hAnsi="Calibri Italic" w:cs="Calibri Italic"/>
          <w:i/>
          <w:iCs/>
          <w:lang w:val="en-US"/>
        </w:rPr>
        <w:t>Cogent Education</w:t>
      </w:r>
      <w:r>
        <w:rPr>
          <w:rFonts w:hint="default" w:ascii="Calibri Regular" w:hAnsi="Calibri Regular" w:cs="Calibri Regular"/>
          <w:lang w:val="en-US"/>
        </w:rPr>
        <w:t xml:space="preserve">, 11(1), p. 2399431.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"https://doi.org/10.1080/2331186X.2024.2399431"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https://doi.org/10.1080/2331186X.2024.2399431</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bookmarkStart w:id="0" w:name="_GoBack"/>
      <w:bookmarkEnd w:id="0"/>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Xue, L. Rashid, A.M. and Ouyang, S. (2024) ‘The unified theory of acceptance and use of technology (UTAUT) in higher education: a systematic review’, </w:t>
      </w:r>
      <w:r>
        <w:rPr>
          <w:rFonts w:hint="default" w:ascii="Calibri Italic" w:hAnsi="Calibri Italic" w:cs="Calibri Italic"/>
          <w:i/>
          <w:iCs/>
          <w:lang w:val="en-US"/>
        </w:rPr>
        <w:t>Sage Open</w:t>
      </w:r>
      <w:r>
        <w:rPr>
          <w:rFonts w:hint="default" w:ascii="Calibri Regular" w:hAnsi="Calibri Regular" w:cs="Calibri Regular"/>
          <w:lang w:val="en-US"/>
        </w:rPr>
        <w:t xml:space="preserve">,14(1). 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"https://doi.org/10.1177/21582440241229570" </w:instrText>
      </w:r>
      <w:r>
        <w:rPr>
          <w:rFonts w:hint="default" w:ascii="Calibri Regular" w:hAnsi="Calibri Regular" w:cs="Calibri Regular"/>
          <w:lang w:val="en-US"/>
        </w:rPr>
        <w:fldChar w:fldCharType="separate"/>
      </w:r>
      <w:r>
        <w:rPr>
          <w:rStyle w:val="19"/>
          <w:rFonts w:hint="default" w:ascii="Calibri Regular" w:hAnsi="Calibri Regular" w:cs="Calibri Regular"/>
          <w:lang w:val="en-US"/>
        </w:rPr>
        <w:t>https://doi.org/10.1177/21582440241229570</w:t>
      </w:r>
      <w:r>
        <w:rPr>
          <w:rFonts w:hint="default"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cs="Calibri Regular"/>
          <w:lang w:val="en-US"/>
        </w:rPr>
      </w:pPr>
      <w:r>
        <w:rPr>
          <w:rFonts w:hint="eastAsia" w:ascii="Calibri Regular" w:hAnsi="Calibri Regular" w:cs="Calibri Regular"/>
          <w:lang w:val="en-US"/>
        </w:rPr>
        <w:t xml:space="preserve">Yan, D. (2023) ‘Impact of ChatGPT on learners in a L2 writing practicum: An exploratory investigation’, </w:t>
      </w:r>
      <w:r>
        <w:rPr>
          <w:rFonts w:hint="default" w:ascii="Calibri Italic" w:hAnsi="Calibri Italic" w:cs="Calibri Italic"/>
          <w:i/>
          <w:iCs/>
          <w:lang w:val="en-US"/>
        </w:rPr>
        <w:t>Education and Information Technologies</w:t>
      </w:r>
      <w:r>
        <w:rPr>
          <w:rFonts w:hint="eastAsia" w:ascii="Calibri Regular" w:hAnsi="Calibri Regular" w:cs="Calibri Regular"/>
          <w:lang w:val="en-US"/>
        </w:rPr>
        <w:t xml:space="preserve">, 28(11), pp. 13943–13967.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eastAsia" w:ascii="Calibri Regular" w:hAnsi="Calibri Regular" w:cs="Calibri Regular"/>
          <w:lang w:val="en-US"/>
        </w:rPr>
        <w:t xml:space="preserve">Available at: </w:t>
      </w:r>
      <w:r>
        <w:rPr>
          <w:rFonts w:hint="eastAsia" w:ascii="Calibri Regular" w:hAnsi="Calibri Regular" w:cs="Calibri Regular"/>
          <w:lang w:val="en-US"/>
        </w:rPr>
        <w:fldChar w:fldCharType="begin"/>
      </w:r>
      <w:r>
        <w:rPr>
          <w:rFonts w:hint="eastAsia" w:ascii="Calibri Regular" w:hAnsi="Calibri Regular" w:cs="Calibri Regular"/>
          <w:lang w:val="en-US"/>
        </w:rPr>
        <w:instrText xml:space="preserve"> HYPERLINK "https://doi.org/10.1007/s10639-023-11742-4" </w:instrText>
      </w:r>
      <w:r>
        <w:rPr>
          <w:rFonts w:hint="eastAsia" w:ascii="Calibri Regular" w:hAnsi="Calibri Regular" w:cs="Calibri Regular"/>
          <w:lang w:val="en-US"/>
        </w:rPr>
        <w:fldChar w:fldCharType="separate"/>
      </w:r>
      <w:r>
        <w:rPr>
          <w:rStyle w:val="19"/>
          <w:rFonts w:hint="eastAsia" w:ascii="Calibri Regular" w:hAnsi="Calibri Regular" w:cs="Calibri Regular"/>
          <w:lang w:val="en-US"/>
        </w:rPr>
        <w:t>https://doi.org/10.1007/s10639-023-11742-4</w:t>
      </w:r>
      <w:r>
        <w:rPr>
          <w:rFonts w:hint="eastAsia" w:ascii="Calibri Regular" w:hAnsi="Calibri Regular" w:cs="Calibri Regular"/>
          <w:lang w:val="en-US"/>
        </w:rPr>
        <w:fldChar w:fldCharType="end"/>
      </w:r>
      <w:r>
        <w:rPr>
          <w:rFonts w:hint="default" w:ascii="Calibri Regular" w:hAnsi="Calibri Regular" w:cs="Calibri Regular"/>
          <w:lang w:val="en-US"/>
        </w:rPr>
        <w:t xml:space="preserve"> </w:t>
      </w:r>
      <w:r>
        <w:rPr>
          <w:rFonts w:hint="eastAsia" w:ascii="Calibri Regular" w:hAnsi="Calibri Regular" w:cs="Calibri Regular"/>
          <w:lang w:val="en-US"/>
        </w:rPr>
        <w:t xml:space="preserve"> </w:t>
      </w:r>
    </w:p>
    <w:p>
      <w:pPr>
        <w:spacing w:after="160" w:line="278" w:lineRule="auto"/>
        <w:rPr>
          <w:rFonts w:cs="Arial"/>
          <w:b/>
          <w:sz w:val="22"/>
          <w:szCs w:val="22"/>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eastAsia" w:ascii="Calibri Regular" w:hAnsi="Calibri Regular" w:cs="Calibri Regular"/>
          <w:lang w:val="en-US"/>
        </w:rPr>
        <w:t xml:space="preserve">Yunus, N. A., olde Hartman, T., Lucassen, P., Barton, C., Russell, G., Altun, A., </w:t>
      </w:r>
      <w:r>
        <w:rPr>
          <w:rFonts w:hint="default" w:ascii="Calibri Regular" w:hAnsi="Calibri Regular" w:cs="Calibri Regular"/>
          <w:lang w:val="en-US"/>
        </w:rPr>
        <w:t xml:space="preserve">and </w:t>
      </w:r>
      <w:r>
        <w:rPr>
          <w:rFonts w:hint="eastAsia" w:ascii="Calibri Regular" w:hAnsi="Calibri Regular" w:cs="Calibri Regular"/>
          <w:lang w:val="en-US"/>
        </w:rPr>
        <w:t>Sturgiss, E. (2022)</w:t>
      </w:r>
      <w:r>
        <w:rPr>
          <w:rFonts w:hint="default" w:ascii="Calibri Regular" w:hAnsi="Calibri Regular" w:cs="Calibri Regular"/>
          <w:lang w:val="en-US"/>
        </w:rPr>
        <w:t xml:space="preserve"> ‘</w:t>
      </w:r>
      <w:r>
        <w:rPr>
          <w:rFonts w:hint="eastAsia" w:ascii="Calibri Regular" w:hAnsi="Calibri Regular" w:cs="Calibri Regular"/>
          <w:lang w:val="en-US"/>
        </w:rPr>
        <w:t>Reporting of the Translation Process in Qualitative Health Research: A Neglected Importance</w:t>
      </w:r>
      <w:r>
        <w:rPr>
          <w:rFonts w:hint="default" w:ascii="Calibri Regular" w:hAnsi="Calibri Regular" w:cs="Calibri Regular"/>
          <w:lang w:val="en-US"/>
        </w:rPr>
        <w:t>’</w:t>
      </w:r>
      <w:r>
        <w:rPr>
          <w:rFonts w:hint="eastAsia" w:ascii="Calibri Regular" w:hAnsi="Calibri Regular" w:cs="Calibri Regular"/>
          <w:lang w:val="en-US"/>
        </w:rPr>
        <w:t xml:space="preserve">. </w:t>
      </w:r>
      <w:r>
        <w:rPr>
          <w:rFonts w:hint="default" w:ascii="Calibri Italic" w:hAnsi="Calibri Italic" w:cs="Calibri Italic"/>
          <w:i/>
          <w:iCs/>
          <w:lang w:val="en-US"/>
        </w:rPr>
        <w:t>International Journal of Qualitative Methods,</w:t>
      </w:r>
      <w:r>
        <w:rPr>
          <w:rFonts w:hint="eastAsia" w:ascii="Calibri Regular" w:hAnsi="Calibri Regular" w:cs="Calibri Regular"/>
          <w:lang w:val="en-US"/>
        </w:rPr>
        <w:t xml:space="preserve"> 21. </w:t>
      </w:r>
      <w:r>
        <w:rPr>
          <w:rFonts w:hint="default" w:ascii="Calibri Regular" w:hAnsi="Calibri Regular" w:cs="Calibri Regular"/>
          <w:lang w:val="en-US"/>
        </w:rPr>
        <w:t xml:space="preserve">Available at: </w:t>
      </w:r>
      <w:r>
        <w:rPr>
          <w:rFonts w:hint="eastAsia" w:ascii="Calibri Regular" w:hAnsi="Calibri Regular" w:cs="Calibri Regular"/>
          <w:lang w:val="en-US"/>
        </w:rPr>
        <w:fldChar w:fldCharType="begin"/>
      </w:r>
      <w:r>
        <w:rPr>
          <w:rFonts w:hint="eastAsia" w:ascii="Calibri Regular" w:hAnsi="Calibri Regular" w:cs="Calibri Regular"/>
          <w:lang w:val="en-US"/>
        </w:rPr>
        <w:instrText xml:space="preserve"> HYPERLINK "https://doi.org/10.1177/16094069221145282" </w:instrText>
      </w:r>
      <w:r>
        <w:rPr>
          <w:rFonts w:hint="eastAsia" w:ascii="Calibri Regular" w:hAnsi="Calibri Regular" w:cs="Calibri Regular"/>
          <w:lang w:val="en-US"/>
        </w:rPr>
        <w:fldChar w:fldCharType="separate"/>
      </w:r>
      <w:r>
        <w:rPr>
          <w:rStyle w:val="19"/>
          <w:rFonts w:hint="eastAsia" w:ascii="Calibri Regular" w:hAnsi="Calibri Regular" w:cs="Calibri Regular"/>
          <w:lang w:val="en-US"/>
        </w:rPr>
        <w:t>https://doi.org/10.1177/16094069221145282</w:t>
      </w:r>
      <w:r>
        <w:rPr>
          <w:rFonts w:hint="eastAsia" w:ascii="Calibri Regular" w:hAnsi="Calibri Regular" w:cs="Calibri Regular"/>
          <w:lang w:val="en-US"/>
        </w:rPr>
        <w:fldChar w:fldCharType="end"/>
      </w:r>
      <w:r>
        <w:rPr>
          <w:rFonts w:hint="default" w:ascii="Calibri Regular" w:hAnsi="Calibri Regular" w:cs="Calibri Regular"/>
          <w:lang w:val="en-US"/>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p>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Bold" w:hAnsi="Calibri Bold" w:cs="Calibri Bold"/>
          <w:b/>
          <w:bCs/>
          <w:lang w:val="en-US"/>
        </w:rPr>
      </w:pPr>
      <w:r>
        <w:rPr>
          <w:rFonts w:hint="default" w:ascii="Calibri Bold" w:hAnsi="Calibri Bold" w:cs="Calibri Bold"/>
          <w:b/>
          <w:bCs/>
          <w:lang w:val="en-US"/>
        </w:rPr>
        <w:t>AI Acknowledgement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cs="Calibri Regular"/>
          <w:lang w:val="en-US"/>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cs="Calibri Regular"/>
          <w:lang w:val="en-US"/>
        </w:rPr>
      </w:pPr>
      <w:r>
        <w:rPr>
          <w:rFonts w:hint="eastAsia" w:ascii="Calibri Regular" w:hAnsi="Calibri Regular" w:cs="Calibri Regular"/>
          <w:lang w:val="en-US"/>
        </w:rPr>
        <w:t>I acknowledge the use of</w:t>
      </w:r>
      <w:r>
        <w:rPr>
          <w:rFonts w:hint="eastAsia" w:ascii="Calibri Regular" w:hAnsi="Calibri Regular" w:cs="Calibri Regular"/>
          <w:lang w:val="en-US" w:eastAsia="zh-CN"/>
        </w:rPr>
        <w:t xml:space="preserve"> CHATGPT</w:t>
      </w:r>
      <w:r>
        <w:rPr>
          <w:rFonts w:hint="eastAsia" w:ascii="Calibri Regular" w:hAnsi="Calibri Regular" w:cs="Calibri Regular"/>
          <w:lang w:val="en-US"/>
        </w:rPr>
        <w:t xml:space="preserve"> [(https://openai.com/chatgpt)] </w:t>
      </w:r>
      <w:r>
        <w:rPr>
          <w:rFonts w:hint="eastAsia" w:ascii="Calibri Regular" w:hAnsi="Calibri Regular" w:cs="Calibri Regular"/>
          <w:lang w:val="en-US" w:eastAsia="zh-CN"/>
        </w:rPr>
        <w:t>in</w:t>
      </w:r>
      <w:r>
        <w:rPr>
          <w:rFonts w:hint="eastAsia" w:ascii="Calibri Regular" w:hAnsi="Calibri Regular" w:cs="Calibri Regular"/>
          <w:lang w:val="en-US"/>
        </w:rPr>
        <w:t xml:space="preserve"> </w:t>
      </w:r>
      <w:r>
        <w:rPr>
          <w:rFonts w:hint="eastAsia" w:ascii="Calibri Regular" w:hAnsi="Calibri Regular" w:cs="Calibri Regular"/>
          <w:lang w:val="en-US" w:eastAsia="zh-CN"/>
        </w:rPr>
        <w:t>April</w:t>
      </w:r>
      <w:r>
        <w:rPr>
          <w:rFonts w:hint="default" w:ascii="Calibri Regular" w:hAnsi="Calibri Regular" w:cs="Calibri Regular"/>
          <w:lang w:val="en-US" w:eastAsia="zh-CN"/>
        </w:rPr>
        <w:t xml:space="preserve">, </w:t>
      </w:r>
      <w:r>
        <w:rPr>
          <w:rFonts w:hint="eastAsia" w:ascii="Calibri Regular" w:hAnsi="Calibri Regular" w:cs="Calibri Regular"/>
          <w:lang w:val="en-US" w:eastAsia="zh-CN"/>
        </w:rPr>
        <w:t>2025</w:t>
      </w:r>
      <w:r>
        <w:rPr>
          <w:rFonts w:hint="eastAsia" w:ascii="Calibri Regular" w:hAnsi="Calibri Regular" w:cs="Calibri Regular"/>
          <w:lang w:val="en-US"/>
        </w:rPr>
        <w:t xml:space="preserve"> to </w:t>
      </w:r>
      <w:r>
        <w:rPr>
          <w:rFonts w:hint="eastAsia" w:ascii="Calibri Regular" w:hAnsi="Calibri Regular" w:cs="Calibri Regular"/>
          <w:lang w:val="en-US" w:eastAsia="zh-CN"/>
        </w:rPr>
        <w:t>check grammar</w:t>
      </w:r>
      <w:r>
        <w:rPr>
          <w:rFonts w:hint="default" w:ascii="Calibri Regular" w:hAnsi="Calibri Regular" w:cs="Calibri Regular"/>
          <w:lang w:val="en-US" w:eastAsia="zh-CN"/>
        </w:rPr>
        <w:t>, clarity and improve language</w:t>
      </w:r>
      <w:r>
        <w:rPr>
          <w:rFonts w:hint="eastAsia" w:ascii="Calibri Regular" w:hAnsi="Calibri Regular" w:cs="Calibri Regular"/>
          <w:lang w:val="en-US"/>
        </w:rPr>
        <w:t xml:space="preserve">. I used the prompt(s):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eastAsia" w:ascii="Calibri Regular" w:hAnsi="Calibri Regular" w:cs="Calibri Regular"/>
          <w:lang w:val="en-US"/>
        </w:rPr>
        <w:t xml:space="preserve">1. </w:t>
      </w:r>
      <w:r>
        <w:rPr>
          <w:rFonts w:hint="default" w:ascii="Calibri Regular" w:hAnsi="Calibri Regular" w:cs="Calibri Regular"/>
          <w:lang w:val="en-US"/>
        </w:rPr>
        <w:t>“</w:t>
      </w:r>
      <w:r>
        <w:rPr>
          <w:rFonts w:hint="eastAsia" w:ascii="Calibri Regular" w:hAnsi="Calibri Regular" w:cs="Calibri Regular"/>
          <w:lang w:val="en-US" w:eastAsia="zh-CN"/>
        </w:rPr>
        <w:t>……” 语法</w:t>
      </w:r>
      <w:r>
        <w:rPr>
          <w:rFonts w:hint="default" w:ascii="Calibri Regular" w:hAnsi="Calibri Regular" w:cs="Calibri Regular"/>
          <w:lang w:val="en-US" w:eastAsia="zh-CN"/>
        </w:rPr>
        <w:t xml:space="preserve"> (which means grammar checking)</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eastAsia" w:ascii="Calibri Regular" w:hAnsi="Calibri Regular" w:cs="Calibri Regular"/>
          <w:lang w:val="en-US"/>
        </w:rPr>
        <w:t xml:space="preserve">2. </w:t>
      </w:r>
      <w:r>
        <w:rPr>
          <w:rFonts w:hint="eastAsia" w:ascii="Calibri Regular" w:hAnsi="Calibri Regular" w:cs="Calibri Regular"/>
          <w:lang w:val="en-US" w:eastAsia="zh-CN"/>
        </w:rPr>
        <w:t>“……”我说清楚我的意思了吗？</w:t>
      </w:r>
      <w:r>
        <w:rPr>
          <w:rFonts w:hint="default" w:ascii="Calibri Regular" w:hAnsi="Calibri Regular" w:cs="Calibri Regular"/>
          <w:lang w:val="en-US" w:eastAsia="zh-CN"/>
        </w:rPr>
        <w:t>(</w:t>
      </w:r>
      <w:r>
        <w:rPr>
          <w:rFonts w:hint="eastAsia" w:ascii="Calibri Regular" w:hAnsi="Calibri Regular" w:cs="Calibri Regular"/>
          <w:lang w:val="en-US" w:eastAsia="zh-CN"/>
        </w:rPr>
        <w:t xml:space="preserve">which means </w:t>
      </w:r>
      <w:r>
        <w:rPr>
          <w:rFonts w:hint="default" w:ascii="Calibri Regular" w:hAnsi="Calibri Regular" w:cs="Calibri Regular"/>
          <w:lang w:val="en-US" w:eastAsia="zh-CN"/>
        </w:rPr>
        <w:t>‘</w:t>
      </w:r>
      <w:r>
        <w:rPr>
          <w:rFonts w:hint="eastAsia" w:ascii="Calibri Regular" w:hAnsi="Calibri Regular" w:cs="Calibri Regular"/>
          <w:lang w:val="en-US" w:eastAsia="zh-CN"/>
        </w:rPr>
        <w:t xml:space="preserve"> d</w:t>
      </w:r>
      <w:r>
        <w:rPr>
          <w:rFonts w:hint="default" w:ascii="Calibri Regular" w:hAnsi="Calibri Regular" w:cs="Calibri Regular"/>
          <w:lang w:val="en-US" w:eastAsia="zh-CN"/>
        </w:rPr>
        <w:t>id</w:t>
      </w:r>
      <w:r>
        <w:rPr>
          <w:rFonts w:hint="eastAsia" w:ascii="Calibri Regular" w:hAnsi="Calibri Regular" w:cs="Calibri Regular"/>
          <w:lang w:val="en-US" w:eastAsia="zh-CN"/>
        </w:rPr>
        <w:t xml:space="preserve"> I make </w:t>
      </w:r>
      <w:r>
        <w:rPr>
          <w:rFonts w:hint="default" w:ascii="Calibri Regular" w:hAnsi="Calibri Regular" w:cs="Calibri Regular"/>
          <w:lang w:val="en-US" w:eastAsia="zh-CN"/>
        </w:rPr>
        <w:t>myself</w:t>
      </w:r>
      <w:r>
        <w:rPr>
          <w:rFonts w:hint="eastAsia" w:ascii="Calibri Regular" w:hAnsi="Calibri Regular" w:cs="Calibri Regular"/>
          <w:lang w:val="en-US" w:eastAsia="zh-CN"/>
        </w:rPr>
        <w:t xml:space="preserve"> clear</w:t>
      </w:r>
      <w:r>
        <w:rPr>
          <w:rFonts w:hint="default" w:ascii="Calibri Regular" w:hAnsi="Calibri Regular" w:cs="Calibri Regular"/>
          <w:lang w:val="en-US" w:eastAsia="zh-CN"/>
        </w:rPr>
        <w: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r>
        <w:rPr>
          <w:rFonts w:hint="eastAsia" w:ascii="Calibri Regular" w:hAnsi="Calibri Regular" w:cs="Calibri Regular"/>
          <w:lang w:val="en-US"/>
        </w:rPr>
        <w:t xml:space="preserve">3. </w:t>
      </w:r>
      <w:r>
        <w:rPr>
          <w:rFonts w:hint="default" w:ascii="Calibri Regular" w:hAnsi="Calibri Regular" w:cs="Calibri Regular"/>
          <w:lang w:val="en-US"/>
        </w:rPr>
        <w:t>“</w:t>
      </w:r>
      <w:r>
        <w:rPr>
          <w:rFonts w:hint="eastAsia" w:ascii="Calibri Regular" w:hAnsi="Calibri Regular" w:cs="Calibri Regular"/>
          <w:lang w:val="en-US" w:eastAsia="zh-CN"/>
        </w:rPr>
        <w:t>……”</w:t>
      </w:r>
      <w:r>
        <w:rPr>
          <w:rFonts w:hint="default" w:ascii="Calibri Regular" w:hAnsi="Calibri Regular" w:cs="Calibri Regular"/>
          <w:lang w:val="en-US" w:eastAsia="zh-CN"/>
        </w:rPr>
        <w:t>(language improving)</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cs="Calibri Regular"/>
          <w:lang w:val="en-US"/>
        </w:rPr>
      </w:pPr>
      <w:r>
        <w:rPr>
          <w:rFonts w:hint="eastAsia" w:ascii="Calibri Regular" w:hAnsi="Calibri Regular" w:cs="Calibri Regular"/>
          <w:lang w:val="en-US"/>
        </w:rPr>
        <w:t xml:space="preserve">I confirm that I have not presented any AI generated text as my own work.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Calibri Regular" w:hAnsi="Calibri Regular" w:cs="Calibri Regular"/>
          <w:lang w:val="en-US"/>
        </w:rPr>
      </w:pPr>
      <w:r>
        <w:rPr>
          <w:rFonts w:hint="eastAsia" w:ascii="Calibri Regular" w:hAnsi="Calibri Regular" w:cs="Calibri Regular"/>
          <w:lang w:val="en-US"/>
        </w:rPr>
        <w:t xml:space="preserve">I confirm that I have copies of my drafts, notes, and other resources I used before and after the use of AI tools which I may be asked to provide in evidence. </w:t>
      </w:r>
    </w:p>
    <w:p>
      <w:pPr>
        <w:rPr>
          <w:rFonts w:ascii="Aptos" w:hAnsi="Aptos"/>
          <w:sz w:val="24"/>
          <w:szCs w:val="24"/>
        </w:rPr>
      </w:pPr>
    </w:p>
    <w:p>
      <w:pPr>
        <w:rPr>
          <w:rFonts w:ascii="Aptos" w:hAnsi="Aptos"/>
          <w:sz w:val="24"/>
          <w:szCs w:val="24"/>
        </w:rPr>
      </w:pPr>
    </w:p>
    <w:p/>
    <w:p/>
    <w:sectPr>
      <w:pgSz w:w="11906" w:h="16838"/>
      <w:pgMar w:top="1701" w:right="1440" w:bottom="1440" w:left="1440" w:header="284" w:footer="709" w:gutter="0"/>
      <w:cols w:space="720" w:num="1"/>
      <w:docGrid w:linePitch="27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Aptos Display">
    <w:altName w:val="苹方-简"/>
    <w:panose1 w:val="00000000000000000000"/>
    <w:charset w:val="00"/>
    <w:family w:val="swiss"/>
    <w:pitch w:val="default"/>
    <w:sig w:usb0="00000000" w:usb1="00000000" w:usb2="00000000" w:usb3="00000000" w:csb0="0000019F" w:csb1="00000000"/>
  </w:font>
  <w:font w:name="等线 Light">
    <w:altName w:val="汉仪中等线KW"/>
    <w:panose1 w:val="00000000000000000000"/>
    <w:charset w:val="00"/>
    <w:family w:val="auto"/>
    <w:pitch w:val="default"/>
    <w:sig w:usb0="00000000" w:usb1="00000000" w:usb2="00000000" w:usb3="00000000" w:csb0="00000000" w:csb1="00000000"/>
  </w:font>
  <w:font w:name="Calibri Regular">
    <w:panose1 w:val="020F07020304040A0204"/>
    <w:charset w:val="00"/>
    <w:family w:val="auto"/>
    <w:pitch w:val="default"/>
    <w:sig w:usb0="E10002FF" w:usb1="4000ACFF" w:usb2="00000009" w:usb3="00000000" w:csb0="2000019F" w:csb1="00000000"/>
  </w:font>
  <w:font w:name="Calibri Bold">
    <w:panose1 w:val="020F07020304040A0204"/>
    <w:charset w:val="00"/>
    <w:family w:val="auto"/>
    <w:pitch w:val="default"/>
    <w:sig w:usb0="E10002FF" w:usb1="4000ACFF" w:usb2="00000009" w:usb3="00000000" w:csb0="2000019F" w:csb1="00000000"/>
  </w:font>
  <w:font w:name="SimSun">
    <w:panose1 w:val="02010600030101010101"/>
    <w:charset w:val="86"/>
    <w:family w:val="auto"/>
    <w:pitch w:val="default"/>
    <w:sig w:usb0="00000003" w:usb1="288F0000" w:usb2="00000006" w:usb3="00000000" w:csb0="00040001" w:csb1="00000000"/>
  </w:font>
  <w:font w:name="Calibri Italic">
    <w:panose1 w:val="020F07020304040A0204"/>
    <w:charset w:val="00"/>
    <w:family w:val="auto"/>
    <w:pitch w:val="default"/>
    <w:sig w:usb0="E10002FF" w:usb1="4000ACFF" w:usb2="00000009" w:usb3="00000000" w:csb0="2000019F" w:csb1="00000000"/>
  </w:font>
  <w:font w:name="Times New Roman Regular">
    <w:panose1 w:val="02020503050405090304"/>
    <w:charset w:val="00"/>
    <w:family w:val="auto"/>
    <w:pitch w:val="default"/>
    <w:sig w:usb0="E0000AFF" w:usb1="00007843" w:usb2="00000001" w:usb3="00000000" w:csb0="400001BF" w:csb1="DFF70000"/>
  </w:font>
  <w:font w:name="Aptos">
    <w:altName w:val="苹方-简"/>
    <w:panose1 w:val="00000000000000000000"/>
    <w:charset w:val="00"/>
    <w:family w:val="swiss"/>
    <w:pitch w:val="default"/>
    <w:sig w:usb0="00000000" w:usb1="00000000" w:usb2="00000000" w:usb3="00000000" w:csb0="0000019F" w:csb1="00000000"/>
  </w:font>
  <w:font w:name="宋体-简">
    <w:panose1 w:val="02010800040101010101"/>
    <w:charset w:val="86"/>
    <w:family w:val="auto"/>
    <w:pitch w:val="default"/>
    <w:sig w:usb0="00000001" w:usb1="080F0000" w:usb2="00000000" w:usb3="00000000" w:csb0="00040000" w:csb1="00000000"/>
  </w:font>
  <w:font w:name="汉仪中等线KW">
    <w:panose1 w:val="01010104010101010101"/>
    <w:charset w:val="86"/>
    <w:family w:val="auto"/>
    <w:pitch w:val="default"/>
    <w:sig w:usb0="800002BF" w:usb1="004F7CFA" w:usb2="00000000" w:usb3="00000000" w:csb0="00040001"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FECAE8"/>
    <w:multiLevelType w:val="singleLevel"/>
    <w:tmpl w:val="BFFECAE8"/>
    <w:lvl w:ilvl="0" w:tentative="0">
      <w:start w:val="1"/>
      <w:numFmt w:val="bullet"/>
      <w:lvlText w:val=""/>
      <w:lvlJc w:val="left"/>
      <w:pPr>
        <w:ind w:left="420" w:hanging="420"/>
      </w:pPr>
      <w:rPr>
        <w:rFonts w:hint="default" w:ascii="Wingdings" w:hAnsi="Wingdings"/>
      </w:rPr>
    </w:lvl>
  </w:abstractNum>
  <w:abstractNum w:abstractNumId="1">
    <w:nsid w:val="DACB1E29"/>
    <w:multiLevelType w:val="singleLevel"/>
    <w:tmpl w:val="DACB1E29"/>
    <w:lvl w:ilvl="0" w:tentative="0">
      <w:start w:val="1"/>
      <w:numFmt w:val="bullet"/>
      <w:lvlText w:val=""/>
      <w:lvlJc w:val="left"/>
      <w:pPr>
        <w:ind w:left="420" w:hanging="420"/>
      </w:pPr>
      <w:rPr>
        <w:rFonts w:hint="default" w:ascii="Wingdings" w:hAnsi="Wingdings"/>
      </w:rPr>
    </w:lvl>
  </w:abstractNum>
  <w:abstractNum w:abstractNumId="2">
    <w:nsid w:val="FBD67CBF"/>
    <w:multiLevelType w:val="singleLevel"/>
    <w:tmpl w:val="FBD67CBF"/>
    <w:lvl w:ilvl="0" w:tentative="0">
      <w:start w:val="1"/>
      <w:numFmt w:val="bullet"/>
      <w:lvlText w:val=""/>
      <w:lvlJc w:val="left"/>
      <w:pPr>
        <w:ind w:left="420" w:hanging="420"/>
      </w:pPr>
      <w:rPr>
        <w:rFonts w:hint="default" w:ascii="Wingdings" w:hAnsi="Wingdings"/>
      </w:rPr>
    </w:lvl>
  </w:abstractNum>
  <w:abstractNum w:abstractNumId="3">
    <w:nsid w:val="FE2AD97E"/>
    <w:multiLevelType w:val="singleLevel"/>
    <w:tmpl w:val="FE2AD97E"/>
    <w:lvl w:ilvl="0" w:tentative="0">
      <w:start w:val="1"/>
      <w:numFmt w:val="decimal"/>
      <w:suff w:val="space"/>
      <w:lvlText w:val="%1)"/>
      <w:lvlJc w:val="left"/>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7"/>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2DD"/>
    <w:rsid w:val="00061BBC"/>
    <w:rsid w:val="00063ADC"/>
    <w:rsid w:val="000A2E17"/>
    <w:rsid w:val="000A470F"/>
    <w:rsid w:val="000C144A"/>
    <w:rsid w:val="000D5B34"/>
    <w:rsid w:val="0010406A"/>
    <w:rsid w:val="00115538"/>
    <w:rsid w:val="00135DD1"/>
    <w:rsid w:val="00136DBB"/>
    <w:rsid w:val="001819DF"/>
    <w:rsid w:val="001B086C"/>
    <w:rsid w:val="00255223"/>
    <w:rsid w:val="00262DC1"/>
    <w:rsid w:val="00301906"/>
    <w:rsid w:val="00302BB1"/>
    <w:rsid w:val="00320FF3"/>
    <w:rsid w:val="003341DF"/>
    <w:rsid w:val="00382546"/>
    <w:rsid w:val="003A709B"/>
    <w:rsid w:val="003D223A"/>
    <w:rsid w:val="00417AB6"/>
    <w:rsid w:val="004C6AB4"/>
    <w:rsid w:val="004D474C"/>
    <w:rsid w:val="00536CFB"/>
    <w:rsid w:val="00543F5E"/>
    <w:rsid w:val="00584970"/>
    <w:rsid w:val="005B5352"/>
    <w:rsid w:val="005B783A"/>
    <w:rsid w:val="005F42D0"/>
    <w:rsid w:val="005F7C42"/>
    <w:rsid w:val="0062310A"/>
    <w:rsid w:val="006B52C3"/>
    <w:rsid w:val="006B52DD"/>
    <w:rsid w:val="006C29E5"/>
    <w:rsid w:val="007352C0"/>
    <w:rsid w:val="00743752"/>
    <w:rsid w:val="007D3AE1"/>
    <w:rsid w:val="007E01E0"/>
    <w:rsid w:val="007E1794"/>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51B61"/>
    <w:rsid w:val="00BE2A35"/>
    <w:rsid w:val="00BE3554"/>
    <w:rsid w:val="00BF4FF3"/>
    <w:rsid w:val="00C129B8"/>
    <w:rsid w:val="00C24461"/>
    <w:rsid w:val="00C4699D"/>
    <w:rsid w:val="00CF32AC"/>
    <w:rsid w:val="00D26517"/>
    <w:rsid w:val="00DC55F3"/>
    <w:rsid w:val="00DE6EEB"/>
    <w:rsid w:val="00DF55E9"/>
    <w:rsid w:val="00E6747C"/>
    <w:rsid w:val="00EA0B9A"/>
    <w:rsid w:val="00EA15D1"/>
    <w:rsid w:val="00EA6220"/>
    <w:rsid w:val="00EC1771"/>
    <w:rsid w:val="00F8089C"/>
    <w:rsid w:val="17773844"/>
    <w:rsid w:val="2F3F1C93"/>
    <w:rsid w:val="37F79A64"/>
    <w:rsid w:val="3CF74252"/>
    <w:rsid w:val="3FFBAB15"/>
    <w:rsid w:val="45BF54CC"/>
    <w:rsid w:val="52FFB3E0"/>
    <w:rsid w:val="5B764BC3"/>
    <w:rsid w:val="67DD0A30"/>
    <w:rsid w:val="6AFF07B5"/>
    <w:rsid w:val="6BFBBDD6"/>
    <w:rsid w:val="6D7C22FC"/>
    <w:rsid w:val="77FDAF94"/>
    <w:rsid w:val="793F198F"/>
    <w:rsid w:val="7BAF45DC"/>
    <w:rsid w:val="7BFF2750"/>
    <w:rsid w:val="7C77A488"/>
    <w:rsid w:val="7C9FAEA7"/>
    <w:rsid w:val="7EFE096B"/>
    <w:rsid w:val="7F5B21B2"/>
    <w:rsid w:val="7F7270B7"/>
    <w:rsid w:val="7F76F3FD"/>
    <w:rsid w:val="7FCF3684"/>
    <w:rsid w:val="7FFB03F2"/>
    <w:rsid w:val="7FFF0512"/>
    <w:rsid w:val="9BDF2060"/>
    <w:rsid w:val="9D63044A"/>
    <w:rsid w:val="9D7FD5EC"/>
    <w:rsid w:val="BB738D93"/>
    <w:rsid w:val="CDAE4071"/>
    <w:rsid w:val="CFBF3D31"/>
    <w:rsid w:val="D59B0AF1"/>
    <w:rsid w:val="D5FF2AD8"/>
    <w:rsid w:val="D7B91851"/>
    <w:rsid w:val="D7FFDE71"/>
    <w:rsid w:val="D9F71CFB"/>
    <w:rsid w:val="DFFA736C"/>
    <w:rsid w:val="E1FBDAF8"/>
    <w:rsid w:val="EEF99B5F"/>
    <w:rsid w:val="EF7BE009"/>
    <w:rsid w:val="EFBE6F02"/>
    <w:rsid w:val="EFFB0FED"/>
    <w:rsid w:val="F6FB7FC3"/>
    <w:rsid w:val="FBDF70A3"/>
    <w:rsid w:val="FDBF6731"/>
    <w:rsid w:val="FE0742F1"/>
    <w:rsid w:val="FE671BC8"/>
    <w:rsid w:val="FEDB2BF1"/>
    <w:rsid w:val="FF92F1BC"/>
    <w:rsid w:val="FFD68644"/>
    <w:rsid w:val="FFD970ED"/>
    <w:rsid w:val="FFEDFF62"/>
    <w:rsid w:val="FFF62CAB"/>
    <w:rsid w:val="FFF7FCB4"/>
    <w:rsid w:val="FFFFF9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Arial" w:hAnsi="Arial" w:eastAsia="Times New Roman" w:cs="Times New Roman"/>
      <w:kern w:val="0"/>
      <w:sz w:val="20"/>
      <w:szCs w:val="20"/>
      <w:lang w:val="en-GB" w:eastAsia="en-GB" w:bidi="ar-SA"/>
      <w14:ligatures w14:val="none"/>
    </w:rPr>
  </w:style>
  <w:style w:type="paragraph" w:styleId="2">
    <w:name w:val="heading 1"/>
    <w:basedOn w:val="1"/>
    <w:next w:val="1"/>
    <w:link w:val="20"/>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1"/>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2"/>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3"/>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4"/>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5"/>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6"/>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7"/>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8"/>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7">
    <w:name w:val="Default Paragraph Font"/>
    <w:semiHidden/>
    <w:unhideWhenUsed/>
    <w:uiPriority w:val="1"/>
  </w:style>
  <w:style w:type="table" w:default="1" w:styleId="15">
    <w:name w:val="Normal Table"/>
    <w:semiHidden/>
    <w:unhideWhenUsed/>
    <w:uiPriority w:val="99"/>
    <w:tblPr>
      <w:tblCellMar>
        <w:top w:w="0" w:type="dxa"/>
        <w:left w:w="108" w:type="dxa"/>
        <w:bottom w:w="0" w:type="dxa"/>
        <w:right w:w="108" w:type="dxa"/>
      </w:tblCellMar>
    </w:tblPr>
  </w:style>
  <w:style w:type="paragraph" w:styleId="11">
    <w:name w:val="footer"/>
    <w:basedOn w:val="1"/>
    <w:link w:val="38"/>
    <w:uiPriority w:val="99"/>
    <w:pPr>
      <w:tabs>
        <w:tab w:val="center" w:pos="4320"/>
        <w:tab w:val="right" w:pos="8640"/>
      </w:tabs>
    </w:pPr>
  </w:style>
  <w:style w:type="paragraph" w:styleId="12">
    <w:name w:val="header"/>
    <w:basedOn w:val="1"/>
    <w:link w:val="39"/>
    <w:unhideWhenUsed/>
    <w:uiPriority w:val="99"/>
    <w:pPr>
      <w:tabs>
        <w:tab w:val="center" w:pos="4513"/>
        <w:tab w:val="right" w:pos="9026"/>
      </w:tabs>
    </w:pPr>
  </w:style>
  <w:style w:type="paragraph" w:styleId="13">
    <w:name w:val="Subtitle"/>
    <w:basedOn w:val="1"/>
    <w:next w:val="1"/>
    <w:link w:val="30"/>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9"/>
    <w:qFormat/>
    <w:uiPriority w:val="10"/>
    <w:pPr>
      <w:spacing w:after="80"/>
      <w:contextualSpacing/>
    </w:pPr>
    <w:rPr>
      <w:rFonts w:asciiTheme="majorHAnsi" w:hAnsiTheme="majorHAnsi" w:eastAsiaTheme="majorEastAsia" w:cstheme="majorBidi"/>
      <w:spacing w:val="-10"/>
      <w:kern w:val="28"/>
      <w:sz w:val="56"/>
      <w:szCs w:val="56"/>
    </w:rPr>
  </w:style>
  <w:style w:type="table" w:styleId="16">
    <w:name w:val="Table Grid"/>
    <w:basedOn w:val="15"/>
    <w:uiPriority w:val="0"/>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FollowedHyperlink"/>
    <w:basedOn w:val="17"/>
    <w:semiHidden/>
    <w:unhideWhenUsed/>
    <w:uiPriority w:val="99"/>
    <w:rPr>
      <w:color w:val="800080"/>
      <w:u w:val="single"/>
    </w:rPr>
  </w:style>
  <w:style w:type="character" w:styleId="19">
    <w:name w:val="Hyperlink"/>
    <w:basedOn w:val="17"/>
    <w:semiHidden/>
    <w:unhideWhenUsed/>
    <w:uiPriority w:val="99"/>
    <w:rPr>
      <w:color w:val="0000FF"/>
      <w:u w:val="single"/>
    </w:rPr>
  </w:style>
  <w:style w:type="character" w:customStyle="1" w:styleId="20">
    <w:name w:val="Heading 1 Char"/>
    <w:basedOn w:val="17"/>
    <w:link w:val="2"/>
    <w:uiPriority w:val="9"/>
    <w:rPr>
      <w:rFonts w:asciiTheme="majorHAnsi" w:hAnsiTheme="majorHAnsi" w:eastAsiaTheme="majorEastAsia" w:cstheme="majorBidi"/>
      <w:color w:val="104862" w:themeColor="accent1" w:themeShade="BF"/>
      <w:sz w:val="40"/>
      <w:szCs w:val="40"/>
    </w:rPr>
  </w:style>
  <w:style w:type="character" w:customStyle="1" w:styleId="21">
    <w:name w:val="Heading 2 Char"/>
    <w:basedOn w:val="17"/>
    <w:link w:val="3"/>
    <w:semiHidden/>
    <w:uiPriority w:val="9"/>
    <w:rPr>
      <w:rFonts w:asciiTheme="majorHAnsi" w:hAnsiTheme="majorHAnsi" w:eastAsiaTheme="majorEastAsia" w:cstheme="majorBidi"/>
      <w:color w:val="104862" w:themeColor="accent1" w:themeShade="BF"/>
      <w:sz w:val="32"/>
      <w:szCs w:val="32"/>
    </w:rPr>
  </w:style>
  <w:style w:type="character" w:customStyle="1" w:styleId="22">
    <w:name w:val="Heading 3 Char"/>
    <w:basedOn w:val="17"/>
    <w:link w:val="4"/>
    <w:semiHidden/>
    <w:uiPriority w:val="9"/>
    <w:rPr>
      <w:rFonts w:eastAsiaTheme="majorEastAsia" w:cstheme="majorBidi"/>
      <w:color w:val="104862" w:themeColor="accent1" w:themeShade="BF"/>
      <w:sz w:val="28"/>
      <w:szCs w:val="28"/>
    </w:rPr>
  </w:style>
  <w:style w:type="character" w:customStyle="1" w:styleId="23">
    <w:name w:val="Heading 4 Char"/>
    <w:basedOn w:val="17"/>
    <w:link w:val="5"/>
    <w:semiHidden/>
    <w:uiPriority w:val="9"/>
    <w:rPr>
      <w:rFonts w:eastAsiaTheme="majorEastAsia" w:cstheme="majorBidi"/>
      <w:i/>
      <w:iCs/>
      <w:color w:val="104862" w:themeColor="accent1" w:themeShade="BF"/>
    </w:rPr>
  </w:style>
  <w:style w:type="character" w:customStyle="1" w:styleId="24">
    <w:name w:val="Heading 5 Char"/>
    <w:basedOn w:val="17"/>
    <w:link w:val="6"/>
    <w:semiHidden/>
    <w:uiPriority w:val="9"/>
    <w:rPr>
      <w:rFonts w:eastAsiaTheme="majorEastAsia" w:cstheme="majorBidi"/>
      <w:color w:val="104862" w:themeColor="accent1" w:themeShade="BF"/>
    </w:rPr>
  </w:style>
  <w:style w:type="character" w:customStyle="1" w:styleId="25">
    <w:name w:val="Heading 6 Char"/>
    <w:basedOn w:val="17"/>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6">
    <w:name w:val="Heading 7 Char"/>
    <w:basedOn w:val="17"/>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7">
    <w:name w:val="Heading 8 Char"/>
    <w:basedOn w:val="17"/>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8">
    <w:name w:val="Heading 9 Char"/>
    <w:basedOn w:val="17"/>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9">
    <w:name w:val="Title Char"/>
    <w:basedOn w:val="17"/>
    <w:link w:val="14"/>
    <w:uiPriority w:val="10"/>
    <w:rPr>
      <w:rFonts w:asciiTheme="majorHAnsi" w:hAnsiTheme="majorHAnsi" w:eastAsiaTheme="majorEastAsia" w:cstheme="majorBidi"/>
      <w:spacing w:val="-10"/>
      <w:kern w:val="28"/>
      <w:sz w:val="56"/>
      <w:szCs w:val="56"/>
    </w:rPr>
  </w:style>
  <w:style w:type="character" w:customStyle="1" w:styleId="30">
    <w:name w:val="Subtitle Char"/>
    <w:basedOn w:val="17"/>
    <w:link w:val="1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1">
    <w:name w:val="Quote"/>
    <w:basedOn w:val="1"/>
    <w:next w:val="1"/>
    <w:link w:val="32"/>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2">
    <w:name w:val="Quote Char"/>
    <w:basedOn w:val="17"/>
    <w:link w:val="31"/>
    <w:uiPriority w:val="29"/>
    <w:rPr>
      <w:i/>
      <w:iCs/>
      <w:color w:val="404040" w:themeColor="text1" w:themeTint="BF"/>
      <w14:textFill>
        <w14:solidFill>
          <w14:schemeClr w14:val="tx1">
            <w14:lumMod w14:val="75000"/>
            <w14:lumOff w14:val="25000"/>
          </w14:schemeClr>
        </w14:solidFill>
      </w14:textFill>
    </w:rPr>
  </w:style>
  <w:style w:type="paragraph" w:styleId="33">
    <w:name w:val="List Paragraph"/>
    <w:basedOn w:val="1"/>
    <w:qFormat/>
    <w:uiPriority w:val="99"/>
    <w:pPr>
      <w:ind w:left="720"/>
      <w:contextualSpacing/>
    </w:pPr>
  </w:style>
  <w:style w:type="character" w:customStyle="1" w:styleId="34">
    <w:name w:val="Intense Emphasis"/>
    <w:basedOn w:val="17"/>
    <w:qFormat/>
    <w:uiPriority w:val="21"/>
    <w:rPr>
      <w:i/>
      <w:iCs/>
      <w:color w:val="104862" w:themeColor="accent1" w:themeShade="BF"/>
    </w:rPr>
  </w:style>
  <w:style w:type="paragraph" w:styleId="35">
    <w:name w:val="Intense Quote"/>
    <w:basedOn w:val="1"/>
    <w:next w:val="1"/>
    <w:link w:val="36"/>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6">
    <w:name w:val="Intense Quote Char"/>
    <w:basedOn w:val="17"/>
    <w:link w:val="35"/>
    <w:uiPriority w:val="30"/>
    <w:rPr>
      <w:i/>
      <w:iCs/>
      <w:color w:val="104862" w:themeColor="accent1" w:themeShade="BF"/>
    </w:rPr>
  </w:style>
  <w:style w:type="character" w:customStyle="1" w:styleId="37">
    <w:name w:val="Intense Reference"/>
    <w:basedOn w:val="17"/>
    <w:qFormat/>
    <w:uiPriority w:val="32"/>
    <w:rPr>
      <w:b/>
      <w:bCs/>
      <w:smallCaps/>
      <w:color w:val="104862" w:themeColor="accent1" w:themeShade="BF"/>
      <w:spacing w:val="5"/>
    </w:rPr>
  </w:style>
  <w:style w:type="character" w:customStyle="1" w:styleId="38">
    <w:name w:val="Footer Char"/>
    <w:basedOn w:val="17"/>
    <w:link w:val="11"/>
    <w:uiPriority w:val="99"/>
    <w:rPr>
      <w:rFonts w:ascii="Arial" w:hAnsi="Arial" w:eastAsia="Times New Roman" w:cs="Times New Roman"/>
      <w:kern w:val="0"/>
      <w:sz w:val="20"/>
      <w:szCs w:val="20"/>
      <w:lang w:eastAsia="en-GB"/>
      <w14:ligatures w14:val="none"/>
    </w:rPr>
  </w:style>
  <w:style w:type="character" w:customStyle="1" w:styleId="39">
    <w:name w:val="Header Char"/>
    <w:basedOn w:val="17"/>
    <w:link w:val="12"/>
    <w:uiPriority w:val="99"/>
    <w:rPr>
      <w:rFonts w:ascii="Arial" w:hAnsi="Arial" w:eastAsia="Times New Roman" w:cs="Times New Roman"/>
      <w:kern w:val="0"/>
      <w:sz w:val="20"/>
      <w:szCs w:val="20"/>
      <w:lang w:eastAsia="en-GB"/>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18</Pages>
  <Words>518</Words>
  <Characters>2959</Characters>
  <Lines>24</Lines>
  <Paragraphs>6</Paragraphs>
  <TotalTime>108</TotalTime>
  <ScaleCrop>false</ScaleCrop>
  <LinksUpToDate>false</LinksUpToDate>
  <CharactersWithSpaces>3471</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2025-02-01T03:45:00Z</dcterms:created>
  <dc:creator>Catherine Morgan</dc:creator>
  <cp:lastModifiedBy>anne</cp:lastModifiedBy>
  <dcterms:modified xsi:type="dcterms:W3CDTF">2025-04-26T12:29:39Z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0F29EE5E9662463CEADBE3676A7E2DBC_42</vt:lpwstr>
  </property>
</Properties>
</file>