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9253A" w14:textId="173457C6" w:rsidR="009F60CB" w:rsidRPr="00FD4F00" w:rsidRDefault="009F60CB" w:rsidP="009F60CB">
      <w:pPr>
        <w:rPr>
          <w:b/>
          <w:bCs/>
          <w:sz w:val="40"/>
          <w:szCs w:val="40"/>
          <w:u w:val="single"/>
        </w:rPr>
      </w:pPr>
      <w:r w:rsidRPr="00FD4F00">
        <w:rPr>
          <w:b/>
          <w:bCs/>
          <w:sz w:val="40"/>
          <w:szCs w:val="40"/>
          <w:u w:val="single"/>
        </w:rPr>
        <w:t>Reflection Based on Rolfe et al. Framework</w:t>
      </w:r>
    </w:p>
    <w:p w14:paraId="7105D9F7" w14:textId="77777777" w:rsidR="009F60CB" w:rsidRDefault="009F60CB" w:rsidP="009F60CB"/>
    <w:p w14:paraId="0887C5E8" w14:textId="77777777" w:rsidR="009F60CB" w:rsidRPr="00F8676F" w:rsidRDefault="009F60CB" w:rsidP="009F60CB">
      <w:pPr>
        <w:rPr>
          <w:sz w:val="28"/>
          <w:szCs w:val="28"/>
        </w:rPr>
      </w:pPr>
      <w:r w:rsidRPr="00F8676F">
        <w:rPr>
          <w:sz w:val="28"/>
          <w:szCs w:val="28"/>
        </w:rPr>
        <w:t xml:space="preserve">Reflection is a critical component of personal and professional development, enabling individuals to </w:t>
      </w:r>
      <w:proofErr w:type="spellStart"/>
      <w:r w:rsidRPr="00F8676F">
        <w:rPr>
          <w:sz w:val="28"/>
          <w:szCs w:val="28"/>
        </w:rPr>
        <w:t>analyze</w:t>
      </w:r>
      <w:proofErr w:type="spellEnd"/>
      <w:r w:rsidRPr="00F8676F">
        <w:rPr>
          <w:sz w:val="28"/>
          <w:szCs w:val="28"/>
        </w:rPr>
        <w:t xml:space="preserve"> their experiences, understand their learning processes, and improve their future practices. The Rolfe et al. framework is a structured approach to reflection that provides a systematic way to think about the learning experiences in a meaningful manner. This essay will explore the core elements of the Rolfe et al. framework, which is based on three fundamental questions: What? So what? Now what? Through this framework, individuals can engage in deeper reflections that foster continuous improvement and greater self-awareness.</w:t>
      </w:r>
    </w:p>
    <w:p w14:paraId="5BBFFB6B" w14:textId="77777777" w:rsidR="009F60CB" w:rsidRDefault="009F60CB" w:rsidP="009F60CB"/>
    <w:p w14:paraId="6F1D232A" w14:textId="61B6FF18" w:rsidR="009F60CB" w:rsidRPr="007D55DC" w:rsidRDefault="009F60CB" w:rsidP="009F60CB">
      <w:pPr>
        <w:rPr>
          <w:b/>
          <w:bCs/>
          <w:sz w:val="34"/>
          <w:szCs w:val="34"/>
        </w:rPr>
      </w:pPr>
      <w:r>
        <w:t xml:space="preserve"> </w:t>
      </w:r>
      <w:r w:rsidRPr="007D55DC">
        <w:rPr>
          <w:b/>
          <w:bCs/>
          <w:sz w:val="34"/>
          <w:szCs w:val="34"/>
        </w:rPr>
        <w:t>What?</w:t>
      </w:r>
    </w:p>
    <w:p w14:paraId="4BDB06A8" w14:textId="77777777" w:rsidR="009F60CB" w:rsidRDefault="009F60CB" w:rsidP="009F60CB"/>
    <w:p w14:paraId="2C1484CB" w14:textId="2A371F96" w:rsidR="00B4394A" w:rsidRDefault="009F60CB" w:rsidP="009F60CB">
      <w:pPr>
        <w:rPr>
          <w:sz w:val="28"/>
          <w:szCs w:val="28"/>
        </w:rPr>
      </w:pPr>
      <w:r w:rsidRPr="00974CBC">
        <w:rPr>
          <w:sz w:val="28"/>
          <w:szCs w:val="28"/>
        </w:rPr>
        <w:t>The first phase of the Rolfe framework, "What?", encourages individuals to describe their experiences in detail. This involves recounting an incident, event, or situation that prompted the need for reflection. For instance, a nurse may reflect on a particularly challenging patient interaction. In this stage, it is crucial to provide a factual description of the event without inferring or interpreting its significance. Questions to consider include: What happened? Who was involved? Where and when did it occur? This descriptive stage lays the groundwork for deeper analysis, as it compels the individual to clarify the context of their experience</w:t>
      </w:r>
      <w:r w:rsidR="00EE7B56">
        <w:rPr>
          <w:sz w:val="28"/>
          <w:szCs w:val="28"/>
        </w:rPr>
        <w:t xml:space="preserve">. Another useful framework for self </w:t>
      </w:r>
      <w:r w:rsidR="0026346D">
        <w:rPr>
          <w:sz w:val="28"/>
          <w:szCs w:val="28"/>
        </w:rPr>
        <w:t xml:space="preserve">reflection is describe by </w:t>
      </w:r>
      <w:r w:rsidR="005909D2">
        <w:rPr>
          <w:sz w:val="28"/>
          <w:szCs w:val="28"/>
        </w:rPr>
        <w:t>P</w:t>
      </w:r>
      <w:r w:rsidR="0026346D">
        <w:rPr>
          <w:sz w:val="28"/>
          <w:szCs w:val="28"/>
        </w:rPr>
        <w:t xml:space="preserve">rofessor </w:t>
      </w:r>
      <w:r w:rsidR="005909D2">
        <w:rPr>
          <w:sz w:val="28"/>
          <w:szCs w:val="28"/>
        </w:rPr>
        <w:t>G</w:t>
      </w:r>
      <w:r w:rsidR="0026346D">
        <w:rPr>
          <w:sz w:val="28"/>
          <w:szCs w:val="28"/>
        </w:rPr>
        <w:t>ary</w:t>
      </w:r>
      <w:r w:rsidR="005909D2">
        <w:rPr>
          <w:sz w:val="28"/>
          <w:szCs w:val="28"/>
        </w:rPr>
        <w:t xml:space="preserve"> Rolfe and colleagues</w:t>
      </w:r>
      <w:r w:rsidR="00314C41">
        <w:rPr>
          <w:sz w:val="28"/>
          <w:szCs w:val="28"/>
        </w:rPr>
        <w:t xml:space="preserve"> (2001)</w:t>
      </w:r>
      <w:r w:rsidR="00C9175E">
        <w:rPr>
          <w:sz w:val="28"/>
          <w:szCs w:val="28"/>
        </w:rPr>
        <w:t xml:space="preserve"> in their book ‘framework for </w:t>
      </w:r>
      <w:r w:rsidR="00B4394A">
        <w:rPr>
          <w:sz w:val="28"/>
          <w:szCs w:val="28"/>
        </w:rPr>
        <w:t>R</w:t>
      </w:r>
      <w:r w:rsidR="00C9175E">
        <w:rPr>
          <w:sz w:val="28"/>
          <w:szCs w:val="28"/>
        </w:rPr>
        <w:t xml:space="preserve">eflective </w:t>
      </w:r>
      <w:r w:rsidR="00B4394A">
        <w:rPr>
          <w:sz w:val="28"/>
          <w:szCs w:val="28"/>
        </w:rPr>
        <w:t>Practice’.</w:t>
      </w:r>
    </w:p>
    <w:p w14:paraId="2C9B3360" w14:textId="3CCCFC35" w:rsidR="009F60CB" w:rsidRDefault="00B4394A" w:rsidP="009F60CB">
      <w:pPr>
        <w:rPr>
          <w:sz w:val="28"/>
          <w:szCs w:val="28"/>
        </w:rPr>
      </w:pPr>
      <w:r>
        <w:rPr>
          <w:sz w:val="28"/>
          <w:szCs w:val="28"/>
        </w:rPr>
        <w:t>It’s based around</w:t>
      </w:r>
      <w:r w:rsidR="000C48C0">
        <w:rPr>
          <w:sz w:val="28"/>
          <w:szCs w:val="28"/>
        </w:rPr>
        <w:t xml:space="preserve"> three deceptively</w:t>
      </w:r>
      <w:r w:rsidR="00EE7BC5">
        <w:rPr>
          <w:sz w:val="28"/>
          <w:szCs w:val="28"/>
        </w:rPr>
        <w:t xml:space="preserve"> simple questions: what?</w:t>
      </w:r>
      <w:r w:rsidR="00C75BC0">
        <w:rPr>
          <w:sz w:val="28"/>
          <w:szCs w:val="28"/>
        </w:rPr>
        <w:t xml:space="preserve"> – describe a particular situation, then focus</w:t>
      </w:r>
      <w:r w:rsidR="0077028E">
        <w:rPr>
          <w:sz w:val="28"/>
          <w:szCs w:val="28"/>
        </w:rPr>
        <w:t xml:space="preserve"> on achievements, consequences, responses, </w:t>
      </w:r>
      <w:r w:rsidR="00770C01">
        <w:rPr>
          <w:sz w:val="28"/>
          <w:szCs w:val="28"/>
        </w:rPr>
        <w:t>feelings, and any problems.</w:t>
      </w:r>
      <w:r w:rsidR="007531BD" w:rsidRPr="00974CBC">
        <w:rPr>
          <w:sz w:val="28"/>
          <w:szCs w:val="28"/>
        </w:rPr>
        <w:t xml:space="preserve"> </w:t>
      </w:r>
      <w:r w:rsidR="007531BD">
        <w:rPr>
          <w:sz w:val="28"/>
          <w:szCs w:val="28"/>
        </w:rPr>
        <w:t>(</w:t>
      </w:r>
      <w:r w:rsidR="007531BD" w:rsidRPr="00D565C7">
        <w:rPr>
          <w:rStyle w:val="s1"/>
          <w:sz w:val="22"/>
          <w:szCs w:val="22"/>
        </w:rPr>
        <w:t>D., Jasper, M.</w:t>
      </w:r>
      <w:r w:rsidR="007531BD">
        <w:rPr>
          <w:rStyle w:val="s1"/>
          <w:sz w:val="22"/>
          <w:szCs w:val="22"/>
        </w:rPr>
        <w:t xml:space="preserve">) </w:t>
      </w:r>
      <w:r w:rsidR="007531BD" w:rsidRPr="00D565C7">
        <w:rPr>
          <w:rStyle w:val="s1"/>
          <w:sz w:val="22"/>
          <w:szCs w:val="22"/>
        </w:rPr>
        <w:t>(2001)</w:t>
      </w:r>
    </w:p>
    <w:p w14:paraId="5667B098" w14:textId="6209E11B" w:rsidR="003F03F9" w:rsidRDefault="00AA0D50">
      <w:pPr>
        <w:pStyle w:val="p1"/>
        <w:divId w:val="1985892862"/>
        <w:rPr>
          <w:rStyle w:val="s1"/>
          <w:sz w:val="28"/>
          <w:szCs w:val="28"/>
        </w:rPr>
      </w:pPr>
      <w:r>
        <w:rPr>
          <w:sz w:val="28"/>
          <w:szCs w:val="28"/>
        </w:rPr>
        <w:t xml:space="preserve">There are questions such as: </w:t>
      </w:r>
      <w:r w:rsidR="00030CDC">
        <w:rPr>
          <w:sz w:val="28"/>
          <w:szCs w:val="28"/>
        </w:rPr>
        <w:t>/</w:t>
      </w:r>
      <w:r w:rsidR="00507D82" w:rsidRPr="00507D82">
        <w:rPr>
          <w:rStyle w:val="s1"/>
          <w:sz w:val="28"/>
          <w:szCs w:val="28"/>
        </w:rPr>
        <w:t>teach me/imply/mean about me/my class/others/our relationship/</w:t>
      </w:r>
      <w:r w:rsidR="00030CDC">
        <w:rPr>
          <w:rStyle w:val="s1"/>
          <w:sz w:val="28"/>
          <w:szCs w:val="28"/>
        </w:rPr>
        <w:t xml:space="preserve"> </w:t>
      </w:r>
      <w:r w:rsidR="00384CC4">
        <w:rPr>
          <w:rStyle w:val="s1"/>
          <w:sz w:val="28"/>
          <w:szCs w:val="28"/>
        </w:rPr>
        <w:t xml:space="preserve">these are </w:t>
      </w:r>
      <w:r w:rsidR="005D0853">
        <w:rPr>
          <w:rStyle w:val="s1"/>
          <w:sz w:val="28"/>
          <w:szCs w:val="28"/>
        </w:rPr>
        <w:t xml:space="preserve">some of the question that are in </w:t>
      </w:r>
      <w:r w:rsidR="005D0853">
        <w:rPr>
          <w:rStyle w:val="s1"/>
          <w:sz w:val="28"/>
          <w:szCs w:val="28"/>
        </w:rPr>
        <w:lastRenderedPageBreak/>
        <w:t>the module</w:t>
      </w:r>
      <w:r w:rsidR="000D2373">
        <w:rPr>
          <w:rStyle w:val="s1"/>
          <w:sz w:val="28"/>
          <w:szCs w:val="28"/>
        </w:rPr>
        <w:t xml:space="preserve"> and this is because </w:t>
      </w:r>
      <w:r w:rsidR="00311A70">
        <w:rPr>
          <w:rStyle w:val="s1"/>
          <w:sz w:val="28"/>
          <w:szCs w:val="28"/>
        </w:rPr>
        <w:t xml:space="preserve">I don’t understand how it’s going to teach me </w:t>
      </w:r>
      <w:r w:rsidR="000E4B99">
        <w:rPr>
          <w:rStyle w:val="s1"/>
          <w:sz w:val="28"/>
          <w:szCs w:val="28"/>
        </w:rPr>
        <w:t>about it and how I’m going to have a relationship with it.</w:t>
      </w:r>
    </w:p>
    <w:p w14:paraId="7926CB3B" w14:textId="5E9C303D" w:rsidR="00AA0D50" w:rsidRPr="00507D82" w:rsidRDefault="00AA0D50" w:rsidP="009F60CB">
      <w:pPr>
        <w:rPr>
          <w:sz w:val="28"/>
          <w:szCs w:val="28"/>
        </w:rPr>
      </w:pPr>
    </w:p>
    <w:p w14:paraId="590EA345" w14:textId="77777777" w:rsidR="009F60CB" w:rsidRPr="00974CBC" w:rsidRDefault="009F60CB" w:rsidP="009F60CB">
      <w:pPr>
        <w:rPr>
          <w:sz w:val="28"/>
          <w:szCs w:val="28"/>
        </w:rPr>
      </w:pPr>
    </w:p>
    <w:p w14:paraId="219A6D27" w14:textId="77777777" w:rsidR="009F60CB" w:rsidRPr="00974CBC" w:rsidRDefault="009F60CB" w:rsidP="009F60CB">
      <w:pPr>
        <w:rPr>
          <w:sz w:val="28"/>
          <w:szCs w:val="28"/>
        </w:rPr>
      </w:pPr>
      <w:r w:rsidRPr="00974CBC">
        <w:rPr>
          <w:sz w:val="28"/>
          <w:szCs w:val="28"/>
        </w:rPr>
        <w:t xml:space="preserve">In the discussed scenario, the nurse might describe the specific interactions with the patient, the emotions involved, and the outcomes of the engagement. This objective recounting helps in creating a clear picture that can later be </w:t>
      </w:r>
      <w:proofErr w:type="spellStart"/>
      <w:r w:rsidRPr="00974CBC">
        <w:rPr>
          <w:sz w:val="28"/>
          <w:szCs w:val="28"/>
        </w:rPr>
        <w:t>analyzed</w:t>
      </w:r>
      <w:proofErr w:type="spellEnd"/>
      <w:r w:rsidRPr="00974CBC">
        <w:rPr>
          <w:sz w:val="28"/>
          <w:szCs w:val="28"/>
        </w:rPr>
        <w:t xml:space="preserve"> and evaluated.</w:t>
      </w:r>
    </w:p>
    <w:p w14:paraId="3C5A37E7" w14:textId="77777777" w:rsidR="009F60CB" w:rsidRDefault="009F60CB" w:rsidP="009F60CB"/>
    <w:p w14:paraId="6C1F5E60" w14:textId="4EC4FA66" w:rsidR="009F60CB" w:rsidRPr="007D55DC" w:rsidRDefault="009F60CB" w:rsidP="009F60CB">
      <w:pPr>
        <w:rPr>
          <w:b/>
          <w:bCs/>
          <w:sz w:val="34"/>
          <w:szCs w:val="34"/>
        </w:rPr>
      </w:pPr>
      <w:r w:rsidRPr="007D55DC">
        <w:rPr>
          <w:b/>
          <w:bCs/>
          <w:sz w:val="34"/>
          <w:szCs w:val="34"/>
        </w:rPr>
        <w:t>So What?</w:t>
      </w:r>
    </w:p>
    <w:p w14:paraId="0A747154" w14:textId="77777777" w:rsidR="009F60CB" w:rsidRDefault="009F60CB" w:rsidP="009F60CB"/>
    <w:p w14:paraId="302C5EEF" w14:textId="272E435E" w:rsidR="009F60CB" w:rsidRPr="00DF36DF" w:rsidRDefault="009F60CB" w:rsidP="00DF36DF">
      <w:pPr>
        <w:pStyle w:val="p1"/>
        <w:divId w:val="190923807"/>
        <w:rPr>
          <w:rFonts w:ascii=".AppleSystemUIFont" w:hAnsi=".AppleSystemUIFont"/>
          <w:color w:val="auto"/>
          <w:sz w:val="26"/>
          <w:szCs w:val="26"/>
        </w:rPr>
      </w:pPr>
      <w:r w:rsidRPr="00974CBC">
        <w:rPr>
          <w:sz w:val="28"/>
          <w:szCs w:val="28"/>
        </w:rPr>
        <w:t xml:space="preserve">The second phase, "So what?", focuses on the significance and implications of the experience. This stage is essential for identifying the learning that arose from the situation. Here, individuals </w:t>
      </w:r>
      <w:proofErr w:type="spellStart"/>
      <w:r w:rsidRPr="00974CBC">
        <w:rPr>
          <w:sz w:val="28"/>
          <w:szCs w:val="28"/>
        </w:rPr>
        <w:t>analyze</w:t>
      </w:r>
      <w:proofErr w:type="spellEnd"/>
      <w:r w:rsidRPr="00974CBC">
        <w:rPr>
          <w:sz w:val="28"/>
          <w:szCs w:val="28"/>
        </w:rPr>
        <w:t xml:space="preserve"> their feelings, the reactions of others, and the broader context of the experience. Questions to consider might include: What did I learn from this experience? How did it make me feel? What were the implications for my practice? </w:t>
      </w:r>
      <w:r w:rsidR="001B2E8C">
        <w:rPr>
          <w:sz w:val="28"/>
          <w:szCs w:val="28"/>
        </w:rPr>
        <w:t>(</w:t>
      </w:r>
      <w:r w:rsidR="001B2E8C" w:rsidRPr="006A4E6A">
        <w:rPr>
          <w:rFonts w:ascii="UICTFontTextStyleBody" w:hAnsi="UICTFontTextStyleBody"/>
          <w:sz w:val="26"/>
          <w:szCs w:val="26"/>
        </w:rPr>
        <w:t>Driscoll, J.</w:t>
      </w:r>
      <w:r w:rsidR="001B2E8C">
        <w:rPr>
          <w:rFonts w:ascii="UICTFontTextStyleBody" w:hAnsi="UICTFontTextStyleBody"/>
          <w:sz w:val="26"/>
          <w:szCs w:val="26"/>
        </w:rPr>
        <w:t xml:space="preserve">) </w:t>
      </w:r>
      <w:r w:rsidR="001B2E8C" w:rsidRPr="006A4E6A">
        <w:rPr>
          <w:rFonts w:ascii="UICTFontTextStyleBody" w:hAnsi="UICTFontTextStyleBody"/>
          <w:sz w:val="26"/>
          <w:szCs w:val="26"/>
        </w:rPr>
        <w:t>(2007). </w:t>
      </w:r>
    </w:p>
    <w:p w14:paraId="3142D23D" w14:textId="77777777" w:rsidR="009F60CB" w:rsidRPr="00974CBC" w:rsidRDefault="009F60CB" w:rsidP="009F60CB">
      <w:pPr>
        <w:rPr>
          <w:sz w:val="28"/>
          <w:szCs w:val="28"/>
        </w:rPr>
      </w:pPr>
    </w:p>
    <w:p w14:paraId="6B8838B6" w14:textId="77777777" w:rsidR="009F60CB" w:rsidRPr="00974CBC" w:rsidRDefault="009F60CB" w:rsidP="009F60CB">
      <w:pPr>
        <w:rPr>
          <w:sz w:val="28"/>
          <w:szCs w:val="28"/>
        </w:rPr>
      </w:pPr>
      <w:r w:rsidRPr="00974CBC">
        <w:rPr>
          <w:sz w:val="28"/>
          <w:szCs w:val="28"/>
        </w:rPr>
        <w:t xml:space="preserve">In our nursing example, the nurse might reflect on their emotional response to the patient’s distress, </w:t>
      </w:r>
      <w:proofErr w:type="spellStart"/>
      <w:r w:rsidRPr="00974CBC">
        <w:rPr>
          <w:sz w:val="28"/>
          <w:szCs w:val="28"/>
        </w:rPr>
        <w:t>recognizing</w:t>
      </w:r>
      <w:proofErr w:type="spellEnd"/>
      <w:r w:rsidRPr="00974CBC">
        <w:rPr>
          <w:sz w:val="28"/>
          <w:szCs w:val="28"/>
        </w:rPr>
        <w:t xml:space="preserve"> feelings of frustration or empathy. They may evaluate how their actions impacted the patient’s well-being and communication. This stage helps to distill valuable insights from the experience, confirming what was effective and identifying areas for improvement, ultimately leading to a richer understanding of both the experience and oneself.</w:t>
      </w:r>
    </w:p>
    <w:p w14:paraId="63F4940D" w14:textId="77777777" w:rsidR="009F60CB" w:rsidRDefault="009F60CB" w:rsidP="009F60CB"/>
    <w:p w14:paraId="38E0B32E" w14:textId="341DF0FC" w:rsidR="009F60CB" w:rsidRPr="007D55DC" w:rsidRDefault="009F60CB" w:rsidP="009F60CB">
      <w:pPr>
        <w:rPr>
          <w:b/>
          <w:bCs/>
          <w:sz w:val="34"/>
          <w:szCs w:val="34"/>
        </w:rPr>
      </w:pPr>
      <w:r w:rsidRPr="007D55DC">
        <w:rPr>
          <w:b/>
          <w:bCs/>
          <w:sz w:val="34"/>
          <w:szCs w:val="34"/>
        </w:rPr>
        <w:t>Now What?</w:t>
      </w:r>
    </w:p>
    <w:p w14:paraId="1F46BA3D" w14:textId="77777777" w:rsidR="009F60CB" w:rsidRDefault="009F60CB" w:rsidP="009F60CB"/>
    <w:p w14:paraId="7763776B" w14:textId="53C5301A" w:rsidR="009F60CB" w:rsidRPr="00974CBC" w:rsidRDefault="009F60CB" w:rsidP="009F60CB">
      <w:pPr>
        <w:rPr>
          <w:sz w:val="28"/>
          <w:szCs w:val="28"/>
        </w:rPr>
      </w:pPr>
      <w:r w:rsidRPr="00974CBC">
        <w:rPr>
          <w:sz w:val="28"/>
          <w:szCs w:val="28"/>
        </w:rPr>
        <w:t xml:space="preserve">The final phase, "Now what?", pushes individuals to consider how they will apply their learning to future situations. This step is critical, as reflection without action can lead to stagnation. Questions to explore in this phase </w:t>
      </w:r>
      <w:r w:rsidRPr="00974CBC">
        <w:rPr>
          <w:sz w:val="28"/>
          <w:szCs w:val="28"/>
        </w:rPr>
        <w:lastRenderedPageBreak/>
        <w:t xml:space="preserve">include: How can I use what I have learned in the future? What changes will I make in my practice? How can I prevent similar challenges? </w:t>
      </w:r>
      <w:r w:rsidR="009E34A6">
        <w:rPr>
          <w:sz w:val="28"/>
          <w:szCs w:val="28"/>
        </w:rPr>
        <w:t>(</w:t>
      </w:r>
      <w:r w:rsidR="009E34A6">
        <w:rPr>
          <w:rFonts w:ascii="Segoe UI" w:eastAsia="Times New Roman" w:hAnsi="Segoe UI" w:cs="Segoe UI"/>
          <w:color w:val="241C15"/>
          <w:shd w:val="clear" w:color="auto" w:fill="FFFFFF"/>
        </w:rPr>
        <w:t>Gibbon, B.) (2002)</w:t>
      </w:r>
    </w:p>
    <w:p w14:paraId="3DE94C17" w14:textId="77777777" w:rsidR="009F60CB" w:rsidRPr="00974CBC" w:rsidRDefault="009F60CB" w:rsidP="009F60CB">
      <w:pPr>
        <w:rPr>
          <w:sz w:val="28"/>
          <w:szCs w:val="28"/>
        </w:rPr>
      </w:pPr>
    </w:p>
    <w:p w14:paraId="3A18F0BD" w14:textId="77777777" w:rsidR="009F60CB" w:rsidRPr="00974CBC" w:rsidRDefault="009F60CB" w:rsidP="009F60CB">
      <w:pPr>
        <w:rPr>
          <w:sz w:val="28"/>
          <w:szCs w:val="28"/>
        </w:rPr>
      </w:pPr>
      <w:r w:rsidRPr="00974CBC">
        <w:rPr>
          <w:sz w:val="28"/>
          <w:szCs w:val="28"/>
        </w:rPr>
        <w:t>Going back to the nurse's experience, in this stage, they would formulate an action plan based on their insights. This might involve developing new communication strategies to better support patients, seeking further training in conflict resolution, or implementing regular self-reflection practices to enhance their emotional intelligence. By committing to concrete actions, the nurse ensures that the reflection translates into positive changes in practice, improving patient care and personal growth.</w:t>
      </w:r>
    </w:p>
    <w:p w14:paraId="69D84917" w14:textId="77777777" w:rsidR="009F60CB" w:rsidRDefault="009F60CB" w:rsidP="009F60CB"/>
    <w:p w14:paraId="2978EDAB" w14:textId="11AF1D0F" w:rsidR="009F60CB" w:rsidRPr="007D55DC" w:rsidRDefault="009F60CB" w:rsidP="009F60CB">
      <w:pPr>
        <w:rPr>
          <w:b/>
          <w:bCs/>
          <w:sz w:val="34"/>
          <w:szCs w:val="34"/>
        </w:rPr>
      </w:pPr>
      <w:r w:rsidRPr="007D55DC">
        <w:rPr>
          <w:b/>
          <w:bCs/>
          <w:sz w:val="34"/>
          <w:szCs w:val="34"/>
        </w:rPr>
        <w:t>Conclusion</w:t>
      </w:r>
    </w:p>
    <w:p w14:paraId="1F428BB2" w14:textId="77777777" w:rsidR="009F60CB" w:rsidRDefault="009F60CB" w:rsidP="009F60CB"/>
    <w:p w14:paraId="3BBCFA15" w14:textId="1AB4F7DA" w:rsidR="00907777" w:rsidRDefault="009F60CB">
      <w:pPr>
        <w:pStyle w:val="p1"/>
        <w:divId w:val="1728527840"/>
        <w:rPr>
          <w:sz w:val="28"/>
          <w:szCs w:val="28"/>
        </w:rPr>
      </w:pPr>
      <w:r w:rsidRPr="00974CBC">
        <w:rPr>
          <w:sz w:val="28"/>
          <w:szCs w:val="28"/>
        </w:rPr>
        <w:t>The Rolfe et al. framework provides a structured yet flexible approach to reflection that aids in the development of critical thinking and self-awareness. By engaging with the framework's three central questions—What? So what? Now what?—individuals can draw meaningful lessons from their experiences and establish actionable plans for improvement. This systematic reflection process is vital for lifelong learning and professional development, offering a path toward not only better practices but also enhanced personal insights that shape future encounters in various contexts. Through the use of this framework, we can move beyond mere experiences to become reflective practitioners committed to ongoing growth.</w:t>
      </w:r>
      <w:r w:rsidR="00367AD1">
        <w:rPr>
          <w:sz w:val="28"/>
          <w:szCs w:val="28"/>
        </w:rPr>
        <w:t>T</w:t>
      </w:r>
      <w:r w:rsidR="007630F1" w:rsidRPr="007630F1">
        <w:rPr>
          <w:sz w:val="28"/>
          <w:szCs w:val="28"/>
        </w:rPr>
        <w:t xml:space="preserve">hat will systematically </w:t>
      </w:r>
      <w:proofErr w:type="spellStart"/>
      <w:r w:rsidR="007630F1" w:rsidRPr="007630F1">
        <w:rPr>
          <w:sz w:val="28"/>
          <w:szCs w:val="28"/>
        </w:rPr>
        <w:t>analyze</w:t>
      </w:r>
      <w:proofErr w:type="spellEnd"/>
      <w:r w:rsidR="007630F1" w:rsidRPr="007630F1">
        <w:rPr>
          <w:sz w:val="28"/>
          <w:szCs w:val="28"/>
        </w:rPr>
        <w:t xml:space="preserve"> experiences that the practitioner has had to assess actions taken, understand the importance of those actions, and identify areas where future improvement may be needed. Its simplicity and clarity have made it a very usable tool for reflective practice that shall help in deepening learning and developing decision-making skills. The framework by Rolfe et al. encourages continuous personal and professional growth in which thoughtful reflection becomes an integral component of effective practice.</w:t>
      </w:r>
      <w:r w:rsidR="004201C4">
        <w:rPr>
          <w:sz w:val="28"/>
          <w:szCs w:val="28"/>
        </w:rPr>
        <w:t xml:space="preserve"> </w:t>
      </w:r>
      <w:r w:rsidR="00F1005F">
        <w:rPr>
          <w:sz w:val="28"/>
          <w:szCs w:val="28"/>
        </w:rPr>
        <w:t>(</w:t>
      </w:r>
      <w:proofErr w:type="spellStart"/>
      <w:r w:rsidR="00F1005F">
        <w:rPr>
          <w:rFonts w:ascii="PT Sans" w:eastAsia="Times New Roman" w:hAnsi="PT Sans"/>
          <w:color w:val="444444"/>
          <w:sz w:val="23"/>
          <w:szCs w:val="23"/>
          <w:shd w:val="clear" w:color="auto" w:fill="FFFFFF"/>
        </w:rPr>
        <w:t>Schon</w:t>
      </w:r>
      <w:proofErr w:type="spellEnd"/>
      <w:r w:rsidR="00F1005F">
        <w:rPr>
          <w:rFonts w:ascii="PT Sans" w:eastAsia="Times New Roman" w:hAnsi="PT Sans"/>
          <w:color w:val="444444"/>
          <w:sz w:val="23"/>
          <w:szCs w:val="23"/>
          <w:shd w:val="clear" w:color="auto" w:fill="FFFFFF"/>
        </w:rPr>
        <w:t>, D.) (1983)</w:t>
      </w:r>
    </w:p>
    <w:p w14:paraId="32756EA1" w14:textId="77777777" w:rsidR="009F60CB" w:rsidRPr="000110A5" w:rsidRDefault="009F60CB" w:rsidP="009F60CB">
      <w:pPr>
        <w:rPr>
          <w:sz w:val="28"/>
          <w:szCs w:val="28"/>
        </w:rPr>
      </w:pPr>
    </w:p>
    <w:p w14:paraId="08B47AC9" w14:textId="71A5C54A" w:rsidR="00017ECD" w:rsidRDefault="00017ECD" w:rsidP="00D01B12"/>
    <w:p w14:paraId="50CB43A0" w14:textId="3572ABC1" w:rsidR="00544C3F" w:rsidRDefault="00A66B1F" w:rsidP="00017ECD">
      <w:pPr>
        <w:rPr>
          <w:b/>
          <w:bCs/>
          <w:i/>
          <w:iCs/>
          <w:sz w:val="50"/>
          <w:szCs w:val="50"/>
          <w:u w:val="single"/>
        </w:rPr>
      </w:pPr>
      <w:r w:rsidRPr="00A9025D">
        <w:rPr>
          <w:b/>
          <w:bCs/>
          <w:i/>
          <w:iCs/>
          <w:sz w:val="50"/>
          <w:szCs w:val="50"/>
          <w:u w:val="single"/>
        </w:rPr>
        <w:lastRenderedPageBreak/>
        <w:t>Ref</w:t>
      </w:r>
      <w:r w:rsidR="00A9025D" w:rsidRPr="00A9025D">
        <w:rPr>
          <w:b/>
          <w:bCs/>
          <w:i/>
          <w:iCs/>
          <w:sz w:val="50"/>
          <w:szCs w:val="50"/>
          <w:u w:val="single"/>
        </w:rPr>
        <w:t>erence List</w:t>
      </w:r>
    </w:p>
    <w:p w14:paraId="7BA70171" w14:textId="77777777" w:rsidR="00A9025D" w:rsidRPr="00D565C7" w:rsidRDefault="00A9025D">
      <w:pPr>
        <w:pStyle w:val="p1"/>
        <w:divId w:val="232278236"/>
        <w:rPr>
          <w:sz w:val="22"/>
          <w:szCs w:val="22"/>
        </w:rPr>
      </w:pPr>
      <w:r w:rsidRPr="00D565C7">
        <w:rPr>
          <w:rStyle w:val="s1"/>
          <w:sz w:val="22"/>
          <w:szCs w:val="22"/>
        </w:rPr>
        <w:t>Adapted from: Rolfe, G., Freshwater, D., Jasper, M. (2001) Critical reflection in nursing and the</w:t>
      </w:r>
    </w:p>
    <w:p w14:paraId="50EF4642" w14:textId="77777777" w:rsidR="00A9025D" w:rsidRDefault="00A9025D">
      <w:pPr>
        <w:pStyle w:val="p1"/>
        <w:divId w:val="232278236"/>
        <w:rPr>
          <w:rStyle w:val="s1"/>
          <w:sz w:val="22"/>
          <w:szCs w:val="22"/>
        </w:rPr>
      </w:pPr>
      <w:r w:rsidRPr="00D565C7">
        <w:rPr>
          <w:rStyle w:val="s1"/>
          <w:sz w:val="22"/>
          <w:szCs w:val="22"/>
        </w:rPr>
        <w:t xml:space="preserve">helping professions: a user’s guide. Basingstoke: </w:t>
      </w:r>
      <w:proofErr w:type="spellStart"/>
      <w:r w:rsidRPr="00D565C7">
        <w:rPr>
          <w:rStyle w:val="s1"/>
          <w:sz w:val="22"/>
          <w:szCs w:val="22"/>
        </w:rPr>
        <w:t>Palgrave</w:t>
      </w:r>
      <w:proofErr w:type="spellEnd"/>
      <w:r w:rsidRPr="00D565C7">
        <w:rPr>
          <w:rStyle w:val="s1"/>
          <w:sz w:val="22"/>
          <w:szCs w:val="22"/>
        </w:rPr>
        <w:t xml:space="preserve"> Macmillan.</w:t>
      </w:r>
    </w:p>
    <w:p w14:paraId="40D6668C" w14:textId="77777777" w:rsidR="00F81EBA" w:rsidRPr="00D565C7" w:rsidRDefault="00F81EBA">
      <w:pPr>
        <w:pStyle w:val="p1"/>
        <w:divId w:val="232278236"/>
        <w:rPr>
          <w:sz w:val="22"/>
          <w:szCs w:val="22"/>
        </w:rPr>
      </w:pPr>
    </w:p>
    <w:p w14:paraId="762F7DEB" w14:textId="64DB6FEE" w:rsidR="001D4178" w:rsidRDefault="00F81EBA" w:rsidP="00017ECD">
      <w:pPr>
        <w:rPr>
          <w:rFonts w:ascii="Segoe UI" w:eastAsia="Times New Roman" w:hAnsi="Segoe UI" w:cs="Segoe UI"/>
          <w:color w:val="241C15"/>
          <w:shd w:val="clear" w:color="auto" w:fill="FFFFFF"/>
        </w:rPr>
      </w:pPr>
      <w:r>
        <w:rPr>
          <w:rFonts w:ascii="Segoe UI" w:eastAsia="Times New Roman" w:hAnsi="Segoe UI" w:cs="Segoe UI"/>
          <w:color w:val="241C15"/>
          <w:shd w:val="clear" w:color="auto" w:fill="FFFFFF"/>
        </w:rPr>
        <w:t>Rolfe et al's (2001) Reflective writing: Rolfe, LibGuides. Available at:</w:t>
      </w:r>
      <w:r>
        <w:rPr>
          <w:rStyle w:val="apple-converted-space"/>
          <w:rFonts w:ascii="Segoe UI" w:eastAsia="Times New Roman" w:hAnsi="Segoe UI" w:cs="Segoe UI"/>
          <w:color w:val="241C15"/>
          <w:shd w:val="clear" w:color="auto" w:fill="FFFFFF"/>
        </w:rPr>
        <w:t> </w:t>
      </w:r>
      <w:r>
        <w:rPr>
          <w:rStyle w:val="Emphasis"/>
          <w:rFonts w:ascii="Segoe UI" w:eastAsia="Times New Roman" w:hAnsi="Segoe UI" w:cs="Segoe UI"/>
          <w:color w:val="241C15"/>
          <w:u w:val="single"/>
        </w:rPr>
        <w:t>https://libguides.hull.ac.uk/reflectivewriting/rolfe</w:t>
      </w:r>
      <w:r>
        <w:rPr>
          <w:rFonts w:ascii="Segoe UI" w:eastAsia="Times New Roman" w:hAnsi="Segoe UI" w:cs="Segoe UI"/>
          <w:color w:val="241C15"/>
          <w:shd w:val="clear" w:color="auto" w:fill="FFFFFF"/>
        </w:rPr>
        <w:t>(Accessed: November 23, 2022).</w:t>
      </w:r>
    </w:p>
    <w:p w14:paraId="7E1F21D5" w14:textId="77777777" w:rsidR="006A4E6A" w:rsidRDefault="006A4E6A" w:rsidP="006A4E6A">
      <w:pPr>
        <w:spacing w:after="0" w:line="240" w:lineRule="auto"/>
        <w:divId w:val="1849908108"/>
        <w:rPr>
          <w:rFonts w:ascii="UICTFontTextStyleBody" w:hAnsi="UICTFontTextStyleBody" w:cs="Times New Roman"/>
          <w:kern w:val="0"/>
          <w:sz w:val="26"/>
          <w:szCs w:val="26"/>
          <w14:ligatures w14:val="none"/>
        </w:rPr>
      </w:pPr>
      <w:r w:rsidRPr="006A4E6A">
        <w:rPr>
          <w:rFonts w:ascii="UICTFontTextStyleBody" w:hAnsi="UICTFontTextStyleBody" w:cs="Times New Roman"/>
          <w:kern w:val="0"/>
          <w:sz w:val="26"/>
          <w:szCs w:val="26"/>
          <w14:ligatures w14:val="none"/>
        </w:rPr>
        <w:t>Driscoll, J. (2007). </w:t>
      </w:r>
      <w:r w:rsidRPr="006A4E6A">
        <w:rPr>
          <w:rFonts w:ascii="UICTFontTextStyleItalicBody" w:hAnsi="UICTFontTextStyleItalicBody" w:cs="Times New Roman"/>
          <w:i/>
          <w:iCs/>
          <w:kern w:val="0"/>
          <w:sz w:val="26"/>
          <w:szCs w:val="26"/>
          <w14:ligatures w14:val="none"/>
        </w:rPr>
        <w:t>Practising Clinical Supervision: a Reflective Approach for Healthcare Professionals</w:t>
      </w:r>
      <w:r w:rsidRPr="006A4E6A">
        <w:rPr>
          <w:rFonts w:ascii="UICTFontTextStyleBody" w:hAnsi="UICTFontTextStyleBody" w:cs="Times New Roman"/>
          <w:kern w:val="0"/>
          <w:sz w:val="26"/>
          <w:szCs w:val="26"/>
          <w14:ligatures w14:val="none"/>
        </w:rPr>
        <w:t xml:space="preserve"> (2nd ed). Edinburgh, </w:t>
      </w:r>
      <w:proofErr w:type="spellStart"/>
      <w:r w:rsidRPr="006A4E6A">
        <w:rPr>
          <w:rFonts w:ascii="UICTFontTextStyleBody" w:hAnsi="UICTFontTextStyleBody" w:cs="Times New Roman"/>
          <w:kern w:val="0"/>
          <w:sz w:val="26"/>
          <w:szCs w:val="26"/>
          <w14:ligatures w14:val="none"/>
        </w:rPr>
        <w:t>Baillière</w:t>
      </w:r>
      <w:proofErr w:type="spellEnd"/>
      <w:r w:rsidRPr="006A4E6A">
        <w:rPr>
          <w:rFonts w:ascii="UICTFontTextStyleBody" w:hAnsi="UICTFontTextStyleBody" w:cs="Times New Roman"/>
          <w:kern w:val="0"/>
          <w:sz w:val="26"/>
          <w:szCs w:val="26"/>
          <w14:ligatures w14:val="none"/>
        </w:rPr>
        <w:t xml:space="preserve"> </w:t>
      </w:r>
      <w:proofErr w:type="spellStart"/>
      <w:r w:rsidRPr="006A4E6A">
        <w:rPr>
          <w:rFonts w:ascii="UICTFontTextStyleBody" w:hAnsi="UICTFontTextStyleBody" w:cs="Times New Roman"/>
          <w:kern w:val="0"/>
          <w:sz w:val="26"/>
          <w:szCs w:val="26"/>
          <w14:ligatures w14:val="none"/>
        </w:rPr>
        <w:t>Tindall</w:t>
      </w:r>
      <w:proofErr w:type="spellEnd"/>
      <w:r w:rsidRPr="006A4E6A">
        <w:rPr>
          <w:rFonts w:ascii="UICTFontTextStyleBody" w:hAnsi="UICTFontTextStyleBody" w:cs="Times New Roman"/>
          <w:kern w:val="0"/>
          <w:sz w:val="26"/>
          <w:szCs w:val="26"/>
          <w14:ligatures w14:val="none"/>
        </w:rPr>
        <w:t xml:space="preserve"> Elsevier</w:t>
      </w:r>
    </w:p>
    <w:p w14:paraId="4E27000E" w14:textId="77777777" w:rsidR="009E34A6" w:rsidRDefault="009E34A6" w:rsidP="006A4E6A">
      <w:pPr>
        <w:spacing w:after="0" w:line="240" w:lineRule="auto"/>
        <w:divId w:val="1849908108"/>
        <w:rPr>
          <w:rFonts w:ascii="UICTFontTextStyleBody" w:hAnsi="UICTFontTextStyleBody" w:cs="Times New Roman"/>
          <w:kern w:val="0"/>
          <w:sz w:val="26"/>
          <w:szCs w:val="26"/>
          <w14:ligatures w14:val="none"/>
        </w:rPr>
      </w:pPr>
    </w:p>
    <w:p w14:paraId="523CF356" w14:textId="6CA8CA60" w:rsidR="009E34A6" w:rsidRDefault="009E34A6" w:rsidP="006A4E6A">
      <w:pPr>
        <w:spacing w:after="0" w:line="240" w:lineRule="auto"/>
        <w:divId w:val="1849908108"/>
        <w:rPr>
          <w:rStyle w:val="Emphasis"/>
          <w:rFonts w:ascii="Segoe UI" w:eastAsia="Times New Roman" w:hAnsi="Segoe UI" w:cs="Segoe UI"/>
          <w:color w:val="241C15"/>
          <w:u w:val="single"/>
        </w:rPr>
      </w:pPr>
      <w:r>
        <w:rPr>
          <w:rFonts w:ascii="Segoe UI" w:eastAsia="Times New Roman" w:hAnsi="Segoe UI" w:cs="Segoe UI"/>
          <w:color w:val="241C15"/>
          <w:shd w:val="clear" w:color="auto" w:fill="FFFFFF"/>
        </w:rPr>
        <w:t>Gibbon, B. (2002) “Critical reflection for nursing and the helping professions. A user’s guide critical reflection for Nursing and the helping professions. A user’s guide,” Nursing Standard, 16(20), pp. 29–29. Available at:</w:t>
      </w:r>
      <w:r>
        <w:rPr>
          <w:rStyle w:val="apple-converted-space"/>
          <w:rFonts w:ascii="Segoe UI" w:eastAsia="Times New Roman" w:hAnsi="Segoe UI" w:cs="Segoe UI"/>
          <w:color w:val="241C15"/>
          <w:shd w:val="clear" w:color="auto" w:fill="FFFFFF"/>
        </w:rPr>
        <w:t> </w:t>
      </w:r>
      <w:hyperlink r:id="rId4" w:history="1">
        <w:r w:rsidR="00570A77" w:rsidRPr="00AB34E3">
          <w:rPr>
            <w:rStyle w:val="Hyperlink"/>
            <w:rFonts w:ascii="Segoe UI" w:eastAsia="Times New Roman" w:hAnsi="Segoe UI" w:cs="Segoe UI"/>
          </w:rPr>
          <w:t>https://doi.org/10.7748/ns2002.01.16.20.29.b305</w:t>
        </w:r>
      </w:hyperlink>
      <w:r>
        <w:rPr>
          <w:rStyle w:val="Emphasis"/>
          <w:rFonts w:ascii="Segoe UI" w:eastAsia="Times New Roman" w:hAnsi="Segoe UI" w:cs="Segoe UI"/>
          <w:color w:val="241C15"/>
          <w:u w:val="single"/>
        </w:rPr>
        <w:t>.</w:t>
      </w:r>
    </w:p>
    <w:p w14:paraId="1D4E34D1" w14:textId="77777777" w:rsidR="00570A77" w:rsidRDefault="00570A77" w:rsidP="006A4E6A">
      <w:pPr>
        <w:spacing w:after="0" w:line="240" w:lineRule="auto"/>
        <w:divId w:val="1849908108"/>
        <w:rPr>
          <w:rStyle w:val="Emphasis"/>
          <w:rFonts w:ascii="Segoe UI" w:eastAsia="Times New Roman" w:hAnsi="Segoe UI" w:cs="Segoe UI"/>
          <w:color w:val="241C15"/>
          <w:u w:val="single"/>
        </w:rPr>
      </w:pPr>
    </w:p>
    <w:p w14:paraId="281B44EA" w14:textId="37D2F0BA" w:rsidR="00570A77" w:rsidRDefault="00570A77" w:rsidP="006A4E6A">
      <w:pPr>
        <w:spacing w:after="0" w:line="240" w:lineRule="auto"/>
        <w:divId w:val="1849908108"/>
        <w:rPr>
          <w:rFonts w:ascii="PT Sans" w:eastAsia="Times New Roman" w:hAnsi="PT Sans"/>
          <w:color w:val="444444"/>
          <w:sz w:val="23"/>
          <w:szCs w:val="23"/>
          <w:shd w:val="clear" w:color="auto" w:fill="FFFFFF"/>
        </w:rPr>
      </w:pPr>
      <w:proofErr w:type="spellStart"/>
      <w:r>
        <w:rPr>
          <w:rFonts w:ascii="PT Sans" w:eastAsia="Times New Roman" w:hAnsi="PT Sans"/>
          <w:color w:val="444444"/>
          <w:sz w:val="23"/>
          <w:szCs w:val="23"/>
          <w:shd w:val="clear" w:color="auto" w:fill="FFFFFF"/>
        </w:rPr>
        <w:t>Schon</w:t>
      </w:r>
      <w:proofErr w:type="spellEnd"/>
      <w:r>
        <w:rPr>
          <w:rFonts w:ascii="PT Sans" w:eastAsia="Times New Roman" w:hAnsi="PT Sans"/>
          <w:color w:val="444444"/>
          <w:sz w:val="23"/>
          <w:szCs w:val="23"/>
          <w:shd w:val="clear" w:color="auto" w:fill="FFFFFF"/>
        </w:rPr>
        <w:t>, D. (1983) The Reflective Practitioner. London: Temple Smith</w:t>
      </w:r>
    </w:p>
    <w:p w14:paraId="20B6640A" w14:textId="77777777" w:rsidR="008B20A5" w:rsidRDefault="008B20A5" w:rsidP="006A4E6A">
      <w:pPr>
        <w:spacing w:after="0" w:line="240" w:lineRule="auto"/>
        <w:divId w:val="1849908108"/>
        <w:rPr>
          <w:rFonts w:ascii="PT Sans" w:eastAsia="Times New Roman" w:hAnsi="PT Sans"/>
          <w:color w:val="444444"/>
          <w:sz w:val="23"/>
          <w:szCs w:val="23"/>
          <w:shd w:val="clear" w:color="auto" w:fill="FFFFFF"/>
        </w:rPr>
      </w:pPr>
    </w:p>
    <w:p w14:paraId="507855D6" w14:textId="77777777" w:rsidR="008B20A5" w:rsidRPr="008B20A5" w:rsidRDefault="008B20A5" w:rsidP="008B20A5">
      <w:pPr>
        <w:spacing w:after="360" w:line="240" w:lineRule="auto"/>
        <w:divId w:val="1537044225"/>
        <w:rPr>
          <w:rFonts w:ascii="Lato" w:hAnsi="Lato" w:cs="Times New Roman"/>
          <w:color w:val="666666"/>
          <w:kern w:val="0"/>
          <w14:ligatures w14:val="none"/>
        </w:rPr>
      </w:pPr>
      <w:r w:rsidRPr="008B20A5">
        <w:rPr>
          <w:rFonts w:ascii="Lato" w:hAnsi="Lato" w:cs="Times New Roman"/>
          <w:color w:val="666666"/>
          <w:kern w:val="0"/>
          <w14:ligatures w14:val="none"/>
        </w:rPr>
        <w:t>Johns, C. (2000). Becoming a Reflective Practitioner. Oxford; Blackwell</w:t>
      </w:r>
    </w:p>
    <w:p w14:paraId="3381D2A7" w14:textId="77777777" w:rsidR="008B20A5" w:rsidRPr="008B20A5" w:rsidRDefault="008B20A5" w:rsidP="008B20A5">
      <w:pPr>
        <w:spacing w:after="360" w:line="240" w:lineRule="auto"/>
        <w:divId w:val="1537044225"/>
        <w:rPr>
          <w:rFonts w:ascii="Lato" w:hAnsi="Lato" w:cs="Times New Roman"/>
          <w:color w:val="666666"/>
          <w:kern w:val="0"/>
          <w14:ligatures w14:val="none"/>
        </w:rPr>
      </w:pPr>
      <w:r w:rsidRPr="008B20A5">
        <w:rPr>
          <w:rFonts w:ascii="Lato" w:hAnsi="Lato" w:cs="Times New Roman"/>
          <w:color w:val="666666"/>
          <w:kern w:val="0"/>
          <w14:ligatures w14:val="none"/>
        </w:rPr>
        <w:t>Johns C (1995) Framing learning through reflection within Carper’s fundamental ways of knowing in nursing. </w:t>
      </w:r>
      <w:r w:rsidRPr="008B20A5">
        <w:rPr>
          <w:rFonts w:ascii="Lato" w:hAnsi="Lato" w:cs="Times New Roman"/>
          <w:i/>
          <w:iCs/>
          <w:color w:val="666666"/>
          <w:kern w:val="0"/>
          <w14:ligatures w14:val="none"/>
        </w:rPr>
        <w:t>Journal of Advanced Nursing</w:t>
      </w:r>
      <w:r w:rsidRPr="008B20A5">
        <w:rPr>
          <w:rFonts w:ascii="Lato" w:hAnsi="Lato" w:cs="Times New Roman"/>
          <w:color w:val="666666"/>
          <w:kern w:val="0"/>
          <w14:ligatures w14:val="none"/>
        </w:rPr>
        <w:t>. 22: 226-34</w:t>
      </w:r>
    </w:p>
    <w:p w14:paraId="335F8A0B" w14:textId="77777777" w:rsidR="006420B2" w:rsidRDefault="006420B2">
      <w:pPr>
        <w:pStyle w:val="NormalWeb"/>
        <w:spacing w:before="0" w:beforeAutospacing="0" w:after="360" w:afterAutospacing="0"/>
        <w:divId w:val="153958268"/>
        <w:rPr>
          <w:rFonts w:ascii="Lato" w:hAnsi="Lato"/>
          <w:color w:val="666666"/>
        </w:rPr>
      </w:pPr>
      <w:proofErr w:type="spellStart"/>
      <w:r>
        <w:rPr>
          <w:rFonts w:ascii="Lato" w:hAnsi="Lato"/>
          <w:color w:val="666666"/>
        </w:rPr>
        <w:t>Kolb</w:t>
      </w:r>
      <w:proofErr w:type="spellEnd"/>
      <w:r>
        <w:rPr>
          <w:rFonts w:ascii="Lato" w:hAnsi="Lato"/>
          <w:color w:val="666666"/>
        </w:rPr>
        <w:t>, D. (1984) Experiential Learning. New Jersey</w:t>
      </w:r>
    </w:p>
    <w:p w14:paraId="733F9971" w14:textId="77777777" w:rsidR="006420B2" w:rsidRDefault="006420B2">
      <w:pPr>
        <w:pStyle w:val="NormalWeb"/>
        <w:spacing w:before="0" w:beforeAutospacing="0" w:after="360" w:afterAutospacing="0"/>
        <w:divId w:val="153958268"/>
        <w:rPr>
          <w:rFonts w:ascii="Lato" w:hAnsi="Lato"/>
          <w:color w:val="666666"/>
        </w:rPr>
      </w:pPr>
      <w:proofErr w:type="spellStart"/>
      <w:r>
        <w:rPr>
          <w:rFonts w:ascii="Lato" w:hAnsi="Lato"/>
          <w:color w:val="666666"/>
        </w:rPr>
        <w:t>Mezirow</w:t>
      </w:r>
      <w:proofErr w:type="spellEnd"/>
      <w:r>
        <w:rPr>
          <w:rFonts w:ascii="Lato" w:hAnsi="Lato"/>
          <w:color w:val="666666"/>
        </w:rPr>
        <w:t xml:space="preserve"> J (1981) A Critical Theory of Adult Learning and Education.</w:t>
      </w:r>
      <w:r>
        <w:rPr>
          <w:rStyle w:val="apple-converted-space"/>
          <w:rFonts w:ascii="Lato" w:hAnsi="Lato"/>
          <w:color w:val="666666"/>
        </w:rPr>
        <w:t> </w:t>
      </w:r>
      <w:r>
        <w:rPr>
          <w:rStyle w:val="Emphasis"/>
          <w:rFonts w:ascii="Lato" w:hAnsi="Lato"/>
          <w:color w:val="666666"/>
        </w:rPr>
        <w:t>Adult Education Quarterly</w:t>
      </w:r>
      <w:r>
        <w:rPr>
          <w:rStyle w:val="apple-converted-space"/>
          <w:rFonts w:ascii="Lato" w:hAnsi="Lato"/>
          <w:i/>
          <w:iCs/>
          <w:color w:val="666666"/>
        </w:rPr>
        <w:t> </w:t>
      </w:r>
      <w:r>
        <w:rPr>
          <w:rFonts w:ascii="Lato" w:hAnsi="Lato"/>
          <w:color w:val="666666"/>
        </w:rPr>
        <w:t>32(1): 3-24</w:t>
      </w:r>
    </w:p>
    <w:p w14:paraId="69EE6EE5" w14:textId="77777777" w:rsidR="006420B2" w:rsidRDefault="006420B2">
      <w:pPr>
        <w:pStyle w:val="NormalWeb"/>
        <w:spacing w:before="0" w:beforeAutospacing="0" w:after="360" w:afterAutospacing="0"/>
        <w:divId w:val="153958268"/>
        <w:rPr>
          <w:rFonts w:ascii="Lato" w:hAnsi="Lato"/>
          <w:color w:val="666666"/>
        </w:rPr>
      </w:pPr>
      <w:proofErr w:type="spellStart"/>
      <w:r>
        <w:rPr>
          <w:rFonts w:ascii="Lato" w:hAnsi="Lato"/>
          <w:color w:val="666666"/>
        </w:rPr>
        <w:t>Mezirow</w:t>
      </w:r>
      <w:proofErr w:type="spellEnd"/>
      <w:r>
        <w:rPr>
          <w:rFonts w:ascii="Lato" w:hAnsi="Lato"/>
          <w:color w:val="666666"/>
        </w:rPr>
        <w:t xml:space="preserve"> J (2006) An overview of transformative learning. In P. Sutherland &amp; J. </w:t>
      </w:r>
      <w:proofErr w:type="spellStart"/>
      <w:r>
        <w:rPr>
          <w:rFonts w:ascii="Lato" w:hAnsi="Lato"/>
          <w:color w:val="666666"/>
        </w:rPr>
        <w:t>Crowther</w:t>
      </w:r>
      <w:proofErr w:type="spellEnd"/>
      <w:r>
        <w:rPr>
          <w:rFonts w:ascii="Lato" w:hAnsi="Lato"/>
          <w:color w:val="666666"/>
        </w:rPr>
        <w:t xml:space="preserve"> (Editors)</w:t>
      </w:r>
      <w:r>
        <w:rPr>
          <w:rStyle w:val="apple-converted-space"/>
          <w:rFonts w:ascii="Lato" w:hAnsi="Lato"/>
          <w:color w:val="666666"/>
        </w:rPr>
        <w:t> </w:t>
      </w:r>
      <w:r>
        <w:rPr>
          <w:rStyle w:val="Emphasis"/>
          <w:rFonts w:ascii="Lato" w:hAnsi="Lato"/>
          <w:color w:val="666666"/>
        </w:rPr>
        <w:t>Lifelong learning: Concepts and context.</w:t>
      </w:r>
      <w:r>
        <w:rPr>
          <w:rFonts w:ascii="Lato" w:hAnsi="Lato"/>
          <w:color w:val="666666"/>
        </w:rPr>
        <w:t xml:space="preserve">. New York: </w:t>
      </w:r>
      <w:proofErr w:type="spellStart"/>
      <w:r>
        <w:rPr>
          <w:rFonts w:ascii="Lato" w:hAnsi="Lato"/>
          <w:color w:val="666666"/>
        </w:rPr>
        <w:t>Routledge</w:t>
      </w:r>
      <w:proofErr w:type="spellEnd"/>
    </w:p>
    <w:p w14:paraId="167B1754" w14:textId="77777777" w:rsidR="008B20A5" w:rsidRPr="008B20A5" w:rsidRDefault="008B20A5" w:rsidP="008B20A5">
      <w:pPr>
        <w:spacing w:after="0" w:line="240" w:lineRule="auto"/>
        <w:divId w:val="1537044225"/>
        <w:rPr>
          <w:rFonts w:ascii="Times New Roman" w:eastAsia="Times New Roman" w:hAnsi="Times New Roman" w:cs="Times New Roman"/>
          <w:kern w:val="0"/>
          <w14:ligatures w14:val="none"/>
        </w:rPr>
      </w:pPr>
    </w:p>
    <w:p w14:paraId="7DB75022" w14:textId="77777777" w:rsidR="008B20A5" w:rsidRPr="006A4E6A" w:rsidRDefault="008B20A5" w:rsidP="006A4E6A">
      <w:pPr>
        <w:spacing w:after="0" w:line="240" w:lineRule="auto"/>
        <w:divId w:val="1849908108"/>
        <w:rPr>
          <w:rFonts w:ascii=".AppleSystemUIFont" w:hAnsi=".AppleSystemUIFont" w:cs="Times New Roman"/>
          <w:kern w:val="0"/>
          <w:sz w:val="26"/>
          <w:szCs w:val="26"/>
          <w14:ligatures w14:val="none"/>
        </w:rPr>
      </w:pPr>
    </w:p>
    <w:p w14:paraId="77AE9E1E" w14:textId="77777777" w:rsidR="00AC425E" w:rsidRDefault="00AC425E" w:rsidP="00017ECD">
      <w:pPr>
        <w:rPr>
          <w:rFonts w:ascii="Segoe UI" w:eastAsia="Times New Roman" w:hAnsi="Segoe UI" w:cs="Segoe UI"/>
          <w:color w:val="241C15"/>
          <w:shd w:val="clear" w:color="auto" w:fill="FFFFFF"/>
        </w:rPr>
      </w:pPr>
    </w:p>
    <w:p w14:paraId="3762EE15" w14:textId="236C40B9" w:rsidR="00A65D8E" w:rsidRPr="00D565C7" w:rsidRDefault="00A65D8E" w:rsidP="00017ECD">
      <w:pPr>
        <w:rPr>
          <w:sz w:val="22"/>
          <w:szCs w:val="22"/>
        </w:rPr>
      </w:pPr>
    </w:p>
    <w:sectPr w:rsidR="00A65D8E" w:rsidRPr="00D56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Italic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PT Sans">
    <w:panose1 w:val="020B0503020203020204"/>
    <w:charset w:val="4D"/>
    <w:family w:val="swiss"/>
    <w:pitch w:val="variable"/>
    <w:sig w:usb0="A00002EF" w:usb1="5000204B" w:usb2="00000000" w:usb3="00000000" w:csb0="00000097" w:csb1="00000000"/>
  </w:font>
  <w:font w:name="Lato">
    <w:panose1 w:val="020F0502020204030203"/>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CEF"/>
    <w:rsid w:val="000110A5"/>
    <w:rsid w:val="0001485E"/>
    <w:rsid w:val="00017ECD"/>
    <w:rsid w:val="00030CDC"/>
    <w:rsid w:val="000B496E"/>
    <w:rsid w:val="000C48C0"/>
    <w:rsid w:val="000D2373"/>
    <w:rsid w:val="000E4B99"/>
    <w:rsid w:val="00176A7A"/>
    <w:rsid w:val="001B2E8C"/>
    <w:rsid w:val="001D4178"/>
    <w:rsid w:val="0026346D"/>
    <w:rsid w:val="0029553B"/>
    <w:rsid w:val="00311A70"/>
    <w:rsid w:val="00314C41"/>
    <w:rsid w:val="003605C1"/>
    <w:rsid w:val="00367AD1"/>
    <w:rsid w:val="00384CC4"/>
    <w:rsid w:val="003B1EFD"/>
    <w:rsid w:val="003F03F9"/>
    <w:rsid w:val="004201C4"/>
    <w:rsid w:val="00434F6A"/>
    <w:rsid w:val="00507D82"/>
    <w:rsid w:val="00544C3F"/>
    <w:rsid w:val="00570A77"/>
    <w:rsid w:val="005909D2"/>
    <w:rsid w:val="005D0853"/>
    <w:rsid w:val="00603212"/>
    <w:rsid w:val="006420B2"/>
    <w:rsid w:val="006A3E0C"/>
    <w:rsid w:val="006A4E6A"/>
    <w:rsid w:val="007205E3"/>
    <w:rsid w:val="007531BD"/>
    <w:rsid w:val="007630F1"/>
    <w:rsid w:val="0077028E"/>
    <w:rsid w:val="00770C01"/>
    <w:rsid w:val="007752DF"/>
    <w:rsid w:val="007D55DC"/>
    <w:rsid w:val="008B20A5"/>
    <w:rsid w:val="008F4113"/>
    <w:rsid w:val="00907777"/>
    <w:rsid w:val="00974CBC"/>
    <w:rsid w:val="009A277B"/>
    <w:rsid w:val="009E34A6"/>
    <w:rsid w:val="009F60CB"/>
    <w:rsid w:val="00A33C3A"/>
    <w:rsid w:val="00A50C54"/>
    <w:rsid w:val="00A57D22"/>
    <w:rsid w:val="00A65D8E"/>
    <w:rsid w:val="00A66B1F"/>
    <w:rsid w:val="00A81035"/>
    <w:rsid w:val="00A9025D"/>
    <w:rsid w:val="00AA0D50"/>
    <w:rsid w:val="00AC425E"/>
    <w:rsid w:val="00B4394A"/>
    <w:rsid w:val="00BB4C91"/>
    <w:rsid w:val="00C1732C"/>
    <w:rsid w:val="00C75BC0"/>
    <w:rsid w:val="00C9175E"/>
    <w:rsid w:val="00CC0A99"/>
    <w:rsid w:val="00D363A0"/>
    <w:rsid w:val="00D565C7"/>
    <w:rsid w:val="00DE066D"/>
    <w:rsid w:val="00DF36DF"/>
    <w:rsid w:val="00E43CEF"/>
    <w:rsid w:val="00EE7B56"/>
    <w:rsid w:val="00EE7BC5"/>
    <w:rsid w:val="00F1005F"/>
    <w:rsid w:val="00F457B8"/>
    <w:rsid w:val="00F81EBA"/>
    <w:rsid w:val="00F8676F"/>
    <w:rsid w:val="00FD4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5D72EE"/>
  <w15:chartTrackingRefBased/>
  <w15:docId w15:val="{E4D0FC0E-4C2E-9B44-8761-3DE866D18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C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C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C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C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C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C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C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C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C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C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CEF"/>
    <w:rPr>
      <w:rFonts w:eastAsiaTheme="majorEastAsia" w:cstheme="majorBidi"/>
      <w:color w:val="272727" w:themeColor="text1" w:themeTint="D8"/>
    </w:rPr>
  </w:style>
  <w:style w:type="paragraph" w:styleId="Title">
    <w:name w:val="Title"/>
    <w:basedOn w:val="Normal"/>
    <w:next w:val="Normal"/>
    <w:link w:val="TitleChar"/>
    <w:uiPriority w:val="10"/>
    <w:qFormat/>
    <w:rsid w:val="00E43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C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CEF"/>
    <w:pPr>
      <w:spacing w:before="160"/>
      <w:jc w:val="center"/>
    </w:pPr>
    <w:rPr>
      <w:i/>
      <w:iCs/>
      <w:color w:val="404040" w:themeColor="text1" w:themeTint="BF"/>
    </w:rPr>
  </w:style>
  <w:style w:type="character" w:customStyle="1" w:styleId="QuoteChar">
    <w:name w:val="Quote Char"/>
    <w:basedOn w:val="DefaultParagraphFont"/>
    <w:link w:val="Quote"/>
    <w:uiPriority w:val="29"/>
    <w:rsid w:val="00E43CEF"/>
    <w:rPr>
      <w:i/>
      <w:iCs/>
      <w:color w:val="404040" w:themeColor="text1" w:themeTint="BF"/>
    </w:rPr>
  </w:style>
  <w:style w:type="paragraph" w:styleId="ListParagraph">
    <w:name w:val="List Paragraph"/>
    <w:basedOn w:val="Normal"/>
    <w:uiPriority w:val="34"/>
    <w:qFormat/>
    <w:rsid w:val="00E43CEF"/>
    <w:pPr>
      <w:ind w:left="720"/>
      <w:contextualSpacing/>
    </w:pPr>
  </w:style>
  <w:style w:type="character" w:styleId="IntenseEmphasis">
    <w:name w:val="Intense Emphasis"/>
    <w:basedOn w:val="DefaultParagraphFont"/>
    <w:uiPriority w:val="21"/>
    <w:qFormat/>
    <w:rsid w:val="00E43CEF"/>
    <w:rPr>
      <w:i/>
      <w:iCs/>
      <w:color w:val="0F4761" w:themeColor="accent1" w:themeShade="BF"/>
    </w:rPr>
  </w:style>
  <w:style w:type="paragraph" w:styleId="IntenseQuote">
    <w:name w:val="Intense Quote"/>
    <w:basedOn w:val="Normal"/>
    <w:next w:val="Normal"/>
    <w:link w:val="IntenseQuoteChar"/>
    <w:uiPriority w:val="30"/>
    <w:qFormat/>
    <w:rsid w:val="00E43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CEF"/>
    <w:rPr>
      <w:i/>
      <w:iCs/>
      <w:color w:val="0F4761" w:themeColor="accent1" w:themeShade="BF"/>
    </w:rPr>
  </w:style>
  <w:style w:type="character" w:styleId="IntenseReference">
    <w:name w:val="Intense Reference"/>
    <w:basedOn w:val="DefaultParagraphFont"/>
    <w:uiPriority w:val="32"/>
    <w:qFormat/>
    <w:rsid w:val="00E43CEF"/>
    <w:rPr>
      <w:b/>
      <w:bCs/>
      <w:smallCaps/>
      <w:color w:val="0F4761" w:themeColor="accent1" w:themeShade="BF"/>
      <w:spacing w:val="5"/>
    </w:rPr>
  </w:style>
  <w:style w:type="paragraph" w:customStyle="1" w:styleId="p1">
    <w:name w:val="p1"/>
    <w:basedOn w:val="Normal"/>
    <w:rsid w:val="004201C4"/>
    <w:pPr>
      <w:spacing w:after="0" w:line="240" w:lineRule="auto"/>
    </w:pPr>
    <w:rPr>
      <w:rFonts w:ascii="Helvetica" w:hAnsi="Helvetica" w:cs="Times New Roman"/>
      <w:color w:val="000000"/>
      <w:kern w:val="0"/>
      <w:sz w:val="17"/>
      <w:szCs w:val="17"/>
      <w14:ligatures w14:val="none"/>
    </w:rPr>
  </w:style>
  <w:style w:type="character" w:customStyle="1" w:styleId="s1">
    <w:name w:val="s1"/>
    <w:basedOn w:val="DefaultParagraphFont"/>
    <w:rsid w:val="004201C4"/>
    <w:rPr>
      <w:rFonts w:ascii="Helvetica" w:hAnsi="Helvetica" w:hint="default"/>
      <w:b w:val="0"/>
      <w:bCs w:val="0"/>
      <w:i w:val="0"/>
      <w:iCs w:val="0"/>
      <w:sz w:val="17"/>
      <w:szCs w:val="17"/>
    </w:rPr>
  </w:style>
  <w:style w:type="character" w:customStyle="1" w:styleId="apple-converted-space">
    <w:name w:val="apple-converted-space"/>
    <w:basedOn w:val="DefaultParagraphFont"/>
    <w:rsid w:val="006A3E0C"/>
  </w:style>
  <w:style w:type="character" w:styleId="Emphasis">
    <w:name w:val="Emphasis"/>
    <w:basedOn w:val="DefaultParagraphFont"/>
    <w:uiPriority w:val="20"/>
    <w:qFormat/>
    <w:rsid w:val="006A3E0C"/>
    <w:rPr>
      <w:i/>
      <w:iCs/>
    </w:rPr>
  </w:style>
  <w:style w:type="character" w:customStyle="1" w:styleId="s2">
    <w:name w:val="s2"/>
    <w:basedOn w:val="DefaultParagraphFont"/>
    <w:rsid w:val="006A4E6A"/>
    <w:rPr>
      <w:rFonts w:ascii="UICTFontTextStyleItalicBody" w:hAnsi="UICTFontTextStyleItalicBody" w:hint="default"/>
      <w:b w:val="0"/>
      <w:bCs w:val="0"/>
      <w:i/>
      <w:iCs/>
      <w:sz w:val="26"/>
      <w:szCs w:val="26"/>
    </w:rPr>
  </w:style>
  <w:style w:type="character" w:styleId="Hyperlink">
    <w:name w:val="Hyperlink"/>
    <w:basedOn w:val="DefaultParagraphFont"/>
    <w:uiPriority w:val="99"/>
    <w:unhideWhenUsed/>
    <w:rsid w:val="00570A77"/>
    <w:rPr>
      <w:color w:val="467886" w:themeColor="hyperlink"/>
      <w:u w:val="single"/>
    </w:rPr>
  </w:style>
  <w:style w:type="character" w:styleId="UnresolvedMention">
    <w:name w:val="Unresolved Mention"/>
    <w:basedOn w:val="DefaultParagraphFont"/>
    <w:uiPriority w:val="99"/>
    <w:semiHidden/>
    <w:unhideWhenUsed/>
    <w:rsid w:val="00570A77"/>
    <w:rPr>
      <w:color w:val="605E5C"/>
      <w:shd w:val="clear" w:color="auto" w:fill="E1DFDD"/>
    </w:rPr>
  </w:style>
  <w:style w:type="paragraph" w:styleId="NormalWeb">
    <w:name w:val="Normal (Web)"/>
    <w:basedOn w:val="Normal"/>
    <w:uiPriority w:val="99"/>
    <w:semiHidden/>
    <w:unhideWhenUsed/>
    <w:rsid w:val="008B20A5"/>
    <w:pPr>
      <w:spacing w:before="100" w:beforeAutospacing="1" w:after="100" w:afterAutospacing="1" w:line="240" w:lineRule="auto"/>
    </w:pPr>
    <w:rPr>
      <w:rFonts w:ascii="Times New Roman" w:hAnsi="Times New Roman" w:cs="Times New Roman"/>
      <w:kern w:val="0"/>
      <w14:ligatures w14:val="none"/>
    </w:rPr>
  </w:style>
  <w:style w:type="character" w:customStyle="1" w:styleId="editortaddedltunj">
    <w:name w:val="editor_t__added__ltunj"/>
    <w:basedOn w:val="DefaultParagraphFont"/>
    <w:rsid w:val="00D363A0"/>
  </w:style>
  <w:style w:type="character" w:customStyle="1" w:styleId="editortnoteditedlongjunnx">
    <w:name w:val="editor_t__not_edited_long__junnx"/>
    <w:basedOn w:val="DefaultParagraphFont"/>
    <w:rsid w:val="00D36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23807">
      <w:bodyDiv w:val="1"/>
      <w:marLeft w:val="0"/>
      <w:marRight w:val="0"/>
      <w:marTop w:val="0"/>
      <w:marBottom w:val="0"/>
      <w:divBdr>
        <w:top w:val="none" w:sz="0" w:space="0" w:color="auto"/>
        <w:left w:val="none" w:sz="0" w:space="0" w:color="auto"/>
        <w:bottom w:val="none" w:sz="0" w:space="0" w:color="auto"/>
        <w:right w:val="none" w:sz="0" w:space="0" w:color="auto"/>
      </w:divBdr>
    </w:div>
    <w:div w:id="232278236">
      <w:bodyDiv w:val="1"/>
      <w:marLeft w:val="0"/>
      <w:marRight w:val="0"/>
      <w:marTop w:val="0"/>
      <w:marBottom w:val="0"/>
      <w:divBdr>
        <w:top w:val="none" w:sz="0" w:space="0" w:color="auto"/>
        <w:left w:val="none" w:sz="0" w:space="0" w:color="auto"/>
        <w:bottom w:val="none" w:sz="0" w:space="0" w:color="auto"/>
        <w:right w:val="none" w:sz="0" w:space="0" w:color="auto"/>
      </w:divBdr>
    </w:div>
    <w:div w:id="1728527840">
      <w:bodyDiv w:val="1"/>
      <w:marLeft w:val="0"/>
      <w:marRight w:val="0"/>
      <w:marTop w:val="0"/>
      <w:marBottom w:val="0"/>
      <w:divBdr>
        <w:top w:val="none" w:sz="0" w:space="0" w:color="auto"/>
        <w:left w:val="none" w:sz="0" w:space="0" w:color="auto"/>
        <w:bottom w:val="none" w:sz="0" w:space="0" w:color="auto"/>
        <w:right w:val="none" w:sz="0" w:space="0" w:color="auto"/>
      </w:divBdr>
    </w:div>
    <w:div w:id="1849908108">
      <w:bodyDiv w:val="1"/>
      <w:marLeft w:val="0"/>
      <w:marRight w:val="0"/>
      <w:marTop w:val="0"/>
      <w:marBottom w:val="0"/>
      <w:divBdr>
        <w:top w:val="none" w:sz="0" w:space="0" w:color="auto"/>
        <w:left w:val="none" w:sz="0" w:space="0" w:color="auto"/>
        <w:bottom w:val="none" w:sz="0" w:space="0" w:color="auto"/>
        <w:right w:val="none" w:sz="0" w:space="0" w:color="auto"/>
      </w:divBdr>
      <w:divsChild>
        <w:div w:id="1537044225">
          <w:marLeft w:val="0"/>
          <w:marRight w:val="0"/>
          <w:marTop w:val="0"/>
          <w:marBottom w:val="0"/>
          <w:divBdr>
            <w:top w:val="none" w:sz="0" w:space="0" w:color="auto"/>
            <w:left w:val="none" w:sz="0" w:space="0" w:color="auto"/>
            <w:bottom w:val="none" w:sz="0" w:space="0" w:color="auto"/>
            <w:right w:val="none" w:sz="0" w:space="0" w:color="auto"/>
          </w:divBdr>
          <w:divsChild>
            <w:div w:id="1539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9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7748/ns2002.01.16.20.29.b3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1011</Words>
  <Characters>5764</Characters>
  <Application>Microsoft Office Word</Application>
  <DocSecurity>0</DocSecurity>
  <Lines>48</Lines>
  <Paragraphs>13</Paragraphs>
  <ScaleCrop>false</ScaleCrop>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Ziga (2317368)</dc:creator>
  <cp:keywords/>
  <dc:description/>
  <cp:lastModifiedBy>Roman Ziga (2317368)</cp:lastModifiedBy>
  <cp:revision>2</cp:revision>
  <dcterms:created xsi:type="dcterms:W3CDTF">2025-02-11T00:59:00Z</dcterms:created>
  <dcterms:modified xsi:type="dcterms:W3CDTF">2025-02-11T00:59:00Z</dcterms:modified>
</cp:coreProperties>
</file>