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5DD5" w14:textId="1745CB4D" w:rsidR="002A52F0" w:rsidRDefault="000047C4" w:rsidP="003D0D2E">
      <w:r>
        <w:rPr>
          <w:noProof/>
        </w:rPr>
        <mc:AlternateContent>
          <mc:Choice Requires="wps">
            <w:drawing>
              <wp:anchor distT="0" distB="0" distL="114300" distR="114300" simplePos="0" relativeHeight="251658240" behindDoc="0" locked="0" layoutInCell="1" allowOverlap="1" wp14:anchorId="597C24D5" wp14:editId="04E2799A">
                <wp:simplePos x="0" y="0"/>
                <wp:positionH relativeFrom="column">
                  <wp:posOffset>-2476634</wp:posOffset>
                </wp:positionH>
                <wp:positionV relativeFrom="paragraph">
                  <wp:posOffset>-2527288</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74232F82" w14:textId="77777777" w:rsidR="002B79F8" w:rsidRDefault="002B79F8" w:rsidP="002B7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7C24D5" id="Oval 1" o:spid="_x0000_s1026" style="position:absolute;margin-left:-195pt;margin-top:-199pt;width:584.8pt;height:58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" fillcolor="#f2f2f2 [3052]" stroked="f" strokeweight="1pt">
                <v:stroke joinstyle="miter"/>
                <v:textbox>
                  <w:txbxContent>
                    <w:p w14:paraId="74232F82" w14:textId="77777777" w:rsidR="002B79F8" w:rsidRDefault="002B79F8" w:rsidP="002B79F8">
                      <w:pPr>
                        <w:jc w:val="center"/>
                      </w:pPr>
                    </w:p>
                  </w:txbxContent>
                </v:textbox>
              </v:oval>
            </w:pict>
          </mc:Fallback>
        </mc:AlternateContent>
      </w:r>
      <w:r w:rsidR="00C57F06">
        <w:rPr>
          <w:noProof/>
        </w:rPr>
        <mc:AlternateContent>
          <mc:Choice Requires="wps">
            <w:drawing>
              <wp:anchor distT="0" distB="0" distL="114300" distR="114300" simplePos="0" relativeHeight="251658242" behindDoc="0" locked="0" layoutInCell="1" allowOverlap="1" wp14:anchorId="0237FA9E" wp14:editId="6AD12D39">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2B079A" id="Oval 1" o:spid="_x0000_s1026" style="position:absolute;margin-left:408.6pt;margin-top:-171.45pt;width:254.4pt;height:252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4454C0A3" w14:textId="5F11DDFD" w:rsidR="002A52F0" w:rsidRDefault="002A52F0" w:rsidP="003D0D2E"/>
    <w:p w14:paraId="75C25489" w14:textId="1EEA3F19" w:rsidR="002A52F0" w:rsidRDefault="00683141" w:rsidP="003D0D2E">
      <w:r>
        <w:rPr>
          <w:noProof/>
        </w:rPr>
        <mc:AlternateContent>
          <mc:Choice Requires="wps">
            <w:drawing>
              <wp:anchor distT="0" distB="0" distL="114300" distR="114300" simplePos="0" relativeHeight="251658246" behindDoc="0" locked="0" layoutInCell="1" allowOverlap="1" wp14:anchorId="69502457" wp14:editId="72F3B42A">
                <wp:simplePos x="0" y="0"/>
                <wp:positionH relativeFrom="margin">
                  <wp:posOffset>1281430</wp:posOffset>
                </wp:positionH>
                <wp:positionV relativeFrom="paragraph">
                  <wp:posOffset>132715</wp:posOffset>
                </wp:positionV>
                <wp:extent cx="5067300" cy="1569720"/>
                <wp:effectExtent l="0" t="0" r="0" b="0"/>
                <wp:wrapNone/>
                <wp:docPr id="1690754440" name="Text Box 6"/>
                <wp:cNvGraphicFramePr/>
                <a:graphic xmlns:a="http://schemas.openxmlformats.org/drawingml/2006/main">
                  <a:graphicData uri="http://schemas.microsoft.com/office/word/2010/wordprocessingShape">
                    <wps:wsp>
                      <wps:cNvSpPr txBox="1"/>
                      <wps:spPr>
                        <a:xfrm>
                          <a:off x="0" y="0"/>
                          <a:ext cx="5067300" cy="1569720"/>
                        </a:xfrm>
                        <a:prstGeom prst="rect">
                          <a:avLst/>
                        </a:prstGeom>
                        <a:noFill/>
                        <a:ln w="6350">
                          <a:noFill/>
                        </a:ln>
                      </wps:spPr>
                      <wps:txbx>
                        <w:txbxContent>
                          <w:p w14:paraId="5F61F2E9" w14:textId="7E2CA0D7" w:rsidR="006D137A" w:rsidRPr="006151F4" w:rsidRDefault="005C6C89" w:rsidP="006D137A">
                            <w:pPr>
                              <w:spacing w:line="240" w:lineRule="auto"/>
                              <w:jc w:val="right"/>
                              <w:rPr>
                                <w:rFonts w:ascii="Comic Sans MS" w:hAnsi="Comic Sans MS"/>
                                <w:b/>
                                <w:bCs/>
                                <w:color w:val="215E99" w:themeColor="text2" w:themeTint="BF"/>
                              </w:rPr>
                            </w:pPr>
                            <w:r w:rsidRPr="005C6C89">
                              <w:rPr>
                                <w:rFonts w:ascii="Comic Sans MS" w:hAnsi="Comic Sans MS"/>
                                <w:b/>
                                <w:bCs/>
                                <w:color w:val="215E99" w:themeColor="text2" w:themeTint="BF"/>
                              </w:rPr>
                              <w:t>BSc Applied Computing</w:t>
                            </w:r>
                          </w:p>
                          <w:p w14:paraId="4BB0BE98" w14:textId="46C5A603" w:rsidR="006D137A" w:rsidRPr="006151F4" w:rsidRDefault="005B0B8A" w:rsidP="006D137A">
                            <w:pPr>
                              <w:spacing w:line="240" w:lineRule="auto"/>
                              <w:jc w:val="right"/>
                              <w:rPr>
                                <w:rFonts w:ascii="Comic Sans MS" w:hAnsi="Comic Sans MS"/>
                                <w:b/>
                                <w:bCs/>
                                <w:color w:val="215E99" w:themeColor="text2" w:themeTint="BF"/>
                                <w:sz w:val="24"/>
                                <w:szCs w:val="24"/>
                              </w:rPr>
                            </w:pPr>
                            <w:r w:rsidRPr="005B0B8A">
                              <w:rPr>
                                <w:rFonts w:ascii="Comic Sans MS" w:hAnsi="Comic Sans MS"/>
                                <w:b/>
                                <w:bCs/>
                                <w:color w:val="215E99" w:themeColor="text2" w:themeTint="BF"/>
                                <w:sz w:val="24"/>
                                <w:szCs w:val="24"/>
                              </w:rPr>
                              <w:t>Data Warehousing &amp; Data Mining</w:t>
                            </w:r>
                          </w:p>
                          <w:p w14:paraId="568CA0EA" w14:textId="6D33D9AD" w:rsidR="006D137A" w:rsidRPr="006151F4" w:rsidRDefault="006D137A" w:rsidP="006D137A">
                            <w:pPr>
                              <w:spacing w:line="240" w:lineRule="auto"/>
                              <w:jc w:val="right"/>
                              <w:rPr>
                                <w:rFonts w:ascii="Comic Sans MS" w:hAnsi="Comic Sans MS"/>
                                <w:b/>
                                <w:bCs/>
                                <w:color w:val="215E99" w:themeColor="text2" w:themeTint="BF"/>
                                <w:sz w:val="24"/>
                                <w:szCs w:val="24"/>
                              </w:rPr>
                            </w:pPr>
                            <w:r w:rsidRPr="006151F4">
                              <w:rPr>
                                <w:rFonts w:ascii="Comic Sans MS" w:hAnsi="Comic Sans MS"/>
                                <w:b/>
                                <w:bCs/>
                                <w:color w:val="215E99" w:themeColor="text2" w:themeTint="BF"/>
                                <w:sz w:val="24"/>
                                <w:szCs w:val="24"/>
                              </w:rPr>
                              <w:t>ACC</w:t>
                            </w:r>
                            <w:r w:rsidR="002A367E">
                              <w:rPr>
                                <w:rFonts w:ascii="Comic Sans MS" w:hAnsi="Comic Sans MS"/>
                                <w:b/>
                                <w:bCs/>
                                <w:color w:val="215E99" w:themeColor="text2" w:themeTint="BF"/>
                                <w:sz w:val="24"/>
                                <w:szCs w:val="24"/>
                              </w:rPr>
                              <w:t>B</w:t>
                            </w:r>
                            <w:r w:rsidRPr="006151F4">
                              <w:rPr>
                                <w:rFonts w:ascii="Comic Sans MS" w:hAnsi="Comic Sans MS"/>
                                <w:b/>
                                <w:bCs/>
                                <w:color w:val="215E99" w:themeColor="text2" w:themeTint="BF"/>
                                <w:sz w:val="24"/>
                                <w:szCs w:val="24"/>
                              </w:rPr>
                              <w:t>6</w:t>
                            </w:r>
                            <w:r w:rsidR="002A367E">
                              <w:rPr>
                                <w:rFonts w:ascii="Comic Sans MS" w:hAnsi="Comic Sans MS"/>
                                <w:b/>
                                <w:bCs/>
                                <w:color w:val="215E99" w:themeColor="text2" w:themeTint="BF"/>
                                <w:sz w:val="24"/>
                                <w:szCs w:val="24"/>
                              </w:rPr>
                              <w:t>0</w:t>
                            </w:r>
                            <w:r w:rsidR="00A009C2">
                              <w:rPr>
                                <w:rFonts w:ascii="Comic Sans MS" w:hAnsi="Comic Sans MS"/>
                                <w:b/>
                                <w:bCs/>
                                <w:color w:val="215E99" w:themeColor="text2" w:themeTint="BF"/>
                                <w:sz w:val="24"/>
                                <w:szCs w:val="24"/>
                              </w:rPr>
                              <w:t>26</w:t>
                            </w:r>
                          </w:p>
                          <w:p w14:paraId="6C0606B9" w14:textId="3DA4914D" w:rsidR="006D137A" w:rsidRPr="006151F4" w:rsidRDefault="001E5DE5" w:rsidP="006D137A">
                            <w:pPr>
                              <w:spacing w:line="240" w:lineRule="auto"/>
                              <w:jc w:val="right"/>
                              <w:rPr>
                                <w:rFonts w:ascii="Comic Sans MS" w:hAnsi="Comic Sans MS"/>
                                <w:b/>
                                <w:bCs/>
                                <w:color w:val="215E99" w:themeColor="text2" w:themeTint="BF"/>
                                <w:sz w:val="24"/>
                                <w:szCs w:val="24"/>
                              </w:rPr>
                            </w:pPr>
                            <w:r w:rsidRPr="001E5DE5">
                              <w:rPr>
                                <w:rFonts w:ascii="Comic Sans MS" w:hAnsi="Comic Sans MS"/>
                                <w:b/>
                                <w:bCs/>
                                <w:color w:val="215E99" w:themeColor="text2" w:themeTint="BF"/>
                                <w:sz w:val="24"/>
                                <w:szCs w:val="24"/>
                              </w:rPr>
                              <w:t>Data Warehousing</w:t>
                            </w:r>
                          </w:p>
                          <w:p w14:paraId="3E3CDF9E" w14:textId="17CCF271" w:rsidR="006D137A" w:rsidRPr="006151F4" w:rsidRDefault="00FF45E0" w:rsidP="006D137A">
                            <w:pPr>
                              <w:spacing w:line="240" w:lineRule="auto"/>
                              <w:jc w:val="right"/>
                              <w:rPr>
                                <w:rFonts w:ascii="Comic Sans MS" w:hAnsi="Comic Sans MS"/>
                                <w:b/>
                                <w:bCs/>
                                <w:color w:val="215E99" w:themeColor="text2" w:themeTint="BF"/>
                                <w:sz w:val="24"/>
                                <w:szCs w:val="24"/>
                              </w:rPr>
                            </w:pPr>
                            <w:r w:rsidRPr="00FF45E0">
                              <w:rPr>
                                <w:rFonts w:ascii="Comic Sans MS" w:hAnsi="Comic Sans MS"/>
                                <w:b/>
                                <w:bCs/>
                                <w:color w:val="215E99" w:themeColor="text2" w:themeTint="BF"/>
                                <w:sz w:val="24"/>
                                <w:szCs w:val="24"/>
                              </w:rPr>
                              <w:t>Rajeev Nath</w:t>
                            </w:r>
                          </w:p>
                          <w:p w14:paraId="60F89D74" w14:textId="2756E871" w:rsidR="006D137A" w:rsidRPr="00330B49" w:rsidRDefault="006D137A" w:rsidP="006D137A">
                            <w:pPr>
                              <w:spacing w:line="240" w:lineRule="auto"/>
                              <w:jc w:val="right"/>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502457" id="_x0000_t202" coordsize="21600,21600" o:spt="202" path="m,l,21600r21600,l21600,xe">
                <v:stroke joinstyle="miter"/>
                <v:path gradientshapeok="t" o:connecttype="rect"/>
              </v:shapetype>
              <v:shape id="Text Box 6" o:spid="_x0000_s1027" type="#_x0000_t202" style="position:absolute;margin-left:100.9pt;margin-top:10.45pt;width:399pt;height:123.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nROGg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" filled="f" stroked="f" strokeweight=".5pt">
                <v:textbox>
                  <w:txbxContent>
                    <w:p w14:paraId="5F61F2E9" w14:textId="7E2CA0D7" w:rsidR="006D137A" w:rsidRPr="006151F4" w:rsidRDefault="005C6C89" w:rsidP="006D137A">
                      <w:pPr>
                        <w:spacing w:line="240" w:lineRule="auto"/>
                        <w:jc w:val="right"/>
                        <w:rPr>
                          <w:rFonts w:ascii="Comic Sans MS" w:hAnsi="Comic Sans MS"/>
                          <w:b/>
                          <w:bCs/>
                          <w:color w:val="215E99" w:themeColor="text2" w:themeTint="BF"/>
                        </w:rPr>
                      </w:pPr>
                      <w:r w:rsidRPr="005C6C89">
                        <w:rPr>
                          <w:rFonts w:ascii="Comic Sans MS" w:hAnsi="Comic Sans MS"/>
                          <w:b/>
                          <w:bCs/>
                          <w:color w:val="215E99" w:themeColor="text2" w:themeTint="BF"/>
                        </w:rPr>
                        <w:t>BSc Applied Computing</w:t>
                      </w:r>
                    </w:p>
                    <w:p w14:paraId="4BB0BE98" w14:textId="46C5A603" w:rsidR="006D137A" w:rsidRPr="006151F4" w:rsidRDefault="005B0B8A" w:rsidP="006D137A">
                      <w:pPr>
                        <w:spacing w:line="240" w:lineRule="auto"/>
                        <w:jc w:val="right"/>
                        <w:rPr>
                          <w:rFonts w:ascii="Comic Sans MS" w:hAnsi="Comic Sans MS"/>
                          <w:b/>
                          <w:bCs/>
                          <w:color w:val="215E99" w:themeColor="text2" w:themeTint="BF"/>
                          <w:sz w:val="24"/>
                          <w:szCs w:val="24"/>
                        </w:rPr>
                      </w:pPr>
                      <w:r w:rsidRPr="005B0B8A">
                        <w:rPr>
                          <w:rFonts w:ascii="Comic Sans MS" w:hAnsi="Comic Sans MS"/>
                          <w:b/>
                          <w:bCs/>
                          <w:color w:val="215E99" w:themeColor="text2" w:themeTint="BF"/>
                          <w:sz w:val="24"/>
                          <w:szCs w:val="24"/>
                        </w:rPr>
                        <w:t>Data Warehousing &amp; Data Mining</w:t>
                      </w:r>
                    </w:p>
                    <w:p w14:paraId="568CA0EA" w14:textId="6D33D9AD" w:rsidR="006D137A" w:rsidRPr="006151F4" w:rsidRDefault="006D137A" w:rsidP="006D137A">
                      <w:pPr>
                        <w:spacing w:line="240" w:lineRule="auto"/>
                        <w:jc w:val="right"/>
                        <w:rPr>
                          <w:rFonts w:ascii="Comic Sans MS" w:hAnsi="Comic Sans MS"/>
                          <w:b/>
                          <w:bCs/>
                          <w:color w:val="215E99" w:themeColor="text2" w:themeTint="BF"/>
                          <w:sz w:val="24"/>
                          <w:szCs w:val="24"/>
                        </w:rPr>
                      </w:pPr>
                      <w:r w:rsidRPr="006151F4">
                        <w:rPr>
                          <w:rFonts w:ascii="Comic Sans MS" w:hAnsi="Comic Sans MS"/>
                          <w:b/>
                          <w:bCs/>
                          <w:color w:val="215E99" w:themeColor="text2" w:themeTint="BF"/>
                          <w:sz w:val="24"/>
                          <w:szCs w:val="24"/>
                        </w:rPr>
                        <w:t>ACC</w:t>
                      </w:r>
                      <w:r w:rsidR="002A367E">
                        <w:rPr>
                          <w:rFonts w:ascii="Comic Sans MS" w:hAnsi="Comic Sans MS"/>
                          <w:b/>
                          <w:bCs/>
                          <w:color w:val="215E99" w:themeColor="text2" w:themeTint="BF"/>
                          <w:sz w:val="24"/>
                          <w:szCs w:val="24"/>
                        </w:rPr>
                        <w:t>B</w:t>
                      </w:r>
                      <w:r w:rsidRPr="006151F4">
                        <w:rPr>
                          <w:rFonts w:ascii="Comic Sans MS" w:hAnsi="Comic Sans MS"/>
                          <w:b/>
                          <w:bCs/>
                          <w:color w:val="215E99" w:themeColor="text2" w:themeTint="BF"/>
                          <w:sz w:val="24"/>
                          <w:szCs w:val="24"/>
                        </w:rPr>
                        <w:t>6</w:t>
                      </w:r>
                      <w:r w:rsidR="002A367E">
                        <w:rPr>
                          <w:rFonts w:ascii="Comic Sans MS" w:hAnsi="Comic Sans MS"/>
                          <w:b/>
                          <w:bCs/>
                          <w:color w:val="215E99" w:themeColor="text2" w:themeTint="BF"/>
                          <w:sz w:val="24"/>
                          <w:szCs w:val="24"/>
                        </w:rPr>
                        <w:t>0</w:t>
                      </w:r>
                      <w:r w:rsidR="00A009C2">
                        <w:rPr>
                          <w:rFonts w:ascii="Comic Sans MS" w:hAnsi="Comic Sans MS"/>
                          <w:b/>
                          <w:bCs/>
                          <w:color w:val="215E99" w:themeColor="text2" w:themeTint="BF"/>
                          <w:sz w:val="24"/>
                          <w:szCs w:val="24"/>
                        </w:rPr>
                        <w:t>26</w:t>
                      </w:r>
                    </w:p>
                    <w:p w14:paraId="6C0606B9" w14:textId="3DA4914D" w:rsidR="006D137A" w:rsidRPr="006151F4" w:rsidRDefault="001E5DE5" w:rsidP="006D137A">
                      <w:pPr>
                        <w:spacing w:line="240" w:lineRule="auto"/>
                        <w:jc w:val="right"/>
                        <w:rPr>
                          <w:rFonts w:ascii="Comic Sans MS" w:hAnsi="Comic Sans MS"/>
                          <w:b/>
                          <w:bCs/>
                          <w:color w:val="215E99" w:themeColor="text2" w:themeTint="BF"/>
                          <w:sz w:val="24"/>
                          <w:szCs w:val="24"/>
                        </w:rPr>
                      </w:pPr>
                      <w:r w:rsidRPr="001E5DE5">
                        <w:rPr>
                          <w:rFonts w:ascii="Comic Sans MS" w:hAnsi="Comic Sans MS"/>
                          <w:b/>
                          <w:bCs/>
                          <w:color w:val="215E99" w:themeColor="text2" w:themeTint="BF"/>
                          <w:sz w:val="24"/>
                          <w:szCs w:val="24"/>
                        </w:rPr>
                        <w:t>Data Warehousing</w:t>
                      </w:r>
                    </w:p>
                    <w:p w14:paraId="3E3CDF9E" w14:textId="17CCF271" w:rsidR="006D137A" w:rsidRPr="006151F4" w:rsidRDefault="00FF45E0" w:rsidP="006D137A">
                      <w:pPr>
                        <w:spacing w:line="240" w:lineRule="auto"/>
                        <w:jc w:val="right"/>
                        <w:rPr>
                          <w:rFonts w:ascii="Comic Sans MS" w:hAnsi="Comic Sans MS"/>
                          <w:b/>
                          <w:bCs/>
                          <w:color w:val="215E99" w:themeColor="text2" w:themeTint="BF"/>
                          <w:sz w:val="24"/>
                          <w:szCs w:val="24"/>
                        </w:rPr>
                      </w:pPr>
                      <w:r w:rsidRPr="00FF45E0">
                        <w:rPr>
                          <w:rFonts w:ascii="Comic Sans MS" w:hAnsi="Comic Sans MS"/>
                          <w:b/>
                          <w:bCs/>
                          <w:color w:val="215E99" w:themeColor="text2" w:themeTint="BF"/>
                          <w:sz w:val="24"/>
                          <w:szCs w:val="24"/>
                        </w:rPr>
                        <w:t>Rajeev Nath</w:t>
                      </w:r>
                    </w:p>
                    <w:p w14:paraId="60F89D74" w14:textId="2756E871" w:rsidR="006D137A" w:rsidRPr="00330B49" w:rsidRDefault="006D137A" w:rsidP="006D137A">
                      <w:pPr>
                        <w:spacing w:line="240" w:lineRule="auto"/>
                        <w:jc w:val="right"/>
                        <w:rPr>
                          <w:rFonts w:ascii="Comic Sans MS" w:hAnsi="Comic Sans MS"/>
                          <w:sz w:val="24"/>
                          <w:szCs w:val="24"/>
                        </w:rPr>
                      </w:pPr>
                    </w:p>
                  </w:txbxContent>
                </v:textbox>
                <w10:wrap anchorx="margin"/>
              </v:shape>
            </w:pict>
          </mc:Fallback>
        </mc:AlternateContent>
      </w:r>
    </w:p>
    <w:p w14:paraId="0772D59F" w14:textId="629C3D58" w:rsidR="002A52F0" w:rsidRDefault="002A52F0" w:rsidP="003D0D2E"/>
    <w:p w14:paraId="70368DAA" w14:textId="677ED751" w:rsidR="002A52F0" w:rsidRDefault="002A52F0" w:rsidP="003D0D2E"/>
    <w:p w14:paraId="3F88964A" w14:textId="028954BE" w:rsidR="002A52F0" w:rsidRDefault="002A52F0" w:rsidP="003D0D2E"/>
    <w:p w14:paraId="283888A5" w14:textId="43437005" w:rsidR="00951CDC" w:rsidRDefault="006D7DFB" w:rsidP="003D0D2E">
      <w:pPr>
        <w:rPr>
          <w:noProof/>
        </w:rPr>
      </w:pPr>
      <w:r>
        <w:rPr>
          <w:noProof/>
        </w:rPr>
        <mc:AlternateContent>
          <mc:Choice Requires="wpg">
            <w:drawing>
              <wp:anchor distT="0" distB="0" distL="114300" distR="114300" simplePos="0" relativeHeight="251658244" behindDoc="0" locked="0" layoutInCell="1" allowOverlap="1" wp14:anchorId="17B15341" wp14:editId="1EDF7327">
                <wp:simplePos x="0" y="0"/>
                <wp:positionH relativeFrom="column">
                  <wp:posOffset>-601980</wp:posOffset>
                </wp:positionH>
                <wp:positionV relativeFrom="paragraph">
                  <wp:posOffset>191135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0ACA6B29" id="Group 4" o:spid="_x0000_s1026" style="position:absolute;margin-left:-47.4pt;margin-top:15.05pt;width:254.4pt;height:252pt;z-index:251658244"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20B92070" w14:textId="6FBFCD6B" w:rsidR="002A52F0" w:rsidRDefault="002A52F0" w:rsidP="003D0D2E"/>
    <w:p w14:paraId="14563B7C" w14:textId="27E13A43" w:rsidR="002A52F0" w:rsidRDefault="00E9270B" w:rsidP="003D0D2E">
      <w:r>
        <w:rPr>
          <w:noProof/>
        </w:rPr>
        <mc:AlternateContent>
          <mc:Choice Requires="wps">
            <w:drawing>
              <wp:anchor distT="0" distB="0" distL="114300" distR="114300" simplePos="0" relativeHeight="251658243" behindDoc="0" locked="0" layoutInCell="1" allowOverlap="1" wp14:anchorId="5E333B56" wp14:editId="35B43695">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D05DE8" id="Oval 1" o:spid="_x0000_s1026" style="position:absolute;margin-left:93.6pt;margin-top:17.75pt;width:163.8pt;height:163.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3F68ED40" w14:textId="3859B01D" w:rsidR="002A52F0" w:rsidRDefault="002A52F0" w:rsidP="003D0D2E"/>
    <w:p w14:paraId="599AAE90" w14:textId="559353F9" w:rsidR="002A52F0" w:rsidRDefault="002A52F0" w:rsidP="003D0D2E"/>
    <w:p w14:paraId="724438AA" w14:textId="60032754" w:rsidR="002A52F0" w:rsidRDefault="002A52F0" w:rsidP="003D0D2E"/>
    <w:p w14:paraId="0943708D" w14:textId="5EA6D0AF" w:rsidR="002A52F0" w:rsidRDefault="002A52F0" w:rsidP="003D0D2E"/>
    <w:p w14:paraId="1C5E6F43" w14:textId="62E19820" w:rsidR="002A52F0" w:rsidRDefault="002A52F0" w:rsidP="003D0D2E"/>
    <w:p w14:paraId="226F69C5" w14:textId="1256E5A8" w:rsidR="002A52F0" w:rsidRDefault="002A52F0" w:rsidP="003D0D2E"/>
    <w:p w14:paraId="639C66D5" w14:textId="452FC3FE" w:rsidR="002A52F0" w:rsidRDefault="002A52F0" w:rsidP="003D0D2E"/>
    <w:p w14:paraId="693A7FC9" w14:textId="547EBE7D" w:rsidR="002A52F0" w:rsidRDefault="00AD7955" w:rsidP="003D0D2E">
      <w:r>
        <w:rPr>
          <w:noProof/>
        </w:rPr>
        <mc:AlternateContent>
          <mc:Choice Requires="wpg">
            <w:drawing>
              <wp:anchor distT="0" distB="0" distL="114300" distR="114300" simplePos="0" relativeHeight="251658241" behindDoc="0" locked="0" layoutInCell="1" allowOverlap="1" wp14:anchorId="5081C236" wp14:editId="1587DE9A">
                <wp:simplePos x="0" y="0"/>
                <wp:positionH relativeFrom="column">
                  <wp:posOffset>-258462</wp:posOffset>
                </wp:positionH>
                <wp:positionV relativeFrom="paragraph">
                  <wp:posOffset>63277</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85543B" w14:textId="77777777" w:rsidR="005902C8" w:rsidRDefault="005902C8" w:rsidP="005902C8">
                              <w:pPr>
                                <w:jc w:val="center"/>
                              </w:pPr>
                            </w:p>
                            <w:p w14:paraId="61FDA72D" w14:textId="77777777" w:rsidR="005902C8" w:rsidRDefault="005902C8" w:rsidP="005902C8">
                              <w:pPr>
                                <w:jc w:val="center"/>
                              </w:pPr>
                            </w:p>
                            <w:p w14:paraId="29A23E2D" w14:textId="77777777" w:rsidR="005902C8" w:rsidRDefault="005902C8" w:rsidP="005902C8">
                              <w:pPr>
                                <w:jc w:val="center"/>
                              </w:pPr>
                            </w:p>
                            <w:p w14:paraId="12AEB757" w14:textId="77777777" w:rsidR="005902C8" w:rsidRDefault="005902C8" w:rsidP="005902C8">
                              <w:pPr>
                                <w:jc w:val="center"/>
                              </w:pPr>
                            </w:p>
                            <w:p w14:paraId="75A0DC3B" w14:textId="77777777" w:rsidR="005902C8" w:rsidRDefault="005902C8" w:rsidP="005902C8">
                              <w:pPr>
                                <w:jc w:val="center"/>
                              </w:pPr>
                            </w:p>
                            <w:p w14:paraId="702A67CE" w14:textId="77777777" w:rsidR="005902C8" w:rsidRDefault="005902C8" w:rsidP="005902C8">
                              <w:pPr>
                                <w:jc w:val="center"/>
                              </w:pPr>
                            </w:p>
                            <w:p w14:paraId="356593B2" w14:textId="77777777" w:rsidR="005902C8" w:rsidRDefault="005902C8" w:rsidP="005902C8">
                              <w:pPr>
                                <w:jc w:val="center"/>
                              </w:pPr>
                            </w:p>
                            <w:p w14:paraId="69B08D2F" w14:textId="77777777" w:rsidR="005902C8" w:rsidRDefault="005902C8" w:rsidP="005902C8">
                              <w:pPr>
                                <w:jc w:val="center"/>
                              </w:pPr>
                            </w:p>
                            <w:p w14:paraId="71320F8A" w14:textId="77777777" w:rsidR="005902C8" w:rsidRDefault="005902C8" w:rsidP="005902C8">
                              <w:pPr>
                                <w:jc w:val="center"/>
                              </w:pPr>
                            </w:p>
                            <w:p w14:paraId="7CC14F9A" w14:textId="77777777" w:rsidR="005902C8" w:rsidRDefault="005902C8" w:rsidP="005902C8">
                              <w:pPr>
                                <w:jc w:val="center"/>
                              </w:pPr>
                            </w:p>
                            <w:p w14:paraId="7008DA10" w14:textId="77777777" w:rsidR="005902C8" w:rsidRDefault="005902C8" w:rsidP="005902C8">
                              <w:pPr>
                                <w:jc w:val="center"/>
                              </w:pPr>
                            </w:p>
                            <w:p w14:paraId="5A7E7383" w14:textId="77777777" w:rsidR="005902C8" w:rsidRDefault="005902C8" w:rsidP="005902C8">
                              <w:pPr>
                                <w:jc w:val="center"/>
                              </w:pPr>
                            </w:p>
                            <w:p w14:paraId="7FC54BD3" w14:textId="77777777" w:rsidR="005902C8" w:rsidRDefault="005902C8" w:rsidP="005902C8">
                              <w:pPr>
                                <w:jc w:val="center"/>
                              </w:pPr>
                            </w:p>
                            <w:p w14:paraId="087FD359" w14:textId="77777777" w:rsidR="005902C8" w:rsidRDefault="005902C8" w:rsidP="005902C8">
                              <w:pPr>
                                <w:jc w:val="center"/>
                              </w:pPr>
                            </w:p>
                            <w:p w14:paraId="48826DBA" w14:textId="77777777" w:rsidR="005902C8" w:rsidRDefault="005902C8" w:rsidP="005902C8">
                              <w:pPr>
                                <w:jc w:val="center"/>
                              </w:pPr>
                            </w:p>
                            <w:p w14:paraId="0E69CCE6" w14:textId="77777777" w:rsidR="005902C8" w:rsidRDefault="005902C8" w:rsidP="005902C8">
                              <w:pPr>
                                <w:jc w:val="center"/>
                              </w:pPr>
                            </w:p>
                            <w:p w14:paraId="1F1CCE9A" w14:textId="77777777" w:rsidR="005902C8" w:rsidRDefault="005902C8" w:rsidP="005902C8">
                              <w:pPr>
                                <w:jc w:val="center"/>
                              </w:pPr>
                            </w:p>
                            <w:p w14:paraId="2DC6C277" w14:textId="77777777" w:rsidR="005902C8" w:rsidRDefault="005902C8" w:rsidP="005902C8">
                              <w:pPr>
                                <w:jc w:val="center"/>
                              </w:pPr>
                            </w:p>
                            <w:p w14:paraId="6B023C8D" w14:textId="77777777" w:rsidR="005902C8" w:rsidRDefault="005902C8" w:rsidP="005902C8">
                              <w:pPr>
                                <w:jc w:val="center"/>
                              </w:pPr>
                            </w:p>
                            <w:p w14:paraId="745CB873" w14:textId="77777777" w:rsidR="005902C8" w:rsidRDefault="005902C8" w:rsidP="005902C8">
                              <w:pPr>
                                <w:jc w:val="center"/>
                              </w:pPr>
                            </w:p>
                            <w:p w14:paraId="0B0470F7" w14:textId="77777777" w:rsidR="005902C8" w:rsidRDefault="005902C8" w:rsidP="005902C8">
                              <w:pPr>
                                <w:jc w:val="center"/>
                              </w:pPr>
                            </w:p>
                            <w:p w14:paraId="5B68C331" w14:textId="77777777" w:rsidR="005902C8" w:rsidRDefault="005902C8" w:rsidP="005902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81C236" id="Group 5" o:spid="_x0000_s1028" style="position:absolute;margin-left:-20.35pt;margin-top:5pt;width:421.8pt;height:420.6pt;z-index:251658241"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">
                <v:oval id="_x0000_s1029"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_x0000_s1030"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6C85543B" w14:textId="77777777" w:rsidR="005902C8" w:rsidRDefault="005902C8" w:rsidP="005902C8">
                        <w:pPr>
                          <w:jc w:val="center"/>
                        </w:pPr>
                      </w:p>
                      <w:p w14:paraId="61FDA72D" w14:textId="77777777" w:rsidR="005902C8" w:rsidRDefault="005902C8" w:rsidP="005902C8">
                        <w:pPr>
                          <w:jc w:val="center"/>
                        </w:pPr>
                      </w:p>
                      <w:p w14:paraId="29A23E2D" w14:textId="77777777" w:rsidR="005902C8" w:rsidRDefault="005902C8" w:rsidP="005902C8">
                        <w:pPr>
                          <w:jc w:val="center"/>
                        </w:pPr>
                      </w:p>
                      <w:p w14:paraId="12AEB757" w14:textId="77777777" w:rsidR="005902C8" w:rsidRDefault="005902C8" w:rsidP="005902C8">
                        <w:pPr>
                          <w:jc w:val="center"/>
                        </w:pPr>
                      </w:p>
                      <w:p w14:paraId="75A0DC3B" w14:textId="77777777" w:rsidR="005902C8" w:rsidRDefault="005902C8" w:rsidP="005902C8">
                        <w:pPr>
                          <w:jc w:val="center"/>
                        </w:pPr>
                      </w:p>
                      <w:p w14:paraId="702A67CE" w14:textId="77777777" w:rsidR="005902C8" w:rsidRDefault="005902C8" w:rsidP="005902C8">
                        <w:pPr>
                          <w:jc w:val="center"/>
                        </w:pPr>
                      </w:p>
                      <w:p w14:paraId="356593B2" w14:textId="77777777" w:rsidR="005902C8" w:rsidRDefault="005902C8" w:rsidP="005902C8">
                        <w:pPr>
                          <w:jc w:val="center"/>
                        </w:pPr>
                      </w:p>
                      <w:p w14:paraId="69B08D2F" w14:textId="77777777" w:rsidR="005902C8" w:rsidRDefault="005902C8" w:rsidP="005902C8">
                        <w:pPr>
                          <w:jc w:val="center"/>
                        </w:pPr>
                      </w:p>
                      <w:p w14:paraId="71320F8A" w14:textId="77777777" w:rsidR="005902C8" w:rsidRDefault="005902C8" w:rsidP="005902C8">
                        <w:pPr>
                          <w:jc w:val="center"/>
                        </w:pPr>
                      </w:p>
                      <w:p w14:paraId="7CC14F9A" w14:textId="77777777" w:rsidR="005902C8" w:rsidRDefault="005902C8" w:rsidP="005902C8">
                        <w:pPr>
                          <w:jc w:val="center"/>
                        </w:pPr>
                      </w:p>
                      <w:p w14:paraId="7008DA10" w14:textId="77777777" w:rsidR="005902C8" w:rsidRDefault="005902C8" w:rsidP="005902C8">
                        <w:pPr>
                          <w:jc w:val="center"/>
                        </w:pPr>
                      </w:p>
                      <w:p w14:paraId="5A7E7383" w14:textId="77777777" w:rsidR="005902C8" w:rsidRDefault="005902C8" w:rsidP="005902C8">
                        <w:pPr>
                          <w:jc w:val="center"/>
                        </w:pPr>
                      </w:p>
                      <w:p w14:paraId="7FC54BD3" w14:textId="77777777" w:rsidR="005902C8" w:rsidRDefault="005902C8" w:rsidP="005902C8">
                        <w:pPr>
                          <w:jc w:val="center"/>
                        </w:pPr>
                      </w:p>
                      <w:p w14:paraId="087FD359" w14:textId="77777777" w:rsidR="005902C8" w:rsidRDefault="005902C8" w:rsidP="005902C8">
                        <w:pPr>
                          <w:jc w:val="center"/>
                        </w:pPr>
                      </w:p>
                      <w:p w14:paraId="48826DBA" w14:textId="77777777" w:rsidR="005902C8" w:rsidRDefault="005902C8" w:rsidP="005902C8">
                        <w:pPr>
                          <w:jc w:val="center"/>
                        </w:pPr>
                      </w:p>
                      <w:p w14:paraId="0E69CCE6" w14:textId="77777777" w:rsidR="005902C8" w:rsidRDefault="005902C8" w:rsidP="005902C8">
                        <w:pPr>
                          <w:jc w:val="center"/>
                        </w:pPr>
                      </w:p>
                      <w:p w14:paraId="1F1CCE9A" w14:textId="77777777" w:rsidR="005902C8" w:rsidRDefault="005902C8" w:rsidP="005902C8">
                        <w:pPr>
                          <w:jc w:val="center"/>
                        </w:pPr>
                      </w:p>
                      <w:p w14:paraId="2DC6C277" w14:textId="77777777" w:rsidR="005902C8" w:rsidRDefault="005902C8" w:rsidP="005902C8">
                        <w:pPr>
                          <w:jc w:val="center"/>
                        </w:pPr>
                      </w:p>
                      <w:p w14:paraId="6B023C8D" w14:textId="77777777" w:rsidR="005902C8" w:rsidRDefault="005902C8" w:rsidP="005902C8">
                        <w:pPr>
                          <w:jc w:val="center"/>
                        </w:pPr>
                      </w:p>
                      <w:p w14:paraId="745CB873" w14:textId="77777777" w:rsidR="005902C8" w:rsidRDefault="005902C8" w:rsidP="005902C8">
                        <w:pPr>
                          <w:jc w:val="center"/>
                        </w:pPr>
                      </w:p>
                      <w:p w14:paraId="0B0470F7" w14:textId="77777777" w:rsidR="005902C8" w:rsidRDefault="005902C8" w:rsidP="005902C8">
                        <w:pPr>
                          <w:jc w:val="center"/>
                        </w:pPr>
                      </w:p>
                      <w:p w14:paraId="5B68C331" w14:textId="77777777" w:rsidR="005902C8" w:rsidRDefault="005902C8" w:rsidP="005902C8">
                        <w:pPr>
                          <w:jc w:val="center"/>
                        </w:pPr>
                      </w:p>
                    </w:txbxContent>
                  </v:textbox>
                </v:oval>
              </v:group>
            </w:pict>
          </mc:Fallback>
        </mc:AlternateContent>
      </w:r>
    </w:p>
    <w:p w14:paraId="6E610085" w14:textId="6A3FCBCC" w:rsidR="002A52F0" w:rsidRDefault="002A52F0" w:rsidP="003D0D2E"/>
    <w:p w14:paraId="1E91AD24" w14:textId="02F26287" w:rsidR="002A52F0" w:rsidRDefault="002A52F0" w:rsidP="003D0D2E"/>
    <w:p w14:paraId="419DB7E7" w14:textId="31028AEF" w:rsidR="002A52F0" w:rsidRDefault="002A52F0" w:rsidP="003D0D2E"/>
    <w:p w14:paraId="0560A9E2" w14:textId="27ED0685" w:rsidR="002A52F0" w:rsidRDefault="004E1AD0" w:rsidP="003D0D2E">
      <w:r>
        <w:rPr>
          <w:noProof/>
        </w:rPr>
        <mc:AlternateContent>
          <mc:Choice Requires="wps">
            <w:drawing>
              <wp:anchor distT="0" distB="0" distL="114300" distR="114300" simplePos="0" relativeHeight="251658245" behindDoc="0" locked="0" layoutInCell="1" allowOverlap="1" wp14:anchorId="328EFF66" wp14:editId="76107671">
                <wp:simplePos x="0" y="0"/>
                <wp:positionH relativeFrom="margin">
                  <wp:posOffset>-167640</wp:posOffset>
                </wp:positionH>
                <wp:positionV relativeFrom="paragraph">
                  <wp:posOffset>307340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79338546" w14:textId="6D590611" w:rsidR="007044FE" w:rsidRPr="00672E0F" w:rsidRDefault="007044FE" w:rsidP="007044FE">
                            <w:pPr>
                              <w:rPr>
                                <w:rFonts w:ascii="Arial" w:hAnsi="Arial" w:cs="Arial"/>
                                <w:sz w:val="16"/>
                                <w:szCs w:val="16"/>
                              </w:rPr>
                            </w:pPr>
                          </w:p>
                          <w:p w14:paraId="49DF5BA8" w14:textId="77777777" w:rsidR="00DD5E90" w:rsidRDefault="00DD5E90" w:rsidP="003640D4">
                            <w:pPr>
                              <w:spacing w:line="240" w:lineRule="auto"/>
                              <w:jc w:val="center"/>
                              <w:rPr>
                                <w:rFonts w:ascii="Comic Sans MS" w:hAnsi="Comic Sans MS"/>
                                <w:sz w:val="24"/>
                                <w:szCs w:val="24"/>
                              </w:rPr>
                            </w:pPr>
                          </w:p>
                          <w:p w14:paraId="251B9040" w14:textId="448B24AE" w:rsidR="00167A19" w:rsidRPr="0034295C" w:rsidRDefault="002E0625" w:rsidP="003640D4">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31</w:t>
                            </w:r>
                            <w:r w:rsidR="005B390F">
                              <w:rPr>
                                <w:rFonts w:ascii="Amasis MT Pro Black" w:hAnsi="Amasis MT Pro Black"/>
                                <w:color w:val="215E99" w:themeColor="text2" w:themeTint="BF"/>
                                <w:sz w:val="32"/>
                                <w:szCs w:val="32"/>
                              </w:rPr>
                              <w:t>st</w:t>
                            </w:r>
                            <w:r w:rsidR="00167A19" w:rsidRPr="0034295C">
                              <w:rPr>
                                <w:rFonts w:ascii="Amasis MT Pro Black" w:hAnsi="Amasis MT Pro Black"/>
                                <w:color w:val="215E99" w:themeColor="text2" w:themeTint="BF"/>
                                <w:sz w:val="32"/>
                                <w:szCs w:val="32"/>
                              </w:rPr>
                              <w:t xml:space="preserve"> </w:t>
                            </w:r>
                            <w:r w:rsidR="005B390F">
                              <w:rPr>
                                <w:rFonts w:ascii="Amasis MT Pro Black" w:hAnsi="Amasis MT Pro Black"/>
                                <w:color w:val="215E99" w:themeColor="text2" w:themeTint="BF"/>
                                <w:sz w:val="32"/>
                                <w:szCs w:val="32"/>
                              </w:rPr>
                              <w:t>July</w:t>
                            </w:r>
                            <w:r w:rsidR="0034083B">
                              <w:rPr>
                                <w:rFonts w:ascii="Amasis MT Pro Black" w:hAnsi="Amasis MT Pro Black"/>
                                <w:color w:val="215E99" w:themeColor="text2" w:themeTint="BF"/>
                                <w:sz w:val="32"/>
                                <w:szCs w:val="32"/>
                              </w:rPr>
                              <w:t xml:space="preserve"> </w:t>
                            </w:r>
                            <w:r w:rsidR="00167A19" w:rsidRPr="0034295C">
                              <w:rPr>
                                <w:rFonts w:ascii="Amasis MT Pro Black" w:hAnsi="Amasis MT Pro Black"/>
                                <w:color w:val="215E99" w:themeColor="text2" w:themeTint="BF"/>
                                <w:sz w:val="32"/>
                                <w:szCs w:val="32"/>
                              </w:rPr>
                              <w:t>202</w:t>
                            </w:r>
                            <w:r w:rsidR="0034083B">
                              <w:rPr>
                                <w:rFonts w:ascii="Amasis MT Pro Black" w:hAnsi="Amasis MT Pro Black"/>
                                <w:color w:val="215E99" w:themeColor="text2" w:themeTint="BF"/>
                                <w:sz w:val="32"/>
                                <w:szCs w:val="32"/>
                              </w:rPr>
                              <w:t>6</w:t>
                            </w:r>
                          </w:p>
                          <w:p w14:paraId="6185F384" w14:textId="24DE10C9" w:rsidR="00DA7382" w:rsidRPr="0034295C" w:rsidRDefault="00DA7382" w:rsidP="003640D4">
                            <w:pPr>
                              <w:spacing w:line="240" w:lineRule="auto"/>
                              <w:jc w:val="center"/>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Word count </w:t>
                            </w:r>
                            <w:r w:rsidR="002A78BA">
                              <w:rPr>
                                <w:rFonts w:ascii="Amasis MT Pro Black" w:hAnsi="Amasis MT Pro Black"/>
                                <w:color w:val="215E99" w:themeColor="text2" w:themeTint="BF"/>
                                <w:sz w:val="32"/>
                                <w:szCs w:val="32"/>
                              </w:rPr>
                              <w:t xml:space="preserve">– </w:t>
                            </w:r>
                            <w:r w:rsidR="005B390F">
                              <w:rPr>
                                <w:rFonts w:ascii="Amasis MT Pro Black" w:hAnsi="Amasis MT Pro Black"/>
                                <w:color w:val="215E99" w:themeColor="text2" w:themeTint="BF"/>
                                <w:sz w:val="32"/>
                                <w:szCs w:val="32"/>
                              </w:rPr>
                              <w:t>2</w:t>
                            </w:r>
                            <w:r w:rsidR="00767D39">
                              <w:rPr>
                                <w:rFonts w:ascii="Amasis MT Pro Black" w:hAnsi="Amasis MT Pro Black"/>
                                <w:color w:val="215E99" w:themeColor="text2" w:themeTint="BF"/>
                                <w:sz w:val="32"/>
                                <w:szCs w:val="32"/>
                              </w:rPr>
                              <w:t>5</w:t>
                            </w:r>
                            <w:r w:rsidR="00E340D3">
                              <w:rPr>
                                <w:rFonts w:ascii="Amasis MT Pro Black" w:hAnsi="Amasis MT Pro Black"/>
                                <w:color w:val="215E99" w:themeColor="text2" w:themeTint="BF"/>
                                <w:sz w:val="32"/>
                                <w:szCs w:val="32"/>
                              </w:rPr>
                              <w:t>00</w:t>
                            </w:r>
                          </w:p>
                          <w:p w14:paraId="643D4CCA" w14:textId="4C2F9683" w:rsidR="00DA7382" w:rsidRPr="0034295C" w:rsidRDefault="003640D4" w:rsidP="003640D4">
                            <w:pPr>
                              <w:spacing w:line="240" w:lineRule="auto"/>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                                         </w:t>
                            </w:r>
                            <w:r w:rsidR="00DA7382" w:rsidRPr="0034295C">
                              <w:rPr>
                                <w:rFonts w:ascii="Amasis MT Pro Black" w:hAnsi="Amasis MT Pro Black"/>
                                <w:color w:val="215E99" w:themeColor="text2" w:themeTint="BF"/>
                                <w:sz w:val="32"/>
                                <w:szCs w:val="32"/>
                              </w:rPr>
                              <w:t>Ima David</w:t>
                            </w:r>
                            <w:r w:rsidR="00122DDD" w:rsidRPr="0034295C">
                              <w:rPr>
                                <w:rFonts w:ascii="Amasis MT Pro Black" w:hAnsi="Amasis MT Pro Black"/>
                                <w:color w:val="215E99" w:themeColor="text2" w:themeTint="BF"/>
                                <w:sz w:val="32"/>
                                <w:szCs w:val="32"/>
                              </w:rPr>
                              <w:t xml:space="preserve"> - 2321435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EFF66" id="_x0000_s1031" type="#_x0000_t202" style="position:absolute;margin-left:-13.2pt;margin-top:24.2pt;width:399pt;height:209.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tlHAIAADQ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" filled="f" stroked="f" strokeweight=".5pt">
                <v:textbox>
                  <w:txbxContent>
                    <w:p w14:paraId="79338546" w14:textId="6D590611" w:rsidR="007044FE" w:rsidRPr="00672E0F" w:rsidRDefault="007044FE" w:rsidP="007044FE">
                      <w:pPr>
                        <w:rPr>
                          <w:rFonts w:ascii="Arial" w:hAnsi="Arial" w:cs="Arial"/>
                          <w:sz w:val="16"/>
                          <w:szCs w:val="16"/>
                        </w:rPr>
                      </w:pPr>
                    </w:p>
                    <w:p w14:paraId="49DF5BA8" w14:textId="77777777" w:rsidR="00DD5E90" w:rsidRDefault="00DD5E90" w:rsidP="003640D4">
                      <w:pPr>
                        <w:spacing w:line="240" w:lineRule="auto"/>
                        <w:jc w:val="center"/>
                        <w:rPr>
                          <w:rFonts w:ascii="Comic Sans MS" w:hAnsi="Comic Sans MS"/>
                          <w:sz w:val="24"/>
                          <w:szCs w:val="24"/>
                        </w:rPr>
                      </w:pPr>
                    </w:p>
                    <w:p w14:paraId="251B9040" w14:textId="448B24AE" w:rsidR="00167A19" w:rsidRPr="0034295C" w:rsidRDefault="002E0625" w:rsidP="003640D4">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31</w:t>
                      </w:r>
                      <w:r w:rsidR="005B390F">
                        <w:rPr>
                          <w:rFonts w:ascii="Amasis MT Pro Black" w:hAnsi="Amasis MT Pro Black"/>
                          <w:color w:val="215E99" w:themeColor="text2" w:themeTint="BF"/>
                          <w:sz w:val="32"/>
                          <w:szCs w:val="32"/>
                        </w:rPr>
                        <w:t>st</w:t>
                      </w:r>
                      <w:r w:rsidR="00167A19" w:rsidRPr="0034295C">
                        <w:rPr>
                          <w:rFonts w:ascii="Amasis MT Pro Black" w:hAnsi="Amasis MT Pro Black"/>
                          <w:color w:val="215E99" w:themeColor="text2" w:themeTint="BF"/>
                          <w:sz w:val="32"/>
                          <w:szCs w:val="32"/>
                        </w:rPr>
                        <w:t xml:space="preserve"> </w:t>
                      </w:r>
                      <w:r w:rsidR="005B390F">
                        <w:rPr>
                          <w:rFonts w:ascii="Amasis MT Pro Black" w:hAnsi="Amasis MT Pro Black"/>
                          <w:color w:val="215E99" w:themeColor="text2" w:themeTint="BF"/>
                          <w:sz w:val="32"/>
                          <w:szCs w:val="32"/>
                        </w:rPr>
                        <w:t>July</w:t>
                      </w:r>
                      <w:r w:rsidR="0034083B">
                        <w:rPr>
                          <w:rFonts w:ascii="Amasis MT Pro Black" w:hAnsi="Amasis MT Pro Black"/>
                          <w:color w:val="215E99" w:themeColor="text2" w:themeTint="BF"/>
                          <w:sz w:val="32"/>
                          <w:szCs w:val="32"/>
                        </w:rPr>
                        <w:t xml:space="preserve"> </w:t>
                      </w:r>
                      <w:r w:rsidR="00167A19" w:rsidRPr="0034295C">
                        <w:rPr>
                          <w:rFonts w:ascii="Amasis MT Pro Black" w:hAnsi="Amasis MT Pro Black"/>
                          <w:color w:val="215E99" w:themeColor="text2" w:themeTint="BF"/>
                          <w:sz w:val="32"/>
                          <w:szCs w:val="32"/>
                        </w:rPr>
                        <w:t>202</w:t>
                      </w:r>
                      <w:r w:rsidR="0034083B">
                        <w:rPr>
                          <w:rFonts w:ascii="Amasis MT Pro Black" w:hAnsi="Amasis MT Pro Black"/>
                          <w:color w:val="215E99" w:themeColor="text2" w:themeTint="BF"/>
                          <w:sz w:val="32"/>
                          <w:szCs w:val="32"/>
                        </w:rPr>
                        <w:t>6</w:t>
                      </w:r>
                    </w:p>
                    <w:p w14:paraId="6185F384" w14:textId="24DE10C9" w:rsidR="00DA7382" w:rsidRPr="0034295C" w:rsidRDefault="00DA7382" w:rsidP="003640D4">
                      <w:pPr>
                        <w:spacing w:line="240" w:lineRule="auto"/>
                        <w:jc w:val="center"/>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Word count </w:t>
                      </w:r>
                      <w:r w:rsidR="002A78BA">
                        <w:rPr>
                          <w:rFonts w:ascii="Amasis MT Pro Black" w:hAnsi="Amasis MT Pro Black"/>
                          <w:color w:val="215E99" w:themeColor="text2" w:themeTint="BF"/>
                          <w:sz w:val="32"/>
                          <w:szCs w:val="32"/>
                        </w:rPr>
                        <w:t xml:space="preserve">– </w:t>
                      </w:r>
                      <w:r w:rsidR="005B390F">
                        <w:rPr>
                          <w:rFonts w:ascii="Amasis MT Pro Black" w:hAnsi="Amasis MT Pro Black"/>
                          <w:color w:val="215E99" w:themeColor="text2" w:themeTint="BF"/>
                          <w:sz w:val="32"/>
                          <w:szCs w:val="32"/>
                        </w:rPr>
                        <w:t>2</w:t>
                      </w:r>
                      <w:r w:rsidR="00767D39">
                        <w:rPr>
                          <w:rFonts w:ascii="Amasis MT Pro Black" w:hAnsi="Amasis MT Pro Black"/>
                          <w:color w:val="215E99" w:themeColor="text2" w:themeTint="BF"/>
                          <w:sz w:val="32"/>
                          <w:szCs w:val="32"/>
                        </w:rPr>
                        <w:t>5</w:t>
                      </w:r>
                      <w:r w:rsidR="00E340D3">
                        <w:rPr>
                          <w:rFonts w:ascii="Amasis MT Pro Black" w:hAnsi="Amasis MT Pro Black"/>
                          <w:color w:val="215E99" w:themeColor="text2" w:themeTint="BF"/>
                          <w:sz w:val="32"/>
                          <w:szCs w:val="32"/>
                        </w:rPr>
                        <w:t>00</w:t>
                      </w:r>
                    </w:p>
                    <w:p w14:paraId="643D4CCA" w14:textId="4C2F9683" w:rsidR="00DA7382" w:rsidRPr="0034295C" w:rsidRDefault="003640D4" w:rsidP="003640D4">
                      <w:pPr>
                        <w:spacing w:line="240" w:lineRule="auto"/>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                                         </w:t>
                      </w:r>
                      <w:r w:rsidR="00DA7382" w:rsidRPr="0034295C">
                        <w:rPr>
                          <w:rFonts w:ascii="Amasis MT Pro Black" w:hAnsi="Amasis MT Pro Black"/>
                          <w:color w:val="215E99" w:themeColor="text2" w:themeTint="BF"/>
                          <w:sz w:val="32"/>
                          <w:szCs w:val="32"/>
                        </w:rPr>
                        <w:t>Ima David</w:t>
                      </w:r>
                      <w:r w:rsidR="00122DDD" w:rsidRPr="0034295C">
                        <w:rPr>
                          <w:rFonts w:ascii="Amasis MT Pro Black" w:hAnsi="Amasis MT Pro Black"/>
                          <w:color w:val="215E99" w:themeColor="text2" w:themeTint="BF"/>
                          <w:sz w:val="32"/>
                          <w:szCs w:val="32"/>
                        </w:rPr>
                        <w:t xml:space="preserve"> - 2321435</w:t>
                      </w:r>
                    </w:p>
                  </w:txbxContent>
                </v:textbox>
                <w10:wrap anchorx="margin"/>
              </v:shape>
            </w:pict>
          </mc:Fallback>
        </mc:AlternateContent>
      </w:r>
    </w:p>
    <w:p w14:paraId="13C9E015" w14:textId="7398CAC4" w:rsidR="002A52F0" w:rsidRDefault="002A52F0" w:rsidP="003D0D2E"/>
    <w:p w14:paraId="0161CA86" w14:textId="7073DCDD" w:rsidR="002A52F0" w:rsidRDefault="002A52F0" w:rsidP="003D0D2E"/>
    <w:p w14:paraId="50673FC8" w14:textId="250A368F" w:rsidR="002A52F0" w:rsidRDefault="002A52F0" w:rsidP="003D0D2E"/>
    <w:p w14:paraId="33B0A534" w14:textId="59556535" w:rsidR="002A52F0" w:rsidRDefault="002A52F0" w:rsidP="003D0D2E"/>
    <w:p w14:paraId="1ABCCD0B" w14:textId="32456267" w:rsidR="002A52F0" w:rsidRDefault="002A52F0" w:rsidP="003D0D2E"/>
    <w:p w14:paraId="64E7C037" w14:textId="77777777" w:rsidR="002A52F0" w:rsidRDefault="002A52F0" w:rsidP="003D0D2E"/>
    <w:p w14:paraId="5049D561" w14:textId="5152E3A3" w:rsidR="002A52F0" w:rsidRDefault="002A52F0" w:rsidP="00AC0ED8"/>
    <w:sdt>
      <w:sdtPr>
        <w:rPr>
          <w:rFonts w:asciiTheme="minorHAnsi" w:eastAsiaTheme="minorHAnsi" w:hAnsiTheme="minorHAnsi" w:cstheme="minorBidi"/>
          <w:color w:val="auto"/>
          <w:kern w:val="2"/>
          <w:sz w:val="22"/>
          <w:szCs w:val="22"/>
          <w:lang w:eastAsia="en-US"/>
          <w14:ligatures w14:val="standardContextual"/>
        </w:rPr>
        <w:id w:val="1712078135"/>
        <w:docPartObj>
          <w:docPartGallery w:val="Table of Contents"/>
          <w:docPartUnique/>
        </w:docPartObj>
      </w:sdtPr>
      <w:sdtEndPr>
        <w:rPr>
          <w:lang w:eastAsia="en-GB"/>
        </w:rPr>
      </w:sdtEndPr>
      <w:sdtContent>
        <w:p w14:paraId="184E8EB9" w14:textId="7F2113EE" w:rsidR="000C1476" w:rsidRDefault="000C1476">
          <w:pPr>
            <w:pStyle w:val="TOCHeading"/>
          </w:pPr>
          <w:r>
            <w:t>Contents</w:t>
          </w:r>
        </w:p>
        <w:p w14:paraId="40400C21" w14:textId="77777777" w:rsidR="00AD7955" w:rsidRDefault="00AD7955" w:rsidP="00AD7955">
          <w:pPr>
            <w:rPr>
              <w:lang w:eastAsia="en-GB"/>
            </w:rPr>
          </w:pPr>
        </w:p>
        <w:p w14:paraId="4D212D0D" w14:textId="1794F3C3" w:rsidR="00AD7955" w:rsidRDefault="0037179E" w:rsidP="00AD7955">
          <w:pPr>
            <w:rPr>
              <w:lang w:eastAsia="en-GB"/>
            </w:rPr>
          </w:pPr>
        </w:p>
      </w:sdtContent>
    </w:sdt>
    <w:p w14:paraId="3B5E3086" w14:textId="77777777" w:rsidR="00C718A8" w:rsidRDefault="00C718A8" w:rsidP="00511088">
      <w:pPr>
        <w:jc w:val="center"/>
        <w:rPr>
          <w:rFonts w:ascii="Comic Sans MS" w:hAnsi="Comic Sans MS"/>
          <w:sz w:val="28"/>
          <w:szCs w:val="28"/>
          <w:lang w:eastAsia="en-GB"/>
        </w:rPr>
      </w:pPr>
    </w:p>
    <w:p w14:paraId="30C0238B" w14:textId="1BFA6925" w:rsidR="00B95386" w:rsidRPr="00A85C0F" w:rsidRDefault="0066579F" w:rsidP="00A85C0F">
      <w:pPr>
        <w:rPr>
          <w:rFonts w:ascii="Arial" w:hAnsi="Arial" w:cs="Arial"/>
          <w:b/>
          <w:bCs/>
          <w:sz w:val="32"/>
          <w:szCs w:val="32"/>
        </w:rPr>
      </w:pPr>
      <w:r w:rsidRPr="00A85C0F">
        <w:rPr>
          <w:rFonts w:ascii="Arial" w:hAnsi="Arial" w:cs="Arial"/>
          <w:b/>
          <w:bCs/>
          <w:sz w:val="32"/>
          <w:szCs w:val="32"/>
        </w:rPr>
        <w:t>Table of Contents</w:t>
      </w:r>
    </w:p>
    <w:p w14:paraId="2F811818" w14:textId="77777777" w:rsidR="00B95386" w:rsidRPr="009713A1" w:rsidRDefault="00B95386" w:rsidP="00511088">
      <w:pPr>
        <w:jc w:val="center"/>
        <w:rPr>
          <w:rFonts w:ascii="Arial" w:hAnsi="Arial" w:cs="Arial"/>
          <w:b/>
          <w:bCs/>
          <w:sz w:val="24"/>
          <w:szCs w:val="24"/>
        </w:rPr>
      </w:pPr>
    </w:p>
    <w:p w14:paraId="4E5E84A9" w14:textId="2B209651" w:rsidR="006141EB" w:rsidRPr="009713A1" w:rsidRDefault="006141EB">
      <w:pPr>
        <w:pStyle w:val="TOC1"/>
        <w:tabs>
          <w:tab w:val="right" w:leader="dot" w:pos="9016"/>
        </w:tabs>
        <w:rPr>
          <w:rFonts w:ascii="Arial" w:hAnsi="Arial" w:cs="Arial"/>
          <w:b/>
          <w:bCs/>
          <w:noProof/>
          <w:kern w:val="2"/>
          <w:sz w:val="24"/>
          <w:szCs w:val="24"/>
          <w14:ligatures w14:val="standardContextual"/>
        </w:rPr>
      </w:pPr>
      <w:r w:rsidRPr="009713A1">
        <w:rPr>
          <w:rFonts w:ascii="Arial" w:hAnsi="Arial" w:cs="Arial"/>
          <w:b/>
          <w:bCs/>
          <w:sz w:val="24"/>
          <w:szCs w:val="24"/>
        </w:rPr>
        <w:fldChar w:fldCharType="begin"/>
      </w:r>
      <w:r w:rsidRPr="009713A1">
        <w:rPr>
          <w:rFonts w:ascii="Arial" w:hAnsi="Arial" w:cs="Arial"/>
          <w:b/>
          <w:bCs/>
          <w:sz w:val="24"/>
          <w:szCs w:val="24"/>
        </w:rPr>
        <w:instrText xml:space="preserve"> TOC \o "1-7" \h \z \u </w:instrText>
      </w:r>
      <w:r w:rsidRPr="009713A1">
        <w:rPr>
          <w:rFonts w:ascii="Arial" w:hAnsi="Arial" w:cs="Arial"/>
          <w:b/>
          <w:bCs/>
          <w:sz w:val="24"/>
          <w:szCs w:val="24"/>
        </w:rPr>
        <w:fldChar w:fldCharType="separate"/>
      </w:r>
      <w:hyperlink w:anchor="_Toc234264149" w:history="1">
        <w:r w:rsidRPr="009713A1">
          <w:rPr>
            <w:rStyle w:val="Hyperlink"/>
            <w:rFonts w:ascii="Arial" w:hAnsi="Arial" w:cs="Arial"/>
            <w:b/>
            <w:bCs/>
            <w:noProof/>
            <w:sz w:val="24"/>
            <w:szCs w:val="24"/>
          </w:rPr>
          <w:t>Introduction</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_Toc234264149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3</w:t>
        </w:r>
        <w:r w:rsidRPr="009713A1">
          <w:rPr>
            <w:rFonts w:ascii="Arial" w:hAnsi="Arial" w:cs="Arial"/>
            <w:b/>
            <w:bCs/>
            <w:noProof/>
            <w:webHidden/>
            <w:sz w:val="24"/>
            <w:szCs w:val="24"/>
          </w:rPr>
          <w:fldChar w:fldCharType="end"/>
        </w:r>
      </w:hyperlink>
    </w:p>
    <w:p w14:paraId="1B1416E5" w14:textId="7C7D3A5A" w:rsidR="006141EB" w:rsidRPr="009713A1" w:rsidRDefault="006141EB">
      <w:pPr>
        <w:pStyle w:val="TOC1"/>
        <w:tabs>
          <w:tab w:val="right" w:leader="dot" w:pos="9016"/>
        </w:tabs>
        <w:rPr>
          <w:rFonts w:ascii="Arial" w:hAnsi="Arial" w:cs="Arial"/>
          <w:b/>
          <w:bCs/>
          <w:noProof/>
          <w:kern w:val="2"/>
          <w:sz w:val="24"/>
          <w:szCs w:val="24"/>
          <w14:ligatures w14:val="standardContextual"/>
        </w:rPr>
      </w:pPr>
      <w:hyperlink w:anchor="_Toc234264150" w:history="1">
        <w:r w:rsidRPr="009713A1">
          <w:rPr>
            <w:rStyle w:val="Hyperlink"/>
            <w:rFonts w:ascii="Arial" w:hAnsi="Arial" w:cs="Arial"/>
            <w:b/>
            <w:bCs/>
            <w:noProof/>
            <w:sz w:val="24"/>
            <w:szCs w:val="24"/>
          </w:rPr>
          <w:t>Task 1.1 OLTP vs. Data Warehouse</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_Toc234264150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3</w:t>
        </w:r>
        <w:r w:rsidRPr="009713A1">
          <w:rPr>
            <w:rFonts w:ascii="Arial" w:hAnsi="Arial" w:cs="Arial"/>
            <w:b/>
            <w:bCs/>
            <w:noProof/>
            <w:webHidden/>
            <w:sz w:val="24"/>
            <w:szCs w:val="24"/>
          </w:rPr>
          <w:fldChar w:fldCharType="end"/>
        </w:r>
      </w:hyperlink>
    </w:p>
    <w:p w14:paraId="6CBF1E50" w14:textId="58893440" w:rsidR="006141EB" w:rsidRPr="009713A1" w:rsidRDefault="006141EB">
      <w:pPr>
        <w:pStyle w:val="TOC2"/>
        <w:tabs>
          <w:tab w:val="right" w:leader="dot" w:pos="9016"/>
        </w:tabs>
        <w:rPr>
          <w:rFonts w:ascii="Arial" w:hAnsi="Arial" w:cs="Arial"/>
          <w:b/>
          <w:bCs/>
          <w:noProof/>
          <w:kern w:val="2"/>
          <w:sz w:val="24"/>
          <w:szCs w:val="24"/>
          <w14:ligatures w14:val="standardContextual"/>
        </w:rPr>
      </w:pPr>
      <w:hyperlink w:anchor="_Toc234264151" w:history="1">
        <w:r w:rsidRPr="009713A1">
          <w:rPr>
            <w:rStyle w:val="Hyperlink"/>
            <w:rFonts w:ascii="Arial" w:hAnsi="Arial" w:cs="Arial"/>
            <w:b/>
            <w:bCs/>
            <w:noProof/>
            <w:sz w:val="24"/>
            <w:szCs w:val="24"/>
          </w:rPr>
          <w:t>1.2 Data Warehouse Architecture &amp; ETL</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_Toc234264151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6</w:t>
        </w:r>
        <w:r w:rsidRPr="009713A1">
          <w:rPr>
            <w:rFonts w:ascii="Arial" w:hAnsi="Arial" w:cs="Arial"/>
            <w:b/>
            <w:bCs/>
            <w:noProof/>
            <w:webHidden/>
            <w:sz w:val="24"/>
            <w:szCs w:val="24"/>
          </w:rPr>
          <w:fldChar w:fldCharType="end"/>
        </w:r>
      </w:hyperlink>
    </w:p>
    <w:p w14:paraId="7AFADC12" w14:textId="5F3CA5A4" w:rsidR="006141EB" w:rsidRPr="009713A1" w:rsidRDefault="00ED7A57" w:rsidP="00ED7A57">
      <w:pPr>
        <w:pStyle w:val="TOC3"/>
        <w:tabs>
          <w:tab w:val="right" w:leader="dot" w:pos="9016"/>
        </w:tabs>
        <w:ind w:left="0"/>
        <w:rPr>
          <w:rFonts w:ascii="Arial" w:hAnsi="Arial" w:cs="Arial"/>
          <w:b/>
          <w:bCs/>
          <w:noProof/>
          <w:kern w:val="2"/>
          <w:sz w:val="24"/>
          <w:szCs w:val="24"/>
          <w14:ligatures w14:val="standardContextual"/>
        </w:rPr>
      </w:pPr>
      <w:r>
        <w:t xml:space="preserve">     </w:t>
      </w:r>
      <w:hyperlink w:anchor="_Toc234264152" w:history="1">
        <w:r w:rsidR="006141EB" w:rsidRPr="009713A1">
          <w:rPr>
            <w:rStyle w:val="Hyperlink"/>
            <w:rFonts w:ascii="Arial" w:hAnsi="Arial" w:cs="Arial"/>
            <w:b/>
            <w:bCs/>
            <w:noProof/>
            <w:sz w:val="24"/>
            <w:szCs w:val="24"/>
          </w:rPr>
          <w:t>1.3: Data Marts for Management Decision-Making</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_Toc234264152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10</w:t>
        </w:r>
        <w:r w:rsidR="006141EB" w:rsidRPr="009713A1">
          <w:rPr>
            <w:rFonts w:ascii="Arial" w:hAnsi="Arial" w:cs="Arial"/>
            <w:b/>
            <w:bCs/>
            <w:noProof/>
            <w:webHidden/>
            <w:sz w:val="24"/>
            <w:szCs w:val="24"/>
          </w:rPr>
          <w:fldChar w:fldCharType="end"/>
        </w:r>
      </w:hyperlink>
    </w:p>
    <w:p w14:paraId="04D985DE" w14:textId="61B43CF3" w:rsidR="006141EB" w:rsidRPr="009713A1" w:rsidRDefault="00EE14C4" w:rsidP="00EE14C4">
      <w:pPr>
        <w:pStyle w:val="TOC4"/>
        <w:tabs>
          <w:tab w:val="right" w:leader="dot" w:pos="9016"/>
        </w:tabs>
        <w:ind w:left="0"/>
        <w:rPr>
          <w:rFonts w:ascii="Arial" w:eastAsiaTheme="minorEastAsia" w:hAnsi="Arial" w:cs="Arial"/>
          <w:b/>
          <w:bCs/>
          <w:noProof/>
          <w:sz w:val="24"/>
          <w:szCs w:val="24"/>
          <w:lang w:eastAsia="en-GB"/>
        </w:rPr>
      </w:pPr>
      <w:r>
        <w:t xml:space="preserve">     </w:t>
      </w:r>
      <w:hyperlink w:anchor="_Toc234264153" w:history="1">
        <w:r w:rsidR="006141EB" w:rsidRPr="009713A1">
          <w:rPr>
            <w:rStyle w:val="Hyperlink"/>
            <w:rFonts w:ascii="Arial" w:hAnsi="Arial" w:cs="Arial"/>
            <w:b/>
            <w:bCs/>
            <w:noProof/>
            <w:sz w:val="24"/>
            <w:szCs w:val="24"/>
          </w:rPr>
          <w:t>1.4: OLTP Normalisation vs. Data Warehouse Dimensional Modelling</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_Toc234264153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12</w:t>
        </w:r>
        <w:r w:rsidR="006141EB" w:rsidRPr="009713A1">
          <w:rPr>
            <w:rFonts w:ascii="Arial" w:hAnsi="Arial" w:cs="Arial"/>
            <w:b/>
            <w:bCs/>
            <w:noProof/>
            <w:webHidden/>
            <w:sz w:val="24"/>
            <w:szCs w:val="24"/>
          </w:rPr>
          <w:fldChar w:fldCharType="end"/>
        </w:r>
      </w:hyperlink>
    </w:p>
    <w:p w14:paraId="27F15BB5" w14:textId="69EE359B" w:rsidR="006141EB" w:rsidRPr="009713A1" w:rsidRDefault="006141EB">
      <w:pPr>
        <w:pStyle w:val="TOC1"/>
        <w:tabs>
          <w:tab w:val="right" w:leader="dot" w:pos="9016"/>
        </w:tabs>
        <w:rPr>
          <w:rFonts w:ascii="Arial" w:hAnsi="Arial" w:cs="Arial"/>
          <w:b/>
          <w:bCs/>
          <w:noProof/>
          <w:kern w:val="2"/>
          <w:sz w:val="24"/>
          <w:szCs w:val="24"/>
          <w14:ligatures w14:val="standardContextual"/>
        </w:rPr>
      </w:pPr>
      <w:hyperlink w:anchor="_Toc234264154" w:history="1">
        <w:r w:rsidRPr="009713A1">
          <w:rPr>
            <w:rStyle w:val="Hyperlink"/>
            <w:rFonts w:ascii="Arial" w:hAnsi="Arial" w:cs="Arial"/>
            <w:b/>
            <w:bCs/>
            <w:noProof/>
            <w:sz w:val="24"/>
            <w:szCs w:val="24"/>
          </w:rPr>
          <w:t>Task 2.1: Source System Identification</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_Toc234264154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14</w:t>
        </w:r>
        <w:r w:rsidRPr="009713A1">
          <w:rPr>
            <w:rFonts w:ascii="Arial" w:hAnsi="Arial" w:cs="Arial"/>
            <w:b/>
            <w:bCs/>
            <w:noProof/>
            <w:webHidden/>
            <w:sz w:val="24"/>
            <w:szCs w:val="24"/>
          </w:rPr>
          <w:fldChar w:fldCharType="end"/>
        </w:r>
      </w:hyperlink>
    </w:p>
    <w:p w14:paraId="71580239" w14:textId="2525302D" w:rsidR="006141EB" w:rsidRPr="009713A1" w:rsidRDefault="00EE14C4">
      <w:pPr>
        <w:pStyle w:val="TOC2"/>
        <w:tabs>
          <w:tab w:val="right" w:leader="dot" w:pos="9016"/>
        </w:tabs>
        <w:rPr>
          <w:rFonts w:ascii="Arial" w:hAnsi="Arial" w:cs="Arial"/>
          <w:b/>
          <w:bCs/>
          <w:noProof/>
          <w:kern w:val="2"/>
          <w:sz w:val="24"/>
          <w:szCs w:val="24"/>
          <w14:ligatures w14:val="standardContextual"/>
        </w:rPr>
      </w:pPr>
      <w:r>
        <w:t xml:space="preserve"> </w:t>
      </w:r>
      <w:r w:rsidR="00B5636A">
        <w:t xml:space="preserve"> </w:t>
      </w:r>
      <w:hyperlink w:anchor="_Toc234264155" w:history="1">
        <w:r w:rsidR="006141EB" w:rsidRPr="009713A1">
          <w:rPr>
            <w:rStyle w:val="Hyperlink"/>
            <w:rFonts w:ascii="Arial" w:hAnsi="Arial" w:cs="Arial"/>
            <w:b/>
            <w:bCs/>
            <w:noProof/>
            <w:sz w:val="24"/>
            <w:szCs w:val="24"/>
          </w:rPr>
          <w:t>2.2: Star Schema Design</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_Toc234264155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14</w:t>
        </w:r>
        <w:r w:rsidR="006141EB" w:rsidRPr="009713A1">
          <w:rPr>
            <w:rFonts w:ascii="Arial" w:hAnsi="Arial" w:cs="Arial"/>
            <w:b/>
            <w:bCs/>
            <w:noProof/>
            <w:webHidden/>
            <w:sz w:val="24"/>
            <w:szCs w:val="24"/>
          </w:rPr>
          <w:fldChar w:fldCharType="end"/>
        </w:r>
      </w:hyperlink>
    </w:p>
    <w:p w14:paraId="585A2BE2" w14:textId="6B68C61A" w:rsidR="006141EB" w:rsidRPr="009713A1" w:rsidRDefault="00B5636A" w:rsidP="00B5636A">
      <w:pPr>
        <w:pStyle w:val="TOC3"/>
        <w:tabs>
          <w:tab w:val="right" w:leader="dot" w:pos="9016"/>
        </w:tabs>
        <w:ind w:left="0"/>
        <w:rPr>
          <w:rFonts w:ascii="Arial" w:hAnsi="Arial" w:cs="Arial"/>
          <w:b/>
          <w:bCs/>
          <w:noProof/>
          <w:kern w:val="2"/>
          <w:sz w:val="24"/>
          <w:szCs w:val="24"/>
          <w14:ligatures w14:val="standardContextual"/>
        </w:rPr>
      </w:pPr>
      <w:r>
        <w:t xml:space="preserve">       </w:t>
      </w:r>
      <w:hyperlink w:anchor="_Toc234264156" w:history="1">
        <w:r w:rsidR="006141EB" w:rsidRPr="009713A1">
          <w:rPr>
            <w:rStyle w:val="Hyperlink"/>
            <w:rFonts w:ascii="Arial" w:hAnsi="Arial" w:cs="Arial"/>
            <w:b/>
            <w:bCs/>
            <w:noProof/>
            <w:sz w:val="24"/>
            <w:szCs w:val="24"/>
          </w:rPr>
          <w:t>2.3: Data Marts and Schema</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_Toc234264156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17</w:t>
        </w:r>
        <w:r w:rsidR="006141EB" w:rsidRPr="009713A1">
          <w:rPr>
            <w:rFonts w:ascii="Arial" w:hAnsi="Arial" w:cs="Arial"/>
            <w:b/>
            <w:bCs/>
            <w:noProof/>
            <w:webHidden/>
            <w:sz w:val="24"/>
            <w:szCs w:val="24"/>
          </w:rPr>
          <w:fldChar w:fldCharType="end"/>
        </w:r>
      </w:hyperlink>
    </w:p>
    <w:p w14:paraId="16525B97" w14:textId="2057C53B" w:rsidR="006141EB" w:rsidRPr="009713A1" w:rsidRDefault="00B5636A" w:rsidP="00B5636A">
      <w:pPr>
        <w:pStyle w:val="TOC4"/>
        <w:tabs>
          <w:tab w:val="right" w:leader="dot" w:pos="9016"/>
        </w:tabs>
        <w:ind w:left="0"/>
        <w:rPr>
          <w:rFonts w:ascii="Arial" w:eastAsiaTheme="minorEastAsia" w:hAnsi="Arial" w:cs="Arial"/>
          <w:b/>
          <w:bCs/>
          <w:noProof/>
          <w:sz w:val="24"/>
          <w:szCs w:val="24"/>
          <w:lang w:eastAsia="en-GB"/>
        </w:rPr>
      </w:pPr>
      <w:r>
        <w:t xml:space="preserve">       </w:t>
      </w:r>
      <w:hyperlink w:anchor="_Toc234264157" w:history="1">
        <w:r w:rsidR="006141EB" w:rsidRPr="009713A1">
          <w:rPr>
            <w:rStyle w:val="Hyperlink"/>
            <w:rFonts w:ascii="Arial" w:hAnsi="Arial" w:cs="Arial"/>
            <w:b/>
            <w:bCs/>
            <w:noProof/>
            <w:sz w:val="24"/>
            <w:szCs w:val="24"/>
          </w:rPr>
          <w:t>2.4: ETL Plan</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_Toc234264157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20</w:t>
        </w:r>
        <w:r w:rsidR="006141EB" w:rsidRPr="009713A1">
          <w:rPr>
            <w:rFonts w:ascii="Arial" w:hAnsi="Arial" w:cs="Arial"/>
            <w:b/>
            <w:bCs/>
            <w:noProof/>
            <w:webHidden/>
            <w:sz w:val="24"/>
            <w:szCs w:val="24"/>
          </w:rPr>
          <w:fldChar w:fldCharType="end"/>
        </w:r>
      </w:hyperlink>
    </w:p>
    <w:p w14:paraId="70906534" w14:textId="4D562E2C" w:rsidR="006141EB" w:rsidRPr="009713A1" w:rsidRDefault="00303DAF" w:rsidP="00303DAF">
      <w:pPr>
        <w:pStyle w:val="TOC5"/>
        <w:tabs>
          <w:tab w:val="right" w:leader="dot" w:pos="9016"/>
        </w:tabs>
        <w:ind w:left="0"/>
        <w:rPr>
          <w:rFonts w:ascii="Arial" w:eastAsiaTheme="minorEastAsia" w:hAnsi="Arial" w:cs="Arial"/>
          <w:b/>
          <w:bCs/>
          <w:noProof/>
          <w:sz w:val="24"/>
          <w:szCs w:val="24"/>
          <w:lang w:eastAsia="en-GB"/>
        </w:rPr>
      </w:pPr>
      <w:r>
        <w:t xml:space="preserve">       </w:t>
      </w:r>
      <w:hyperlink w:anchor="_Toc234264158" w:history="1">
        <w:r w:rsidR="006141EB" w:rsidRPr="009713A1">
          <w:rPr>
            <w:rStyle w:val="Hyperlink"/>
            <w:rFonts w:ascii="Arial" w:hAnsi="Arial" w:cs="Arial"/>
            <w:b/>
            <w:bCs/>
            <w:noProof/>
            <w:sz w:val="24"/>
            <w:szCs w:val="24"/>
          </w:rPr>
          <w:t>2.5: Data Quality &amp; Governance</w:t>
        </w:r>
        <w:r w:rsidR="006141EB" w:rsidRPr="009713A1">
          <w:rPr>
            <w:rFonts w:ascii="Arial" w:hAnsi="Arial" w:cs="Arial"/>
            <w:b/>
            <w:bCs/>
            <w:noProof/>
            <w:webHidden/>
            <w:sz w:val="24"/>
            <w:szCs w:val="24"/>
          </w:rPr>
          <w:tab/>
        </w:r>
        <w:r w:rsidR="006141EB" w:rsidRPr="009713A1">
          <w:rPr>
            <w:rFonts w:ascii="Arial" w:hAnsi="Arial" w:cs="Arial"/>
            <w:b/>
            <w:bCs/>
            <w:noProof/>
            <w:webHidden/>
            <w:sz w:val="24"/>
            <w:szCs w:val="24"/>
          </w:rPr>
          <w:fldChar w:fldCharType="begin"/>
        </w:r>
        <w:r w:rsidR="006141EB" w:rsidRPr="009713A1">
          <w:rPr>
            <w:rFonts w:ascii="Arial" w:hAnsi="Arial" w:cs="Arial"/>
            <w:b/>
            <w:bCs/>
            <w:noProof/>
            <w:webHidden/>
            <w:sz w:val="24"/>
            <w:szCs w:val="24"/>
          </w:rPr>
          <w:instrText xml:space="preserve"> PAGEREF _Toc234264158 \h </w:instrText>
        </w:r>
        <w:r w:rsidR="006141EB" w:rsidRPr="009713A1">
          <w:rPr>
            <w:rFonts w:ascii="Arial" w:hAnsi="Arial" w:cs="Arial"/>
            <w:b/>
            <w:bCs/>
            <w:noProof/>
            <w:webHidden/>
            <w:sz w:val="24"/>
            <w:szCs w:val="24"/>
          </w:rPr>
        </w:r>
        <w:r w:rsidR="006141EB" w:rsidRPr="009713A1">
          <w:rPr>
            <w:rFonts w:ascii="Arial" w:hAnsi="Arial" w:cs="Arial"/>
            <w:b/>
            <w:bCs/>
            <w:noProof/>
            <w:webHidden/>
            <w:sz w:val="24"/>
            <w:szCs w:val="24"/>
          </w:rPr>
          <w:fldChar w:fldCharType="separate"/>
        </w:r>
        <w:r w:rsidR="006141EB" w:rsidRPr="009713A1">
          <w:rPr>
            <w:rFonts w:ascii="Arial" w:hAnsi="Arial" w:cs="Arial"/>
            <w:b/>
            <w:bCs/>
            <w:noProof/>
            <w:webHidden/>
            <w:sz w:val="24"/>
            <w:szCs w:val="24"/>
          </w:rPr>
          <w:t>21</w:t>
        </w:r>
        <w:r w:rsidR="006141EB" w:rsidRPr="009713A1">
          <w:rPr>
            <w:rFonts w:ascii="Arial" w:hAnsi="Arial" w:cs="Arial"/>
            <w:b/>
            <w:bCs/>
            <w:noProof/>
            <w:webHidden/>
            <w:sz w:val="24"/>
            <w:szCs w:val="24"/>
          </w:rPr>
          <w:fldChar w:fldCharType="end"/>
        </w:r>
      </w:hyperlink>
    </w:p>
    <w:p w14:paraId="6E876251" w14:textId="64470448" w:rsidR="006141EB" w:rsidRPr="009713A1" w:rsidRDefault="006141EB">
      <w:pPr>
        <w:pStyle w:val="TOC1"/>
        <w:tabs>
          <w:tab w:val="right" w:leader="dot" w:pos="9016"/>
        </w:tabs>
        <w:rPr>
          <w:rFonts w:ascii="Arial" w:hAnsi="Arial" w:cs="Arial"/>
          <w:b/>
          <w:bCs/>
          <w:noProof/>
          <w:kern w:val="2"/>
          <w:sz w:val="24"/>
          <w:szCs w:val="24"/>
          <w14:ligatures w14:val="standardContextual"/>
        </w:rPr>
      </w:pPr>
      <w:hyperlink w:anchor="_Toc234264159" w:history="1">
        <w:r w:rsidRPr="009713A1">
          <w:rPr>
            <w:rStyle w:val="Hyperlink"/>
            <w:rFonts w:ascii="Arial" w:hAnsi="Arial" w:cs="Arial"/>
            <w:b/>
            <w:bCs/>
            <w:noProof/>
            <w:sz w:val="24"/>
            <w:szCs w:val="24"/>
          </w:rPr>
          <w:t>Conclusion</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_Toc234264159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21</w:t>
        </w:r>
        <w:r w:rsidRPr="009713A1">
          <w:rPr>
            <w:rFonts w:ascii="Arial" w:hAnsi="Arial" w:cs="Arial"/>
            <w:b/>
            <w:bCs/>
            <w:noProof/>
            <w:webHidden/>
            <w:sz w:val="24"/>
            <w:szCs w:val="24"/>
          </w:rPr>
          <w:fldChar w:fldCharType="end"/>
        </w:r>
      </w:hyperlink>
    </w:p>
    <w:p w14:paraId="5AD3A2F4" w14:textId="200F657E" w:rsidR="006141EB" w:rsidRPr="009713A1" w:rsidRDefault="006141EB">
      <w:pPr>
        <w:pStyle w:val="TOC1"/>
        <w:tabs>
          <w:tab w:val="right" w:leader="dot" w:pos="9016"/>
        </w:tabs>
        <w:rPr>
          <w:rFonts w:ascii="Arial" w:hAnsi="Arial" w:cs="Arial"/>
          <w:b/>
          <w:bCs/>
          <w:noProof/>
          <w:kern w:val="2"/>
          <w:sz w:val="24"/>
          <w:szCs w:val="24"/>
          <w14:ligatures w14:val="standardContextual"/>
        </w:rPr>
      </w:pPr>
      <w:hyperlink w:anchor="_Toc234264160" w:history="1">
        <w:r w:rsidRPr="009713A1">
          <w:rPr>
            <w:rStyle w:val="Hyperlink"/>
            <w:rFonts w:ascii="Arial" w:hAnsi="Arial" w:cs="Arial"/>
            <w:b/>
            <w:bCs/>
            <w:noProof/>
            <w:sz w:val="24"/>
            <w:szCs w:val="24"/>
          </w:rPr>
          <w:t>References</w:t>
        </w:r>
        <w:r w:rsidRPr="009713A1">
          <w:rPr>
            <w:rFonts w:ascii="Arial" w:hAnsi="Arial" w:cs="Arial"/>
            <w:b/>
            <w:bCs/>
            <w:noProof/>
            <w:webHidden/>
            <w:sz w:val="24"/>
            <w:szCs w:val="24"/>
          </w:rPr>
          <w:tab/>
        </w:r>
        <w:r w:rsidRPr="009713A1">
          <w:rPr>
            <w:rFonts w:ascii="Arial" w:hAnsi="Arial" w:cs="Arial"/>
            <w:b/>
            <w:bCs/>
            <w:noProof/>
            <w:webHidden/>
            <w:sz w:val="24"/>
            <w:szCs w:val="24"/>
          </w:rPr>
          <w:fldChar w:fldCharType="begin"/>
        </w:r>
        <w:r w:rsidRPr="009713A1">
          <w:rPr>
            <w:rFonts w:ascii="Arial" w:hAnsi="Arial" w:cs="Arial"/>
            <w:b/>
            <w:bCs/>
            <w:noProof/>
            <w:webHidden/>
            <w:sz w:val="24"/>
            <w:szCs w:val="24"/>
          </w:rPr>
          <w:instrText xml:space="preserve"> PAGEREF _Toc234264160 \h </w:instrText>
        </w:r>
        <w:r w:rsidRPr="009713A1">
          <w:rPr>
            <w:rFonts w:ascii="Arial" w:hAnsi="Arial" w:cs="Arial"/>
            <w:b/>
            <w:bCs/>
            <w:noProof/>
            <w:webHidden/>
            <w:sz w:val="24"/>
            <w:szCs w:val="24"/>
          </w:rPr>
        </w:r>
        <w:r w:rsidRPr="009713A1">
          <w:rPr>
            <w:rFonts w:ascii="Arial" w:hAnsi="Arial" w:cs="Arial"/>
            <w:b/>
            <w:bCs/>
            <w:noProof/>
            <w:webHidden/>
            <w:sz w:val="24"/>
            <w:szCs w:val="24"/>
          </w:rPr>
          <w:fldChar w:fldCharType="separate"/>
        </w:r>
        <w:r w:rsidRPr="009713A1">
          <w:rPr>
            <w:rFonts w:ascii="Arial" w:hAnsi="Arial" w:cs="Arial"/>
            <w:b/>
            <w:bCs/>
            <w:noProof/>
            <w:webHidden/>
            <w:sz w:val="24"/>
            <w:szCs w:val="24"/>
          </w:rPr>
          <w:t>22</w:t>
        </w:r>
        <w:r w:rsidRPr="009713A1">
          <w:rPr>
            <w:rFonts w:ascii="Arial" w:hAnsi="Arial" w:cs="Arial"/>
            <w:b/>
            <w:bCs/>
            <w:noProof/>
            <w:webHidden/>
            <w:sz w:val="24"/>
            <w:szCs w:val="24"/>
          </w:rPr>
          <w:fldChar w:fldCharType="end"/>
        </w:r>
      </w:hyperlink>
    </w:p>
    <w:p w14:paraId="6232D79B" w14:textId="041F4947" w:rsidR="00B95386" w:rsidRPr="00A85C0F" w:rsidRDefault="006141EB" w:rsidP="00511088">
      <w:pPr>
        <w:jc w:val="center"/>
      </w:pPr>
      <w:r w:rsidRPr="009713A1">
        <w:rPr>
          <w:rFonts w:ascii="Arial" w:hAnsi="Arial" w:cs="Arial"/>
          <w:b/>
          <w:bCs/>
          <w:sz w:val="24"/>
          <w:szCs w:val="24"/>
        </w:rPr>
        <w:fldChar w:fldCharType="end"/>
      </w:r>
    </w:p>
    <w:p w14:paraId="5F3B85EC" w14:textId="77777777" w:rsidR="00B95386" w:rsidRDefault="00B95386" w:rsidP="00511088">
      <w:pPr>
        <w:jc w:val="center"/>
        <w:rPr>
          <w:b/>
          <w:bCs/>
        </w:rPr>
      </w:pPr>
    </w:p>
    <w:p w14:paraId="171BF14D" w14:textId="77777777" w:rsidR="00B95386" w:rsidRDefault="00B95386" w:rsidP="00511088">
      <w:pPr>
        <w:jc w:val="center"/>
        <w:rPr>
          <w:b/>
          <w:bCs/>
        </w:rPr>
      </w:pPr>
    </w:p>
    <w:p w14:paraId="202AF736" w14:textId="77777777" w:rsidR="00B95386" w:rsidRDefault="00B95386" w:rsidP="00511088">
      <w:pPr>
        <w:jc w:val="center"/>
        <w:rPr>
          <w:b/>
          <w:bCs/>
        </w:rPr>
      </w:pPr>
    </w:p>
    <w:p w14:paraId="4D553BAE" w14:textId="77777777" w:rsidR="00B95386" w:rsidRDefault="00B95386" w:rsidP="00511088">
      <w:pPr>
        <w:jc w:val="center"/>
        <w:rPr>
          <w:b/>
          <w:bCs/>
        </w:rPr>
      </w:pPr>
    </w:p>
    <w:p w14:paraId="69AA2715" w14:textId="77777777" w:rsidR="00B95386" w:rsidRDefault="00B95386" w:rsidP="00511088">
      <w:pPr>
        <w:jc w:val="center"/>
        <w:rPr>
          <w:b/>
          <w:bCs/>
        </w:rPr>
      </w:pPr>
    </w:p>
    <w:p w14:paraId="7FA1BE73" w14:textId="77777777" w:rsidR="00B95386" w:rsidRDefault="00B95386" w:rsidP="00511088">
      <w:pPr>
        <w:jc w:val="center"/>
        <w:rPr>
          <w:b/>
          <w:bCs/>
        </w:rPr>
      </w:pPr>
    </w:p>
    <w:p w14:paraId="550546B8" w14:textId="764D3AD5" w:rsidR="00B95386" w:rsidRDefault="00B95386" w:rsidP="00D650B9">
      <w:pPr>
        <w:rPr>
          <w:b/>
          <w:bCs/>
        </w:rPr>
      </w:pPr>
    </w:p>
    <w:p w14:paraId="5B2B80AA" w14:textId="0F381FCD" w:rsidR="00B95386" w:rsidRDefault="00B95386" w:rsidP="00511088">
      <w:pPr>
        <w:jc w:val="center"/>
        <w:rPr>
          <w:b/>
          <w:bCs/>
        </w:rPr>
      </w:pPr>
    </w:p>
    <w:p w14:paraId="10CA50F2" w14:textId="4D998716" w:rsidR="00511088" w:rsidRDefault="00511088" w:rsidP="00511088">
      <w:pPr>
        <w:jc w:val="center"/>
        <w:rPr>
          <w:b/>
          <w:bCs/>
        </w:rPr>
      </w:pPr>
    </w:p>
    <w:p w14:paraId="7BF13F13" w14:textId="15E048BC" w:rsidR="00511088" w:rsidRDefault="00A85E8F" w:rsidP="00511088">
      <w:pPr>
        <w:jc w:val="center"/>
        <w:rPr>
          <w:b/>
          <w:bCs/>
        </w:rPr>
      </w:pPr>
      <w:r>
        <w:rPr>
          <w:b/>
          <w:bCs/>
          <w:noProof/>
        </w:rPr>
        <mc:AlternateContent>
          <mc:Choice Requires="wps">
            <w:drawing>
              <wp:anchor distT="0" distB="0" distL="114300" distR="114300" simplePos="0" relativeHeight="251662848" behindDoc="0" locked="0" layoutInCell="1" allowOverlap="1" wp14:anchorId="48A7B66C" wp14:editId="12367776">
                <wp:simplePos x="0" y="0"/>
                <wp:positionH relativeFrom="column">
                  <wp:posOffset>2400300</wp:posOffset>
                </wp:positionH>
                <wp:positionV relativeFrom="paragraph">
                  <wp:posOffset>10160</wp:posOffset>
                </wp:positionV>
                <wp:extent cx="358140" cy="1158240"/>
                <wp:effectExtent l="19050" t="0" r="22860" b="41910"/>
                <wp:wrapNone/>
                <wp:docPr id="1355275471" name="Arrow: Down 15"/>
                <wp:cNvGraphicFramePr/>
                <a:graphic xmlns:a="http://schemas.openxmlformats.org/drawingml/2006/main">
                  <a:graphicData uri="http://schemas.microsoft.com/office/word/2010/wordprocessingShape">
                    <wps:wsp>
                      <wps:cNvSpPr/>
                      <wps:spPr>
                        <a:xfrm>
                          <a:off x="0" y="0"/>
                          <a:ext cx="358140" cy="11582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61AFC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189pt;margin-top:.8pt;width:28.2pt;height:91.2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" adj="18261" fillcolor="#156082 [3204]" strokecolor="#030e13 [484]" strokeweight="1pt"/>
            </w:pict>
          </mc:Fallback>
        </mc:AlternateContent>
      </w:r>
    </w:p>
    <w:p w14:paraId="372CC72D" w14:textId="209D6F14" w:rsidR="00511088" w:rsidRDefault="00511088" w:rsidP="00511088">
      <w:pPr>
        <w:jc w:val="center"/>
        <w:rPr>
          <w:b/>
          <w:bCs/>
        </w:rPr>
      </w:pPr>
    </w:p>
    <w:p w14:paraId="1B656636" w14:textId="44B7FE8F" w:rsidR="00B95386" w:rsidRDefault="00B95386" w:rsidP="00511088">
      <w:pPr>
        <w:jc w:val="center"/>
        <w:rPr>
          <w:b/>
          <w:bCs/>
        </w:rPr>
      </w:pPr>
    </w:p>
    <w:p w14:paraId="03883E6B" w14:textId="77777777" w:rsidR="00B95386" w:rsidRDefault="00B95386" w:rsidP="00511088">
      <w:pPr>
        <w:jc w:val="center"/>
        <w:rPr>
          <w:b/>
          <w:bCs/>
        </w:rPr>
      </w:pPr>
    </w:p>
    <w:p w14:paraId="53DE1CC6" w14:textId="77777777" w:rsidR="00B95386" w:rsidRDefault="00B95386" w:rsidP="00511088">
      <w:pPr>
        <w:jc w:val="center"/>
        <w:rPr>
          <w:b/>
          <w:bCs/>
        </w:rPr>
      </w:pPr>
    </w:p>
    <w:p w14:paraId="02B5355F" w14:textId="77777777" w:rsidR="00B95386" w:rsidRDefault="00B95386" w:rsidP="00511088">
      <w:pPr>
        <w:jc w:val="center"/>
        <w:rPr>
          <w:b/>
          <w:bCs/>
        </w:rPr>
      </w:pPr>
    </w:p>
    <w:p w14:paraId="64C3A3C4" w14:textId="77777777" w:rsidR="00B95386" w:rsidRDefault="00B95386" w:rsidP="00511088">
      <w:pPr>
        <w:jc w:val="center"/>
        <w:rPr>
          <w:b/>
          <w:bCs/>
        </w:rPr>
      </w:pPr>
    </w:p>
    <w:p w14:paraId="63259BC4" w14:textId="77777777" w:rsidR="00511088" w:rsidRDefault="00511088" w:rsidP="00682D90">
      <w:pPr>
        <w:pStyle w:val="Heading1"/>
      </w:pPr>
    </w:p>
    <w:p w14:paraId="7674A0AA" w14:textId="0E79D4E8" w:rsidR="00511088" w:rsidRPr="00D650B9" w:rsidRDefault="00511088" w:rsidP="00D650B9">
      <w:pPr>
        <w:rPr>
          <w:rFonts w:ascii="Comic Sans MS" w:hAnsi="Comic Sans MS"/>
          <w:b/>
          <w:bCs/>
          <w:color w:val="4C94D8" w:themeColor="text2" w:themeTint="80"/>
          <w:sz w:val="32"/>
          <w:szCs w:val="32"/>
        </w:rPr>
      </w:pPr>
      <w:bookmarkStart w:id="0" w:name="_Toc227174172"/>
      <w:bookmarkStart w:id="1" w:name="_Toc234264149"/>
      <w:r w:rsidRPr="00D650B9">
        <w:rPr>
          <w:rFonts w:ascii="Comic Sans MS" w:hAnsi="Comic Sans MS"/>
          <w:b/>
          <w:bCs/>
          <w:color w:val="4C94D8" w:themeColor="text2" w:themeTint="80"/>
          <w:sz w:val="32"/>
          <w:szCs w:val="32"/>
        </w:rPr>
        <w:t>Introduction</w:t>
      </w:r>
      <w:bookmarkEnd w:id="0"/>
      <w:bookmarkEnd w:id="1"/>
    </w:p>
    <w:p w14:paraId="31CA97FF" w14:textId="77777777" w:rsidR="00495B57" w:rsidRDefault="00495B57" w:rsidP="00495B57">
      <w:pPr>
        <w:jc w:val="both"/>
        <w:rPr>
          <w:rFonts w:ascii="Arial" w:hAnsi="Arial" w:cs="Arial"/>
          <w:sz w:val="24"/>
          <w:szCs w:val="24"/>
          <w:lang w:val="en-US"/>
        </w:rPr>
      </w:pPr>
      <w:r w:rsidRPr="000A0FE9">
        <w:rPr>
          <w:rFonts w:ascii="Arial" w:hAnsi="Arial" w:cs="Arial"/>
          <w:sz w:val="24"/>
          <w:szCs w:val="24"/>
          <w:lang w:val="en-US"/>
        </w:rPr>
        <w:t>NHS England relies on electronic patient records (EPR), patient administration systems (PAS), clinical applications, workforce platforms and financial systems. These systems support local services, but their separate formats make it difficult to obtain one reliable national view of waiting times, beds, staffing, cost and quality. The Data Saves Lives strategy identifies secure and effective use of health data as an important part of improving services and outcomes [1]. This report proposes an enterprise data warehouse (EDW) that integrates analytical copies of operational data without replacing or slowing frontline systems.</w:t>
      </w:r>
    </w:p>
    <w:p w14:paraId="1DCA2B1B" w14:textId="77777777" w:rsidR="00D61695" w:rsidRDefault="00D61695" w:rsidP="00495B57">
      <w:pPr>
        <w:jc w:val="both"/>
        <w:rPr>
          <w:rFonts w:ascii="Arial" w:hAnsi="Arial" w:cs="Arial"/>
          <w:sz w:val="24"/>
          <w:szCs w:val="24"/>
          <w:lang w:val="en-US"/>
        </w:rPr>
      </w:pPr>
    </w:p>
    <w:p w14:paraId="5F40EEB3" w14:textId="77777777" w:rsidR="00D61695" w:rsidRPr="009A5A03" w:rsidRDefault="00D61695" w:rsidP="00D61695">
      <w:pPr>
        <w:pStyle w:val="Heading1"/>
        <w:rPr>
          <w:rFonts w:ascii="Arial" w:hAnsi="Arial" w:cs="Arial"/>
          <w:b/>
          <w:bCs/>
          <w:color w:val="45B0E1" w:themeColor="accent1" w:themeTint="99"/>
          <w:sz w:val="28"/>
          <w:szCs w:val="28"/>
        </w:rPr>
      </w:pPr>
      <w:r w:rsidRPr="009A5A03">
        <w:rPr>
          <w:rFonts w:ascii="Arial" w:hAnsi="Arial" w:cs="Arial"/>
          <w:b/>
          <w:bCs/>
          <w:color w:val="45B0E1" w:themeColor="accent1" w:themeTint="99"/>
          <w:sz w:val="28"/>
          <w:szCs w:val="28"/>
        </w:rPr>
        <w:t>Task 1.1: OLTP vs. Data Warehouse</w:t>
      </w:r>
    </w:p>
    <w:p w14:paraId="5912361F"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Online Transaction Processing (OLTP) systems record current events. For example, PAS records an admission, an EPR updates a diagnosis and a workforce system records a shift. They process many short inserts and updates and normally use related, normalised tables to reduce duplication and protect transaction integrity. A data warehouse has a different purpose. Inmon defines it as subject-oriented, integrated, time-variant and non-volatile [2]. It brings consistent historical data together so managers can compare periods, organisations and care pathways. Dimensional modelling then makes measures such as waiting time, length of stay and cost easier to analyse [3].</w:t>
      </w:r>
    </w:p>
    <w:p w14:paraId="2AB32F16" w14:textId="77777777" w:rsidR="00D61695" w:rsidRPr="00F84CD8" w:rsidRDefault="00D61695" w:rsidP="00D61695">
      <w:pPr>
        <w:keepNext/>
        <w:spacing w:before="120" w:after="80"/>
        <w:rPr>
          <w:rFonts w:ascii="Arial" w:hAnsi="Arial" w:cs="Arial"/>
          <w:sz w:val="24"/>
          <w:szCs w:val="24"/>
        </w:rPr>
      </w:pPr>
      <w:r w:rsidRPr="00F84CD8">
        <w:rPr>
          <w:rFonts w:ascii="Arial" w:hAnsi="Arial" w:cs="Arial"/>
          <w:b/>
          <w:sz w:val="24"/>
          <w:szCs w:val="24"/>
        </w:rPr>
        <w:t>Table 1. Comparison of NHS OLTP systems and the proposed data warehouse</w:t>
      </w:r>
    </w:p>
    <w:tbl>
      <w:tblPr>
        <w:tblStyle w:val="TableGrid"/>
        <w:tblW w:w="9127" w:type="dxa"/>
        <w:jc w:val="center"/>
        <w:tblLayout w:type="fixed"/>
        <w:tblLook w:val="04A0" w:firstRow="1" w:lastRow="0" w:firstColumn="1" w:lastColumn="0" w:noHBand="0" w:noVBand="1"/>
      </w:tblPr>
      <w:tblGrid>
        <w:gridCol w:w="2636"/>
        <w:gridCol w:w="3032"/>
        <w:gridCol w:w="3459"/>
      </w:tblGrid>
      <w:tr w:rsidR="00D61695" w:rsidRPr="00F84CD8" w14:paraId="644E6F7B" w14:textId="77777777" w:rsidTr="00EC26A1">
        <w:trPr>
          <w:tblHeader/>
          <w:jc w:val="center"/>
        </w:trPr>
        <w:tc>
          <w:tcPr>
            <w:tcW w:w="1474" w:type="dxa"/>
            <w:shd w:val="clear" w:color="auto" w:fill="D9EAF7"/>
            <w:tcMar>
              <w:top w:w="90" w:type="dxa"/>
              <w:left w:w="120" w:type="dxa"/>
              <w:bottom w:w="90" w:type="dxa"/>
              <w:right w:w="120" w:type="dxa"/>
            </w:tcMar>
            <w:vAlign w:val="center"/>
          </w:tcPr>
          <w:p w14:paraId="37222114" w14:textId="77777777" w:rsidR="00D61695" w:rsidRPr="00F84CD8" w:rsidRDefault="00D61695" w:rsidP="00EC26A1">
            <w:pPr>
              <w:rPr>
                <w:rFonts w:ascii="Arial" w:hAnsi="Arial" w:cs="Arial"/>
                <w:sz w:val="24"/>
                <w:szCs w:val="24"/>
              </w:rPr>
            </w:pPr>
            <w:r w:rsidRPr="00F84CD8">
              <w:rPr>
                <w:rFonts w:ascii="Arial" w:hAnsi="Arial" w:cs="Arial"/>
                <w:b/>
                <w:sz w:val="24"/>
                <w:szCs w:val="24"/>
              </w:rPr>
              <w:t>Feature</w:t>
            </w:r>
          </w:p>
        </w:tc>
        <w:tc>
          <w:tcPr>
            <w:tcW w:w="3572" w:type="dxa"/>
            <w:shd w:val="clear" w:color="auto" w:fill="D9EAF7"/>
            <w:tcMar>
              <w:top w:w="90" w:type="dxa"/>
              <w:left w:w="120" w:type="dxa"/>
              <w:bottom w:w="90" w:type="dxa"/>
              <w:right w:w="120" w:type="dxa"/>
            </w:tcMar>
            <w:vAlign w:val="center"/>
          </w:tcPr>
          <w:p w14:paraId="335BDE0C" w14:textId="77777777" w:rsidR="00D61695" w:rsidRPr="00F84CD8" w:rsidRDefault="00D61695" w:rsidP="00EC26A1">
            <w:pPr>
              <w:rPr>
                <w:rFonts w:ascii="Arial" w:hAnsi="Arial" w:cs="Arial"/>
                <w:sz w:val="24"/>
                <w:szCs w:val="24"/>
              </w:rPr>
            </w:pPr>
            <w:r w:rsidRPr="00F84CD8">
              <w:rPr>
                <w:rFonts w:ascii="Arial" w:hAnsi="Arial" w:cs="Arial"/>
                <w:b/>
                <w:sz w:val="24"/>
                <w:szCs w:val="24"/>
              </w:rPr>
              <w:t>OLTP systems</w:t>
            </w:r>
          </w:p>
        </w:tc>
        <w:tc>
          <w:tcPr>
            <w:tcW w:w="4082" w:type="dxa"/>
            <w:shd w:val="clear" w:color="auto" w:fill="D9EAF7"/>
            <w:tcMar>
              <w:top w:w="90" w:type="dxa"/>
              <w:left w:w="120" w:type="dxa"/>
              <w:bottom w:w="90" w:type="dxa"/>
              <w:right w:w="120" w:type="dxa"/>
            </w:tcMar>
            <w:vAlign w:val="center"/>
          </w:tcPr>
          <w:p w14:paraId="66624DC5" w14:textId="77777777" w:rsidR="00D61695" w:rsidRPr="00F84CD8" w:rsidRDefault="00D61695" w:rsidP="00EC26A1">
            <w:pPr>
              <w:rPr>
                <w:rFonts w:ascii="Arial" w:hAnsi="Arial" w:cs="Arial"/>
                <w:sz w:val="24"/>
                <w:szCs w:val="24"/>
              </w:rPr>
            </w:pPr>
            <w:r w:rsidRPr="00F84CD8">
              <w:rPr>
                <w:rFonts w:ascii="Arial" w:hAnsi="Arial" w:cs="Arial"/>
                <w:b/>
                <w:sz w:val="24"/>
                <w:szCs w:val="24"/>
              </w:rPr>
              <w:t>Enterprise data warehouse</w:t>
            </w:r>
          </w:p>
        </w:tc>
      </w:tr>
      <w:tr w:rsidR="00D61695" w:rsidRPr="00F84CD8" w14:paraId="045F7142" w14:textId="77777777" w:rsidTr="00EC26A1">
        <w:trPr>
          <w:jc w:val="center"/>
        </w:trPr>
        <w:tc>
          <w:tcPr>
            <w:tcW w:w="3099" w:type="dxa"/>
          </w:tcPr>
          <w:p w14:paraId="3017B79F" w14:textId="77777777" w:rsidR="00D61695" w:rsidRPr="00F84CD8" w:rsidRDefault="00D61695" w:rsidP="00EC26A1">
            <w:pPr>
              <w:rPr>
                <w:rFonts w:ascii="Arial" w:hAnsi="Arial" w:cs="Arial"/>
                <w:sz w:val="24"/>
                <w:szCs w:val="24"/>
              </w:rPr>
            </w:pPr>
            <w:r w:rsidRPr="00F84CD8">
              <w:rPr>
                <w:rFonts w:ascii="Arial" w:hAnsi="Arial" w:cs="Arial"/>
                <w:sz w:val="24"/>
                <w:szCs w:val="24"/>
              </w:rPr>
              <w:t>Purpose</w:t>
            </w:r>
          </w:p>
        </w:tc>
        <w:tc>
          <w:tcPr>
            <w:tcW w:w="3099" w:type="dxa"/>
          </w:tcPr>
          <w:p w14:paraId="18EC24DB" w14:textId="77777777" w:rsidR="00D61695" w:rsidRPr="00F84CD8" w:rsidRDefault="00D61695" w:rsidP="00EC26A1">
            <w:pPr>
              <w:rPr>
                <w:rFonts w:ascii="Arial" w:hAnsi="Arial" w:cs="Arial"/>
                <w:sz w:val="24"/>
                <w:szCs w:val="24"/>
              </w:rPr>
            </w:pPr>
            <w:r w:rsidRPr="00F84CD8">
              <w:rPr>
                <w:rFonts w:ascii="Arial" w:hAnsi="Arial" w:cs="Arial"/>
                <w:sz w:val="24"/>
                <w:szCs w:val="24"/>
              </w:rPr>
              <w:t>Run daily patient, workforce and finance processes</w:t>
            </w:r>
          </w:p>
        </w:tc>
        <w:tc>
          <w:tcPr>
            <w:tcW w:w="3099" w:type="dxa"/>
          </w:tcPr>
          <w:p w14:paraId="364EB416" w14:textId="77777777" w:rsidR="00D61695" w:rsidRPr="00F84CD8" w:rsidRDefault="00D61695" w:rsidP="00EC26A1">
            <w:pPr>
              <w:rPr>
                <w:rFonts w:ascii="Arial" w:hAnsi="Arial" w:cs="Arial"/>
                <w:sz w:val="24"/>
                <w:szCs w:val="24"/>
              </w:rPr>
            </w:pPr>
            <w:r w:rsidRPr="00F84CD8">
              <w:rPr>
                <w:rFonts w:ascii="Arial" w:hAnsi="Arial" w:cs="Arial"/>
                <w:sz w:val="24"/>
                <w:szCs w:val="24"/>
              </w:rPr>
              <w:t>Support analysis, planning and performance management</w:t>
            </w:r>
          </w:p>
        </w:tc>
      </w:tr>
      <w:tr w:rsidR="00D61695" w:rsidRPr="00F84CD8" w14:paraId="41D49790" w14:textId="77777777" w:rsidTr="00EC26A1">
        <w:trPr>
          <w:jc w:val="center"/>
        </w:trPr>
        <w:tc>
          <w:tcPr>
            <w:tcW w:w="3099" w:type="dxa"/>
          </w:tcPr>
          <w:p w14:paraId="5C88AC78" w14:textId="77777777" w:rsidR="00D61695" w:rsidRPr="00F84CD8" w:rsidRDefault="00D61695" w:rsidP="00EC26A1">
            <w:pPr>
              <w:rPr>
                <w:rFonts w:ascii="Arial" w:hAnsi="Arial" w:cs="Arial"/>
                <w:sz w:val="24"/>
                <w:szCs w:val="24"/>
              </w:rPr>
            </w:pPr>
            <w:r w:rsidRPr="00F84CD8">
              <w:rPr>
                <w:rFonts w:ascii="Arial" w:hAnsi="Arial" w:cs="Arial"/>
                <w:sz w:val="24"/>
                <w:szCs w:val="24"/>
              </w:rPr>
              <w:t>Data</w:t>
            </w:r>
          </w:p>
        </w:tc>
        <w:tc>
          <w:tcPr>
            <w:tcW w:w="3099" w:type="dxa"/>
          </w:tcPr>
          <w:p w14:paraId="024D59FB" w14:textId="77777777" w:rsidR="00D61695" w:rsidRPr="00F84CD8" w:rsidRDefault="00D61695" w:rsidP="00EC26A1">
            <w:pPr>
              <w:rPr>
                <w:rFonts w:ascii="Arial" w:hAnsi="Arial" w:cs="Arial"/>
                <w:sz w:val="24"/>
                <w:szCs w:val="24"/>
              </w:rPr>
            </w:pPr>
            <w:r w:rsidRPr="00F84CD8">
              <w:rPr>
                <w:rFonts w:ascii="Arial" w:hAnsi="Arial" w:cs="Arial"/>
                <w:sz w:val="24"/>
                <w:szCs w:val="24"/>
              </w:rPr>
              <w:t>Current, detailed and application-specific</w:t>
            </w:r>
          </w:p>
        </w:tc>
        <w:tc>
          <w:tcPr>
            <w:tcW w:w="3099" w:type="dxa"/>
          </w:tcPr>
          <w:p w14:paraId="6C819240" w14:textId="77777777" w:rsidR="00D61695" w:rsidRPr="00F84CD8" w:rsidRDefault="00D61695" w:rsidP="00EC26A1">
            <w:pPr>
              <w:rPr>
                <w:rFonts w:ascii="Arial" w:hAnsi="Arial" w:cs="Arial"/>
                <w:sz w:val="24"/>
                <w:szCs w:val="24"/>
              </w:rPr>
            </w:pPr>
            <w:r w:rsidRPr="00F84CD8">
              <w:rPr>
                <w:rFonts w:ascii="Arial" w:hAnsi="Arial" w:cs="Arial"/>
                <w:sz w:val="24"/>
                <w:szCs w:val="24"/>
              </w:rPr>
              <w:t>Integrated, historical and subject-focused</w:t>
            </w:r>
          </w:p>
        </w:tc>
      </w:tr>
      <w:tr w:rsidR="00D61695" w:rsidRPr="00F84CD8" w14:paraId="3DF6EBF1" w14:textId="77777777" w:rsidTr="00EC26A1">
        <w:trPr>
          <w:jc w:val="center"/>
        </w:trPr>
        <w:tc>
          <w:tcPr>
            <w:tcW w:w="3099" w:type="dxa"/>
          </w:tcPr>
          <w:p w14:paraId="13C758E4" w14:textId="77777777" w:rsidR="00D61695" w:rsidRPr="00F84CD8" w:rsidRDefault="00D61695" w:rsidP="00EC26A1">
            <w:pPr>
              <w:rPr>
                <w:rFonts w:ascii="Arial" w:hAnsi="Arial" w:cs="Arial"/>
                <w:sz w:val="24"/>
                <w:szCs w:val="24"/>
              </w:rPr>
            </w:pPr>
            <w:r w:rsidRPr="00F84CD8">
              <w:rPr>
                <w:rFonts w:ascii="Arial" w:hAnsi="Arial" w:cs="Arial"/>
                <w:sz w:val="24"/>
                <w:szCs w:val="24"/>
              </w:rPr>
              <w:t>Workload</w:t>
            </w:r>
          </w:p>
        </w:tc>
        <w:tc>
          <w:tcPr>
            <w:tcW w:w="3099" w:type="dxa"/>
          </w:tcPr>
          <w:p w14:paraId="61A9D3AE" w14:textId="77777777" w:rsidR="00D61695" w:rsidRPr="00F84CD8" w:rsidRDefault="00D61695" w:rsidP="00EC26A1">
            <w:pPr>
              <w:rPr>
                <w:rFonts w:ascii="Arial" w:hAnsi="Arial" w:cs="Arial"/>
                <w:sz w:val="24"/>
                <w:szCs w:val="24"/>
              </w:rPr>
            </w:pPr>
            <w:r w:rsidRPr="00F84CD8">
              <w:rPr>
                <w:rFonts w:ascii="Arial" w:hAnsi="Arial" w:cs="Arial"/>
                <w:sz w:val="24"/>
                <w:szCs w:val="24"/>
              </w:rPr>
              <w:t>Frequent short inserts and updates</w:t>
            </w:r>
          </w:p>
        </w:tc>
        <w:tc>
          <w:tcPr>
            <w:tcW w:w="3099" w:type="dxa"/>
          </w:tcPr>
          <w:p w14:paraId="4B2AA489" w14:textId="77777777" w:rsidR="00D61695" w:rsidRPr="00F84CD8" w:rsidRDefault="00D61695" w:rsidP="00EC26A1">
            <w:pPr>
              <w:rPr>
                <w:rFonts w:ascii="Arial" w:hAnsi="Arial" w:cs="Arial"/>
                <w:sz w:val="24"/>
                <w:szCs w:val="24"/>
              </w:rPr>
            </w:pPr>
            <w:r w:rsidRPr="00F84CD8">
              <w:rPr>
                <w:rFonts w:ascii="Arial" w:hAnsi="Arial" w:cs="Arial"/>
                <w:sz w:val="24"/>
                <w:szCs w:val="24"/>
              </w:rPr>
              <w:t>Read-heavy queries and large aggregations</w:t>
            </w:r>
          </w:p>
        </w:tc>
      </w:tr>
      <w:tr w:rsidR="00D61695" w:rsidRPr="00F84CD8" w14:paraId="5E381075" w14:textId="77777777" w:rsidTr="00EC26A1">
        <w:trPr>
          <w:jc w:val="center"/>
        </w:trPr>
        <w:tc>
          <w:tcPr>
            <w:tcW w:w="3099" w:type="dxa"/>
          </w:tcPr>
          <w:p w14:paraId="44C66407" w14:textId="77777777" w:rsidR="00D61695" w:rsidRPr="00F84CD8" w:rsidRDefault="00D61695" w:rsidP="00EC26A1">
            <w:pPr>
              <w:rPr>
                <w:rFonts w:ascii="Arial" w:hAnsi="Arial" w:cs="Arial"/>
                <w:sz w:val="24"/>
                <w:szCs w:val="24"/>
              </w:rPr>
            </w:pPr>
            <w:r w:rsidRPr="00F84CD8">
              <w:rPr>
                <w:rFonts w:ascii="Arial" w:hAnsi="Arial" w:cs="Arial"/>
                <w:sz w:val="24"/>
                <w:szCs w:val="24"/>
              </w:rPr>
              <w:t>Design</w:t>
            </w:r>
          </w:p>
        </w:tc>
        <w:tc>
          <w:tcPr>
            <w:tcW w:w="3099" w:type="dxa"/>
          </w:tcPr>
          <w:p w14:paraId="09F83477" w14:textId="77777777" w:rsidR="00D61695" w:rsidRPr="00F84CD8" w:rsidRDefault="00D61695" w:rsidP="00EC26A1">
            <w:pPr>
              <w:rPr>
                <w:rFonts w:ascii="Arial" w:hAnsi="Arial" w:cs="Arial"/>
                <w:sz w:val="24"/>
                <w:szCs w:val="24"/>
              </w:rPr>
            </w:pPr>
            <w:r w:rsidRPr="00F84CD8">
              <w:rPr>
                <w:rFonts w:ascii="Arial" w:hAnsi="Arial" w:cs="Arial"/>
                <w:sz w:val="24"/>
                <w:szCs w:val="24"/>
              </w:rPr>
              <w:t>Normalised relational tables</w:t>
            </w:r>
          </w:p>
        </w:tc>
        <w:tc>
          <w:tcPr>
            <w:tcW w:w="3099" w:type="dxa"/>
          </w:tcPr>
          <w:p w14:paraId="12017D7E" w14:textId="77777777" w:rsidR="00D61695" w:rsidRPr="00F84CD8" w:rsidRDefault="00D61695" w:rsidP="00EC26A1">
            <w:pPr>
              <w:rPr>
                <w:rFonts w:ascii="Arial" w:hAnsi="Arial" w:cs="Arial"/>
                <w:sz w:val="24"/>
                <w:szCs w:val="24"/>
              </w:rPr>
            </w:pPr>
            <w:r w:rsidRPr="00F84CD8">
              <w:rPr>
                <w:rFonts w:ascii="Arial" w:hAnsi="Arial" w:cs="Arial"/>
                <w:sz w:val="24"/>
                <w:szCs w:val="24"/>
              </w:rPr>
              <w:t>Dimensional star schemas</w:t>
            </w:r>
          </w:p>
        </w:tc>
      </w:tr>
      <w:tr w:rsidR="00D61695" w:rsidRPr="00F84CD8" w14:paraId="46030F9D" w14:textId="77777777" w:rsidTr="00EC26A1">
        <w:trPr>
          <w:jc w:val="center"/>
        </w:trPr>
        <w:tc>
          <w:tcPr>
            <w:tcW w:w="3099" w:type="dxa"/>
          </w:tcPr>
          <w:p w14:paraId="27DC2F7F" w14:textId="77777777" w:rsidR="00D61695" w:rsidRPr="00F84CD8" w:rsidRDefault="00D61695" w:rsidP="00EC26A1">
            <w:pPr>
              <w:rPr>
                <w:rFonts w:ascii="Arial" w:hAnsi="Arial" w:cs="Arial"/>
                <w:sz w:val="24"/>
                <w:szCs w:val="24"/>
              </w:rPr>
            </w:pPr>
            <w:r w:rsidRPr="00F84CD8">
              <w:rPr>
                <w:rFonts w:ascii="Arial" w:hAnsi="Arial" w:cs="Arial"/>
                <w:sz w:val="24"/>
                <w:szCs w:val="24"/>
              </w:rPr>
              <w:t>Users</w:t>
            </w:r>
          </w:p>
        </w:tc>
        <w:tc>
          <w:tcPr>
            <w:tcW w:w="3099" w:type="dxa"/>
          </w:tcPr>
          <w:p w14:paraId="4516F08E" w14:textId="77777777" w:rsidR="00D61695" w:rsidRPr="00F84CD8" w:rsidRDefault="00D61695" w:rsidP="00EC26A1">
            <w:pPr>
              <w:rPr>
                <w:rFonts w:ascii="Arial" w:hAnsi="Arial" w:cs="Arial"/>
                <w:sz w:val="24"/>
                <w:szCs w:val="24"/>
              </w:rPr>
            </w:pPr>
            <w:r w:rsidRPr="00F84CD8">
              <w:rPr>
                <w:rFonts w:ascii="Arial" w:hAnsi="Arial" w:cs="Arial"/>
                <w:sz w:val="24"/>
                <w:szCs w:val="24"/>
              </w:rPr>
              <w:t>Clinicians and operational staff</w:t>
            </w:r>
          </w:p>
        </w:tc>
        <w:tc>
          <w:tcPr>
            <w:tcW w:w="3099" w:type="dxa"/>
          </w:tcPr>
          <w:p w14:paraId="1C175420" w14:textId="77777777" w:rsidR="00D61695" w:rsidRPr="00F84CD8" w:rsidRDefault="00D61695" w:rsidP="00EC26A1">
            <w:pPr>
              <w:rPr>
                <w:rFonts w:ascii="Arial" w:hAnsi="Arial" w:cs="Arial"/>
                <w:sz w:val="24"/>
                <w:szCs w:val="24"/>
              </w:rPr>
            </w:pPr>
            <w:r w:rsidRPr="00F84CD8">
              <w:rPr>
                <w:rFonts w:ascii="Arial" w:hAnsi="Arial" w:cs="Arial"/>
                <w:sz w:val="24"/>
                <w:szCs w:val="24"/>
              </w:rPr>
              <w:t>Analysts, managers and directors</w:t>
            </w:r>
          </w:p>
        </w:tc>
      </w:tr>
      <w:tr w:rsidR="00D61695" w:rsidRPr="00F84CD8" w14:paraId="3235CB8C" w14:textId="77777777" w:rsidTr="00EC26A1">
        <w:trPr>
          <w:jc w:val="center"/>
        </w:trPr>
        <w:tc>
          <w:tcPr>
            <w:tcW w:w="3099" w:type="dxa"/>
          </w:tcPr>
          <w:p w14:paraId="7E7AD884" w14:textId="77777777" w:rsidR="00D61695" w:rsidRPr="00F84CD8" w:rsidRDefault="00D61695" w:rsidP="00EC26A1">
            <w:pPr>
              <w:rPr>
                <w:rFonts w:ascii="Arial" w:hAnsi="Arial" w:cs="Arial"/>
                <w:sz w:val="24"/>
                <w:szCs w:val="24"/>
              </w:rPr>
            </w:pPr>
            <w:r w:rsidRPr="00F84CD8">
              <w:rPr>
                <w:rFonts w:ascii="Arial" w:hAnsi="Arial" w:cs="Arial"/>
                <w:sz w:val="24"/>
                <w:szCs w:val="24"/>
              </w:rPr>
              <w:t>NHS example</w:t>
            </w:r>
          </w:p>
        </w:tc>
        <w:tc>
          <w:tcPr>
            <w:tcW w:w="3099" w:type="dxa"/>
          </w:tcPr>
          <w:p w14:paraId="49D14207" w14:textId="77777777" w:rsidR="00D61695" w:rsidRPr="00F84CD8" w:rsidRDefault="00D61695" w:rsidP="00EC26A1">
            <w:pPr>
              <w:rPr>
                <w:rFonts w:ascii="Arial" w:hAnsi="Arial" w:cs="Arial"/>
                <w:sz w:val="24"/>
                <w:szCs w:val="24"/>
              </w:rPr>
            </w:pPr>
            <w:r w:rsidRPr="00F84CD8">
              <w:rPr>
                <w:rFonts w:ascii="Arial" w:hAnsi="Arial" w:cs="Arial"/>
                <w:sz w:val="24"/>
                <w:szCs w:val="24"/>
              </w:rPr>
              <w:t>Record one admission or discharge</w:t>
            </w:r>
          </w:p>
        </w:tc>
        <w:tc>
          <w:tcPr>
            <w:tcW w:w="3099" w:type="dxa"/>
          </w:tcPr>
          <w:p w14:paraId="7BDEECF7" w14:textId="77777777" w:rsidR="00D61695" w:rsidRPr="00F84CD8" w:rsidRDefault="00D61695" w:rsidP="00EC26A1">
            <w:pPr>
              <w:rPr>
                <w:rFonts w:ascii="Arial" w:hAnsi="Arial" w:cs="Arial"/>
                <w:sz w:val="24"/>
                <w:szCs w:val="24"/>
              </w:rPr>
            </w:pPr>
            <w:r w:rsidRPr="00F84CD8">
              <w:rPr>
                <w:rFonts w:ascii="Arial" w:hAnsi="Arial" w:cs="Arial"/>
                <w:sz w:val="24"/>
                <w:szCs w:val="24"/>
              </w:rPr>
              <w:t>Compare waiting-time trends across Trusts and ICSs</w:t>
            </w:r>
          </w:p>
        </w:tc>
      </w:tr>
    </w:tbl>
    <w:p w14:paraId="54CE9199" w14:textId="77777777" w:rsidR="00D61695" w:rsidRPr="00F84CD8" w:rsidRDefault="00D61695" w:rsidP="00D61695">
      <w:pPr>
        <w:spacing w:after="0"/>
        <w:rPr>
          <w:rFonts w:ascii="Arial" w:hAnsi="Arial" w:cs="Arial"/>
          <w:sz w:val="24"/>
          <w:szCs w:val="24"/>
        </w:rPr>
      </w:pPr>
    </w:p>
    <w:p w14:paraId="13B48F53"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The EDW complements rather than replaces operational systems. Clinicians continue to use live applications, while authorised analysts query a separate analytical copy [2], [3]. OLTP therefore answers, “What is happening to this patient now?” The EDW answers, “What pattern has developed across services and time?” This separation </w:t>
      </w:r>
      <w:r w:rsidRPr="00F84CD8">
        <w:rPr>
          <w:rFonts w:ascii="Arial" w:hAnsi="Arial" w:cs="Arial"/>
          <w:sz w:val="24"/>
          <w:szCs w:val="24"/>
        </w:rPr>
        <w:lastRenderedPageBreak/>
        <w:t>gives the board a governed view of capacity, expenditure and outcomes without placing complex reporting demand on systems used for patient care.</w:t>
      </w:r>
    </w:p>
    <w:p w14:paraId="10EB167B" w14:textId="77777777" w:rsidR="00D61695" w:rsidRPr="00FA1417" w:rsidRDefault="00D61695" w:rsidP="00D61695">
      <w:pPr>
        <w:pStyle w:val="Heading1"/>
        <w:rPr>
          <w:rFonts w:ascii="Arial" w:hAnsi="Arial" w:cs="Arial"/>
          <w:b/>
          <w:bCs/>
          <w:sz w:val="28"/>
          <w:szCs w:val="28"/>
        </w:rPr>
      </w:pPr>
      <w:r w:rsidRPr="00FA1417">
        <w:rPr>
          <w:rFonts w:ascii="Arial" w:hAnsi="Arial" w:cs="Arial"/>
          <w:b/>
          <w:bCs/>
          <w:sz w:val="28"/>
          <w:szCs w:val="28"/>
        </w:rPr>
        <w:t>1.2 Data Warehouse Architecture and ETL</w:t>
      </w:r>
    </w:p>
    <w:p w14:paraId="25CA306C"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The proposed architecture uses a central EDW with dependent data marts. Internal systems supply patient activity, clinical, workforce and financial data, while selected external sources provide population, public-health and payment context. Data first enters a restricted staging area. The ETL service then validates, standardises and reconciles it before loading the warehouse. This layered design separates analytical work from live transactions and provides a controlled historical record [3], [4]. Recent clinical-data-warehouse research also emphasises integration, documentation, governance and data-quality controls rather than treating the warehouse as only a storage platform [4].</w:t>
      </w:r>
    </w:p>
    <w:p w14:paraId="58B05A80"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drawing>
          <wp:inline distT="0" distB="0" distL="0" distR="0" wp14:anchorId="7C6379C2" wp14:editId="0F430FED">
            <wp:extent cx="5715000" cy="3352800"/>
            <wp:effectExtent l="0" t="0" r="0" b="0"/>
            <wp:docPr id="1" name="Picture 1" descr="Figure 1. Proposed NHS England enterprise data warehouse architecture (author’s design, informed by [2]–[4])."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architecture.png"/>
                    <pic:cNvPicPr/>
                  </pic:nvPicPr>
                  <pic:blipFill>
                    <a:blip r:embed="rId13"/>
                    <a:stretch>
                      <a:fillRect/>
                    </a:stretch>
                  </pic:blipFill>
                  <pic:spPr>
                    <a:xfrm>
                      <a:off x="0" y="0"/>
                      <a:ext cx="5715000" cy="3352800"/>
                    </a:xfrm>
                    <a:prstGeom prst="rect">
                      <a:avLst/>
                    </a:prstGeom>
                  </pic:spPr>
                </pic:pic>
              </a:graphicData>
            </a:graphic>
          </wp:inline>
        </w:drawing>
      </w:r>
    </w:p>
    <w:p w14:paraId="008CD458"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1. Proposed NHS England enterprise data warehouse architecture (author’s design, informed by [2]</w:t>
      </w:r>
      <w:proofErr w:type="gramStart"/>
      <w:r w:rsidRPr="00F84CD8">
        <w:rPr>
          <w:rFonts w:cs="Arial"/>
          <w:i/>
          <w:sz w:val="24"/>
          <w:szCs w:val="24"/>
        </w:rPr>
        <w:t>–[</w:t>
      </w:r>
      <w:proofErr w:type="gramEnd"/>
      <w:r w:rsidRPr="00F84CD8">
        <w:rPr>
          <w:rFonts w:cs="Arial"/>
          <w:i/>
          <w:sz w:val="24"/>
          <w:szCs w:val="24"/>
        </w:rPr>
        <w:t>4]).</w:t>
      </w:r>
    </w:p>
    <w:p w14:paraId="35BAE067"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Figure 1 shows a single governed route from source systems to the EDW and then to role-specific marts. Extract captures new or changed records so that full databases are not repeatedly copied. Transform removes duplicates, validates NHS numbers and clinical codes, standardises dates and organisation identifiers, resolves missing or conflicting values and creates surrogate keys. Load writes conformed dimensions before fact tables, followed by approved aggregate tables. Incremental processing, provenance records and repeatable mappings make the pipeline easier to monitor and rerun [5].</w:t>
      </w:r>
    </w:p>
    <w:p w14:paraId="5D3F9E3E"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lastRenderedPageBreak/>
        <w:drawing>
          <wp:inline distT="0" distB="0" distL="0" distR="0" wp14:anchorId="1AC6A1BC" wp14:editId="51376A55">
            <wp:extent cx="5715000" cy="1981200"/>
            <wp:effectExtent l="0" t="0" r="0" b="0"/>
            <wp:docPr id="2" name="Picture 2" descr="Figure 2. Controlled ETL workflow from extraction to publication (author’s design, informed by [5], [6])."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etl_workflow.png"/>
                    <pic:cNvPicPr/>
                  </pic:nvPicPr>
                  <pic:blipFill>
                    <a:blip r:embed="rId14"/>
                    <a:stretch>
                      <a:fillRect/>
                    </a:stretch>
                  </pic:blipFill>
                  <pic:spPr>
                    <a:xfrm>
                      <a:off x="0" y="0"/>
                      <a:ext cx="5715000" cy="1981200"/>
                    </a:xfrm>
                    <a:prstGeom prst="rect">
                      <a:avLst/>
                    </a:prstGeom>
                  </pic:spPr>
                </pic:pic>
              </a:graphicData>
            </a:graphic>
          </wp:inline>
        </w:drawing>
      </w:r>
    </w:p>
    <w:p w14:paraId="6CA6991F"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2. Controlled ETL workflow from extraction to publication (author’s design, informed by [5], [6]).</w:t>
      </w:r>
    </w:p>
    <w:p w14:paraId="4E4D29FB"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Refresh frequency should match business need rather than applying “real time” to every dataset. Urgent operational measures may use small hourly loads; workforce and finance can normally load overnight or after ledger processing. Reconciliation compares source totals with staged and loaded totals. Failed records are quarantined, and dashboards are published only after validation. This protects frontline performance and prevents incomplete data from replacing the last trusted report [5], [6].</w:t>
      </w:r>
    </w:p>
    <w:p w14:paraId="0150556F"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The architecture also needs clear recovery boundaries. Source extraction should be read-only and </w:t>
      </w:r>
      <w:proofErr w:type="spellStart"/>
      <w:r w:rsidRPr="00F84CD8">
        <w:rPr>
          <w:rFonts w:ascii="Arial" w:hAnsi="Arial" w:cs="Arial"/>
          <w:sz w:val="24"/>
          <w:szCs w:val="24"/>
        </w:rPr>
        <w:t>restartable</w:t>
      </w:r>
      <w:proofErr w:type="spellEnd"/>
      <w:r w:rsidRPr="00F84CD8">
        <w:rPr>
          <w:rFonts w:ascii="Arial" w:hAnsi="Arial" w:cs="Arial"/>
          <w:sz w:val="24"/>
          <w:szCs w:val="24"/>
        </w:rPr>
        <w:t xml:space="preserve">, while staging records retain a batch identifier, source timestamp and processing status. If a job fails, it can restart from the last successful checkpoint instead of repeating every load. Separate development, test and production environments reduce the risk that an </w:t>
      </w:r>
      <w:proofErr w:type="gramStart"/>
      <w:r w:rsidRPr="00F84CD8">
        <w:rPr>
          <w:rFonts w:ascii="Arial" w:hAnsi="Arial" w:cs="Arial"/>
          <w:sz w:val="24"/>
          <w:szCs w:val="24"/>
        </w:rPr>
        <w:t>untested mapping changes</w:t>
      </w:r>
      <w:proofErr w:type="gramEnd"/>
      <w:r w:rsidRPr="00F84CD8">
        <w:rPr>
          <w:rFonts w:ascii="Arial" w:hAnsi="Arial" w:cs="Arial"/>
          <w:sz w:val="24"/>
          <w:szCs w:val="24"/>
        </w:rPr>
        <w:t xml:space="preserve"> published figures. Data lineage should connect each dashboard measure to its fact field, transformation rule and original source, allowing managers and auditors to understand how a result was produced [4]–[6].</w:t>
      </w:r>
    </w:p>
    <w:p w14:paraId="01EA2F3C" w14:textId="77777777" w:rsidR="00D61695" w:rsidRPr="00FA1417" w:rsidRDefault="00D61695" w:rsidP="00D61695">
      <w:pPr>
        <w:pStyle w:val="Heading1"/>
        <w:rPr>
          <w:rFonts w:ascii="Arial" w:hAnsi="Arial" w:cs="Arial"/>
          <w:b/>
          <w:bCs/>
          <w:sz w:val="28"/>
          <w:szCs w:val="28"/>
        </w:rPr>
      </w:pPr>
      <w:r w:rsidRPr="00FA1417">
        <w:rPr>
          <w:rFonts w:ascii="Arial" w:hAnsi="Arial" w:cs="Arial"/>
          <w:b/>
          <w:bCs/>
          <w:sz w:val="28"/>
          <w:szCs w:val="28"/>
        </w:rPr>
        <w:t>1.3 Data Marts for Management Decision-Making</w:t>
      </w:r>
    </w:p>
    <w:p w14:paraId="1022D536"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NHS England should use dependent data marts sourced from the EDW. Unlike independent marts, they reuse governed data, conformed dimensions and KPI definitions. This reduces duplicated processing and conflicting results while giving each director a simpler view of the measures relevant to their role [3].</w:t>
      </w:r>
    </w:p>
    <w:p w14:paraId="235A3160"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lastRenderedPageBreak/>
        <w:drawing>
          <wp:inline distT="0" distB="0" distL="0" distR="0" wp14:anchorId="55F73231" wp14:editId="074D708C">
            <wp:extent cx="5715000" cy="2971800"/>
            <wp:effectExtent l="0" t="0" r="0" b="0"/>
            <wp:docPr id="3" name="Picture 3" descr="Figure 3. Executive data marts and decision responsibilities (author’s design, informed by [3], [7], [8])."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data_marts.png"/>
                    <pic:cNvPicPr/>
                  </pic:nvPicPr>
                  <pic:blipFill>
                    <a:blip r:embed="rId15"/>
                    <a:stretch>
                      <a:fillRect/>
                    </a:stretch>
                  </pic:blipFill>
                  <pic:spPr>
                    <a:xfrm>
                      <a:off x="0" y="0"/>
                      <a:ext cx="5715000" cy="2971800"/>
                    </a:xfrm>
                    <a:prstGeom prst="rect">
                      <a:avLst/>
                    </a:prstGeom>
                  </pic:spPr>
                </pic:pic>
              </a:graphicData>
            </a:graphic>
          </wp:inline>
        </w:drawing>
      </w:r>
    </w:p>
    <w:p w14:paraId="5624F645"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3. Executive data marts and decision responsibilities (author’s design, informed by [3], [7], [8]).</w:t>
      </w:r>
    </w:p>
    <w:p w14:paraId="630894B6" w14:textId="77777777" w:rsidR="00D61695" w:rsidRPr="00F84CD8" w:rsidRDefault="00D61695" w:rsidP="00D61695">
      <w:pPr>
        <w:spacing w:after="100"/>
        <w:jc w:val="both"/>
        <w:rPr>
          <w:rFonts w:ascii="Arial" w:hAnsi="Arial" w:cs="Arial"/>
          <w:sz w:val="24"/>
          <w:szCs w:val="24"/>
        </w:rPr>
      </w:pPr>
      <w:r w:rsidRPr="00F84CD8">
        <w:rPr>
          <w:rFonts w:ascii="Arial" w:hAnsi="Arial" w:cs="Arial"/>
          <w:b/>
          <w:sz w:val="24"/>
          <w:szCs w:val="24"/>
        </w:rPr>
        <w:t xml:space="preserve">Operations Mart — Chief Executive: </w:t>
      </w:r>
      <w:r w:rsidRPr="00F84CD8">
        <w:rPr>
          <w:rFonts w:ascii="Arial" w:hAnsi="Arial" w:cs="Arial"/>
          <w:sz w:val="24"/>
          <w:szCs w:val="24"/>
        </w:rPr>
        <w:t>Combines patient activity and monthly summaries to show Referral-to-Treatment waiting times, admissions, discharges, bed occupancy and delayed discharge. The Chief Executive can compare Trusts and Integrated Care Systems (ICSs), identify patient-flow pressure and decide where operational support is required. These measures align with NHS performance oversight, but the dashboard should show definitions and reporting periods so that comparisons are fair [7].</w:t>
      </w:r>
    </w:p>
    <w:p w14:paraId="5B3DF1F7" w14:textId="77777777" w:rsidR="00D61695" w:rsidRPr="00F84CD8" w:rsidRDefault="00D61695" w:rsidP="00D61695">
      <w:pPr>
        <w:spacing w:after="100"/>
        <w:jc w:val="both"/>
        <w:rPr>
          <w:rFonts w:ascii="Arial" w:hAnsi="Arial" w:cs="Arial"/>
          <w:sz w:val="24"/>
          <w:szCs w:val="24"/>
        </w:rPr>
      </w:pPr>
      <w:r w:rsidRPr="00F84CD8">
        <w:rPr>
          <w:rFonts w:ascii="Arial" w:hAnsi="Arial" w:cs="Arial"/>
          <w:b/>
          <w:sz w:val="24"/>
          <w:szCs w:val="24"/>
        </w:rPr>
        <w:t xml:space="preserve">Finance Mart — Finance Director: </w:t>
      </w:r>
      <w:r w:rsidRPr="00F84CD8">
        <w:rPr>
          <w:rFonts w:ascii="Arial" w:hAnsi="Arial" w:cs="Arial"/>
          <w:sz w:val="24"/>
          <w:szCs w:val="24"/>
        </w:rPr>
        <w:t>Links expenditure and budget measures to hospital, service and date dimensions. It supports budget-versus-actual analysis, treatment-cost comparison and forecasting. The current NHS Payment Scheme supplies relevant rules and prices for financial benchmarking [8]. The mart should separate actual expenditure, budget and variance rather than combining measures with different meanings.</w:t>
      </w:r>
    </w:p>
    <w:p w14:paraId="7278877D" w14:textId="77777777" w:rsidR="00D61695" w:rsidRPr="00F84CD8" w:rsidRDefault="00D61695" w:rsidP="00D61695">
      <w:pPr>
        <w:spacing w:after="100"/>
        <w:jc w:val="both"/>
        <w:rPr>
          <w:rFonts w:ascii="Arial" w:hAnsi="Arial" w:cs="Arial"/>
          <w:sz w:val="24"/>
          <w:szCs w:val="24"/>
        </w:rPr>
      </w:pPr>
      <w:r w:rsidRPr="00F84CD8">
        <w:rPr>
          <w:rFonts w:ascii="Arial" w:hAnsi="Arial" w:cs="Arial"/>
          <w:b/>
          <w:sz w:val="24"/>
          <w:szCs w:val="24"/>
        </w:rPr>
        <w:t xml:space="preserve">Clinical Quality Mart — Medical Director: </w:t>
      </w:r>
      <w:r w:rsidRPr="00F84CD8">
        <w:rPr>
          <w:rFonts w:ascii="Arial" w:hAnsi="Arial" w:cs="Arial"/>
          <w:sz w:val="24"/>
          <w:szCs w:val="24"/>
        </w:rPr>
        <w:t>Uses validated clinical-quality facts to monitor mortality indicators, 30-day readmissions, hospital-acquired infections, outcomes and safety incidents. The Medical Director can identify unusual variation and target clinical review. Patient-level access should be limited to approved purposes; most board reporting should use aggregated or pseudonymised data. Clinical warehouse studies show that useful reuse depends on clear governance and documentation as well as technical integration [6].</w:t>
      </w:r>
    </w:p>
    <w:p w14:paraId="14F2C2CB"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These marts answer different questions but must not become separate versions of the truth. Shared dimensions allow a waiting-time result, related expenditure and clinical outcome to be compared for the same hospital, service and period. A common semantic layer should define every KPI, including its numerator, denominator, exclusions, owner and refresh date.</w:t>
      </w:r>
    </w:p>
    <w:p w14:paraId="4027AD4E"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lastRenderedPageBreak/>
        <w:t>A direct EDW query offers maximum detail but exposes a complex model and may use more computing resources; a mart provides simpler, more secure access but introduces another managed layer. Dependent marts provide the better balance because they remain traceable to the EDW. Directors should see summary indicators and exceptions first, with controlled drill-down to Trust, service and permitted patient-level detail.</w:t>
      </w:r>
    </w:p>
    <w:p w14:paraId="4D304EB8" w14:textId="77777777" w:rsidR="00D61695" w:rsidRPr="00FA1417" w:rsidRDefault="00D61695" w:rsidP="00D61695">
      <w:pPr>
        <w:pStyle w:val="Heading1"/>
        <w:rPr>
          <w:rFonts w:ascii="Arial" w:hAnsi="Arial" w:cs="Arial"/>
          <w:b/>
          <w:bCs/>
          <w:sz w:val="28"/>
          <w:szCs w:val="28"/>
        </w:rPr>
      </w:pPr>
      <w:r w:rsidRPr="00FA1417">
        <w:rPr>
          <w:rFonts w:ascii="Arial" w:hAnsi="Arial" w:cs="Arial"/>
          <w:b/>
          <w:bCs/>
          <w:sz w:val="28"/>
          <w:szCs w:val="28"/>
        </w:rPr>
        <w:t>1.4 OLTP Normalisation vs. Dimensional Modelling</w:t>
      </w:r>
    </w:p>
    <w:p w14:paraId="5148CA53"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Operational databases are normally highly normalised, often to Third Normal Form (3NF), so each fact is stored </w:t>
      </w:r>
      <w:proofErr w:type="gramStart"/>
      <w:r w:rsidRPr="00F84CD8">
        <w:rPr>
          <w:rFonts w:ascii="Arial" w:hAnsi="Arial" w:cs="Arial"/>
          <w:sz w:val="24"/>
          <w:szCs w:val="24"/>
        </w:rPr>
        <w:t>once</w:t>
      </w:r>
      <w:proofErr w:type="gramEnd"/>
      <w:r w:rsidRPr="00F84CD8">
        <w:rPr>
          <w:rFonts w:ascii="Arial" w:hAnsi="Arial" w:cs="Arial"/>
          <w:sz w:val="24"/>
          <w:szCs w:val="24"/>
        </w:rPr>
        <w:t xml:space="preserve"> and inserts or updates do not create anomalies. This is suitable for recording a live admission accurately, but an analytical question may require many joins across patient, treatment, staffing and organisation tables. Running those queries against live systems could compete with operational work. A warehouse instead uses controlled denormalisation. In a star schema, measures are stored in a central fact </w:t>
      </w:r>
      <w:proofErr w:type="gramStart"/>
      <w:r w:rsidRPr="00F84CD8">
        <w:rPr>
          <w:rFonts w:ascii="Arial" w:hAnsi="Arial" w:cs="Arial"/>
          <w:sz w:val="24"/>
          <w:szCs w:val="24"/>
        </w:rPr>
        <w:t>table</w:t>
      </w:r>
      <w:proofErr w:type="gramEnd"/>
      <w:r w:rsidRPr="00F84CD8">
        <w:rPr>
          <w:rFonts w:ascii="Arial" w:hAnsi="Arial" w:cs="Arial"/>
          <w:sz w:val="24"/>
          <w:szCs w:val="24"/>
        </w:rPr>
        <w:t xml:space="preserve"> and descriptive attributes are grouped into surrounding dimensions [3].</w:t>
      </w:r>
    </w:p>
    <w:p w14:paraId="7086B80D"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drawing>
          <wp:inline distT="0" distB="0" distL="0" distR="0" wp14:anchorId="40E3702B" wp14:editId="7052FC22">
            <wp:extent cx="5715000" cy="3581400"/>
            <wp:effectExtent l="0" t="0" r="0" b="0"/>
            <wp:docPr id="4" name="Picture 4" descr="Figure 4. Patient-activity star schema showing fact-table grain and descriptive dimensions (author’s design, informed by [3])."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star_schema.png"/>
                    <pic:cNvPicPr/>
                  </pic:nvPicPr>
                  <pic:blipFill>
                    <a:blip r:embed="rId16"/>
                    <a:stretch>
                      <a:fillRect/>
                    </a:stretch>
                  </pic:blipFill>
                  <pic:spPr>
                    <a:xfrm>
                      <a:off x="0" y="0"/>
                      <a:ext cx="5715000" cy="3581400"/>
                    </a:xfrm>
                    <a:prstGeom prst="rect">
                      <a:avLst/>
                    </a:prstGeom>
                  </pic:spPr>
                </pic:pic>
              </a:graphicData>
            </a:graphic>
          </wp:inline>
        </w:drawing>
      </w:r>
    </w:p>
    <w:p w14:paraId="7B4FCC1F"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4. Patient-activity star schema showing fact-table grain and descriptive dimensions (author’s design, informed by [3]).</w:t>
      </w:r>
    </w:p>
    <w:p w14:paraId="3F56B5C7"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In Figure 4, FACT_PATIENT_ACTIVITY has one row per completed patient-care activity or episode. Foreign keys connect each event to date, patient, hospital, treatment and staff dimensions, while measures include waiting days, length of stay and cost. Surrogate dimension keys protect the warehouse from changing source identifiers and allow historical versions of attributes to be retained. The star schema is easier for analysts to understand and generally requires fewer joins for aggregation. </w:t>
      </w:r>
      <w:r w:rsidRPr="00F84CD8">
        <w:rPr>
          <w:rFonts w:ascii="Arial" w:hAnsi="Arial" w:cs="Arial"/>
          <w:sz w:val="24"/>
          <w:szCs w:val="24"/>
        </w:rPr>
        <w:lastRenderedPageBreak/>
        <w:t>Its trade-off is controlled duplication in dimensions, so ETL and governance must keep those descriptions consistent [3].</w:t>
      </w:r>
    </w:p>
    <w:p w14:paraId="7C885826"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Normalisation should still be used where it protects operational accuracy; dimensional modelling is not automatically superior for every workload. Conversely, copying the normalised source structure into the warehouse would make board reporting harder to understand and maintain. The design decision therefore follows purpose: normalised OLTP for reliable transactions and dimensional models for historical analysis. Measures must also follow their grain. Waiting days can be averaged across episodes, but a patient count should use a distinct patient key to avoid counting one person several times.</w:t>
      </w:r>
    </w:p>
    <w:p w14:paraId="15AAA73D" w14:textId="77777777" w:rsidR="00D61695" w:rsidRPr="00FA1417" w:rsidRDefault="00D61695" w:rsidP="00D61695">
      <w:pPr>
        <w:pStyle w:val="Heading1"/>
        <w:rPr>
          <w:rFonts w:ascii="Arial" w:hAnsi="Arial" w:cs="Arial"/>
          <w:b/>
          <w:bCs/>
          <w:sz w:val="28"/>
          <w:szCs w:val="28"/>
        </w:rPr>
      </w:pPr>
      <w:r w:rsidRPr="00FA1417">
        <w:rPr>
          <w:rFonts w:ascii="Arial" w:hAnsi="Arial" w:cs="Arial"/>
          <w:b/>
          <w:bCs/>
          <w:sz w:val="28"/>
          <w:szCs w:val="28"/>
        </w:rPr>
        <w:t>Task 2.1: Source System Identification</w:t>
      </w:r>
    </w:p>
    <w:p w14:paraId="4EDE8555"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Internal sources include PAS admissions, discharges and waiting lists; EPR and clinical systems for diagnoses, procedures and outcomes; Electronic Staff Record or workforce platforms for roles, shifts, absence and agency use; and financial ledgers for budgets, expenditure and treatment costs. External sources add context: Office for National Statistics population data supports rates and demographic comparison [9]; the UK Health Security Agency dashboard contributes public-health surveillance [10]; and the 2026/27 NHS Payment Scheme supplies current payment rules and prices [8]. Organisation reference data and approved ICD-10 and OPCS-4 classifications standardise hospitals, diagnoses and procedures [11].</w:t>
      </w:r>
    </w:p>
    <w:p w14:paraId="49ADF43B"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Each source should have an agreed owner, extract method, refresh frequency and data-quality contract. Source identifiers and timestamps must be retained for traceability. External datasets should be versioned because later releases may revise population estimates, public-health figures or prices; </w:t>
      </w:r>
      <w:proofErr w:type="gramStart"/>
      <w:r w:rsidRPr="00F84CD8">
        <w:rPr>
          <w:rFonts w:ascii="Arial" w:hAnsi="Arial" w:cs="Arial"/>
          <w:sz w:val="24"/>
          <w:szCs w:val="24"/>
        </w:rPr>
        <w:t>otherwise</w:t>
      </w:r>
      <w:proofErr w:type="gramEnd"/>
      <w:r w:rsidRPr="00F84CD8">
        <w:rPr>
          <w:rFonts w:ascii="Arial" w:hAnsi="Arial" w:cs="Arial"/>
          <w:sz w:val="24"/>
          <w:szCs w:val="24"/>
        </w:rPr>
        <w:t xml:space="preserve"> a historical dashboard could change without an explained business reason.</w:t>
      </w:r>
    </w:p>
    <w:p w14:paraId="317F59EB" w14:textId="77777777" w:rsidR="00D61695" w:rsidRPr="00FA1417" w:rsidRDefault="00D61695" w:rsidP="00D61695">
      <w:pPr>
        <w:pStyle w:val="Heading1"/>
        <w:rPr>
          <w:rFonts w:ascii="Arial" w:hAnsi="Arial" w:cs="Arial"/>
          <w:b/>
          <w:bCs/>
          <w:sz w:val="28"/>
          <w:szCs w:val="28"/>
        </w:rPr>
      </w:pPr>
      <w:r w:rsidRPr="00FA1417">
        <w:rPr>
          <w:rFonts w:ascii="Arial" w:hAnsi="Arial" w:cs="Arial"/>
          <w:b/>
          <w:bCs/>
          <w:sz w:val="28"/>
          <w:szCs w:val="28"/>
        </w:rPr>
        <w:t>2.2 Star Schema Design</w:t>
      </w:r>
    </w:p>
    <w:p w14:paraId="7DA96814"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A data-warehouse bus architecture is appropriate because it supports several star schemas without forcing unlike measures into one fact table. Conformed dimensions—DIM_DATE, DIM_HOSPITAL, DIM_PATIENT, DIM_STAFF and DIM_SERVICE_TYPE—are shared across the facts. This creates consistent filtering and allows cross-functional analysis while each fact retains its own declared grain [3].</w:t>
      </w:r>
    </w:p>
    <w:p w14:paraId="670AD40E"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lastRenderedPageBreak/>
        <w:drawing>
          <wp:inline distT="0" distB="0" distL="0" distR="0" wp14:anchorId="3A9F8E60" wp14:editId="1625D39E">
            <wp:extent cx="5120640" cy="3140659"/>
            <wp:effectExtent l="0" t="0" r="0" b="0"/>
            <wp:docPr id="5" name="Picture 5" descr="Figure 5. Multi-fact bus architecture with conformed dimensions (author’s design, informed by [3])."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bus_architecture.png"/>
                    <pic:cNvPicPr/>
                  </pic:nvPicPr>
                  <pic:blipFill>
                    <a:blip r:embed="rId17"/>
                    <a:stretch>
                      <a:fillRect/>
                    </a:stretch>
                  </pic:blipFill>
                  <pic:spPr>
                    <a:xfrm>
                      <a:off x="0" y="0"/>
                      <a:ext cx="5120640" cy="3140659"/>
                    </a:xfrm>
                    <a:prstGeom prst="rect">
                      <a:avLst/>
                    </a:prstGeom>
                  </pic:spPr>
                </pic:pic>
              </a:graphicData>
            </a:graphic>
          </wp:inline>
        </w:drawing>
      </w:r>
    </w:p>
    <w:p w14:paraId="2576029E"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5. Multi-fact bus architecture with conformed dimensions (author’s design, informed by [3]).</w:t>
      </w:r>
    </w:p>
    <w:p w14:paraId="3B4F1F98" w14:textId="77777777" w:rsidR="00D61695" w:rsidRPr="00F84CD8" w:rsidRDefault="00D61695" w:rsidP="00D61695">
      <w:pPr>
        <w:keepNext/>
        <w:spacing w:before="120" w:after="80"/>
        <w:rPr>
          <w:rFonts w:ascii="Arial" w:hAnsi="Arial" w:cs="Arial"/>
          <w:sz w:val="24"/>
          <w:szCs w:val="24"/>
        </w:rPr>
      </w:pPr>
      <w:r w:rsidRPr="00F84CD8">
        <w:rPr>
          <w:rFonts w:ascii="Arial" w:hAnsi="Arial" w:cs="Arial"/>
          <w:b/>
          <w:sz w:val="24"/>
          <w:szCs w:val="24"/>
        </w:rPr>
        <w:t>Table 2. Proposed fact-table grain and measures</w:t>
      </w:r>
    </w:p>
    <w:tbl>
      <w:tblPr>
        <w:tblStyle w:val="TableGrid"/>
        <w:tblW w:w="9127" w:type="dxa"/>
        <w:jc w:val="center"/>
        <w:tblLayout w:type="fixed"/>
        <w:tblLook w:val="04A0" w:firstRow="1" w:lastRow="0" w:firstColumn="1" w:lastColumn="0" w:noHBand="0" w:noVBand="1"/>
      </w:tblPr>
      <w:tblGrid>
        <w:gridCol w:w="2863"/>
        <w:gridCol w:w="3401"/>
        <w:gridCol w:w="2863"/>
      </w:tblGrid>
      <w:tr w:rsidR="00D61695" w:rsidRPr="00F84CD8" w14:paraId="4D4E5FD2" w14:textId="77777777" w:rsidTr="00EC26A1">
        <w:trPr>
          <w:tblHeader/>
          <w:jc w:val="center"/>
        </w:trPr>
        <w:tc>
          <w:tcPr>
            <w:tcW w:w="2494" w:type="dxa"/>
            <w:shd w:val="clear" w:color="auto" w:fill="D9EAF7"/>
            <w:tcMar>
              <w:top w:w="90" w:type="dxa"/>
              <w:left w:w="120" w:type="dxa"/>
              <w:bottom w:w="90" w:type="dxa"/>
              <w:right w:w="120" w:type="dxa"/>
            </w:tcMar>
            <w:vAlign w:val="center"/>
          </w:tcPr>
          <w:p w14:paraId="657BECE6" w14:textId="77777777" w:rsidR="00D61695" w:rsidRPr="00F84CD8" w:rsidRDefault="00D61695" w:rsidP="00EC26A1">
            <w:pPr>
              <w:rPr>
                <w:rFonts w:ascii="Arial" w:hAnsi="Arial" w:cs="Arial"/>
                <w:sz w:val="24"/>
                <w:szCs w:val="24"/>
              </w:rPr>
            </w:pPr>
            <w:r w:rsidRPr="00F84CD8">
              <w:rPr>
                <w:rFonts w:ascii="Arial" w:hAnsi="Arial" w:cs="Arial"/>
                <w:b/>
                <w:sz w:val="24"/>
                <w:szCs w:val="24"/>
              </w:rPr>
              <w:t>Fact table</w:t>
            </w:r>
          </w:p>
        </w:tc>
        <w:tc>
          <w:tcPr>
            <w:tcW w:w="3685" w:type="dxa"/>
            <w:shd w:val="clear" w:color="auto" w:fill="D9EAF7"/>
            <w:tcMar>
              <w:top w:w="90" w:type="dxa"/>
              <w:left w:w="120" w:type="dxa"/>
              <w:bottom w:w="90" w:type="dxa"/>
              <w:right w:w="120" w:type="dxa"/>
            </w:tcMar>
            <w:vAlign w:val="center"/>
          </w:tcPr>
          <w:p w14:paraId="5E3C15DC" w14:textId="77777777" w:rsidR="00D61695" w:rsidRPr="00F84CD8" w:rsidRDefault="00D61695" w:rsidP="00EC26A1">
            <w:pPr>
              <w:rPr>
                <w:rFonts w:ascii="Arial" w:hAnsi="Arial" w:cs="Arial"/>
                <w:sz w:val="24"/>
                <w:szCs w:val="24"/>
              </w:rPr>
            </w:pPr>
            <w:r w:rsidRPr="00F84CD8">
              <w:rPr>
                <w:rFonts w:ascii="Arial" w:hAnsi="Arial" w:cs="Arial"/>
                <w:b/>
                <w:sz w:val="24"/>
                <w:szCs w:val="24"/>
              </w:rPr>
              <w:t>Declared grain</w:t>
            </w:r>
          </w:p>
        </w:tc>
        <w:tc>
          <w:tcPr>
            <w:tcW w:w="2948" w:type="dxa"/>
            <w:shd w:val="clear" w:color="auto" w:fill="D9EAF7"/>
            <w:tcMar>
              <w:top w:w="90" w:type="dxa"/>
              <w:left w:w="120" w:type="dxa"/>
              <w:bottom w:w="90" w:type="dxa"/>
              <w:right w:w="120" w:type="dxa"/>
            </w:tcMar>
            <w:vAlign w:val="center"/>
          </w:tcPr>
          <w:p w14:paraId="421F7EC0" w14:textId="77777777" w:rsidR="00D61695" w:rsidRPr="00F84CD8" w:rsidRDefault="00D61695" w:rsidP="00EC26A1">
            <w:pPr>
              <w:rPr>
                <w:rFonts w:ascii="Arial" w:hAnsi="Arial" w:cs="Arial"/>
                <w:sz w:val="24"/>
                <w:szCs w:val="24"/>
              </w:rPr>
            </w:pPr>
            <w:r w:rsidRPr="00F84CD8">
              <w:rPr>
                <w:rFonts w:ascii="Arial" w:hAnsi="Arial" w:cs="Arial"/>
                <w:b/>
                <w:sz w:val="24"/>
                <w:szCs w:val="24"/>
              </w:rPr>
              <w:t>Example measures</w:t>
            </w:r>
          </w:p>
        </w:tc>
      </w:tr>
      <w:tr w:rsidR="00D61695" w:rsidRPr="00F84CD8" w14:paraId="703438A3" w14:textId="77777777" w:rsidTr="00EC26A1">
        <w:trPr>
          <w:jc w:val="center"/>
        </w:trPr>
        <w:tc>
          <w:tcPr>
            <w:tcW w:w="3099" w:type="dxa"/>
          </w:tcPr>
          <w:p w14:paraId="52BECD7C" w14:textId="77777777" w:rsidR="00D61695" w:rsidRPr="00F84CD8" w:rsidRDefault="00D61695" w:rsidP="00EC26A1">
            <w:pPr>
              <w:rPr>
                <w:rFonts w:ascii="Arial" w:hAnsi="Arial" w:cs="Arial"/>
                <w:sz w:val="24"/>
                <w:szCs w:val="24"/>
              </w:rPr>
            </w:pPr>
            <w:r w:rsidRPr="00F84CD8">
              <w:rPr>
                <w:rFonts w:ascii="Arial" w:hAnsi="Arial" w:cs="Arial"/>
                <w:sz w:val="24"/>
                <w:szCs w:val="24"/>
              </w:rPr>
              <w:t>FACT_PATIENT_ACTIVITY</w:t>
            </w:r>
          </w:p>
        </w:tc>
        <w:tc>
          <w:tcPr>
            <w:tcW w:w="3099" w:type="dxa"/>
          </w:tcPr>
          <w:p w14:paraId="7CDDF1D9" w14:textId="77777777" w:rsidR="00D61695" w:rsidRPr="00F84CD8" w:rsidRDefault="00D61695" w:rsidP="00EC26A1">
            <w:pPr>
              <w:rPr>
                <w:rFonts w:ascii="Arial" w:hAnsi="Arial" w:cs="Arial"/>
                <w:sz w:val="24"/>
                <w:szCs w:val="24"/>
              </w:rPr>
            </w:pPr>
            <w:r w:rsidRPr="00F84CD8">
              <w:rPr>
                <w:rFonts w:ascii="Arial" w:hAnsi="Arial" w:cs="Arial"/>
                <w:sz w:val="24"/>
                <w:szCs w:val="24"/>
              </w:rPr>
              <w:t>One completed patient-care activity or episode</w:t>
            </w:r>
          </w:p>
        </w:tc>
        <w:tc>
          <w:tcPr>
            <w:tcW w:w="3099" w:type="dxa"/>
          </w:tcPr>
          <w:p w14:paraId="69940FEF" w14:textId="77777777" w:rsidR="00D61695" w:rsidRPr="00F84CD8" w:rsidRDefault="00D61695" w:rsidP="00EC26A1">
            <w:pPr>
              <w:rPr>
                <w:rFonts w:ascii="Arial" w:hAnsi="Arial" w:cs="Arial"/>
                <w:sz w:val="24"/>
                <w:szCs w:val="24"/>
              </w:rPr>
            </w:pPr>
            <w:r w:rsidRPr="00F84CD8">
              <w:rPr>
                <w:rFonts w:ascii="Arial" w:hAnsi="Arial" w:cs="Arial"/>
                <w:sz w:val="24"/>
                <w:szCs w:val="24"/>
              </w:rPr>
              <w:t>Waiting days, length of stay, activity count, cost</w:t>
            </w:r>
          </w:p>
        </w:tc>
      </w:tr>
      <w:tr w:rsidR="00D61695" w:rsidRPr="00F84CD8" w14:paraId="5BCB9D41" w14:textId="77777777" w:rsidTr="00EC26A1">
        <w:trPr>
          <w:jc w:val="center"/>
        </w:trPr>
        <w:tc>
          <w:tcPr>
            <w:tcW w:w="3099" w:type="dxa"/>
          </w:tcPr>
          <w:p w14:paraId="1E6DA5E0" w14:textId="77777777" w:rsidR="00D61695" w:rsidRPr="00F84CD8" w:rsidRDefault="00D61695" w:rsidP="00EC26A1">
            <w:pPr>
              <w:rPr>
                <w:rFonts w:ascii="Arial" w:hAnsi="Arial" w:cs="Arial"/>
                <w:sz w:val="24"/>
                <w:szCs w:val="24"/>
              </w:rPr>
            </w:pPr>
            <w:r w:rsidRPr="00F84CD8">
              <w:rPr>
                <w:rFonts w:ascii="Arial" w:hAnsi="Arial" w:cs="Arial"/>
                <w:sz w:val="24"/>
                <w:szCs w:val="24"/>
              </w:rPr>
              <w:t>FACT_FINANCIAL_PERFORMANCE</w:t>
            </w:r>
          </w:p>
        </w:tc>
        <w:tc>
          <w:tcPr>
            <w:tcW w:w="3099" w:type="dxa"/>
          </w:tcPr>
          <w:p w14:paraId="6F814223" w14:textId="77777777" w:rsidR="00D61695" w:rsidRPr="00F84CD8" w:rsidRDefault="00D61695" w:rsidP="00EC26A1">
            <w:pPr>
              <w:rPr>
                <w:rFonts w:ascii="Arial" w:hAnsi="Arial" w:cs="Arial"/>
                <w:sz w:val="24"/>
                <w:szCs w:val="24"/>
              </w:rPr>
            </w:pPr>
            <w:r w:rsidRPr="00F84CD8">
              <w:rPr>
                <w:rFonts w:ascii="Arial" w:hAnsi="Arial" w:cs="Arial"/>
                <w:sz w:val="24"/>
                <w:szCs w:val="24"/>
              </w:rPr>
              <w:t>One hospital, service and accounting period</w:t>
            </w:r>
          </w:p>
        </w:tc>
        <w:tc>
          <w:tcPr>
            <w:tcW w:w="3099" w:type="dxa"/>
          </w:tcPr>
          <w:p w14:paraId="4CD328A8" w14:textId="77777777" w:rsidR="00D61695" w:rsidRPr="00F84CD8" w:rsidRDefault="00D61695" w:rsidP="00EC26A1">
            <w:pPr>
              <w:rPr>
                <w:rFonts w:ascii="Arial" w:hAnsi="Arial" w:cs="Arial"/>
                <w:sz w:val="24"/>
                <w:szCs w:val="24"/>
              </w:rPr>
            </w:pPr>
            <w:r w:rsidRPr="00F84CD8">
              <w:rPr>
                <w:rFonts w:ascii="Arial" w:hAnsi="Arial" w:cs="Arial"/>
                <w:sz w:val="24"/>
                <w:szCs w:val="24"/>
              </w:rPr>
              <w:t>Budget, expenditure and variance</w:t>
            </w:r>
          </w:p>
        </w:tc>
      </w:tr>
      <w:tr w:rsidR="00D61695" w:rsidRPr="00F84CD8" w14:paraId="2401329B" w14:textId="77777777" w:rsidTr="00EC26A1">
        <w:trPr>
          <w:jc w:val="center"/>
        </w:trPr>
        <w:tc>
          <w:tcPr>
            <w:tcW w:w="3099" w:type="dxa"/>
          </w:tcPr>
          <w:p w14:paraId="2D5CB9DB" w14:textId="77777777" w:rsidR="00D61695" w:rsidRPr="00F84CD8" w:rsidRDefault="00D61695" w:rsidP="00EC26A1">
            <w:pPr>
              <w:rPr>
                <w:rFonts w:ascii="Arial" w:hAnsi="Arial" w:cs="Arial"/>
                <w:sz w:val="24"/>
                <w:szCs w:val="24"/>
              </w:rPr>
            </w:pPr>
            <w:r w:rsidRPr="00F84CD8">
              <w:rPr>
                <w:rFonts w:ascii="Arial" w:hAnsi="Arial" w:cs="Arial"/>
                <w:sz w:val="24"/>
                <w:szCs w:val="24"/>
              </w:rPr>
              <w:t>FACT_WORKFORCE_UTILISATION</w:t>
            </w:r>
          </w:p>
        </w:tc>
        <w:tc>
          <w:tcPr>
            <w:tcW w:w="3099" w:type="dxa"/>
          </w:tcPr>
          <w:p w14:paraId="5952C7F8" w14:textId="77777777" w:rsidR="00D61695" w:rsidRPr="00F84CD8" w:rsidRDefault="00D61695" w:rsidP="00EC26A1">
            <w:pPr>
              <w:rPr>
                <w:rFonts w:ascii="Arial" w:hAnsi="Arial" w:cs="Arial"/>
                <w:sz w:val="24"/>
                <w:szCs w:val="24"/>
              </w:rPr>
            </w:pPr>
            <w:r w:rsidRPr="00F84CD8">
              <w:rPr>
                <w:rFonts w:ascii="Arial" w:hAnsi="Arial" w:cs="Arial"/>
                <w:sz w:val="24"/>
                <w:szCs w:val="24"/>
              </w:rPr>
              <w:t>One staff member, organisation unit and period</w:t>
            </w:r>
          </w:p>
        </w:tc>
        <w:tc>
          <w:tcPr>
            <w:tcW w:w="3099" w:type="dxa"/>
          </w:tcPr>
          <w:p w14:paraId="57CE64E3" w14:textId="77777777" w:rsidR="00D61695" w:rsidRPr="00F84CD8" w:rsidRDefault="00D61695" w:rsidP="00EC26A1">
            <w:pPr>
              <w:rPr>
                <w:rFonts w:ascii="Arial" w:hAnsi="Arial" w:cs="Arial"/>
                <w:sz w:val="24"/>
                <w:szCs w:val="24"/>
              </w:rPr>
            </w:pPr>
            <w:r w:rsidRPr="00F84CD8">
              <w:rPr>
                <w:rFonts w:ascii="Arial" w:hAnsi="Arial" w:cs="Arial"/>
                <w:sz w:val="24"/>
                <w:szCs w:val="24"/>
              </w:rPr>
              <w:t>Worked, overtime, agency and sickness hours</w:t>
            </w:r>
          </w:p>
        </w:tc>
      </w:tr>
      <w:tr w:rsidR="00D61695" w:rsidRPr="00F84CD8" w14:paraId="5BCF1FDA" w14:textId="77777777" w:rsidTr="00EC26A1">
        <w:trPr>
          <w:jc w:val="center"/>
        </w:trPr>
        <w:tc>
          <w:tcPr>
            <w:tcW w:w="3099" w:type="dxa"/>
          </w:tcPr>
          <w:p w14:paraId="5CFF2B7D" w14:textId="77777777" w:rsidR="00D61695" w:rsidRPr="00F84CD8" w:rsidRDefault="00D61695" w:rsidP="00EC26A1">
            <w:pPr>
              <w:rPr>
                <w:rFonts w:ascii="Arial" w:hAnsi="Arial" w:cs="Arial"/>
                <w:sz w:val="24"/>
                <w:szCs w:val="24"/>
              </w:rPr>
            </w:pPr>
            <w:r w:rsidRPr="00F84CD8">
              <w:rPr>
                <w:rFonts w:ascii="Arial" w:hAnsi="Arial" w:cs="Arial"/>
                <w:sz w:val="24"/>
                <w:szCs w:val="24"/>
              </w:rPr>
              <w:t>FACT_CLINICAL_QUALITY</w:t>
            </w:r>
          </w:p>
        </w:tc>
        <w:tc>
          <w:tcPr>
            <w:tcW w:w="3099" w:type="dxa"/>
          </w:tcPr>
          <w:p w14:paraId="443449AE" w14:textId="77777777" w:rsidR="00D61695" w:rsidRPr="00F84CD8" w:rsidRDefault="00D61695" w:rsidP="00EC26A1">
            <w:pPr>
              <w:rPr>
                <w:rFonts w:ascii="Arial" w:hAnsi="Arial" w:cs="Arial"/>
                <w:sz w:val="24"/>
                <w:szCs w:val="24"/>
              </w:rPr>
            </w:pPr>
            <w:r w:rsidRPr="00F84CD8">
              <w:rPr>
                <w:rFonts w:ascii="Arial" w:hAnsi="Arial" w:cs="Arial"/>
                <w:sz w:val="24"/>
                <w:szCs w:val="24"/>
              </w:rPr>
              <w:t>One validated clinical event or outcome</w:t>
            </w:r>
          </w:p>
        </w:tc>
        <w:tc>
          <w:tcPr>
            <w:tcW w:w="3099" w:type="dxa"/>
          </w:tcPr>
          <w:p w14:paraId="24FB67F0" w14:textId="77777777" w:rsidR="00D61695" w:rsidRPr="00F84CD8" w:rsidRDefault="00D61695" w:rsidP="00EC26A1">
            <w:pPr>
              <w:rPr>
                <w:rFonts w:ascii="Arial" w:hAnsi="Arial" w:cs="Arial"/>
                <w:sz w:val="24"/>
                <w:szCs w:val="24"/>
              </w:rPr>
            </w:pPr>
            <w:r w:rsidRPr="00F84CD8">
              <w:rPr>
                <w:rFonts w:ascii="Arial" w:hAnsi="Arial" w:cs="Arial"/>
                <w:sz w:val="24"/>
                <w:szCs w:val="24"/>
              </w:rPr>
              <w:t>Readmission, infection, mortality and safety-event counts</w:t>
            </w:r>
          </w:p>
        </w:tc>
      </w:tr>
    </w:tbl>
    <w:p w14:paraId="3405DAD8" w14:textId="77777777" w:rsidR="00D61695" w:rsidRPr="00F84CD8" w:rsidRDefault="00D61695" w:rsidP="00D61695">
      <w:pPr>
        <w:spacing w:after="0"/>
        <w:rPr>
          <w:rFonts w:ascii="Arial" w:hAnsi="Arial" w:cs="Arial"/>
          <w:sz w:val="24"/>
          <w:szCs w:val="24"/>
        </w:rPr>
      </w:pPr>
    </w:p>
    <w:p w14:paraId="5FA9527B"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Declaring grain before choosing fields prevents double counting. Dimension surrogate keys become foreign keys in each fact table. DIM_PATIENT holds pseudonymous identifiers and permitted demographic bands; DIM_HOSPITAL records Trust, ICS and region; DIM_STAFF records role, band and specialty; and DIM_SERVICE_TYPE maps local descriptions to governed service categories. Slowly changing dimension rules should retain previous organisation or staff attributes where historical reporting requires them. A metadata catalogue should record field meaning, source, owner, transformation, sensitivity, lineage and refresh frequency [3], [4].</w:t>
      </w:r>
    </w:p>
    <w:p w14:paraId="7DCE137E"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lastRenderedPageBreak/>
        <w:drawing>
          <wp:inline distT="0" distB="0" distL="0" distR="0" wp14:anchorId="4434069A" wp14:editId="1AEE103F">
            <wp:extent cx="5715000" cy="3200400"/>
            <wp:effectExtent l="0" t="0" r="0" b="0"/>
            <wp:docPr id="6" name="Picture 6" descr="Figure 6. Aggregate star schema for monthly performance reporting (author’s design, informed by [3])."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6_aggregate_schema.png"/>
                    <pic:cNvPicPr/>
                  </pic:nvPicPr>
                  <pic:blipFill>
                    <a:blip r:embed="rId18"/>
                    <a:stretch>
                      <a:fillRect/>
                    </a:stretch>
                  </pic:blipFill>
                  <pic:spPr>
                    <a:xfrm>
                      <a:off x="0" y="0"/>
                      <a:ext cx="5715000" cy="3200400"/>
                    </a:xfrm>
                    <a:prstGeom prst="rect">
                      <a:avLst/>
                    </a:prstGeom>
                  </pic:spPr>
                </pic:pic>
              </a:graphicData>
            </a:graphic>
          </wp:inline>
        </w:drawing>
      </w:r>
    </w:p>
    <w:p w14:paraId="65CECEAB"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6. Aggregate star schema for monthly performance reporting (author’s design, informed by [3]).</w:t>
      </w:r>
    </w:p>
    <w:p w14:paraId="49DB66BD"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AGG_MONTHLY_PERFORMANCE should have one row per month, hospital, service type and KPI. It stores the approved value plus numerator, denominator and target, rather than only a displayed percentage. Pre-aggregation reduces repeated dashboard calculation, but the detailed facts remain the audit source. Additive measures such as expenditure can be summed across hospitals and time; ratios such as occupancy or readmission rate must be recalculated from their components. This distinction prevents incorrect totals. The aggregate refresh must therefore run only after detailed facts pass reconciliation and quality checks.</w:t>
      </w:r>
    </w:p>
    <w:p w14:paraId="01013ABA"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The model supports executive decisions without mixing incompatible records. The Chief Executive can compare operational pressure with workforce availability, the Finance Director can relate expenditure to activity, and the Medical Director can examine outcome variation. Access controls and the semantic layer determine which facts and attributes each role may see; the physical star schema alone does not provide governance.</w:t>
      </w:r>
    </w:p>
    <w:p w14:paraId="2736B1C9"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Key design risks must be managed explicitly. A many-to-many relationship, such as one episode involving several diagnoses or staff members, should use a bridge table rather than duplicating the episode fact. Late-arriving records should initially use an “unknown” dimension member and be corrected when the matching master record becomes available. Degenerate identifiers such as an episode number may remain in the fact for traceability, but direct patient identifiers should not. Partitioning large facts by reporting period and indexing common foreign keys can support performance without claiming a guaranteed response time.</w:t>
      </w:r>
    </w:p>
    <w:p w14:paraId="784F390B"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Master data and metadata play different roles. Master data identifies governed entities such as hospitals, patients, staff and services; metadata explains the fields, rules and processing used to create them. Both require ownership. The model should also </w:t>
      </w:r>
      <w:r w:rsidRPr="00F84CD8">
        <w:rPr>
          <w:rFonts w:ascii="Arial" w:hAnsi="Arial" w:cs="Arial"/>
          <w:sz w:val="24"/>
          <w:szCs w:val="24"/>
        </w:rPr>
        <w:lastRenderedPageBreak/>
        <w:t>record effective and expiry dates for historical dimension versions, load batch identifiers for audit, and a quality status showing whether a record is approved for publication. These controls make the schema testable and give analysts enough context to interpret measures correctly [3], [4].</w:t>
      </w:r>
    </w:p>
    <w:p w14:paraId="124C5C37" w14:textId="77777777" w:rsidR="00D61695" w:rsidRPr="00306387" w:rsidRDefault="00D61695" w:rsidP="00D61695">
      <w:pPr>
        <w:pStyle w:val="Heading1"/>
        <w:rPr>
          <w:rFonts w:ascii="Arial" w:hAnsi="Arial" w:cs="Arial"/>
          <w:b/>
          <w:bCs/>
          <w:sz w:val="28"/>
          <w:szCs w:val="28"/>
        </w:rPr>
      </w:pPr>
      <w:r w:rsidRPr="00306387">
        <w:rPr>
          <w:rFonts w:ascii="Arial" w:hAnsi="Arial" w:cs="Arial"/>
          <w:b/>
          <w:bCs/>
          <w:sz w:val="28"/>
          <w:szCs w:val="28"/>
        </w:rPr>
        <w:t>2.3 Data Marts and Schema</w:t>
      </w:r>
    </w:p>
    <w:p w14:paraId="167A5392"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Figure 7 presents three dependent marts. Each exposes a subject-specific star schema but reuses governed dimensions from the EDW. The Operations Mart centres on patient activity and monthly performance; the Finance Mart centres on financial performance; and the Clinical Quality Mart centres on validated outcome facts. Shared date, hospital, patient, staff and service dimensions mean departments use the same reporting periods and organisational definitions [3].</w:t>
      </w:r>
    </w:p>
    <w:p w14:paraId="6DE4B43F"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drawing>
          <wp:inline distT="0" distB="0" distL="0" distR="0" wp14:anchorId="39F2139C" wp14:editId="16E70F88">
            <wp:extent cx="5715000" cy="3238500"/>
            <wp:effectExtent l="0" t="0" r="0" b="0"/>
            <wp:docPr id="7" name="Picture 7" descr="Figure 7. Departmental data-mart schemas derived from the EDW (author’s design, informed by [3], [6])."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7_mart_schemas.png"/>
                    <pic:cNvPicPr/>
                  </pic:nvPicPr>
                  <pic:blipFill>
                    <a:blip r:embed="rId19"/>
                    <a:stretch>
                      <a:fillRect/>
                    </a:stretch>
                  </pic:blipFill>
                  <pic:spPr>
                    <a:xfrm>
                      <a:off x="0" y="0"/>
                      <a:ext cx="5715000" cy="3238500"/>
                    </a:xfrm>
                    <a:prstGeom prst="rect">
                      <a:avLst/>
                    </a:prstGeom>
                  </pic:spPr>
                </pic:pic>
              </a:graphicData>
            </a:graphic>
          </wp:inline>
        </w:drawing>
      </w:r>
    </w:p>
    <w:p w14:paraId="79E3B52B"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7. Departmental data-mart schemas derived from the EDW (author’s design, informed by [3], [6]).</w:t>
      </w:r>
    </w:p>
    <w:p w14:paraId="2FAA1C32"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Refresh schedules reflect risk and need. Operations may refresh hourly or daily, finance follows the ledger cycle, and clinical quality publishes only after clinical validation. A governed semantic layer defines KPIs and hides unnecessary technical detail from directors. Row-level security restricts organisations or records, while role-based access limits functions. Pseudonymisation reduces exposure of direct identifiers, although pseudonymised data remains personal data and still requires protection [12]. Dependent marts are preferable here because independent copies would duplicate transformations and could produce inconsistent results.</w:t>
      </w:r>
    </w:p>
    <w:p w14:paraId="2C088175"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The Operations Mart should permit comparison by hospital, ICS, service and month, with drill-through from an aggregate KPI to validated activity. The Finance Mart should preserve accounting periods and distinguish budget, committed cost and actual expenditure. The Clinical Quality Mart should retain numerator and denominator components for rates and apply disclosure controls where small groups could identify </w:t>
      </w:r>
      <w:r w:rsidRPr="00F84CD8">
        <w:rPr>
          <w:rFonts w:ascii="Arial" w:hAnsi="Arial" w:cs="Arial"/>
          <w:sz w:val="24"/>
          <w:szCs w:val="24"/>
        </w:rPr>
        <w:lastRenderedPageBreak/>
        <w:t>individuals. Cross-mart analysis should occur through shared conformed keys rather than manual spreadsheet matching.</w:t>
      </w:r>
    </w:p>
    <w:p w14:paraId="5D5B306E"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A mart is ready for use only when its reconciliation, access and acceptance tests pass. Business owners should confirm that KPI definitions match policy, analysts should test totals against the EDW, and information-governance staff should approve the permitted level of detail. This creates accountability: the technical team operates the </w:t>
      </w:r>
      <w:proofErr w:type="gramStart"/>
      <w:r w:rsidRPr="00F84CD8">
        <w:rPr>
          <w:rFonts w:ascii="Arial" w:hAnsi="Arial" w:cs="Arial"/>
          <w:sz w:val="24"/>
          <w:szCs w:val="24"/>
        </w:rPr>
        <w:t>pipeline, but</w:t>
      </w:r>
      <w:proofErr w:type="gramEnd"/>
      <w:r w:rsidRPr="00F84CD8">
        <w:rPr>
          <w:rFonts w:ascii="Arial" w:hAnsi="Arial" w:cs="Arial"/>
          <w:sz w:val="24"/>
          <w:szCs w:val="24"/>
        </w:rPr>
        <w:t xml:space="preserve"> named business owners remain responsible for meaning and appropriate use.</w:t>
      </w:r>
    </w:p>
    <w:p w14:paraId="0E5DDE61" w14:textId="77777777" w:rsidR="00D61695" w:rsidRPr="00306387" w:rsidRDefault="00D61695" w:rsidP="00D61695">
      <w:pPr>
        <w:pStyle w:val="Heading1"/>
        <w:rPr>
          <w:rFonts w:ascii="Arial" w:hAnsi="Arial" w:cs="Arial"/>
          <w:b/>
          <w:bCs/>
          <w:sz w:val="28"/>
          <w:szCs w:val="28"/>
        </w:rPr>
      </w:pPr>
      <w:r w:rsidRPr="00306387">
        <w:rPr>
          <w:rFonts w:ascii="Arial" w:hAnsi="Arial" w:cs="Arial"/>
          <w:b/>
          <w:bCs/>
          <w:sz w:val="28"/>
          <w:szCs w:val="28"/>
        </w:rPr>
        <w:t>2.4 Secure ETL Plan</w:t>
      </w:r>
    </w:p>
    <w:p w14:paraId="4228F0BA"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Incremental extraction copies only new or changed records, reducing pressure on live EPR and PAS systems. A restricted staging area holds each batch temporarily for validation, cleansing and reconciliation before publication.</w:t>
      </w:r>
    </w:p>
    <w:p w14:paraId="37A7DFF8" w14:textId="77777777" w:rsidR="00D61695" w:rsidRPr="00F84CD8" w:rsidRDefault="00D61695" w:rsidP="00D61695">
      <w:pPr>
        <w:keepNext/>
        <w:spacing w:before="120" w:after="80"/>
        <w:rPr>
          <w:rFonts w:ascii="Arial" w:hAnsi="Arial" w:cs="Arial"/>
          <w:sz w:val="24"/>
          <w:szCs w:val="24"/>
        </w:rPr>
      </w:pPr>
      <w:r w:rsidRPr="00F84CD8">
        <w:rPr>
          <w:rFonts w:ascii="Arial" w:hAnsi="Arial" w:cs="Arial"/>
          <w:b/>
          <w:sz w:val="24"/>
          <w:szCs w:val="24"/>
        </w:rPr>
        <w:t>Table 3. Secure ETL source-to-target mapping</w:t>
      </w:r>
    </w:p>
    <w:tbl>
      <w:tblPr>
        <w:tblStyle w:val="TableGrid"/>
        <w:tblW w:w="9127" w:type="dxa"/>
        <w:jc w:val="center"/>
        <w:tblLayout w:type="fixed"/>
        <w:tblLook w:val="04A0" w:firstRow="1" w:lastRow="0" w:firstColumn="1" w:lastColumn="0" w:noHBand="0" w:noVBand="1"/>
      </w:tblPr>
      <w:tblGrid>
        <w:gridCol w:w="2641"/>
        <w:gridCol w:w="2641"/>
        <w:gridCol w:w="3845"/>
      </w:tblGrid>
      <w:tr w:rsidR="00D61695" w:rsidRPr="00F84CD8" w14:paraId="15C91C14" w14:textId="77777777" w:rsidTr="00EC26A1">
        <w:trPr>
          <w:tblHeader/>
          <w:jc w:val="center"/>
        </w:trPr>
        <w:tc>
          <w:tcPr>
            <w:tcW w:w="2324" w:type="dxa"/>
            <w:shd w:val="clear" w:color="auto" w:fill="D9EAF7"/>
            <w:tcMar>
              <w:top w:w="90" w:type="dxa"/>
              <w:left w:w="120" w:type="dxa"/>
              <w:bottom w:w="90" w:type="dxa"/>
              <w:right w:w="120" w:type="dxa"/>
            </w:tcMar>
            <w:vAlign w:val="center"/>
          </w:tcPr>
          <w:p w14:paraId="3E48031D" w14:textId="77777777" w:rsidR="00D61695" w:rsidRPr="00F84CD8" w:rsidRDefault="00D61695" w:rsidP="00EC26A1">
            <w:pPr>
              <w:rPr>
                <w:rFonts w:ascii="Arial" w:hAnsi="Arial" w:cs="Arial"/>
                <w:sz w:val="24"/>
                <w:szCs w:val="24"/>
              </w:rPr>
            </w:pPr>
            <w:r w:rsidRPr="00F84CD8">
              <w:rPr>
                <w:rFonts w:ascii="Arial" w:hAnsi="Arial" w:cs="Arial"/>
                <w:b/>
                <w:sz w:val="24"/>
                <w:szCs w:val="24"/>
              </w:rPr>
              <w:t>Target</w:t>
            </w:r>
          </w:p>
        </w:tc>
        <w:tc>
          <w:tcPr>
            <w:tcW w:w="2268" w:type="dxa"/>
            <w:shd w:val="clear" w:color="auto" w:fill="D9EAF7"/>
            <w:tcMar>
              <w:top w:w="90" w:type="dxa"/>
              <w:left w:w="120" w:type="dxa"/>
              <w:bottom w:w="90" w:type="dxa"/>
              <w:right w:w="120" w:type="dxa"/>
            </w:tcMar>
            <w:vAlign w:val="center"/>
          </w:tcPr>
          <w:p w14:paraId="6BAC3717" w14:textId="77777777" w:rsidR="00D61695" w:rsidRPr="00F84CD8" w:rsidRDefault="00D61695" w:rsidP="00EC26A1">
            <w:pPr>
              <w:rPr>
                <w:rFonts w:ascii="Arial" w:hAnsi="Arial" w:cs="Arial"/>
                <w:sz w:val="24"/>
                <w:szCs w:val="24"/>
              </w:rPr>
            </w:pPr>
            <w:r w:rsidRPr="00F84CD8">
              <w:rPr>
                <w:rFonts w:ascii="Arial" w:hAnsi="Arial" w:cs="Arial"/>
                <w:b/>
                <w:sz w:val="24"/>
                <w:szCs w:val="24"/>
              </w:rPr>
              <w:t>Source</w:t>
            </w:r>
          </w:p>
        </w:tc>
        <w:tc>
          <w:tcPr>
            <w:tcW w:w="4535" w:type="dxa"/>
            <w:shd w:val="clear" w:color="auto" w:fill="D9EAF7"/>
            <w:tcMar>
              <w:top w:w="90" w:type="dxa"/>
              <w:left w:w="120" w:type="dxa"/>
              <w:bottom w:w="90" w:type="dxa"/>
              <w:right w:w="120" w:type="dxa"/>
            </w:tcMar>
            <w:vAlign w:val="center"/>
          </w:tcPr>
          <w:p w14:paraId="48CA591A" w14:textId="77777777" w:rsidR="00D61695" w:rsidRPr="00F84CD8" w:rsidRDefault="00D61695" w:rsidP="00EC26A1">
            <w:pPr>
              <w:rPr>
                <w:rFonts w:ascii="Arial" w:hAnsi="Arial" w:cs="Arial"/>
                <w:sz w:val="24"/>
                <w:szCs w:val="24"/>
              </w:rPr>
            </w:pPr>
            <w:r w:rsidRPr="00F84CD8">
              <w:rPr>
                <w:rFonts w:ascii="Arial" w:hAnsi="Arial" w:cs="Arial"/>
                <w:b/>
                <w:sz w:val="24"/>
                <w:szCs w:val="24"/>
              </w:rPr>
              <w:t>Main transformation</w:t>
            </w:r>
          </w:p>
        </w:tc>
      </w:tr>
      <w:tr w:rsidR="00D61695" w:rsidRPr="00F84CD8" w14:paraId="079EBBAD" w14:textId="77777777" w:rsidTr="00EC26A1">
        <w:trPr>
          <w:jc w:val="center"/>
        </w:trPr>
        <w:tc>
          <w:tcPr>
            <w:tcW w:w="3099" w:type="dxa"/>
          </w:tcPr>
          <w:p w14:paraId="5F46F8BD" w14:textId="77777777" w:rsidR="00D61695" w:rsidRPr="00F84CD8" w:rsidRDefault="00D61695" w:rsidP="00EC26A1">
            <w:pPr>
              <w:rPr>
                <w:rFonts w:ascii="Arial" w:hAnsi="Arial" w:cs="Arial"/>
                <w:sz w:val="24"/>
                <w:szCs w:val="24"/>
              </w:rPr>
            </w:pPr>
            <w:r w:rsidRPr="00F84CD8">
              <w:rPr>
                <w:rFonts w:ascii="Arial" w:hAnsi="Arial" w:cs="Arial"/>
                <w:sz w:val="24"/>
                <w:szCs w:val="24"/>
              </w:rPr>
              <w:t>DIM_PATIENT</w:t>
            </w:r>
          </w:p>
        </w:tc>
        <w:tc>
          <w:tcPr>
            <w:tcW w:w="3099" w:type="dxa"/>
          </w:tcPr>
          <w:p w14:paraId="40C163D2" w14:textId="77777777" w:rsidR="00D61695" w:rsidRPr="00F84CD8" w:rsidRDefault="00D61695" w:rsidP="00EC26A1">
            <w:pPr>
              <w:rPr>
                <w:rFonts w:ascii="Arial" w:hAnsi="Arial" w:cs="Arial"/>
                <w:sz w:val="24"/>
                <w:szCs w:val="24"/>
              </w:rPr>
            </w:pPr>
            <w:r w:rsidRPr="00F84CD8">
              <w:rPr>
                <w:rFonts w:ascii="Arial" w:hAnsi="Arial" w:cs="Arial"/>
                <w:sz w:val="24"/>
                <w:szCs w:val="24"/>
              </w:rPr>
              <w:t>EPR / PAS</w:t>
            </w:r>
          </w:p>
        </w:tc>
        <w:tc>
          <w:tcPr>
            <w:tcW w:w="3099" w:type="dxa"/>
          </w:tcPr>
          <w:p w14:paraId="561F3E1D" w14:textId="77777777" w:rsidR="00D61695" w:rsidRPr="00F84CD8" w:rsidRDefault="00D61695" w:rsidP="00EC26A1">
            <w:pPr>
              <w:rPr>
                <w:rFonts w:ascii="Arial" w:hAnsi="Arial" w:cs="Arial"/>
                <w:sz w:val="24"/>
                <w:szCs w:val="24"/>
              </w:rPr>
            </w:pPr>
            <w:r w:rsidRPr="00F84CD8">
              <w:rPr>
                <w:rFonts w:ascii="Arial" w:hAnsi="Arial" w:cs="Arial"/>
                <w:sz w:val="24"/>
                <w:szCs w:val="24"/>
              </w:rPr>
              <w:t>Deduplicate, validate NHS number, pseudonymise, create surrogate key</w:t>
            </w:r>
          </w:p>
        </w:tc>
      </w:tr>
      <w:tr w:rsidR="00D61695" w:rsidRPr="00F84CD8" w14:paraId="14BF592F" w14:textId="77777777" w:rsidTr="00EC26A1">
        <w:trPr>
          <w:jc w:val="center"/>
        </w:trPr>
        <w:tc>
          <w:tcPr>
            <w:tcW w:w="3099" w:type="dxa"/>
          </w:tcPr>
          <w:p w14:paraId="6F9286DB" w14:textId="77777777" w:rsidR="00D61695" w:rsidRPr="00F84CD8" w:rsidRDefault="00D61695" w:rsidP="00EC26A1">
            <w:pPr>
              <w:rPr>
                <w:rFonts w:ascii="Arial" w:hAnsi="Arial" w:cs="Arial"/>
                <w:sz w:val="24"/>
                <w:szCs w:val="24"/>
              </w:rPr>
            </w:pPr>
            <w:r w:rsidRPr="00F84CD8">
              <w:rPr>
                <w:rFonts w:ascii="Arial" w:hAnsi="Arial" w:cs="Arial"/>
                <w:sz w:val="24"/>
                <w:szCs w:val="24"/>
              </w:rPr>
              <w:t>DIM_STAFF</w:t>
            </w:r>
          </w:p>
        </w:tc>
        <w:tc>
          <w:tcPr>
            <w:tcW w:w="3099" w:type="dxa"/>
          </w:tcPr>
          <w:p w14:paraId="634C6370" w14:textId="77777777" w:rsidR="00D61695" w:rsidRPr="00F84CD8" w:rsidRDefault="00D61695" w:rsidP="00EC26A1">
            <w:pPr>
              <w:rPr>
                <w:rFonts w:ascii="Arial" w:hAnsi="Arial" w:cs="Arial"/>
                <w:sz w:val="24"/>
                <w:szCs w:val="24"/>
              </w:rPr>
            </w:pPr>
            <w:r w:rsidRPr="00F84CD8">
              <w:rPr>
                <w:rFonts w:ascii="Arial" w:hAnsi="Arial" w:cs="Arial"/>
                <w:sz w:val="24"/>
                <w:szCs w:val="24"/>
              </w:rPr>
              <w:t>Workforce / ESR</w:t>
            </w:r>
          </w:p>
        </w:tc>
        <w:tc>
          <w:tcPr>
            <w:tcW w:w="3099" w:type="dxa"/>
          </w:tcPr>
          <w:p w14:paraId="048F9E7A" w14:textId="77777777" w:rsidR="00D61695" w:rsidRPr="00F84CD8" w:rsidRDefault="00D61695" w:rsidP="00EC26A1">
            <w:pPr>
              <w:rPr>
                <w:rFonts w:ascii="Arial" w:hAnsi="Arial" w:cs="Arial"/>
                <w:sz w:val="24"/>
                <w:szCs w:val="24"/>
              </w:rPr>
            </w:pPr>
            <w:r w:rsidRPr="00F84CD8">
              <w:rPr>
                <w:rFonts w:ascii="Arial" w:hAnsi="Arial" w:cs="Arial"/>
                <w:sz w:val="24"/>
                <w:szCs w:val="24"/>
              </w:rPr>
              <w:t>Standardise role, band and specialty</w:t>
            </w:r>
          </w:p>
        </w:tc>
      </w:tr>
      <w:tr w:rsidR="00D61695" w:rsidRPr="00F84CD8" w14:paraId="562B7ACF" w14:textId="77777777" w:rsidTr="00EC26A1">
        <w:trPr>
          <w:jc w:val="center"/>
        </w:trPr>
        <w:tc>
          <w:tcPr>
            <w:tcW w:w="3099" w:type="dxa"/>
          </w:tcPr>
          <w:p w14:paraId="0BCD0FA8" w14:textId="77777777" w:rsidR="00D61695" w:rsidRPr="00F84CD8" w:rsidRDefault="00D61695" w:rsidP="00EC26A1">
            <w:pPr>
              <w:rPr>
                <w:rFonts w:ascii="Arial" w:hAnsi="Arial" w:cs="Arial"/>
                <w:sz w:val="24"/>
                <w:szCs w:val="24"/>
              </w:rPr>
            </w:pPr>
            <w:r w:rsidRPr="00F84CD8">
              <w:rPr>
                <w:rFonts w:ascii="Arial" w:hAnsi="Arial" w:cs="Arial"/>
                <w:sz w:val="24"/>
                <w:szCs w:val="24"/>
              </w:rPr>
              <w:t>DIM_HOSPITAL</w:t>
            </w:r>
          </w:p>
        </w:tc>
        <w:tc>
          <w:tcPr>
            <w:tcW w:w="3099" w:type="dxa"/>
          </w:tcPr>
          <w:p w14:paraId="54DE609E" w14:textId="77777777" w:rsidR="00D61695" w:rsidRPr="00F84CD8" w:rsidRDefault="00D61695" w:rsidP="00EC26A1">
            <w:pPr>
              <w:rPr>
                <w:rFonts w:ascii="Arial" w:hAnsi="Arial" w:cs="Arial"/>
                <w:sz w:val="24"/>
                <w:szCs w:val="24"/>
              </w:rPr>
            </w:pPr>
            <w:r w:rsidRPr="00F84CD8">
              <w:rPr>
                <w:rFonts w:ascii="Arial" w:hAnsi="Arial" w:cs="Arial"/>
                <w:sz w:val="24"/>
                <w:szCs w:val="24"/>
              </w:rPr>
              <w:t>Reference data</w:t>
            </w:r>
          </w:p>
        </w:tc>
        <w:tc>
          <w:tcPr>
            <w:tcW w:w="3099" w:type="dxa"/>
          </w:tcPr>
          <w:p w14:paraId="722D7D43" w14:textId="77777777" w:rsidR="00D61695" w:rsidRPr="00F84CD8" w:rsidRDefault="00D61695" w:rsidP="00EC26A1">
            <w:pPr>
              <w:rPr>
                <w:rFonts w:ascii="Arial" w:hAnsi="Arial" w:cs="Arial"/>
                <w:sz w:val="24"/>
                <w:szCs w:val="24"/>
              </w:rPr>
            </w:pPr>
            <w:r w:rsidRPr="00F84CD8">
              <w:rPr>
                <w:rFonts w:ascii="Arial" w:hAnsi="Arial" w:cs="Arial"/>
                <w:sz w:val="24"/>
                <w:szCs w:val="24"/>
              </w:rPr>
              <w:t>Map provider to Trust, ICS and region</w:t>
            </w:r>
          </w:p>
        </w:tc>
      </w:tr>
      <w:tr w:rsidR="00D61695" w:rsidRPr="00F84CD8" w14:paraId="371C2AF9" w14:textId="77777777" w:rsidTr="00EC26A1">
        <w:trPr>
          <w:jc w:val="center"/>
        </w:trPr>
        <w:tc>
          <w:tcPr>
            <w:tcW w:w="3099" w:type="dxa"/>
          </w:tcPr>
          <w:p w14:paraId="5D13409F" w14:textId="77777777" w:rsidR="00D61695" w:rsidRPr="00F84CD8" w:rsidRDefault="00D61695" w:rsidP="00EC26A1">
            <w:pPr>
              <w:rPr>
                <w:rFonts w:ascii="Arial" w:hAnsi="Arial" w:cs="Arial"/>
                <w:sz w:val="24"/>
                <w:szCs w:val="24"/>
              </w:rPr>
            </w:pPr>
            <w:r w:rsidRPr="00F84CD8">
              <w:rPr>
                <w:rFonts w:ascii="Arial" w:hAnsi="Arial" w:cs="Arial"/>
                <w:sz w:val="24"/>
                <w:szCs w:val="24"/>
              </w:rPr>
              <w:t>DIM_TREATMENT</w:t>
            </w:r>
          </w:p>
        </w:tc>
        <w:tc>
          <w:tcPr>
            <w:tcW w:w="3099" w:type="dxa"/>
          </w:tcPr>
          <w:p w14:paraId="46A30368" w14:textId="77777777" w:rsidR="00D61695" w:rsidRPr="00F84CD8" w:rsidRDefault="00D61695" w:rsidP="00EC26A1">
            <w:pPr>
              <w:rPr>
                <w:rFonts w:ascii="Arial" w:hAnsi="Arial" w:cs="Arial"/>
                <w:sz w:val="24"/>
                <w:szCs w:val="24"/>
              </w:rPr>
            </w:pPr>
            <w:r w:rsidRPr="00F84CD8">
              <w:rPr>
                <w:rFonts w:ascii="Arial" w:hAnsi="Arial" w:cs="Arial"/>
                <w:sz w:val="24"/>
                <w:szCs w:val="24"/>
              </w:rPr>
              <w:t>Clinical systems</w:t>
            </w:r>
          </w:p>
        </w:tc>
        <w:tc>
          <w:tcPr>
            <w:tcW w:w="3099" w:type="dxa"/>
          </w:tcPr>
          <w:p w14:paraId="76C678FB" w14:textId="77777777" w:rsidR="00D61695" w:rsidRPr="00F84CD8" w:rsidRDefault="00D61695" w:rsidP="00EC26A1">
            <w:pPr>
              <w:rPr>
                <w:rFonts w:ascii="Arial" w:hAnsi="Arial" w:cs="Arial"/>
                <w:sz w:val="24"/>
                <w:szCs w:val="24"/>
              </w:rPr>
            </w:pPr>
            <w:r w:rsidRPr="00F84CD8">
              <w:rPr>
                <w:rFonts w:ascii="Arial" w:hAnsi="Arial" w:cs="Arial"/>
                <w:sz w:val="24"/>
                <w:szCs w:val="24"/>
              </w:rPr>
              <w:t>Standardise ICD-10, OPCS-4 and local codes</w:t>
            </w:r>
          </w:p>
        </w:tc>
      </w:tr>
      <w:tr w:rsidR="00D61695" w:rsidRPr="00F84CD8" w14:paraId="0461C93C" w14:textId="77777777" w:rsidTr="00EC26A1">
        <w:trPr>
          <w:jc w:val="center"/>
        </w:trPr>
        <w:tc>
          <w:tcPr>
            <w:tcW w:w="3099" w:type="dxa"/>
          </w:tcPr>
          <w:p w14:paraId="4EA95A9D" w14:textId="77777777" w:rsidR="00D61695" w:rsidRPr="00F84CD8" w:rsidRDefault="00D61695" w:rsidP="00EC26A1">
            <w:pPr>
              <w:rPr>
                <w:rFonts w:ascii="Arial" w:hAnsi="Arial" w:cs="Arial"/>
                <w:sz w:val="24"/>
                <w:szCs w:val="24"/>
              </w:rPr>
            </w:pPr>
            <w:r w:rsidRPr="00F84CD8">
              <w:rPr>
                <w:rFonts w:ascii="Arial" w:hAnsi="Arial" w:cs="Arial"/>
                <w:sz w:val="24"/>
                <w:szCs w:val="24"/>
              </w:rPr>
              <w:t>FACT_PATIENT_ACTIVITY</w:t>
            </w:r>
          </w:p>
        </w:tc>
        <w:tc>
          <w:tcPr>
            <w:tcW w:w="3099" w:type="dxa"/>
          </w:tcPr>
          <w:p w14:paraId="52060FCD" w14:textId="77777777" w:rsidR="00D61695" w:rsidRPr="00F84CD8" w:rsidRDefault="00D61695" w:rsidP="00EC26A1">
            <w:pPr>
              <w:rPr>
                <w:rFonts w:ascii="Arial" w:hAnsi="Arial" w:cs="Arial"/>
                <w:sz w:val="24"/>
                <w:szCs w:val="24"/>
              </w:rPr>
            </w:pPr>
            <w:r w:rsidRPr="00F84CD8">
              <w:rPr>
                <w:rFonts w:ascii="Arial" w:hAnsi="Arial" w:cs="Arial"/>
                <w:sz w:val="24"/>
                <w:szCs w:val="24"/>
              </w:rPr>
              <w:t>PAS / EPR</w:t>
            </w:r>
          </w:p>
        </w:tc>
        <w:tc>
          <w:tcPr>
            <w:tcW w:w="3099" w:type="dxa"/>
          </w:tcPr>
          <w:p w14:paraId="4D991259" w14:textId="77777777" w:rsidR="00D61695" w:rsidRPr="00F84CD8" w:rsidRDefault="00D61695" w:rsidP="00EC26A1">
            <w:pPr>
              <w:rPr>
                <w:rFonts w:ascii="Arial" w:hAnsi="Arial" w:cs="Arial"/>
                <w:sz w:val="24"/>
                <w:szCs w:val="24"/>
              </w:rPr>
            </w:pPr>
            <w:r w:rsidRPr="00F84CD8">
              <w:rPr>
                <w:rFonts w:ascii="Arial" w:hAnsi="Arial" w:cs="Arial"/>
                <w:sz w:val="24"/>
                <w:szCs w:val="24"/>
              </w:rPr>
              <w:t>Calculate waiting time, length of stay and activity measures</w:t>
            </w:r>
          </w:p>
        </w:tc>
      </w:tr>
      <w:tr w:rsidR="00D61695" w:rsidRPr="00F84CD8" w14:paraId="35CE19CA" w14:textId="77777777" w:rsidTr="00EC26A1">
        <w:trPr>
          <w:jc w:val="center"/>
        </w:trPr>
        <w:tc>
          <w:tcPr>
            <w:tcW w:w="3099" w:type="dxa"/>
          </w:tcPr>
          <w:p w14:paraId="3671C1AA" w14:textId="77777777" w:rsidR="00D61695" w:rsidRPr="00F84CD8" w:rsidRDefault="00D61695" w:rsidP="00EC26A1">
            <w:pPr>
              <w:rPr>
                <w:rFonts w:ascii="Arial" w:hAnsi="Arial" w:cs="Arial"/>
                <w:sz w:val="24"/>
                <w:szCs w:val="24"/>
              </w:rPr>
            </w:pPr>
            <w:r w:rsidRPr="00F84CD8">
              <w:rPr>
                <w:rFonts w:ascii="Arial" w:hAnsi="Arial" w:cs="Arial"/>
                <w:sz w:val="24"/>
                <w:szCs w:val="24"/>
              </w:rPr>
              <w:t>FACT_FINANCIAL_PERFORMANCE</w:t>
            </w:r>
          </w:p>
        </w:tc>
        <w:tc>
          <w:tcPr>
            <w:tcW w:w="3099" w:type="dxa"/>
          </w:tcPr>
          <w:p w14:paraId="451F5972" w14:textId="77777777" w:rsidR="00D61695" w:rsidRPr="00F84CD8" w:rsidRDefault="00D61695" w:rsidP="00EC26A1">
            <w:pPr>
              <w:rPr>
                <w:rFonts w:ascii="Arial" w:hAnsi="Arial" w:cs="Arial"/>
                <w:sz w:val="24"/>
                <w:szCs w:val="24"/>
              </w:rPr>
            </w:pPr>
            <w:r w:rsidRPr="00F84CD8">
              <w:rPr>
                <w:rFonts w:ascii="Arial" w:hAnsi="Arial" w:cs="Arial"/>
                <w:sz w:val="24"/>
                <w:szCs w:val="24"/>
              </w:rPr>
              <w:t>Financial ledger</w:t>
            </w:r>
          </w:p>
        </w:tc>
        <w:tc>
          <w:tcPr>
            <w:tcW w:w="3099" w:type="dxa"/>
          </w:tcPr>
          <w:p w14:paraId="5EB73737" w14:textId="77777777" w:rsidR="00D61695" w:rsidRPr="00F84CD8" w:rsidRDefault="00D61695" w:rsidP="00EC26A1">
            <w:pPr>
              <w:rPr>
                <w:rFonts w:ascii="Arial" w:hAnsi="Arial" w:cs="Arial"/>
                <w:sz w:val="24"/>
                <w:szCs w:val="24"/>
              </w:rPr>
            </w:pPr>
            <w:r w:rsidRPr="00F84CD8">
              <w:rPr>
                <w:rFonts w:ascii="Arial" w:hAnsi="Arial" w:cs="Arial"/>
                <w:sz w:val="24"/>
                <w:szCs w:val="24"/>
              </w:rPr>
              <w:t>Standardise cost and calculate budget variance</w:t>
            </w:r>
          </w:p>
        </w:tc>
      </w:tr>
      <w:tr w:rsidR="00D61695" w:rsidRPr="00F84CD8" w14:paraId="52D26789" w14:textId="77777777" w:rsidTr="00EC26A1">
        <w:trPr>
          <w:jc w:val="center"/>
        </w:trPr>
        <w:tc>
          <w:tcPr>
            <w:tcW w:w="3099" w:type="dxa"/>
          </w:tcPr>
          <w:p w14:paraId="3EC027EF" w14:textId="77777777" w:rsidR="00D61695" w:rsidRPr="00F84CD8" w:rsidRDefault="00D61695" w:rsidP="00EC26A1">
            <w:pPr>
              <w:rPr>
                <w:rFonts w:ascii="Arial" w:hAnsi="Arial" w:cs="Arial"/>
                <w:sz w:val="24"/>
                <w:szCs w:val="24"/>
              </w:rPr>
            </w:pPr>
            <w:r w:rsidRPr="00F84CD8">
              <w:rPr>
                <w:rFonts w:ascii="Arial" w:hAnsi="Arial" w:cs="Arial"/>
                <w:sz w:val="24"/>
                <w:szCs w:val="24"/>
              </w:rPr>
              <w:t>FACT_WORKFORCE_UTILISATION</w:t>
            </w:r>
          </w:p>
        </w:tc>
        <w:tc>
          <w:tcPr>
            <w:tcW w:w="3099" w:type="dxa"/>
          </w:tcPr>
          <w:p w14:paraId="6CC8D596" w14:textId="77777777" w:rsidR="00D61695" w:rsidRPr="00F84CD8" w:rsidRDefault="00D61695" w:rsidP="00EC26A1">
            <w:pPr>
              <w:rPr>
                <w:rFonts w:ascii="Arial" w:hAnsi="Arial" w:cs="Arial"/>
                <w:sz w:val="24"/>
                <w:szCs w:val="24"/>
              </w:rPr>
            </w:pPr>
            <w:r w:rsidRPr="00F84CD8">
              <w:rPr>
                <w:rFonts w:ascii="Arial" w:hAnsi="Arial" w:cs="Arial"/>
                <w:sz w:val="24"/>
                <w:szCs w:val="24"/>
              </w:rPr>
              <w:t>Workforce systems</w:t>
            </w:r>
          </w:p>
        </w:tc>
        <w:tc>
          <w:tcPr>
            <w:tcW w:w="3099" w:type="dxa"/>
          </w:tcPr>
          <w:p w14:paraId="6FB6CC8E" w14:textId="77777777" w:rsidR="00D61695" w:rsidRPr="00F84CD8" w:rsidRDefault="00D61695" w:rsidP="00EC26A1">
            <w:pPr>
              <w:rPr>
                <w:rFonts w:ascii="Arial" w:hAnsi="Arial" w:cs="Arial"/>
                <w:sz w:val="24"/>
                <w:szCs w:val="24"/>
              </w:rPr>
            </w:pPr>
            <w:r w:rsidRPr="00F84CD8">
              <w:rPr>
                <w:rFonts w:ascii="Arial" w:hAnsi="Arial" w:cs="Arial"/>
                <w:sz w:val="24"/>
                <w:szCs w:val="24"/>
              </w:rPr>
              <w:t>Calculate worked, agency, overtime and sickness hours</w:t>
            </w:r>
          </w:p>
        </w:tc>
      </w:tr>
    </w:tbl>
    <w:p w14:paraId="6CDAC7A9" w14:textId="77777777" w:rsidR="00D61695" w:rsidRDefault="00D61695" w:rsidP="00D61695">
      <w:pPr>
        <w:spacing w:after="0"/>
        <w:rPr>
          <w:rFonts w:ascii="Arial" w:hAnsi="Arial" w:cs="Arial"/>
          <w:sz w:val="24"/>
          <w:szCs w:val="24"/>
        </w:rPr>
      </w:pPr>
    </w:p>
    <w:p w14:paraId="046D1B6A" w14:textId="77777777" w:rsidR="00A85E8F" w:rsidRDefault="00A85E8F" w:rsidP="00D61695">
      <w:pPr>
        <w:spacing w:after="0"/>
        <w:rPr>
          <w:rFonts w:ascii="Arial" w:hAnsi="Arial" w:cs="Arial"/>
          <w:sz w:val="24"/>
          <w:szCs w:val="24"/>
        </w:rPr>
      </w:pPr>
    </w:p>
    <w:p w14:paraId="62AEC931" w14:textId="2DB1AF6A" w:rsidR="00A85E8F" w:rsidRDefault="00A85E8F" w:rsidP="00A85E8F">
      <w:pPr>
        <w:jc w:val="both"/>
        <w:rPr>
          <w:rFonts w:ascii="Arial" w:hAnsi="Arial" w:cs="Arial"/>
          <w:sz w:val="24"/>
          <w:szCs w:val="24"/>
        </w:rPr>
      </w:pPr>
      <w:r w:rsidRPr="008E0CF9">
        <w:rPr>
          <w:rFonts w:ascii="Arial" w:hAnsi="Arial" w:cs="Arial"/>
          <w:noProof/>
          <w:sz w:val="24"/>
          <w:szCs w:val="24"/>
        </w:rPr>
        <w:lastRenderedPageBreak/>
        <w:drawing>
          <wp:anchor distT="0" distB="0" distL="114300" distR="114300" simplePos="0" relativeHeight="251660800" behindDoc="0" locked="0" layoutInCell="1" allowOverlap="1" wp14:anchorId="14AAABFD" wp14:editId="14A35199">
            <wp:simplePos x="0" y="0"/>
            <wp:positionH relativeFrom="margin">
              <wp:align>center</wp:align>
            </wp:positionH>
            <wp:positionV relativeFrom="paragraph">
              <wp:posOffset>473710</wp:posOffset>
            </wp:positionV>
            <wp:extent cx="6362700" cy="3817620"/>
            <wp:effectExtent l="0" t="0" r="0" b="0"/>
            <wp:wrapThrough wrapText="bothSides">
              <wp:wrapPolygon edited="0">
                <wp:start x="0" y="0"/>
                <wp:lineTo x="0" y="21449"/>
                <wp:lineTo x="21535" y="21449"/>
                <wp:lineTo x="21535" y="0"/>
                <wp:lineTo x="0" y="0"/>
              </wp:wrapPolygon>
            </wp:wrapThrough>
            <wp:docPr id="112437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71641" name=""/>
                    <pic:cNvPicPr/>
                  </pic:nvPicPr>
                  <pic:blipFill>
                    <a:blip r:embed="rId20">
                      <a:extLst>
                        <a:ext uri="{28A0092B-C50C-407E-A947-70E740481C1C}">
                          <a14:useLocalDpi xmlns:a14="http://schemas.microsoft.com/office/drawing/2010/main" val="0"/>
                        </a:ext>
                      </a:extLst>
                    </a:blip>
                    <a:stretch>
                      <a:fillRect/>
                    </a:stretch>
                  </pic:blipFill>
                  <pic:spPr>
                    <a:xfrm>
                      <a:off x="0" y="0"/>
                      <a:ext cx="6362700" cy="3817620"/>
                    </a:xfrm>
                    <a:prstGeom prst="rect">
                      <a:avLst/>
                    </a:prstGeom>
                  </pic:spPr>
                </pic:pic>
              </a:graphicData>
            </a:graphic>
            <wp14:sizeRelH relativeFrom="page">
              <wp14:pctWidth>0</wp14:pctWidth>
            </wp14:sizeRelH>
            <wp14:sizeRelV relativeFrom="page">
              <wp14:pctHeight>0</wp14:pctHeight>
            </wp14:sizeRelV>
          </wp:anchor>
        </w:drawing>
      </w:r>
      <w:r w:rsidRPr="007C0D6D">
        <w:rPr>
          <w:rFonts w:ascii="Arial" w:hAnsi="Arial" w:cs="Arial"/>
          <w:b/>
          <w:bCs/>
          <w:color w:val="45B0E1" w:themeColor="accent1" w:themeTint="99"/>
          <w:sz w:val="28"/>
          <w:szCs w:val="28"/>
        </w:rPr>
        <w:t>ETL Process Overview</w:t>
      </w:r>
    </w:p>
    <w:p w14:paraId="66694373" w14:textId="77777777" w:rsidR="00A85E8F" w:rsidRPr="00910BEE" w:rsidRDefault="00A85E8F" w:rsidP="00A85E8F">
      <w:pPr>
        <w:jc w:val="both"/>
        <w:rPr>
          <w:rFonts w:ascii="Arial" w:hAnsi="Arial" w:cs="Arial"/>
          <w:sz w:val="24"/>
          <w:szCs w:val="24"/>
        </w:rPr>
      </w:pPr>
    </w:p>
    <w:p w14:paraId="6F4D8D22" w14:textId="77777777" w:rsidR="00A85E8F" w:rsidRDefault="00A85E8F" w:rsidP="00A85E8F">
      <w:pPr>
        <w:jc w:val="both"/>
        <w:rPr>
          <w:rFonts w:ascii="Arial" w:hAnsi="Arial" w:cs="Arial"/>
          <w:sz w:val="24"/>
          <w:szCs w:val="24"/>
        </w:rPr>
      </w:pPr>
    </w:p>
    <w:p w14:paraId="0D2C42F2" w14:textId="77777777" w:rsidR="00A85E8F" w:rsidRPr="00F82DA8" w:rsidRDefault="00A85E8F" w:rsidP="00A85E8F">
      <w:pPr>
        <w:jc w:val="both"/>
        <w:rPr>
          <w:rFonts w:ascii="Comic Sans MS" w:hAnsi="Comic Sans MS"/>
          <w:b/>
          <w:bCs/>
        </w:rPr>
      </w:pPr>
      <w:r w:rsidRPr="00F82DA8">
        <w:rPr>
          <w:rFonts w:ascii="Arial" w:hAnsi="Arial" w:cs="Arial"/>
          <w:b/>
          <w:bCs/>
        </w:rPr>
        <w:t xml:space="preserve">Figure 8: General ETL Process from Source Systems through a Staging Area to the Data Warehouse </w:t>
      </w:r>
      <w:r w:rsidRPr="00F82DA8">
        <w:rPr>
          <w:rFonts w:ascii="Comic Sans MS" w:hAnsi="Comic Sans MS"/>
          <w:b/>
          <w:bCs/>
        </w:rPr>
        <w:t>[1], [2].</w:t>
      </w:r>
    </w:p>
    <w:p w14:paraId="7610FF79" w14:textId="77777777" w:rsidR="00A85E8F" w:rsidRDefault="00A85E8F" w:rsidP="00A85E8F">
      <w:pPr>
        <w:jc w:val="both"/>
        <w:rPr>
          <w:rFonts w:ascii="Arial" w:hAnsi="Arial" w:cs="Arial"/>
          <w:sz w:val="24"/>
          <w:szCs w:val="24"/>
        </w:rPr>
      </w:pPr>
      <w:r w:rsidRPr="002E54A5">
        <w:rPr>
          <w:rFonts w:ascii="Arial" w:hAnsi="Arial" w:cs="Arial"/>
          <w:sz w:val="24"/>
          <w:szCs w:val="24"/>
        </w:rPr>
        <w:t>The figure shows the ETL process: data is extracted from different source systems, temporarily stored and transformed in a staging area, and then loaded into the data warehouse for reporting and analysis.</w:t>
      </w:r>
    </w:p>
    <w:p w14:paraId="0525C2B1" w14:textId="77777777" w:rsidR="00A85E8F" w:rsidRPr="00AF2577" w:rsidRDefault="00A85E8F" w:rsidP="00A85E8F">
      <w:pPr>
        <w:rPr>
          <w:rFonts w:ascii="Arial" w:hAnsi="Arial" w:cs="Arial"/>
          <w:sz w:val="24"/>
          <w:szCs w:val="24"/>
        </w:rPr>
      </w:pPr>
    </w:p>
    <w:p w14:paraId="5B944884" w14:textId="77777777" w:rsidR="00A85E8F" w:rsidRPr="00F84CD8" w:rsidRDefault="00A85E8F" w:rsidP="00D61695">
      <w:pPr>
        <w:spacing w:after="0"/>
        <w:rPr>
          <w:rFonts w:ascii="Arial" w:hAnsi="Arial" w:cs="Arial"/>
          <w:sz w:val="24"/>
          <w:szCs w:val="24"/>
        </w:rPr>
      </w:pPr>
    </w:p>
    <w:p w14:paraId="202A96E2" w14:textId="77777777" w:rsidR="00D61695" w:rsidRPr="00F84CD8" w:rsidRDefault="00D61695" w:rsidP="00D61695">
      <w:pPr>
        <w:keepNext/>
        <w:jc w:val="center"/>
        <w:rPr>
          <w:rFonts w:ascii="Arial" w:hAnsi="Arial" w:cs="Arial"/>
          <w:sz w:val="24"/>
          <w:szCs w:val="24"/>
        </w:rPr>
      </w:pPr>
      <w:r w:rsidRPr="00F84CD8">
        <w:rPr>
          <w:rFonts w:ascii="Arial" w:hAnsi="Arial" w:cs="Arial"/>
          <w:noProof/>
          <w:sz w:val="24"/>
          <w:szCs w:val="24"/>
        </w:rPr>
        <w:lastRenderedPageBreak/>
        <w:drawing>
          <wp:inline distT="0" distB="0" distL="0" distR="0" wp14:anchorId="394B8F4D" wp14:editId="22C54DF9">
            <wp:extent cx="4800600" cy="4826135"/>
            <wp:effectExtent l="0" t="0" r="0" b="0"/>
            <wp:docPr id="8" name="Picture 8" descr="Figure 8. ETL process for loading NHS operational data into the Enterprise Data Warehouse (author’s design, informed by [3], [5])."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1).png"/>
                    <pic:cNvPicPr/>
                  </pic:nvPicPr>
                  <pic:blipFill>
                    <a:blip r:embed="rId21"/>
                    <a:stretch>
                      <a:fillRect/>
                    </a:stretch>
                  </pic:blipFill>
                  <pic:spPr>
                    <a:xfrm>
                      <a:off x="0" y="0"/>
                      <a:ext cx="4800600" cy="4826135"/>
                    </a:xfrm>
                    <a:prstGeom prst="rect">
                      <a:avLst/>
                    </a:prstGeom>
                  </pic:spPr>
                </pic:pic>
              </a:graphicData>
            </a:graphic>
          </wp:inline>
        </w:drawing>
      </w:r>
    </w:p>
    <w:p w14:paraId="1CEB1294" w14:textId="77777777" w:rsidR="00D61695" w:rsidRPr="00F84CD8" w:rsidRDefault="00D61695" w:rsidP="00D61695">
      <w:pPr>
        <w:pStyle w:val="Caption"/>
        <w:spacing w:before="80"/>
        <w:jc w:val="center"/>
        <w:rPr>
          <w:rFonts w:cs="Arial"/>
          <w:sz w:val="24"/>
          <w:szCs w:val="24"/>
        </w:rPr>
      </w:pPr>
      <w:r w:rsidRPr="00F84CD8">
        <w:rPr>
          <w:rFonts w:cs="Arial"/>
          <w:i/>
          <w:sz w:val="24"/>
          <w:szCs w:val="24"/>
        </w:rPr>
        <w:t>Figure 8. ETL process for loading NHS operational data into the Enterprise Data Warehouse (author’s design, informed by [3], [5]).</w:t>
      </w:r>
    </w:p>
    <w:p w14:paraId="01346D45"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Figure 8 shows data moving from EPR, PAS, clinical, workforce and finance systems through extraction and transformation. Cleaned and validated records are loaded into dimension tables first, followed by fact and aggregate tables in the EDW.</w:t>
      </w:r>
    </w:p>
    <w:p w14:paraId="535097B4" w14:textId="77777777" w:rsidR="00D61695" w:rsidRPr="00A1779F" w:rsidRDefault="00D61695" w:rsidP="00D61695">
      <w:pPr>
        <w:pStyle w:val="Heading2"/>
        <w:rPr>
          <w:rFonts w:ascii="Arial" w:hAnsi="Arial" w:cs="Arial"/>
          <w:b/>
          <w:bCs/>
          <w:sz w:val="28"/>
          <w:szCs w:val="28"/>
        </w:rPr>
      </w:pPr>
      <w:r w:rsidRPr="00A1779F">
        <w:rPr>
          <w:rFonts w:ascii="Arial" w:hAnsi="Arial" w:cs="Arial"/>
          <w:b/>
          <w:bCs/>
          <w:sz w:val="28"/>
          <w:szCs w:val="28"/>
        </w:rPr>
        <w:t>ETL Security and Resilience</w:t>
      </w:r>
    </w:p>
    <w:p w14:paraId="55D8B19A" w14:textId="77777777" w:rsidR="00D61695" w:rsidRPr="00F84CD8" w:rsidRDefault="00D61695" w:rsidP="00D61695">
      <w:pPr>
        <w:keepLines/>
        <w:jc w:val="both"/>
        <w:rPr>
          <w:rFonts w:ascii="Arial" w:hAnsi="Arial" w:cs="Arial"/>
          <w:sz w:val="24"/>
          <w:szCs w:val="24"/>
        </w:rPr>
      </w:pPr>
      <w:r w:rsidRPr="00F84CD8">
        <w:rPr>
          <w:rFonts w:ascii="Arial" w:hAnsi="Arial" w:cs="Arial"/>
          <w:sz w:val="24"/>
          <w:szCs w:val="24"/>
        </w:rPr>
        <w:t>Security is applied throughout ETL. Data is encrypted during transfer and storage, while direct patient identifiers are pseudonymised before loading. Role-based access and least privilege ensure that users and service accounts can access only the information required for their work. Managed credentials prevent unauthorised system access, and audit logs record extraction, transformation, access and deletion. Failed records are quarantined for investigation; if a critical validation or security check fails, publication stops and the previous trusted dashboard remains available. These controls protect patient information, maintain accountability and prevent ETL failures from disrupting frontline healthcare systems [12]–[17].</w:t>
      </w:r>
    </w:p>
    <w:p w14:paraId="752244BF" w14:textId="77777777" w:rsidR="00D61695" w:rsidRPr="00A1779F" w:rsidRDefault="00D61695" w:rsidP="00D61695">
      <w:pPr>
        <w:pStyle w:val="Heading1"/>
        <w:rPr>
          <w:rFonts w:ascii="Arial" w:hAnsi="Arial" w:cs="Arial"/>
          <w:b/>
          <w:bCs/>
          <w:sz w:val="28"/>
          <w:szCs w:val="28"/>
        </w:rPr>
      </w:pPr>
      <w:r w:rsidRPr="00A1779F">
        <w:rPr>
          <w:rFonts w:ascii="Arial" w:hAnsi="Arial" w:cs="Arial"/>
          <w:b/>
          <w:bCs/>
          <w:sz w:val="28"/>
          <w:szCs w:val="28"/>
        </w:rPr>
        <w:lastRenderedPageBreak/>
        <w:t>2.5 Data Quality and Governance</w:t>
      </w:r>
    </w:p>
    <w:p w14:paraId="3EB4517E" w14:textId="2C3F3D82" w:rsidR="00D61695" w:rsidRPr="00F84CD8" w:rsidRDefault="00D61695" w:rsidP="00D61695">
      <w:pPr>
        <w:jc w:val="both"/>
        <w:rPr>
          <w:rFonts w:ascii="Arial" w:hAnsi="Arial" w:cs="Arial"/>
          <w:sz w:val="24"/>
          <w:szCs w:val="24"/>
        </w:rPr>
      </w:pPr>
      <w:r w:rsidRPr="00F84CD8">
        <w:rPr>
          <w:rFonts w:ascii="Arial" w:hAnsi="Arial" w:cs="Arial"/>
          <w:sz w:val="24"/>
          <w:szCs w:val="24"/>
        </w:rPr>
        <w:t xml:space="preserve">Automated rules should measure accuracy, completeness, validity, consistency, uniqueness and timeliness. Examples include valid NHS numbers, complete mandatory fields, unique patient records, mapped clinical codes, reconciled totals and delivery within the agreed refresh window [6]. Named data owners approve use and definitions; data stewards investigate exceptions and maintain metadata and lineage. Because health data is special-category personal data, NHS England should apply data minimisation, pseudonymisation, retention controls, encryption, access reviews and privacy by design [12]–[16]. Compliance with the Data Security and Protection Toolkit provides an additional assurance process </w:t>
      </w:r>
    </w:p>
    <w:p w14:paraId="26A71D3A" w14:textId="77777777" w:rsidR="00D61695" w:rsidRPr="00A1779F" w:rsidRDefault="00D61695" w:rsidP="00D61695">
      <w:pPr>
        <w:pStyle w:val="Heading1"/>
        <w:rPr>
          <w:rFonts w:ascii="Arial" w:hAnsi="Arial" w:cs="Arial"/>
          <w:b/>
          <w:bCs/>
          <w:sz w:val="28"/>
          <w:szCs w:val="28"/>
        </w:rPr>
      </w:pPr>
      <w:r w:rsidRPr="00A1779F">
        <w:rPr>
          <w:rFonts w:ascii="Arial" w:hAnsi="Arial" w:cs="Arial"/>
          <w:b/>
          <w:bCs/>
          <w:sz w:val="28"/>
          <w:szCs w:val="28"/>
        </w:rPr>
        <w:t>Conclusion</w:t>
      </w:r>
    </w:p>
    <w:p w14:paraId="7418F45D" w14:textId="77777777" w:rsidR="00D61695" w:rsidRPr="00F84CD8" w:rsidRDefault="00D61695" w:rsidP="00D61695">
      <w:pPr>
        <w:jc w:val="both"/>
        <w:rPr>
          <w:rFonts w:ascii="Arial" w:hAnsi="Arial" w:cs="Arial"/>
          <w:sz w:val="24"/>
          <w:szCs w:val="24"/>
        </w:rPr>
      </w:pPr>
      <w:r w:rsidRPr="00F84CD8">
        <w:rPr>
          <w:rFonts w:ascii="Arial" w:hAnsi="Arial" w:cs="Arial"/>
          <w:sz w:val="24"/>
          <w:szCs w:val="24"/>
        </w:rPr>
        <w:t>The proposed EDW integrates analytical copies of NHS operational, clinical, workforce and financial data without replacing frontline systems. A secure ETL process, conformed dimensional model, governed aggregates and dependent data marts provide consistent information for operational, financial and clinical decisions. Clear grain, reconciliation, metadata, role-based access and measurable quality controls are essential: the value of the warehouse comes not only from combining data, but from making its meaning, history and use trustworthy.</w:t>
      </w:r>
    </w:p>
    <w:p w14:paraId="2B2C5837" w14:textId="77777777" w:rsidR="00D61695" w:rsidRPr="000A0FE9" w:rsidRDefault="00D61695" w:rsidP="00495B57">
      <w:pPr>
        <w:jc w:val="both"/>
        <w:rPr>
          <w:rFonts w:ascii="Arial" w:hAnsi="Arial" w:cs="Arial"/>
          <w:sz w:val="24"/>
          <w:szCs w:val="24"/>
          <w:lang w:val="en-US"/>
        </w:rPr>
      </w:pPr>
    </w:p>
    <w:p w14:paraId="4291B6D8" w14:textId="77777777" w:rsidR="006040C9" w:rsidRPr="000A0FE9" w:rsidRDefault="006040C9" w:rsidP="00A30A00">
      <w:pPr>
        <w:jc w:val="both"/>
        <w:rPr>
          <w:rFonts w:ascii="Arial" w:hAnsi="Arial" w:cs="Arial"/>
          <w:sz w:val="24"/>
          <w:szCs w:val="24"/>
        </w:rPr>
      </w:pPr>
    </w:p>
    <w:p w14:paraId="515CD4BA" w14:textId="77777777" w:rsidR="006040C9" w:rsidRPr="000A0FE9" w:rsidRDefault="006040C9" w:rsidP="00A30A00">
      <w:pPr>
        <w:jc w:val="both"/>
        <w:rPr>
          <w:rFonts w:ascii="Arial" w:hAnsi="Arial" w:cs="Arial"/>
          <w:sz w:val="24"/>
          <w:szCs w:val="24"/>
        </w:rPr>
      </w:pPr>
    </w:p>
    <w:p w14:paraId="1A45BC82" w14:textId="77777777" w:rsidR="006040C9" w:rsidRPr="000A0FE9" w:rsidRDefault="006040C9" w:rsidP="00A30A00">
      <w:pPr>
        <w:jc w:val="both"/>
        <w:rPr>
          <w:rFonts w:ascii="Arial" w:hAnsi="Arial" w:cs="Arial"/>
          <w:sz w:val="24"/>
          <w:szCs w:val="24"/>
        </w:rPr>
      </w:pPr>
    </w:p>
    <w:p w14:paraId="215AED79" w14:textId="77777777" w:rsidR="006040C9" w:rsidRDefault="006040C9" w:rsidP="00A30A00">
      <w:pPr>
        <w:jc w:val="both"/>
      </w:pPr>
    </w:p>
    <w:p w14:paraId="2FEC9A1F" w14:textId="77777777" w:rsidR="006040C9" w:rsidRDefault="006040C9" w:rsidP="00A30A00">
      <w:pPr>
        <w:jc w:val="both"/>
      </w:pPr>
    </w:p>
    <w:p w14:paraId="3C2A5639" w14:textId="77777777" w:rsidR="006040C9" w:rsidRDefault="006040C9" w:rsidP="00A30A00">
      <w:pPr>
        <w:jc w:val="both"/>
      </w:pPr>
    </w:p>
    <w:p w14:paraId="47A2E4B8" w14:textId="77777777" w:rsidR="006040C9" w:rsidRDefault="006040C9" w:rsidP="00A30A00">
      <w:pPr>
        <w:jc w:val="both"/>
      </w:pPr>
    </w:p>
    <w:p w14:paraId="18E02B2D" w14:textId="77777777" w:rsidR="006040C9" w:rsidRDefault="006040C9" w:rsidP="00A30A00">
      <w:pPr>
        <w:jc w:val="both"/>
      </w:pPr>
    </w:p>
    <w:p w14:paraId="72C2E94D" w14:textId="77777777" w:rsidR="006040C9" w:rsidRDefault="006040C9" w:rsidP="00A30A00">
      <w:pPr>
        <w:jc w:val="both"/>
      </w:pPr>
    </w:p>
    <w:p w14:paraId="6EC42BE3" w14:textId="1832E53C" w:rsidR="006040C9" w:rsidRDefault="006040C9" w:rsidP="00A30A00">
      <w:pPr>
        <w:jc w:val="both"/>
      </w:pPr>
    </w:p>
    <w:p w14:paraId="53926BBB" w14:textId="64181CEA" w:rsidR="006040C9" w:rsidRDefault="00ED2725" w:rsidP="00A30A00">
      <w:pPr>
        <w:jc w:val="both"/>
      </w:pPr>
      <w:r>
        <w:rPr>
          <w:noProof/>
        </w:rPr>
        <mc:AlternateContent>
          <mc:Choice Requires="wps">
            <w:drawing>
              <wp:anchor distT="0" distB="0" distL="114300" distR="114300" simplePos="0" relativeHeight="251656704" behindDoc="0" locked="0" layoutInCell="1" allowOverlap="1" wp14:anchorId="38D1B5C0" wp14:editId="21C76538">
                <wp:simplePos x="0" y="0"/>
                <wp:positionH relativeFrom="column">
                  <wp:posOffset>2004060</wp:posOffset>
                </wp:positionH>
                <wp:positionV relativeFrom="paragraph">
                  <wp:posOffset>10160</wp:posOffset>
                </wp:positionV>
                <wp:extent cx="495300" cy="1036320"/>
                <wp:effectExtent l="19050" t="0" r="19050" b="30480"/>
                <wp:wrapNone/>
                <wp:docPr id="452929329" name="Arrow: Down 14"/>
                <wp:cNvGraphicFramePr/>
                <a:graphic xmlns:a="http://schemas.openxmlformats.org/drawingml/2006/main">
                  <a:graphicData uri="http://schemas.microsoft.com/office/word/2010/wordprocessingShape">
                    <wps:wsp>
                      <wps:cNvSpPr/>
                      <wps:spPr>
                        <a:xfrm>
                          <a:off x="0" y="0"/>
                          <a:ext cx="495300" cy="10363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06B321" id="Arrow: Down 14" o:spid="_x0000_s1026" type="#_x0000_t67" style="position:absolute;margin-left:157.8pt;margin-top:.8pt;width:39pt;height:81.6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" adj="16438" fillcolor="#156082 [3204]" strokecolor="#030e13 [484]" strokeweight="1pt"/>
            </w:pict>
          </mc:Fallback>
        </mc:AlternateContent>
      </w:r>
    </w:p>
    <w:p w14:paraId="1782730D" w14:textId="77777777" w:rsidR="006040C9" w:rsidRDefault="006040C9" w:rsidP="00A30A00">
      <w:pPr>
        <w:jc w:val="both"/>
      </w:pPr>
    </w:p>
    <w:p w14:paraId="2EBCBF6C" w14:textId="5357A314" w:rsidR="006040C9" w:rsidRDefault="006040C9" w:rsidP="00A30A00">
      <w:pPr>
        <w:jc w:val="both"/>
      </w:pPr>
    </w:p>
    <w:p w14:paraId="4F7A8556" w14:textId="77777777" w:rsidR="006040C9" w:rsidRDefault="006040C9" w:rsidP="00A30A00">
      <w:pPr>
        <w:jc w:val="both"/>
      </w:pPr>
    </w:p>
    <w:p w14:paraId="5CFD603D" w14:textId="77777777" w:rsidR="006040C9" w:rsidRDefault="006040C9" w:rsidP="00A30A00">
      <w:pPr>
        <w:jc w:val="both"/>
      </w:pPr>
    </w:p>
    <w:p w14:paraId="695A8E7D" w14:textId="77777777" w:rsidR="006040C9" w:rsidRDefault="006040C9" w:rsidP="00A30A00">
      <w:pPr>
        <w:jc w:val="both"/>
      </w:pPr>
    </w:p>
    <w:p w14:paraId="2CB3AFDE" w14:textId="77777777" w:rsidR="006040C9" w:rsidRDefault="006040C9" w:rsidP="00A30A00">
      <w:pPr>
        <w:jc w:val="both"/>
      </w:pPr>
    </w:p>
    <w:p w14:paraId="25A75991" w14:textId="77777777" w:rsidR="006040C9" w:rsidRDefault="006040C9" w:rsidP="00A30A00">
      <w:pPr>
        <w:jc w:val="both"/>
      </w:pPr>
    </w:p>
    <w:p w14:paraId="5EBD5AB2" w14:textId="6A135829" w:rsidR="007F7A92" w:rsidRDefault="00542C18" w:rsidP="00147514">
      <w:pPr>
        <w:rPr>
          <w:rFonts w:ascii="Comic Sans MS" w:hAnsi="Comic Sans MS"/>
          <w:b/>
          <w:bCs/>
          <w:color w:val="4C94D8" w:themeColor="text2" w:themeTint="80"/>
          <w:sz w:val="28"/>
          <w:szCs w:val="28"/>
        </w:rPr>
      </w:pPr>
      <w:bookmarkStart w:id="2" w:name="_Toc234264160"/>
      <w:r w:rsidRPr="00147514">
        <w:rPr>
          <w:rFonts w:ascii="Comic Sans MS" w:hAnsi="Comic Sans MS"/>
          <w:b/>
          <w:bCs/>
          <w:color w:val="4C94D8" w:themeColor="text2" w:themeTint="80"/>
          <w:sz w:val="28"/>
          <w:szCs w:val="28"/>
        </w:rPr>
        <w:t>References</w:t>
      </w:r>
      <w:bookmarkEnd w:id="2"/>
    </w:p>
    <w:p w14:paraId="25278EA7" w14:textId="77777777" w:rsidR="009514B7" w:rsidRPr="00EB629D" w:rsidRDefault="009514B7" w:rsidP="009514B7">
      <w:pPr>
        <w:rPr>
          <w:rFonts w:ascii="Arial" w:hAnsi="Arial" w:cs="Arial"/>
          <w:sz w:val="24"/>
          <w:szCs w:val="24"/>
        </w:rPr>
      </w:pPr>
      <w:r w:rsidRPr="00EB629D">
        <w:rPr>
          <w:rFonts w:ascii="Arial" w:hAnsi="Arial" w:cs="Arial"/>
          <w:sz w:val="24"/>
          <w:szCs w:val="24"/>
        </w:rPr>
        <w:t>[1] Department of Health and Social Care, "Data Saves Lives: Reshaping Health and Social Care with Data," Department of Health and Social Care., 2022.</w:t>
      </w:r>
    </w:p>
    <w:p w14:paraId="799860D9" w14:textId="77777777" w:rsidR="009514B7" w:rsidRPr="00EB629D" w:rsidRDefault="009514B7" w:rsidP="009514B7">
      <w:pPr>
        <w:rPr>
          <w:rFonts w:ascii="Arial" w:hAnsi="Arial" w:cs="Arial"/>
          <w:sz w:val="24"/>
          <w:szCs w:val="24"/>
        </w:rPr>
      </w:pPr>
      <w:r w:rsidRPr="00EB629D">
        <w:rPr>
          <w:rFonts w:ascii="Arial" w:hAnsi="Arial" w:cs="Arial"/>
          <w:sz w:val="24"/>
          <w:szCs w:val="24"/>
        </w:rPr>
        <w:t>[2] William H. (W. H.), Building the Data Warehouse, : Indianapolis, Indiana, USA: : Wiley Publishing, Inc., 2005, .</w:t>
      </w:r>
    </w:p>
    <w:p w14:paraId="65C87046"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[3] &amp;. Kimball Ralph, </w:t>
      </w:r>
      <w:proofErr w:type="spellStart"/>
      <w:r w:rsidRPr="00EB629D">
        <w:rPr>
          <w:rFonts w:ascii="Arial" w:hAnsi="Arial" w:cs="Arial"/>
          <w:sz w:val="24"/>
          <w:szCs w:val="24"/>
        </w:rPr>
        <w:t>Ross&amp;nbsp</w:t>
      </w:r>
      <w:proofErr w:type="spellEnd"/>
      <w:r w:rsidRPr="00EB629D">
        <w:rPr>
          <w:rFonts w:ascii="Arial" w:hAnsi="Arial" w:cs="Arial"/>
          <w:sz w:val="24"/>
          <w:szCs w:val="24"/>
        </w:rPr>
        <w:t xml:space="preserve"> and Margy, The Data Warehouse Toolkit: The Definitive Guide to Dimensional </w:t>
      </w:r>
      <w:proofErr w:type="spellStart"/>
      <w:r w:rsidRPr="00EB629D">
        <w:rPr>
          <w:rFonts w:ascii="Arial" w:hAnsi="Arial" w:cs="Arial"/>
          <w:sz w:val="24"/>
          <w:szCs w:val="24"/>
        </w:rPr>
        <w:t>Modeling</w:t>
      </w:r>
      <w:proofErr w:type="spellEnd"/>
      <w:r w:rsidRPr="00EB629D">
        <w:rPr>
          <w:rFonts w:ascii="Arial" w:hAnsi="Arial" w:cs="Arial"/>
          <w:sz w:val="24"/>
          <w:szCs w:val="24"/>
        </w:rPr>
        <w:t>, John Wiley &amp; Sons, Inc., 2013, .</w:t>
      </w:r>
    </w:p>
    <w:p w14:paraId="5588089E"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[4] Zhan Wang, Catherine K. Craven, </w:t>
      </w:r>
      <w:proofErr w:type="spellStart"/>
      <w:r w:rsidRPr="00EB629D">
        <w:rPr>
          <w:rFonts w:ascii="Arial" w:hAnsi="Arial" w:cs="Arial"/>
          <w:sz w:val="24"/>
          <w:szCs w:val="24"/>
        </w:rPr>
        <w:t>Mahanaz</w:t>
      </w:r>
      <w:proofErr w:type="spellEnd"/>
      <w:r w:rsidRPr="00EB629D">
        <w:rPr>
          <w:rFonts w:ascii="Arial" w:hAnsi="Arial" w:cs="Arial"/>
          <w:sz w:val="24"/>
          <w:szCs w:val="24"/>
        </w:rPr>
        <w:t xml:space="preserve"> Syed, Melody Greer, Emel Seker, </w:t>
      </w:r>
      <w:proofErr w:type="spellStart"/>
      <w:r w:rsidRPr="00EB629D">
        <w:rPr>
          <w:rFonts w:ascii="Arial" w:hAnsi="Arial" w:cs="Arial"/>
          <w:sz w:val="24"/>
          <w:szCs w:val="24"/>
        </w:rPr>
        <w:t>Shorab</w:t>
      </w:r>
      <w:proofErr w:type="spellEnd"/>
      <w:r w:rsidRPr="00EB629D">
        <w:rPr>
          <w:rFonts w:ascii="Arial" w:hAnsi="Arial" w:cs="Arial"/>
          <w:sz w:val="24"/>
          <w:szCs w:val="24"/>
        </w:rPr>
        <w:t xml:space="preserve"> Syed and Meredith N. </w:t>
      </w:r>
      <w:proofErr w:type="spellStart"/>
      <w:r w:rsidRPr="00EB629D">
        <w:rPr>
          <w:rFonts w:ascii="Arial" w:hAnsi="Arial" w:cs="Arial"/>
          <w:sz w:val="24"/>
          <w:szCs w:val="24"/>
        </w:rPr>
        <w:t>Zozus</w:t>
      </w:r>
      <w:proofErr w:type="spellEnd"/>
      <w:r w:rsidRPr="00EB629D">
        <w:rPr>
          <w:rFonts w:ascii="Arial" w:hAnsi="Arial" w:cs="Arial"/>
          <w:sz w:val="24"/>
          <w:szCs w:val="24"/>
        </w:rPr>
        <w:t>, "Clinical Data Warehousing: A Scoping Review," Journal of the Society for Clinical Data Management, vol. 4, pp. 1–19, 28 August. 2024.</w:t>
      </w:r>
    </w:p>
    <w:p w14:paraId="5EBF7169"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[5] Matthieu </w:t>
      </w:r>
      <w:proofErr w:type="spellStart"/>
      <w:r w:rsidRPr="00EB629D">
        <w:rPr>
          <w:rFonts w:ascii="Arial" w:hAnsi="Arial" w:cs="Arial"/>
          <w:sz w:val="24"/>
          <w:szCs w:val="24"/>
        </w:rPr>
        <w:t>Doutreligne</w:t>
      </w:r>
      <w:proofErr w:type="spellEnd"/>
      <w:r w:rsidRPr="00EB629D">
        <w:rPr>
          <w:rFonts w:ascii="Arial" w:hAnsi="Arial" w:cs="Arial"/>
          <w:sz w:val="24"/>
          <w:szCs w:val="24"/>
        </w:rPr>
        <w:t>, Adeline Degremont, Pierre-Alain Jachiet, Antoine Lamer and Xavier Tannier, "Good Practices for Clinical Data Warehouse Implementation: A Case Study in France," PLOS Digital Health, vol. 2, pp. 1–16, 6 July. 2023.</w:t>
      </w:r>
    </w:p>
    <w:p w14:paraId="716EA514" w14:textId="77777777" w:rsidR="009514B7" w:rsidRPr="00EB629D" w:rsidRDefault="009514B7" w:rsidP="009514B7">
      <w:pPr>
        <w:rPr>
          <w:rFonts w:ascii="Arial" w:hAnsi="Arial" w:cs="Arial"/>
          <w:sz w:val="24"/>
          <w:szCs w:val="24"/>
        </w:rPr>
      </w:pPr>
      <w:r w:rsidRPr="00EB629D">
        <w:rPr>
          <w:rFonts w:ascii="Arial" w:hAnsi="Arial" w:cs="Arial"/>
          <w:sz w:val="24"/>
          <w:szCs w:val="24"/>
        </w:rPr>
        <w:t>[6] Information Commissioner’s Office, "Pseudonymisation," Information Commissioner’s Office, .</w:t>
      </w:r>
    </w:p>
    <w:p w14:paraId="3CBFEB99"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[7] </w:t>
      </w:r>
      <w:proofErr w:type="spellStart"/>
      <w:r w:rsidRPr="00EB629D">
        <w:rPr>
          <w:rFonts w:ascii="Arial" w:hAnsi="Arial" w:cs="Arial"/>
          <w:sz w:val="24"/>
          <w:szCs w:val="24"/>
        </w:rPr>
        <w:t>Shiyang</w:t>
      </w:r>
      <w:proofErr w:type="spellEnd"/>
      <w:r w:rsidRPr="00EB629D">
        <w:rPr>
          <w:rFonts w:ascii="Arial" w:hAnsi="Arial" w:cs="Arial"/>
          <w:sz w:val="24"/>
          <w:szCs w:val="24"/>
        </w:rPr>
        <w:t xml:space="preserve"> Lyu, Simon Craig, Gerard O’Reilly and David Taniar, "The Development and Use of Data Warehousing in Clinical Settings: A Scoping Review," Frontiers in Digital Health, vol. 7, 5 June. 2025.</w:t>
      </w:r>
    </w:p>
    <w:p w14:paraId="29BE25D3" w14:textId="77777777" w:rsidR="009514B7" w:rsidRPr="00EB629D" w:rsidRDefault="009514B7" w:rsidP="009514B7">
      <w:pPr>
        <w:rPr>
          <w:rFonts w:ascii="Arial" w:hAnsi="Arial" w:cs="Arial"/>
          <w:sz w:val="24"/>
          <w:szCs w:val="24"/>
        </w:rPr>
      </w:pPr>
      <w:r w:rsidRPr="00EB629D">
        <w:rPr>
          <w:rFonts w:ascii="Arial" w:hAnsi="Arial" w:cs="Arial"/>
          <w:sz w:val="24"/>
          <w:szCs w:val="24"/>
        </w:rPr>
        <w:t>[8] Antoine Lamer, Chloé Saint-Dizier, Nicolas Paris and Emmanuel Chazard, "Data Lake, Data Warehouse, Datamart, and Feature Store: Their Contributions to the Complete Data Reuse Pipeline," JMIR Medical Informatics, vol. 12, 17 July. 2024.</w:t>
      </w:r>
    </w:p>
    <w:p w14:paraId="7EBDCFF0" w14:textId="77777777" w:rsidR="009514B7" w:rsidRPr="00EB629D" w:rsidRDefault="009514B7" w:rsidP="009514B7">
      <w:pPr>
        <w:rPr>
          <w:rFonts w:ascii="Arial" w:hAnsi="Arial" w:cs="Arial"/>
          <w:sz w:val="24"/>
          <w:szCs w:val="24"/>
        </w:rPr>
      </w:pPr>
      <w:r w:rsidRPr="00EB629D">
        <w:rPr>
          <w:rFonts w:ascii="Arial" w:hAnsi="Arial" w:cs="Arial"/>
          <w:sz w:val="24"/>
          <w:szCs w:val="24"/>
        </w:rPr>
        <w:t>[9] Office for National Statistics, "Population and Migration," Office for National Statistics, .</w:t>
      </w:r>
    </w:p>
    <w:p w14:paraId="52DF248B" w14:textId="77777777" w:rsidR="009514B7" w:rsidRPr="00EB629D" w:rsidRDefault="009514B7" w:rsidP="009514B7">
      <w:pPr>
        <w:rPr>
          <w:rFonts w:ascii="Arial" w:hAnsi="Arial" w:cs="Arial"/>
          <w:sz w:val="24"/>
          <w:szCs w:val="24"/>
        </w:rPr>
      </w:pPr>
      <w:r w:rsidRPr="00EB629D">
        <w:rPr>
          <w:rFonts w:ascii="Arial" w:hAnsi="Arial" w:cs="Arial"/>
          <w:sz w:val="24"/>
          <w:szCs w:val="24"/>
        </w:rPr>
        <w:t>[10] UK Health Security Agency, "UKHSA Data Dashboard," GOV.UK, 2026.</w:t>
      </w:r>
    </w:p>
    <w:p w14:paraId="5589DA29" w14:textId="77777777" w:rsidR="009514B7" w:rsidRPr="00EB629D" w:rsidRDefault="009514B7" w:rsidP="009514B7">
      <w:pPr>
        <w:rPr>
          <w:rFonts w:ascii="Arial" w:hAnsi="Arial" w:cs="Arial"/>
          <w:sz w:val="24"/>
          <w:szCs w:val="24"/>
        </w:rPr>
      </w:pPr>
      <w:r w:rsidRPr="00EB629D">
        <w:rPr>
          <w:rFonts w:ascii="Arial" w:hAnsi="Arial" w:cs="Arial"/>
          <w:sz w:val="24"/>
          <w:szCs w:val="24"/>
        </w:rPr>
        <w:t>[11] NHS England, "NHS Payment System," NHS England, .</w:t>
      </w:r>
    </w:p>
    <w:p w14:paraId="248345CA"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[12] </w:t>
      </w:r>
      <w:proofErr w:type="spellStart"/>
      <w:r w:rsidRPr="00EB629D">
        <w:rPr>
          <w:rFonts w:ascii="Arial" w:hAnsi="Arial" w:cs="Arial"/>
          <w:sz w:val="24"/>
          <w:szCs w:val="24"/>
        </w:rPr>
        <w:t>Somchart</w:t>
      </w:r>
      <w:proofErr w:type="spellEnd"/>
      <w:r w:rsidRPr="00EB629D">
        <w:rPr>
          <w:rFonts w:ascii="Arial" w:hAnsi="Arial" w:cs="Arial"/>
          <w:sz w:val="24"/>
          <w:szCs w:val="24"/>
        </w:rPr>
        <w:t xml:space="preserve"> </w:t>
      </w:r>
      <w:proofErr w:type="spellStart"/>
      <w:r w:rsidRPr="00EB629D">
        <w:rPr>
          <w:rFonts w:ascii="Arial" w:hAnsi="Arial" w:cs="Arial"/>
          <w:sz w:val="24"/>
          <w:szCs w:val="24"/>
        </w:rPr>
        <w:t>Fugkeaw</w:t>
      </w:r>
      <w:proofErr w:type="spellEnd"/>
      <w:r w:rsidRPr="00EB629D">
        <w:rPr>
          <w:rFonts w:ascii="Arial" w:hAnsi="Arial" w:cs="Arial"/>
          <w:sz w:val="24"/>
          <w:szCs w:val="24"/>
        </w:rPr>
        <w:t xml:space="preserve"> and L. Hak, "PPAC-CDW: A Privacy-Preserving Access Control Scheme </w:t>
      </w:r>
      <w:proofErr w:type="gramStart"/>
      <w:r w:rsidRPr="00EB629D">
        <w:rPr>
          <w:rFonts w:ascii="Arial" w:hAnsi="Arial" w:cs="Arial"/>
          <w:sz w:val="24"/>
          <w:szCs w:val="24"/>
        </w:rPr>
        <w:t>With</w:t>
      </w:r>
      <w:proofErr w:type="gramEnd"/>
      <w:r w:rsidRPr="00EB629D">
        <w:rPr>
          <w:rFonts w:ascii="Arial" w:hAnsi="Arial" w:cs="Arial"/>
          <w:sz w:val="24"/>
          <w:szCs w:val="24"/>
        </w:rPr>
        <w:t xml:space="preserve"> Fast OLAP Query and Efficient Revocation for Cloud Data Warehouse," IEEE Access, vol. 12, pp. 78743–78758, 2024.</w:t>
      </w:r>
    </w:p>
    <w:p w14:paraId="5B1929A0" w14:textId="77777777" w:rsidR="009514B7" w:rsidRPr="00EB629D" w:rsidRDefault="009514B7" w:rsidP="009514B7">
      <w:pPr>
        <w:rPr>
          <w:rFonts w:ascii="Arial" w:hAnsi="Arial" w:cs="Arial"/>
          <w:sz w:val="24"/>
          <w:szCs w:val="24"/>
        </w:rPr>
      </w:pPr>
      <w:r w:rsidRPr="00EB629D">
        <w:rPr>
          <w:rFonts w:ascii="Arial" w:hAnsi="Arial" w:cs="Arial"/>
          <w:sz w:val="24"/>
          <w:szCs w:val="24"/>
        </w:rPr>
        <w:t>[13] UK Parliament, "Data Protection Act 2018," The National Archives/UK Legislation, 23 May. 2018.</w:t>
      </w:r>
    </w:p>
    <w:p w14:paraId="6F5ED7C2" w14:textId="77777777" w:rsidR="009514B7" w:rsidRPr="00EB629D" w:rsidRDefault="009514B7" w:rsidP="009514B7">
      <w:pPr>
        <w:rPr>
          <w:rFonts w:ascii="Arial" w:hAnsi="Arial" w:cs="Arial"/>
          <w:sz w:val="24"/>
          <w:szCs w:val="24"/>
        </w:rPr>
      </w:pPr>
      <w:r w:rsidRPr="00EB629D">
        <w:rPr>
          <w:rFonts w:ascii="Arial" w:hAnsi="Arial" w:cs="Arial"/>
          <w:sz w:val="24"/>
          <w:szCs w:val="24"/>
        </w:rPr>
        <w:t>[14] Information Commissioner’s Office, "What Are the Conditions for Processing Special Category Data?" Information Commissioner’s Office, .</w:t>
      </w:r>
    </w:p>
    <w:p w14:paraId="24881840" w14:textId="77777777" w:rsidR="009514B7" w:rsidRPr="00EB629D" w:rsidRDefault="009514B7" w:rsidP="009514B7">
      <w:pPr>
        <w:rPr>
          <w:rFonts w:ascii="Arial" w:hAnsi="Arial" w:cs="Arial"/>
          <w:sz w:val="24"/>
          <w:szCs w:val="24"/>
        </w:rPr>
      </w:pPr>
      <w:r w:rsidRPr="00EB629D">
        <w:rPr>
          <w:rFonts w:ascii="Arial" w:hAnsi="Arial" w:cs="Arial"/>
          <w:sz w:val="24"/>
          <w:szCs w:val="24"/>
        </w:rPr>
        <w:t>[15] Information Commissioner’s Office, "Data Protection by Design and by Default," Information Commissioner’s Office, 5 February. 2026.</w:t>
      </w:r>
    </w:p>
    <w:p w14:paraId="141722F3" w14:textId="77777777" w:rsidR="009514B7" w:rsidRPr="00EB629D" w:rsidRDefault="009514B7" w:rsidP="009514B7">
      <w:pPr>
        <w:rPr>
          <w:rFonts w:ascii="Arial" w:hAnsi="Arial" w:cs="Arial"/>
          <w:sz w:val="24"/>
          <w:szCs w:val="24"/>
        </w:rPr>
      </w:pPr>
      <w:r w:rsidRPr="00EB629D">
        <w:rPr>
          <w:rFonts w:ascii="Arial" w:hAnsi="Arial" w:cs="Arial"/>
          <w:sz w:val="24"/>
          <w:szCs w:val="24"/>
        </w:rPr>
        <w:lastRenderedPageBreak/>
        <w:t>[16] NHS England, "Data Security and Protection Toolkit," Data Security and Protection Toolkit, 2025.</w:t>
      </w:r>
    </w:p>
    <w:p w14:paraId="56A473A2" w14:textId="77777777" w:rsidR="009514B7" w:rsidRPr="00EB629D" w:rsidRDefault="009514B7" w:rsidP="009514B7">
      <w:pPr>
        <w:rPr>
          <w:rFonts w:ascii="Arial" w:hAnsi="Arial" w:cs="Arial"/>
          <w:sz w:val="24"/>
          <w:szCs w:val="24"/>
        </w:rPr>
      </w:pPr>
      <w:r w:rsidRPr="00EB629D">
        <w:rPr>
          <w:rFonts w:ascii="Arial" w:hAnsi="Arial" w:cs="Arial"/>
          <w:sz w:val="24"/>
          <w:szCs w:val="24"/>
        </w:rPr>
        <w:t xml:space="preserve">[17] </w:t>
      </w:r>
      <w:proofErr w:type="spellStart"/>
      <w:r w:rsidRPr="00EB629D">
        <w:rPr>
          <w:rFonts w:ascii="Arial" w:hAnsi="Arial" w:cs="Arial"/>
          <w:sz w:val="24"/>
          <w:szCs w:val="24"/>
        </w:rPr>
        <w:t>Doyeon</w:t>
      </w:r>
      <w:proofErr w:type="spellEnd"/>
      <w:r w:rsidRPr="00EB629D">
        <w:rPr>
          <w:rFonts w:ascii="Arial" w:hAnsi="Arial" w:cs="Arial"/>
          <w:sz w:val="24"/>
          <w:szCs w:val="24"/>
        </w:rPr>
        <w:t xml:space="preserve"> An, </w:t>
      </w:r>
      <w:proofErr w:type="spellStart"/>
      <w:r w:rsidRPr="00EB629D">
        <w:rPr>
          <w:rFonts w:ascii="Arial" w:hAnsi="Arial" w:cs="Arial"/>
          <w:sz w:val="24"/>
          <w:szCs w:val="24"/>
        </w:rPr>
        <w:t>Minsik</w:t>
      </w:r>
      <w:proofErr w:type="spellEnd"/>
      <w:r w:rsidRPr="00EB629D">
        <w:rPr>
          <w:rFonts w:ascii="Arial" w:hAnsi="Arial" w:cs="Arial"/>
          <w:sz w:val="24"/>
          <w:szCs w:val="24"/>
        </w:rPr>
        <w:t xml:space="preserve"> Lim and </w:t>
      </w:r>
      <w:proofErr w:type="spellStart"/>
      <w:r w:rsidRPr="00EB629D">
        <w:rPr>
          <w:rFonts w:ascii="Arial" w:hAnsi="Arial" w:cs="Arial"/>
          <w:sz w:val="24"/>
          <w:szCs w:val="24"/>
        </w:rPr>
        <w:t>Suehyun</w:t>
      </w:r>
      <w:proofErr w:type="spellEnd"/>
      <w:r w:rsidRPr="00EB629D">
        <w:rPr>
          <w:rFonts w:ascii="Arial" w:hAnsi="Arial" w:cs="Arial"/>
          <w:sz w:val="24"/>
          <w:szCs w:val="24"/>
        </w:rPr>
        <w:t xml:space="preserve"> Lee, "Challenges for Data Quality in the Clinical Data Life Cycle: Systematic Review," Journal of Medical Internet Research, vol. 27, 23 April. 2025.</w:t>
      </w:r>
    </w:p>
    <w:p w14:paraId="64F4341C" w14:textId="77777777" w:rsidR="009514B7" w:rsidRPr="00EB629D" w:rsidRDefault="009514B7" w:rsidP="00147514">
      <w:pPr>
        <w:rPr>
          <w:rFonts w:ascii="Arial" w:hAnsi="Arial" w:cs="Arial"/>
          <w:sz w:val="24"/>
          <w:szCs w:val="24"/>
        </w:rPr>
      </w:pPr>
    </w:p>
    <w:p w14:paraId="0DD0CAA1" w14:textId="77777777" w:rsidR="00116DF8" w:rsidRPr="00EB629D" w:rsidRDefault="00116DF8" w:rsidP="00045B8C">
      <w:pPr>
        <w:jc w:val="both"/>
        <w:rPr>
          <w:rFonts w:ascii="Arial" w:hAnsi="Arial" w:cs="Arial"/>
          <w:sz w:val="24"/>
          <w:szCs w:val="24"/>
        </w:rPr>
      </w:pPr>
    </w:p>
    <w:p w14:paraId="4D81D53C" w14:textId="77777777" w:rsidR="009514B7" w:rsidRPr="00EB629D" w:rsidRDefault="009514B7" w:rsidP="00045B8C">
      <w:pPr>
        <w:jc w:val="both"/>
        <w:rPr>
          <w:rFonts w:ascii="Arial" w:hAnsi="Arial" w:cs="Arial"/>
          <w:sz w:val="24"/>
          <w:szCs w:val="24"/>
        </w:rPr>
      </w:pPr>
    </w:p>
    <w:p w14:paraId="262B316B" w14:textId="77777777" w:rsidR="00116DF8" w:rsidRPr="00EB629D" w:rsidRDefault="00116DF8" w:rsidP="00045B8C">
      <w:pPr>
        <w:jc w:val="both"/>
        <w:rPr>
          <w:rFonts w:ascii="Arial" w:hAnsi="Arial" w:cs="Arial"/>
          <w:sz w:val="24"/>
          <w:szCs w:val="24"/>
        </w:rPr>
      </w:pPr>
    </w:p>
    <w:p w14:paraId="24C20DEB" w14:textId="77777777" w:rsidR="00116DF8" w:rsidRPr="00EB629D" w:rsidRDefault="00116DF8" w:rsidP="00045B8C">
      <w:pPr>
        <w:jc w:val="both"/>
        <w:rPr>
          <w:rFonts w:ascii="Arial" w:hAnsi="Arial" w:cs="Arial"/>
          <w:sz w:val="24"/>
          <w:szCs w:val="24"/>
        </w:rPr>
      </w:pPr>
    </w:p>
    <w:p w14:paraId="6C2103AC" w14:textId="77777777" w:rsidR="00116DF8" w:rsidRDefault="00116DF8" w:rsidP="00045B8C">
      <w:pPr>
        <w:jc w:val="both"/>
        <w:rPr>
          <w:rFonts w:ascii="Arial" w:hAnsi="Arial" w:cs="Arial"/>
          <w:sz w:val="24"/>
          <w:szCs w:val="24"/>
        </w:rPr>
      </w:pPr>
    </w:p>
    <w:p w14:paraId="3AC0C653" w14:textId="77777777" w:rsidR="00116DF8" w:rsidRDefault="00116DF8" w:rsidP="00045B8C">
      <w:pPr>
        <w:jc w:val="both"/>
        <w:rPr>
          <w:rFonts w:ascii="Arial" w:hAnsi="Arial" w:cs="Arial"/>
          <w:sz w:val="24"/>
          <w:szCs w:val="24"/>
        </w:rPr>
      </w:pPr>
    </w:p>
    <w:p w14:paraId="1F6CA36B" w14:textId="77777777" w:rsidR="00456141" w:rsidRDefault="00456141" w:rsidP="00045B8C">
      <w:pPr>
        <w:jc w:val="both"/>
        <w:rPr>
          <w:rFonts w:ascii="Arial" w:hAnsi="Arial" w:cs="Arial"/>
          <w:sz w:val="24"/>
          <w:szCs w:val="24"/>
        </w:rPr>
      </w:pPr>
    </w:p>
    <w:p w14:paraId="37B35C62" w14:textId="77777777" w:rsidR="00456141" w:rsidRDefault="00456141" w:rsidP="00045B8C">
      <w:pPr>
        <w:jc w:val="both"/>
        <w:rPr>
          <w:rFonts w:ascii="Arial" w:hAnsi="Arial" w:cs="Arial"/>
          <w:sz w:val="24"/>
          <w:szCs w:val="24"/>
        </w:rPr>
      </w:pPr>
    </w:p>
    <w:p w14:paraId="26167995" w14:textId="77777777" w:rsidR="00383B66" w:rsidRDefault="00383B66" w:rsidP="00456141">
      <w:pPr>
        <w:jc w:val="both"/>
        <w:rPr>
          <w:rFonts w:ascii="Arial" w:hAnsi="Arial" w:cs="Arial"/>
          <w:sz w:val="24"/>
          <w:szCs w:val="24"/>
        </w:rPr>
      </w:pPr>
    </w:p>
    <w:p w14:paraId="70A50F2F" w14:textId="59620B95" w:rsidR="00383B66" w:rsidRPr="0081099F" w:rsidRDefault="00383B66" w:rsidP="00456141">
      <w:pPr>
        <w:jc w:val="both"/>
        <w:rPr>
          <w:rFonts w:ascii="Arial" w:hAnsi="Arial" w:cs="Arial"/>
          <w:sz w:val="24"/>
          <w:szCs w:val="24"/>
        </w:rPr>
      </w:pPr>
    </w:p>
    <w:p w14:paraId="3C0833AF" w14:textId="20443FD3" w:rsidR="0094658E" w:rsidRDefault="0094658E" w:rsidP="003D0D2E">
      <w:pPr>
        <w:rPr>
          <w:b/>
          <w:bCs/>
        </w:rPr>
      </w:pPr>
    </w:p>
    <w:p w14:paraId="257637CA" w14:textId="50E065BC" w:rsidR="001F1E88" w:rsidRDefault="001F1E88" w:rsidP="00ED78D6">
      <w:pPr>
        <w:tabs>
          <w:tab w:val="left" w:pos="2126"/>
        </w:tabs>
        <w:rPr>
          <w:rFonts w:ascii="Comic Sans MS" w:hAnsi="Comic Sans MS"/>
          <w:b/>
          <w:sz w:val="32"/>
          <w:szCs w:val="32"/>
          <w14:textOutline w14:w="12700" w14:cap="flat" w14:cmpd="sng" w14:algn="ctr">
            <w14:solidFill>
              <w14:schemeClr w14:val="accent4"/>
            </w14:solidFill>
            <w14:prstDash w14:val="solid"/>
            <w14:round/>
          </w14:textOutline>
        </w:rPr>
      </w:pPr>
    </w:p>
    <w:p w14:paraId="21AA1393" w14:textId="77777777" w:rsidR="002969E4" w:rsidRDefault="002969E4" w:rsidP="00ED78D6">
      <w:pPr>
        <w:tabs>
          <w:tab w:val="left" w:pos="2126"/>
        </w:tabs>
        <w:rPr>
          <w:rFonts w:ascii="Comic Sans MS" w:hAnsi="Comic Sans MS"/>
          <w:b/>
          <w:sz w:val="32"/>
          <w:szCs w:val="32"/>
          <w14:textOutline w14:w="12700" w14:cap="flat" w14:cmpd="sng" w14:algn="ctr">
            <w14:solidFill>
              <w14:schemeClr w14:val="accent4"/>
            </w14:solidFill>
            <w14:prstDash w14:val="solid"/>
            <w14:round/>
          </w14:textOutline>
        </w:rPr>
      </w:pPr>
    </w:p>
    <w:p w14:paraId="4C288D31" w14:textId="77777777" w:rsidR="002969E4" w:rsidRDefault="002969E4" w:rsidP="00ED78D6">
      <w:pPr>
        <w:tabs>
          <w:tab w:val="left" w:pos="2126"/>
        </w:tabs>
        <w:rPr>
          <w:rFonts w:ascii="Comic Sans MS" w:hAnsi="Comic Sans MS"/>
          <w:b/>
          <w:sz w:val="32"/>
          <w:szCs w:val="32"/>
          <w14:textOutline w14:w="12700" w14:cap="flat" w14:cmpd="sng" w14:algn="ctr">
            <w14:solidFill>
              <w14:schemeClr w14:val="accent4"/>
            </w14:solidFill>
            <w14:prstDash w14:val="solid"/>
            <w14:round/>
          </w14:textOutline>
        </w:rPr>
      </w:pPr>
    </w:p>
    <w:p w14:paraId="5FED4488" w14:textId="77777777" w:rsidR="002969E4" w:rsidRDefault="002969E4" w:rsidP="00ED78D6">
      <w:pPr>
        <w:tabs>
          <w:tab w:val="left" w:pos="2126"/>
        </w:tabs>
        <w:rPr>
          <w:rFonts w:ascii="Comic Sans MS" w:hAnsi="Comic Sans MS"/>
          <w:b/>
          <w:sz w:val="32"/>
          <w:szCs w:val="32"/>
          <w14:textOutline w14:w="12700" w14:cap="flat" w14:cmpd="sng" w14:algn="ctr">
            <w14:solidFill>
              <w14:schemeClr w14:val="accent4"/>
            </w14:solidFill>
            <w14:prstDash w14:val="solid"/>
            <w14:round/>
          </w14:textOutline>
        </w:rPr>
      </w:pPr>
    </w:p>
    <w:p w14:paraId="42532CC5" w14:textId="77777777" w:rsidR="002969E4" w:rsidRPr="00ED78D6" w:rsidRDefault="002969E4" w:rsidP="00ED78D6">
      <w:pPr>
        <w:tabs>
          <w:tab w:val="left" w:pos="2126"/>
        </w:tabs>
        <w:rPr>
          <w:rFonts w:ascii="Arial" w:hAnsi="Arial" w:cs="Arial"/>
          <w:sz w:val="24"/>
          <w:szCs w:val="24"/>
        </w:rPr>
      </w:pPr>
    </w:p>
    <w:sectPr w:rsidR="002969E4" w:rsidRPr="00ED78D6" w:rsidSect="003C1AAB">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DAEB" w14:textId="77777777" w:rsidR="0037179E" w:rsidRDefault="0037179E" w:rsidP="00315616">
      <w:pPr>
        <w:spacing w:after="0" w:line="240" w:lineRule="auto"/>
      </w:pPr>
      <w:r>
        <w:separator/>
      </w:r>
    </w:p>
  </w:endnote>
  <w:endnote w:type="continuationSeparator" w:id="0">
    <w:p w14:paraId="175EE850" w14:textId="77777777" w:rsidR="0037179E" w:rsidRDefault="0037179E" w:rsidP="0031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774602"/>
      <w:docPartObj>
        <w:docPartGallery w:val="Page Numbers (Bottom of Page)"/>
        <w:docPartUnique/>
      </w:docPartObj>
    </w:sdtPr>
    <w:sdtEndPr/>
    <w:sdtContent>
      <w:p w14:paraId="57E581FB" w14:textId="2D0BF563" w:rsidR="006E0F30" w:rsidRDefault="006E0F30">
        <w:pPr>
          <w:pStyle w:val="Footer"/>
          <w:jc w:val="right"/>
        </w:pPr>
        <w:r>
          <w:fldChar w:fldCharType="begin"/>
        </w:r>
        <w:r>
          <w:instrText>PAGE   \* MERGEFORMAT</w:instrText>
        </w:r>
        <w:r>
          <w:fldChar w:fldCharType="separate"/>
        </w:r>
        <w:r>
          <w:t>2</w:t>
        </w:r>
        <w:r>
          <w:fldChar w:fldCharType="end"/>
        </w:r>
      </w:p>
    </w:sdtContent>
  </w:sdt>
  <w:p w14:paraId="2D69CB39" w14:textId="77777777" w:rsidR="006A492F" w:rsidRDefault="006A4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EE897" w14:textId="77777777" w:rsidR="0037179E" w:rsidRDefault="0037179E" w:rsidP="00315616">
      <w:pPr>
        <w:spacing w:after="0" w:line="240" w:lineRule="auto"/>
      </w:pPr>
      <w:r>
        <w:separator/>
      </w:r>
    </w:p>
  </w:footnote>
  <w:footnote w:type="continuationSeparator" w:id="0">
    <w:p w14:paraId="141675B2" w14:textId="77777777" w:rsidR="0037179E" w:rsidRDefault="0037179E" w:rsidP="00315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45215"/>
    <w:multiLevelType w:val="multilevel"/>
    <w:tmpl w:val="5A4C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16D82"/>
    <w:multiLevelType w:val="multilevel"/>
    <w:tmpl w:val="A964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E26524"/>
    <w:multiLevelType w:val="multilevel"/>
    <w:tmpl w:val="A168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951EBD"/>
    <w:multiLevelType w:val="multilevel"/>
    <w:tmpl w:val="F9EC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B271ED"/>
    <w:multiLevelType w:val="multilevel"/>
    <w:tmpl w:val="DCD2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DC2149"/>
    <w:multiLevelType w:val="multilevel"/>
    <w:tmpl w:val="4A8E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9B74E4"/>
    <w:multiLevelType w:val="multilevel"/>
    <w:tmpl w:val="5DAA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042D47"/>
    <w:multiLevelType w:val="multilevel"/>
    <w:tmpl w:val="960C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929125">
    <w:abstractNumId w:val="2"/>
  </w:num>
  <w:num w:numId="2" w16cid:durableId="422260795">
    <w:abstractNumId w:val="5"/>
  </w:num>
  <w:num w:numId="3" w16cid:durableId="1434128722">
    <w:abstractNumId w:val="4"/>
  </w:num>
  <w:num w:numId="4" w16cid:durableId="431363401">
    <w:abstractNumId w:val="3"/>
  </w:num>
  <w:num w:numId="5" w16cid:durableId="1205171111">
    <w:abstractNumId w:val="6"/>
  </w:num>
  <w:num w:numId="6" w16cid:durableId="729306810">
    <w:abstractNumId w:val="1"/>
  </w:num>
  <w:num w:numId="7" w16cid:durableId="1885872215">
    <w:abstractNumId w:val="7"/>
  </w:num>
  <w:num w:numId="8" w16cid:durableId="55686617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2E"/>
    <w:rsid w:val="00000949"/>
    <w:rsid w:val="00000BA7"/>
    <w:rsid w:val="00000C77"/>
    <w:rsid w:val="00000E25"/>
    <w:rsid w:val="000015BA"/>
    <w:rsid w:val="00001974"/>
    <w:rsid w:val="00002151"/>
    <w:rsid w:val="00002281"/>
    <w:rsid w:val="0000271B"/>
    <w:rsid w:val="00003D8B"/>
    <w:rsid w:val="000041E1"/>
    <w:rsid w:val="0000421B"/>
    <w:rsid w:val="0000432D"/>
    <w:rsid w:val="000047C4"/>
    <w:rsid w:val="00004ACC"/>
    <w:rsid w:val="00004DD5"/>
    <w:rsid w:val="00005EDF"/>
    <w:rsid w:val="0000625D"/>
    <w:rsid w:val="0000667A"/>
    <w:rsid w:val="00006B47"/>
    <w:rsid w:val="00007487"/>
    <w:rsid w:val="00007C80"/>
    <w:rsid w:val="00007D1D"/>
    <w:rsid w:val="00010E69"/>
    <w:rsid w:val="0001124C"/>
    <w:rsid w:val="000113F3"/>
    <w:rsid w:val="00011A92"/>
    <w:rsid w:val="000128CA"/>
    <w:rsid w:val="0001294A"/>
    <w:rsid w:val="000132E1"/>
    <w:rsid w:val="00013A79"/>
    <w:rsid w:val="0001400E"/>
    <w:rsid w:val="00014312"/>
    <w:rsid w:val="00014DFC"/>
    <w:rsid w:val="00017272"/>
    <w:rsid w:val="000178CF"/>
    <w:rsid w:val="00017F55"/>
    <w:rsid w:val="000207ED"/>
    <w:rsid w:val="00020B59"/>
    <w:rsid w:val="00022630"/>
    <w:rsid w:val="0002400B"/>
    <w:rsid w:val="00024699"/>
    <w:rsid w:val="00024F10"/>
    <w:rsid w:val="00025263"/>
    <w:rsid w:val="00025C0D"/>
    <w:rsid w:val="00026F14"/>
    <w:rsid w:val="00027344"/>
    <w:rsid w:val="00027B8E"/>
    <w:rsid w:val="00030140"/>
    <w:rsid w:val="000310FD"/>
    <w:rsid w:val="0003334E"/>
    <w:rsid w:val="000334AE"/>
    <w:rsid w:val="00035A70"/>
    <w:rsid w:val="00035E7A"/>
    <w:rsid w:val="00037397"/>
    <w:rsid w:val="0004092F"/>
    <w:rsid w:val="00041A2A"/>
    <w:rsid w:val="00041B50"/>
    <w:rsid w:val="00042C86"/>
    <w:rsid w:val="00043553"/>
    <w:rsid w:val="000436C1"/>
    <w:rsid w:val="00043808"/>
    <w:rsid w:val="00043B54"/>
    <w:rsid w:val="0004539B"/>
    <w:rsid w:val="00045B8C"/>
    <w:rsid w:val="00045DAF"/>
    <w:rsid w:val="0004615B"/>
    <w:rsid w:val="00046714"/>
    <w:rsid w:val="00047C22"/>
    <w:rsid w:val="0005071C"/>
    <w:rsid w:val="00050ED7"/>
    <w:rsid w:val="00050FBF"/>
    <w:rsid w:val="000520D2"/>
    <w:rsid w:val="000524A8"/>
    <w:rsid w:val="00052678"/>
    <w:rsid w:val="000526FE"/>
    <w:rsid w:val="00052FE5"/>
    <w:rsid w:val="00055134"/>
    <w:rsid w:val="00056103"/>
    <w:rsid w:val="00056742"/>
    <w:rsid w:val="00056AB6"/>
    <w:rsid w:val="00057425"/>
    <w:rsid w:val="00057BFF"/>
    <w:rsid w:val="000609DD"/>
    <w:rsid w:val="00061AF5"/>
    <w:rsid w:val="0006262C"/>
    <w:rsid w:val="00062B6B"/>
    <w:rsid w:val="00062FAA"/>
    <w:rsid w:val="000638D5"/>
    <w:rsid w:val="00063BFB"/>
    <w:rsid w:val="00065052"/>
    <w:rsid w:val="00065717"/>
    <w:rsid w:val="0006577C"/>
    <w:rsid w:val="00065D09"/>
    <w:rsid w:val="00065E94"/>
    <w:rsid w:val="00067236"/>
    <w:rsid w:val="00067C10"/>
    <w:rsid w:val="0007047F"/>
    <w:rsid w:val="000705A3"/>
    <w:rsid w:val="00070D1D"/>
    <w:rsid w:val="000711BA"/>
    <w:rsid w:val="0007163F"/>
    <w:rsid w:val="000721F5"/>
    <w:rsid w:val="000724E9"/>
    <w:rsid w:val="00072999"/>
    <w:rsid w:val="00073BE1"/>
    <w:rsid w:val="00074140"/>
    <w:rsid w:val="00074815"/>
    <w:rsid w:val="00075668"/>
    <w:rsid w:val="00075FC5"/>
    <w:rsid w:val="000761A4"/>
    <w:rsid w:val="00076B13"/>
    <w:rsid w:val="00076E45"/>
    <w:rsid w:val="00076F73"/>
    <w:rsid w:val="000776A1"/>
    <w:rsid w:val="0007775B"/>
    <w:rsid w:val="000779D2"/>
    <w:rsid w:val="000800CE"/>
    <w:rsid w:val="000806B0"/>
    <w:rsid w:val="00080B4F"/>
    <w:rsid w:val="00081638"/>
    <w:rsid w:val="0008177D"/>
    <w:rsid w:val="00081BE1"/>
    <w:rsid w:val="00083004"/>
    <w:rsid w:val="0008320E"/>
    <w:rsid w:val="00084852"/>
    <w:rsid w:val="0008565B"/>
    <w:rsid w:val="000866F3"/>
    <w:rsid w:val="0008672D"/>
    <w:rsid w:val="00086BDD"/>
    <w:rsid w:val="00087768"/>
    <w:rsid w:val="000878DA"/>
    <w:rsid w:val="00090896"/>
    <w:rsid w:val="00090995"/>
    <w:rsid w:val="00090E47"/>
    <w:rsid w:val="00091613"/>
    <w:rsid w:val="00091C1D"/>
    <w:rsid w:val="000942D0"/>
    <w:rsid w:val="00094A15"/>
    <w:rsid w:val="00095AAE"/>
    <w:rsid w:val="00095C9C"/>
    <w:rsid w:val="00095E7B"/>
    <w:rsid w:val="00096022"/>
    <w:rsid w:val="00096F97"/>
    <w:rsid w:val="00097190"/>
    <w:rsid w:val="00097486"/>
    <w:rsid w:val="00097988"/>
    <w:rsid w:val="00097FC9"/>
    <w:rsid w:val="000A0112"/>
    <w:rsid w:val="000A0366"/>
    <w:rsid w:val="000A0FE9"/>
    <w:rsid w:val="000A1331"/>
    <w:rsid w:val="000A14E1"/>
    <w:rsid w:val="000A1B87"/>
    <w:rsid w:val="000A1EDE"/>
    <w:rsid w:val="000A37E8"/>
    <w:rsid w:val="000A4535"/>
    <w:rsid w:val="000A4784"/>
    <w:rsid w:val="000A4A55"/>
    <w:rsid w:val="000A4D30"/>
    <w:rsid w:val="000A553A"/>
    <w:rsid w:val="000A58CD"/>
    <w:rsid w:val="000A62DB"/>
    <w:rsid w:val="000A6FB3"/>
    <w:rsid w:val="000A718C"/>
    <w:rsid w:val="000B0EEA"/>
    <w:rsid w:val="000B0FE5"/>
    <w:rsid w:val="000B12FA"/>
    <w:rsid w:val="000B2252"/>
    <w:rsid w:val="000B25CE"/>
    <w:rsid w:val="000B2961"/>
    <w:rsid w:val="000B32B6"/>
    <w:rsid w:val="000B43D2"/>
    <w:rsid w:val="000B6ECB"/>
    <w:rsid w:val="000B7754"/>
    <w:rsid w:val="000B7A6F"/>
    <w:rsid w:val="000C05E6"/>
    <w:rsid w:val="000C061A"/>
    <w:rsid w:val="000C1476"/>
    <w:rsid w:val="000C1736"/>
    <w:rsid w:val="000C176D"/>
    <w:rsid w:val="000C191C"/>
    <w:rsid w:val="000C2B00"/>
    <w:rsid w:val="000C310F"/>
    <w:rsid w:val="000C4194"/>
    <w:rsid w:val="000C42BD"/>
    <w:rsid w:val="000C4E1D"/>
    <w:rsid w:val="000C652F"/>
    <w:rsid w:val="000C6A7F"/>
    <w:rsid w:val="000C6F0B"/>
    <w:rsid w:val="000C7941"/>
    <w:rsid w:val="000C7DB5"/>
    <w:rsid w:val="000D1326"/>
    <w:rsid w:val="000D1CD2"/>
    <w:rsid w:val="000D218A"/>
    <w:rsid w:val="000D235F"/>
    <w:rsid w:val="000D3F17"/>
    <w:rsid w:val="000D5968"/>
    <w:rsid w:val="000D5B6D"/>
    <w:rsid w:val="000D5D68"/>
    <w:rsid w:val="000D5E25"/>
    <w:rsid w:val="000D6481"/>
    <w:rsid w:val="000D6B6F"/>
    <w:rsid w:val="000D7D7F"/>
    <w:rsid w:val="000E01E5"/>
    <w:rsid w:val="000E0A36"/>
    <w:rsid w:val="000E0B07"/>
    <w:rsid w:val="000E12BC"/>
    <w:rsid w:val="000E1B18"/>
    <w:rsid w:val="000E1F0C"/>
    <w:rsid w:val="000E1FD3"/>
    <w:rsid w:val="000E20F4"/>
    <w:rsid w:val="000E3A72"/>
    <w:rsid w:val="000E40D3"/>
    <w:rsid w:val="000E4843"/>
    <w:rsid w:val="000E577B"/>
    <w:rsid w:val="000E6FAB"/>
    <w:rsid w:val="000F0C85"/>
    <w:rsid w:val="000F1587"/>
    <w:rsid w:val="000F1C25"/>
    <w:rsid w:val="000F2D23"/>
    <w:rsid w:val="000F311D"/>
    <w:rsid w:val="000F3652"/>
    <w:rsid w:val="000F3CDC"/>
    <w:rsid w:val="000F45F4"/>
    <w:rsid w:val="000F4680"/>
    <w:rsid w:val="000F4ED4"/>
    <w:rsid w:val="000F631C"/>
    <w:rsid w:val="000F6420"/>
    <w:rsid w:val="000F6583"/>
    <w:rsid w:val="000F753E"/>
    <w:rsid w:val="000F76B4"/>
    <w:rsid w:val="000F78F9"/>
    <w:rsid w:val="0010119F"/>
    <w:rsid w:val="00101C35"/>
    <w:rsid w:val="00102348"/>
    <w:rsid w:val="00102391"/>
    <w:rsid w:val="00102A03"/>
    <w:rsid w:val="0010355D"/>
    <w:rsid w:val="001035C4"/>
    <w:rsid w:val="001050EA"/>
    <w:rsid w:val="00105192"/>
    <w:rsid w:val="001057A9"/>
    <w:rsid w:val="00106336"/>
    <w:rsid w:val="0010646D"/>
    <w:rsid w:val="00106B4F"/>
    <w:rsid w:val="00106CC7"/>
    <w:rsid w:val="00106D10"/>
    <w:rsid w:val="00110FD5"/>
    <w:rsid w:val="001111CA"/>
    <w:rsid w:val="00112405"/>
    <w:rsid w:val="001128C3"/>
    <w:rsid w:val="00112E9E"/>
    <w:rsid w:val="001135DA"/>
    <w:rsid w:val="00115076"/>
    <w:rsid w:val="001151BE"/>
    <w:rsid w:val="00115E37"/>
    <w:rsid w:val="00116DF8"/>
    <w:rsid w:val="00117496"/>
    <w:rsid w:val="00120AED"/>
    <w:rsid w:val="0012111B"/>
    <w:rsid w:val="00121316"/>
    <w:rsid w:val="00121941"/>
    <w:rsid w:val="00121B4A"/>
    <w:rsid w:val="00122779"/>
    <w:rsid w:val="00122DDD"/>
    <w:rsid w:val="001230D2"/>
    <w:rsid w:val="00123182"/>
    <w:rsid w:val="00123862"/>
    <w:rsid w:val="00123C65"/>
    <w:rsid w:val="001240EB"/>
    <w:rsid w:val="00124383"/>
    <w:rsid w:val="00124640"/>
    <w:rsid w:val="00125B9B"/>
    <w:rsid w:val="00126B90"/>
    <w:rsid w:val="00126BFA"/>
    <w:rsid w:val="00127011"/>
    <w:rsid w:val="001318E1"/>
    <w:rsid w:val="00133613"/>
    <w:rsid w:val="00134911"/>
    <w:rsid w:val="00134A23"/>
    <w:rsid w:val="00134C40"/>
    <w:rsid w:val="0013651D"/>
    <w:rsid w:val="00136603"/>
    <w:rsid w:val="001366A0"/>
    <w:rsid w:val="00136935"/>
    <w:rsid w:val="00136AB4"/>
    <w:rsid w:val="001370CB"/>
    <w:rsid w:val="001378CD"/>
    <w:rsid w:val="00137AA0"/>
    <w:rsid w:val="001401EC"/>
    <w:rsid w:val="00141F5B"/>
    <w:rsid w:val="00141F95"/>
    <w:rsid w:val="001426DC"/>
    <w:rsid w:val="00142784"/>
    <w:rsid w:val="00143E34"/>
    <w:rsid w:val="001440E9"/>
    <w:rsid w:val="0014481D"/>
    <w:rsid w:val="00144F30"/>
    <w:rsid w:val="00144F95"/>
    <w:rsid w:val="00145901"/>
    <w:rsid w:val="00146E59"/>
    <w:rsid w:val="00146F3A"/>
    <w:rsid w:val="001474E5"/>
    <w:rsid w:val="00147514"/>
    <w:rsid w:val="001500D9"/>
    <w:rsid w:val="00150273"/>
    <w:rsid w:val="001507C1"/>
    <w:rsid w:val="0015122F"/>
    <w:rsid w:val="001520CC"/>
    <w:rsid w:val="00152661"/>
    <w:rsid w:val="0015395D"/>
    <w:rsid w:val="0015470E"/>
    <w:rsid w:val="001548AA"/>
    <w:rsid w:val="00154C35"/>
    <w:rsid w:val="0015520E"/>
    <w:rsid w:val="00155348"/>
    <w:rsid w:val="001559AB"/>
    <w:rsid w:val="00156085"/>
    <w:rsid w:val="001564CE"/>
    <w:rsid w:val="00160962"/>
    <w:rsid w:val="00160B67"/>
    <w:rsid w:val="00160BB3"/>
    <w:rsid w:val="00161762"/>
    <w:rsid w:val="0016188F"/>
    <w:rsid w:val="00162822"/>
    <w:rsid w:val="0016288C"/>
    <w:rsid w:val="00163349"/>
    <w:rsid w:val="0016368D"/>
    <w:rsid w:val="00164656"/>
    <w:rsid w:val="00164882"/>
    <w:rsid w:val="00165B14"/>
    <w:rsid w:val="00165B3E"/>
    <w:rsid w:val="00165D47"/>
    <w:rsid w:val="001666BD"/>
    <w:rsid w:val="0016682A"/>
    <w:rsid w:val="00166DF0"/>
    <w:rsid w:val="00166FDF"/>
    <w:rsid w:val="00167A19"/>
    <w:rsid w:val="001708D8"/>
    <w:rsid w:val="00170AE3"/>
    <w:rsid w:val="00171258"/>
    <w:rsid w:val="0017200C"/>
    <w:rsid w:val="00172014"/>
    <w:rsid w:val="00174F64"/>
    <w:rsid w:val="001758A1"/>
    <w:rsid w:val="001763B1"/>
    <w:rsid w:val="00176A38"/>
    <w:rsid w:val="00177995"/>
    <w:rsid w:val="001810E1"/>
    <w:rsid w:val="00181DD8"/>
    <w:rsid w:val="0018266F"/>
    <w:rsid w:val="00183479"/>
    <w:rsid w:val="00183AD6"/>
    <w:rsid w:val="00185960"/>
    <w:rsid w:val="00185C5D"/>
    <w:rsid w:val="001866E6"/>
    <w:rsid w:val="00186A15"/>
    <w:rsid w:val="00186BA7"/>
    <w:rsid w:val="00190CBC"/>
    <w:rsid w:val="00190DC0"/>
    <w:rsid w:val="00191A51"/>
    <w:rsid w:val="00191E9A"/>
    <w:rsid w:val="00192146"/>
    <w:rsid w:val="001928BC"/>
    <w:rsid w:val="00193349"/>
    <w:rsid w:val="00193DCC"/>
    <w:rsid w:val="001948F3"/>
    <w:rsid w:val="00194B09"/>
    <w:rsid w:val="00194CF5"/>
    <w:rsid w:val="00196D1F"/>
    <w:rsid w:val="001A06B3"/>
    <w:rsid w:val="001A077A"/>
    <w:rsid w:val="001A0A0D"/>
    <w:rsid w:val="001A1141"/>
    <w:rsid w:val="001A1552"/>
    <w:rsid w:val="001A19D4"/>
    <w:rsid w:val="001A236B"/>
    <w:rsid w:val="001A2A42"/>
    <w:rsid w:val="001A2C33"/>
    <w:rsid w:val="001A331B"/>
    <w:rsid w:val="001A45A3"/>
    <w:rsid w:val="001A4977"/>
    <w:rsid w:val="001A54EA"/>
    <w:rsid w:val="001A56F7"/>
    <w:rsid w:val="001A5A86"/>
    <w:rsid w:val="001A5FE0"/>
    <w:rsid w:val="001A6733"/>
    <w:rsid w:val="001A73E1"/>
    <w:rsid w:val="001A76CF"/>
    <w:rsid w:val="001A7917"/>
    <w:rsid w:val="001B0A03"/>
    <w:rsid w:val="001B0E0B"/>
    <w:rsid w:val="001B1E04"/>
    <w:rsid w:val="001B220D"/>
    <w:rsid w:val="001B2EE8"/>
    <w:rsid w:val="001B40AA"/>
    <w:rsid w:val="001B423B"/>
    <w:rsid w:val="001B46CC"/>
    <w:rsid w:val="001B473A"/>
    <w:rsid w:val="001B5B0B"/>
    <w:rsid w:val="001B6627"/>
    <w:rsid w:val="001B74E2"/>
    <w:rsid w:val="001B7FF7"/>
    <w:rsid w:val="001C0541"/>
    <w:rsid w:val="001C0830"/>
    <w:rsid w:val="001C0990"/>
    <w:rsid w:val="001C3DD0"/>
    <w:rsid w:val="001C47C6"/>
    <w:rsid w:val="001C4A3D"/>
    <w:rsid w:val="001C4CDD"/>
    <w:rsid w:val="001C6C53"/>
    <w:rsid w:val="001C6E18"/>
    <w:rsid w:val="001C74EF"/>
    <w:rsid w:val="001C7730"/>
    <w:rsid w:val="001C781F"/>
    <w:rsid w:val="001D01C0"/>
    <w:rsid w:val="001D06FE"/>
    <w:rsid w:val="001D0C94"/>
    <w:rsid w:val="001D117F"/>
    <w:rsid w:val="001D16D8"/>
    <w:rsid w:val="001D3D6C"/>
    <w:rsid w:val="001D43A4"/>
    <w:rsid w:val="001D4409"/>
    <w:rsid w:val="001D59C8"/>
    <w:rsid w:val="001D6123"/>
    <w:rsid w:val="001D6388"/>
    <w:rsid w:val="001D6522"/>
    <w:rsid w:val="001D7D44"/>
    <w:rsid w:val="001E082F"/>
    <w:rsid w:val="001E0A82"/>
    <w:rsid w:val="001E0F53"/>
    <w:rsid w:val="001E208A"/>
    <w:rsid w:val="001E33F1"/>
    <w:rsid w:val="001E363F"/>
    <w:rsid w:val="001E367A"/>
    <w:rsid w:val="001E3A7C"/>
    <w:rsid w:val="001E4252"/>
    <w:rsid w:val="001E4A00"/>
    <w:rsid w:val="001E4D83"/>
    <w:rsid w:val="001E4E1B"/>
    <w:rsid w:val="001E5BDF"/>
    <w:rsid w:val="001E5DE5"/>
    <w:rsid w:val="001E64A2"/>
    <w:rsid w:val="001E66E1"/>
    <w:rsid w:val="001E7136"/>
    <w:rsid w:val="001E72B1"/>
    <w:rsid w:val="001E789D"/>
    <w:rsid w:val="001E7B62"/>
    <w:rsid w:val="001F14A5"/>
    <w:rsid w:val="001F1DC0"/>
    <w:rsid w:val="001F1E88"/>
    <w:rsid w:val="001F2B54"/>
    <w:rsid w:val="001F2DD3"/>
    <w:rsid w:val="001F37F6"/>
    <w:rsid w:val="001F3819"/>
    <w:rsid w:val="001F5075"/>
    <w:rsid w:val="001F5A1B"/>
    <w:rsid w:val="001F5A78"/>
    <w:rsid w:val="001F5FDD"/>
    <w:rsid w:val="001F60F0"/>
    <w:rsid w:val="001F629E"/>
    <w:rsid w:val="0020035F"/>
    <w:rsid w:val="00200561"/>
    <w:rsid w:val="00200D8A"/>
    <w:rsid w:val="00200DE2"/>
    <w:rsid w:val="00201F32"/>
    <w:rsid w:val="002024B3"/>
    <w:rsid w:val="002038B6"/>
    <w:rsid w:val="00203AAE"/>
    <w:rsid w:val="00203D56"/>
    <w:rsid w:val="0020484C"/>
    <w:rsid w:val="00204946"/>
    <w:rsid w:val="00204CDA"/>
    <w:rsid w:val="00204F7E"/>
    <w:rsid w:val="0020512D"/>
    <w:rsid w:val="00205711"/>
    <w:rsid w:val="0020690D"/>
    <w:rsid w:val="00207815"/>
    <w:rsid w:val="00207A6B"/>
    <w:rsid w:val="00207E5B"/>
    <w:rsid w:val="0021019F"/>
    <w:rsid w:val="00210BD4"/>
    <w:rsid w:val="002117E7"/>
    <w:rsid w:val="002118D5"/>
    <w:rsid w:val="00211902"/>
    <w:rsid w:val="002126EF"/>
    <w:rsid w:val="00212BDA"/>
    <w:rsid w:val="00212F69"/>
    <w:rsid w:val="0021359E"/>
    <w:rsid w:val="00213FE6"/>
    <w:rsid w:val="0021422A"/>
    <w:rsid w:val="002148DD"/>
    <w:rsid w:val="00214CFE"/>
    <w:rsid w:val="00215C0A"/>
    <w:rsid w:val="00215C57"/>
    <w:rsid w:val="002166D5"/>
    <w:rsid w:val="0021715E"/>
    <w:rsid w:val="00217C3D"/>
    <w:rsid w:val="00220480"/>
    <w:rsid w:val="0022075F"/>
    <w:rsid w:val="00220C78"/>
    <w:rsid w:val="00220F60"/>
    <w:rsid w:val="00221686"/>
    <w:rsid w:val="00222E8B"/>
    <w:rsid w:val="00223C97"/>
    <w:rsid w:val="00224446"/>
    <w:rsid w:val="002244A0"/>
    <w:rsid w:val="00224FBC"/>
    <w:rsid w:val="002253E1"/>
    <w:rsid w:val="0022590E"/>
    <w:rsid w:val="00225C12"/>
    <w:rsid w:val="0022615C"/>
    <w:rsid w:val="002263B6"/>
    <w:rsid w:val="00226429"/>
    <w:rsid w:val="00226BEC"/>
    <w:rsid w:val="00227B9E"/>
    <w:rsid w:val="00230408"/>
    <w:rsid w:val="00230916"/>
    <w:rsid w:val="00230E96"/>
    <w:rsid w:val="00230FE2"/>
    <w:rsid w:val="00231AB3"/>
    <w:rsid w:val="00232D5B"/>
    <w:rsid w:val="002340F7"/>
    <w:rsid w:val="0023422D"/>
    <w:rsid w:val="00234244"/>
    <w:rsid w:val="0023428B"/>
    <w:rsid w:val="0023445D"/>
    <w:rsid w:val="0023471C"/>
    <w:rsid w:val="00235113"/>
    <w:rsid w:val="00237915"/>
    <w:rsid w:val="00240A64"/>
    <w:rsid w:val="00242870"/>
    <w:rsid w:val="00242AC1"/>
    <w:rsid w:val="00242E24"/>
    <w:rsid w:val="00243F7D"/>
    <w:rsid w:val="00244723"/>
    <w:rsid w:val="002448D4"/>
    <w:rsid w:val="0024490A"/>
    <w:rsid w:val="00245EC4"/>
    <w:rsid w:val="00247441"/>
    <w:rsid w:val="0024773A"/>
    <w:rsid w:val="00247D71"/>
    <w:rsid w:val="0025021A"/>
    <w:rsid w:val="0025038A"/>
    <w:rsid w:val="00250AC0"/>
    <w:rsid w:val="00250C1B"/>
    <w:rsid w:val="00250C3C"/>
    <w:rsid w:val="00250EF3"/>
    <w:rsid w:val="00251309"/>
    <w:rsid w:val="002515B9"/>
    <w:rsid w:val="00252C9E"/>
    <w:rsid w:val="002534B9"/>
    <w:rsid w:val="00253E24"/>
    <w:rsid w:val="00254A30"/>
    <w:rsid w:val="0025504C"/>
    <w:rsid w:val="0025584D"/>
    <w:rsid w:val="00255B02"/>
    <w:rsid w:val="002565CD"/>
    <w:rsid w:val="00256B13"/>
    <w:rsid w:val="00257B00"/>
    <w:rsid w:val="00260202"/>
    <w:rsid w:val="002614DE"/>
    <w:rsid w:val="00262575"/>
    <w:rsid w:val="00263425"/>
    <w:rsid w:val="00263F43"/>
    <w:rsid w:val="00263FD1"/>
    <w:rsid w:val="00264091"/>
    <w:rsid w:val="002652B2"/>
    <w:rsid w:val="002660A9"/>
    <w:rsid w:val="00266408"/>
    <w:rsid w:val="00266495"/>
    <w:rsid w:val="0026656C"/>
    <w:rsid w:val="00266AC4"/>
    <w:rsid w:val="00270EAC"/>
    <w:rsid w:val="002715AE"/>
    <w:rsid w:val="0027249D"/>
    <w:rsid w:val="002724E9"/>
    <w:rsid w:val="002724EF"/>
    <w:rsid w:val="002738FC"/>
    <w:rsid w:val="00273B71"/>
    <w:rsid w:val="002740D8"/>
    <w:rsid w:val="002745C8"/>
    <w:rsid w:val="00274693"/>
    <w:rsid w:val="002747BD"/>
    <w:rsid w:val="00274B37"/>
    <w:rsid w:val="00275412"/>
    <w:rsid w:val="0027556E"/>
    <w:rsid w:val="002769E0"/>
    <w:rsid w:val="00276F38"/>
    <w:rsid w:val="002816A1"/>
    <w:rsid w:val="0028171C"/>
    <w:rsid w:val="0028261F"/>
    <w:rsid w:val="00283638"/>
    <w:rsid w:val="00283EF5"/>
    <w:rsid w:val="002847E0"/>
    <w:rsid w:val="00284F9D"/>
    <w:rsid w:val="00285745"/>
    <w:rsid w:val="00285FBD"/>
    <w:rsid w:val="0028715A"/>
    <w:rsid w:val="002914D3"/>
    <w:rsid w:val="00291711"/>
    <w:rsid w:val="00291F61"/>
    <w:rsid w:val="0029241F"/>
    <w:rsid w:val="00292DB2"/>
    <w:rsid w:val="0029307D"/>
    <w:rsid w:val="00293361"/>
    <w:rsid w:val="00293DFA"/>
    <w:rsid w:val="00294029"/>
    <w:rsid w:val="00294585"/>
    <w:rsid w:val="002948C7"/>
    <w:rsid w:val="00294BAA"/>
    <w:rsid w:val="00294C24"/>
    <w:rsid w:val="00295AF5"/>
    <w:rsid w:val="00295B54"/>
    <w:rsid w:val="00295BAF"/>
    <w:rsid w:val="00295F8A"/>
    <w:rsid w:val="00296020"/>
    <w:rsid w:val="0029637B"/>
    <w:rsid w:val="00296885"/>
    <w:rsid w:val="002969E4"/>
    <w:rsid w:val="002976A6"/>
    <w:rsid w:val="00297AC9"/>
    <w:rsid w:val="002A010C"/>
    <w:rsid w:val="002A01DB"/>
    <w:rsid w:val="002A0218"/>
    <w:rsid w:val="002A0F9E"/>
    <w:rsid w:val="002A12AB"/>
    <w:rsid w:val="002A367E"/>
    <w:rsid w:val="002A52F0"/>
    <w:rsid w:val="002A615D"/>
    <w:rsid w:val="002A72BD"/>
    <w:rsid w:val="002A73BD"/>
    <w:rsid w:val="002A78BA"/>
    <w:rsid w:val="002B4176"/>
    <w:rsid w:val="002B4BB3"/>
    <w:rsid w:val="002B4E1D"/>
    <w:rsid w:val="002B559E"/>
    <w:rsid w:val="002B57AF"/>
    <w:rsid w:val="002B79F8"/>
    <w:rsid w:val="002C052B"/>
    <w:rsid w:val="002C0622"/>
    <w:rsid w:val="002C0A12"/>
    <w:rsid w:val="002C10C6"/>
    <w:rsid w:val="002C1A84"/>
    <w:rsid w:val="002C1EFC"/>
    <w:rsid w:val="002C2B24"/>
    <w:rsid w:val="002C2D20"/>
    <w:rsid w:val="002C3256"/>
    <w:rsid w:val="002C3D69"/>
    <w:rsid w:val="002C3FE5"/>
    <w:rsid w:val="002C561B"/>
    <w:rsid w:val="002C61FC"/>
    <w:rsid w:val="002C631E"/>
    <w:rsid w:val="002C63CE"/>
    <w:rsid w:val="002C681D"/>
    <w:rsid w:val="002C68B3"/>
    <w:rsid w:val="002C79C8"/>
    <w:rsid w:val="002D02F0"/>
    <w:rsid w:val="002D0780"/>
    <w:rsid w:val="002D0870"/>
    <w:rsid w:val="002D215F"/>
    <w:rsid w:val="002D22D1"/>
    <w:rsid w:val="002D238E"/>
    <w:rsid w:val="002D2615"/>
    <w:rsid w:val="002D267B"/>
    <w:rsid w:val="002D3160"/>
    <w:rsid w:val="002D33D8"/>
    <w:rsid w:val="002D3401"/>
    <w:rsid w:val="002D354B"/>
    <w:rsid w:val="002D4534"/>
    <w:rsid w:val="002D4C09"/>
    <w:rsid w:val="002D4C99"/>
    <w:rsid w:val="002D580C"/>
    <w:rsid w:val="002D6117"/>
    <w:rsid w:val="002D6AAF"/>
    <w:rsid w:val="002D6FE8"/>
    <w:rsid w:val="002D7434"/>
    <w:rsid w:val="002D7792"/>
    <w:rsid w:val="002E0229"/>
    <w:rsid w:val="002E0625"/>
    <w:rsid w:val="002E0BB6"/>
    <w:rsid w:val="002E0CCA"/>
    <w:rsid w:val="002E100E"/>
    <w:rsid w:val="002E11F9"/>
    <w:rsid w:val="002E15F6"/>
    <w:rsid w:val="002E25F3"/>
    <w:rsid w:val="002E2CCA"/>
    <w:rsid w:val="002E2DFC"/>
    <w:rsid w:val="002E4B95"/>
    <w:rsid w:val="002E4E55"/>
    <w:rsid w:val="002E501D"/>
    <w:rsid w:val="002E54A5"/>
    <w:rsid w:val="002E54BA"/>
    <w:rsid w:val="002E54C6"/>
    <w:rsid w:val="002E73C4"/>
    <w:rsid w:val="002E7630"/>
    <w:rsid w:val="002F2087"/>
    <w:rsid w:val="002F2126"/>
    <w:rsid w:val="002F234F"/>
    <w:rsid w:val="002F2EC1"/>
    <w:rsid w:val="002F2F9D"/>
    <w:rsid w:val="002F31FA"/>
    <w:rsid w:val="002F4C74"/>
    <w:rsid w:val="002F5BCA"/>
    <w:rsid w:val="002F6826"/>
    <w:rsid w:val="002F6A91"/>
    <w:rsid w:val="002F7E38"/>
    <w:rsid w:val="0030050B"/>
    <w:rsid w:val="00300806"/>
    <w:rsid w:val="0030154A"/>
    <w:rsid w:val="00301ADE"/>
    <w:rsid w:val="003029C3"/>
    <w:rsid w:val="00302F02"/>
    <w:rsid w:val="0030320A"/>
    <w:rsid w:val="003036C0"/>
    <w:rsid w:val="003039C2"/>
    <w:rsid w:val="00303DAF"/>
    <w:rsid w:val="00305671"/>
    <w:rsid w:val="00305DF4"/>
    <w:rsid w:val="00306387"/>
    <w:rsid w:val="00306979"/>
    <w:rsid w:val="00307DDD"/>
    <w:rsid w:val="00310197"/>
    <w:rsid w:val="00310B9D"/>
    <w:rsid w:val="00311D36"/>
    <w:rsid w:val="003120BF"/>
    <w:rsid w:val="0031261B"/>
    <w:rsid w:val="00312E9C"/>
    <w:rsid w:val="0031375B"/>
    <w:rsid w:val="0031484C"/>
    <w:rsid w:val="00314850"/>
    <w:rsid w:val="0031492D"/>
    <w:rsid w:val="00314FFC"/>
    <w:rsid w:val="003150F2"/>
    <w:rsid w:val="0031535C"/>
    <w:rsid w:val="00315616"/>
    <w:rsid w:val="0031641B"/>
    <w:rsid w:val="00316540"/>
    <w:rsid w:val="00316613"/>
    <w:rsid w:val="00316BF5"/>
    <w:rsid w:val="00317730"/>
    <w:rsid w:val="00317B82"/>
    <w:rsid w:val="00317C34"/>
    <w:rsid w:val="003208DE"/>
    <w:rsid w:val="00320FC9"/>
    <w:rsid w:val="00322270"/>
    <w:rsid w:val="00322BC7"/>
    <w:rsid w:val="00323A31"/>
    <w:rsid w:val="00323E15"/>
    <w:rsid w:val="00324B87"/>
    <w:rsid w:val="00326ADD"/>
    <w:rsid w:val="00326EA6"/>
    <w:rsid w:val="00326EE6"/>
    <w:rsid w:val="00327C40"/>
    <w:rsid w:val="0033037E"/>
    <w:rsid w:val="00330454"/>
    <w:rsid w:val="00330478"/>
    <w:rsid w:val="00330B49"/>
    <w:rsid w:val="0033140F"/>
    <w:rsid w:val="003319F6"/>
    <w:rsid w:val="00331C15"/>
    <w:rsid w:val="00333892"/>
    <w:rsid w:val="00333A54"/>
    <w:rsid w:val="003345D5"/>
    <w:rsid w:val="003348F3"/>
    <w:rsid w:val="00334932"/>
    <w:rsid w:val="00335DCF"/>
    <w:rsid w:val="00336334"/>
    <w:rsid w:val="00336779"/>
    <w:rsid w:val="00336911"/>
    <w:rsid w:val="00337001"/>
    <w:rsid w:val="00337B39"/>
    <w:rsid w:val="00340498"/>
    <w:rsid w:val="0034083B"/>
    <w:rsid w:val="00340C36"/>
    <w:rsid w:val="00341C04"/>
    <w:rsid w:val="0034295C"/>
    <w:rsid w:val="003429A2"/>
    <w:rsid w:val="00342A73"/>
    <w:rsid w:val="00344EF1"/>
    <w:rsid w:val="00345975"/>
    <w:rsid w:val="0034726A"/>
    <w:rsid w:val="00347A89"/>
    <w:rsid w:val="00351468"/>
    <w:rsid w:val="00351635"/>
    <w:rsid w:val="00351721"/>
    <w:rsid w:val="00351EE5"/>
    <w:rsid w:val="00351F45"/>
    <w:rsid w:val="00352065"/>
    <w:rsid w:val="003522ED"/>
    <w:rsid w:val="003526A6"/>
    <w:rsid w:val="00352828"/>
    <w:rsid w:val="0035316D"/>
    <w:rsid w:val="00354671"/>
    <w:rsid w:val="0035506F"/>
    <w:rsid w:val="003557ED"/>
    <w:rsid w:val="00355C5F"/>
    <w:rsid w:val="00355F89"/>
    <w:rsid w:val="00356420"/>
    <w:rsid w:val="0035769E"/>
    <w:rsid w:val="0035776F"/>
    <w:rsid w:val="00357D31"/>
    <w:rsid w:val="003607E5"/>
    <w:rsid w:val="00360908"/>
    <w:rsid w:val="00360F32"/>
    <w:rsid w:val="003614E1"/>
    <w:rsid w:val="00362692"/>
    <w:rsid w:val="00363870"/>
    <w:rsid w:val="003638EF"/>
    <w:rsid w:val="003640C8"/>
    <w:rsid w:val="003640D4"/>
    <w:rsid w:val="00364F5E"/>
    <w:rsid w:val="00365414"/>
    <w:rsid w:val="003659FB"/>
    <w:rsid w:val="00365BC2"/>
    <w:rsid w:val="003663CE"/>
    <w:rsid w:val="0036650B"/>
    <w:rsid w:val="00366A96"/>
    <w:rsid w:val="003676B6"/>
    <w:rsid w:val="00367D7F"/>
    <w:rsid w:val="00370008"/>
    <w:rsid w:val="003711B8"/>
    <w:rsid w:val="00371400"/>
    <w:rsid w:val="00371474"/>
    <w:rsid w:val="00371743"/>
    <w:rsid w:val="0037179E"/>
    <w:rsid w:val="00371826"/>
    <w:rsid w:val="0037207B"/>
    <w:rsid w:val="0037242F"/>
    <w:rsid w:val="00373058"/>
    <w:rsid w:val="003737A2"/>
    <w:rsid w:val="00373D74"/>
    <w:rsid w:val="00375074"/>
    <w:rsid w:val="00375C13"/>
    <w:rsid w:val="00375E4C"/>
    <w:rsid w:val="003769CD"/>
    <w:rsid w:val="003769F8"/>
    <w:rsid w:val="00376FF0"/>
    <w:rsid w:val="00377A27"/>
    <w:rsid w:val="00380A94"/>
    <w:rsid w:val="0038163D"/>
    <w:rsid w:val="00381966"/>
    <w:rsid w:val="00381E0F"/>
    <w:rsid w:val="003823C5"/>
    <w:rsid w:val="00383B66"/>
    <w:rsid w:val="00384154"/>
    <w:rsid w:val="003861B8"/>
    <w:rsid w:val="003862B4"/>
    <w:rsid w:val="00386566"/>
    <w:rsid w:val="00387932"/>
    <w:rsid w:val="0039006A"/>
    <w:rsid w:val="003901D9"/>
    <w:rsid w:val="003905D8"/>
    <w:rsid w:val="0039100B"/>
    <w:rsid w:val="00391124"/>
    <w:rsid w:val="0039140B"/>
    <w:rsid w:val="00391FF5"/>
    <w:rsid w:val="003922DC"/>
    <w:rsid w:val="00392557"/>
    <w:rsid w:val="003925ED"/>
    <w:rsid w:val="00393DD3"/>
    <w:rsid w:val="0039435A"/>
    <w:rsid w:val="0039449D"/>
    <w:rsid w:val="0039469C"/>
    <w:rsid w:val="00394762"/>
    <w:rsid w:val="003955A9"/>
    <w:rsid w:val="0039569F"/>
    <w:rsid w:val="00396991"/>
    <w:rsid w:val="00397AC7"/>
    <w:rsid w:val="003A130C"/>
    <w:rsid w:val="003A3BFB"/>
    <w:rsid w:val="003A458A"/>
    <w:rsid w:val="003A4DE5"/>
    <w:rsid w:val="003A5C4B"/>
    <w:rsid w:val="003A6801"/>
    <w:rsid w:val="003A78BC"/>
    <w:rsid w:val="003A7B35"/>
    <w:rsid w:val="003A7B6B"/>
    <w:rsid w:val="003B0261"/>
    <w:rsid w:val="003B07A7"/>
    <w:rsid w:val="003B0986"/>
    <w:rsid w:val="003B0D73"/>
    <w:rsid w:val="003B1572"/>
    <w:rsid w:val="003B23A6"/>
    <w:rsid w:val="003B4579"/>
    <w:rsid w:val="003B4827"/>
    <w:rsid w:val="003B58E0"/>
    <w:rsid w:val="003B64EB"/>
    <w:rsid w:val="003B7B57"/>
    <w:rsid w:val="003C0CA3"/>
    <w:rsid w:val="003C152C"/>
    <w:rsid w:val="003C1AAB"/>
    <w:rsid w:val="003C2821"/>
    <w:rsid w:val="003C3A78"/>
    <w:rsid w:val="003C6560"/>
    <w:rsid w:val="003C6686"/>
    <w:rsid w:val="003C66C5"/>
    <w:rsid w:val="003D0699"/>
    <w:rsid w:val="003D0D2E"/>
    <w:rsid w:val="003D0E8F"/>
    <w:rsid w:val="003D10AC"/>
    <w:rsid w:val="003D27BD"/>
    <w:rsid w:val="003D497F"/>
    <w:rsid w:val="003D4FB3"/>
    <w:rsid w:val="003D575B"/>
    <w:rsid w:val="003D5F3C"/>
    <w:rsid w:val="003D69BE"/>
    <w:rsid w:val="003D6EB1"/>
    <w:rsid w:val="003D701D"/>
    <w:rsid w:val="003D709C"/>
    <w:rsid w:val="003D7403"/>
    <w:rsid w:val="003E0AE6"/>
    <w:rsid w:val="003E0EEB"/>
    <w:rsid w:val="003E1844"/>
    <w:rsid w:val="003E1A50"/>
    <w:rsid w:val="003E2B51"/>
    <w:rsid w:val="003E2B8C"/>
    <w:rsid w:val="003E324B"/>
    <w:rsid w:val="003E462F"/>
    <w:rsid w:val="003E467F"/>
    <w:rsid w:val="003E4937"/>
    <w:rsid w:val="003E4B3B"/>
    <w:rsid w:val="003E4BD8"/>
    <w:rsid w:val="003E536D"/>
    <w:rsid w:val="003E53FB"/>
    <w:rsid w:val="003E5526"/>
    <w:rsid w:val="003E5E22"/>
    <w:rsid w:val="003E6BCF"/>
    <w:rsid w:val="003E6D8F"/>
    <w:rsid w:val="003E716A"/>
    <w:rsid w:val="003E78EE"/>
    <w:rsid w:val="003E7CD1"/>
    <w:rsid w:val="003F1F13"/>
    <w:rsid w:val="003F2316"/>
    <w:rsid w:val="003F2361"/>
    <w:rsid w:val="003F241E"/>
    <w:rsid w:val="003F29E9"/>
    <w:rsid w:val="003F32B7"/>
    <w:rsid w:val="003F332E"/>
    <w:rsid w:val="003F4275"/>
    <w:rsid w:val="003F55B4"/>
    <w:rsid w:val="003F5DB3"/>
    <w:rsid w:val="003F5EBD"/>
    <w:rsid w:val="003F64DF"/>
    <w:rsid w:val="003F6A9B"/>
    <w:rsid w:val="003F6F4E"/>
    <w:rsid w:val="003F702F"/>
    <w:rsid w:val="00400981"/>
    <w:rsid w:val="004009A0"/>
    <w:rsid w:val="0040167A"/>
    <w:rsid w:val="00401D62"/>
    <w:rsid w:val="00401E6D"/>
    <w:rsid w:val="0040237D"/>
    <w:rsid w:val="004027F5"/>
    <w:rsid w:val="0040309B"/>
    <w:rsid w:val="00403483"/>
    <w:rsid w:val="00405524"/>
    <w:rsid w:val="00405982"/>
    <w:rsid w:val="00405BC3"/>
    <w:rsid w:val="00406451"/>
    <w:rsid w:val="00406943"/>
    <w:rsid w:val="00406D89"/>
    <w:rsid w:val="00407394"/>
    <w:rsid w:val="00410883"/>
    <w:rsid w:val="00412156"/>
    <w:rsid w:val="00412A52"/>
    <w:rsid w:val="0041310C"/>
    <w:rsid w:val="00413490"/>
    <w:rsid w:val="00416689"/>
    <w:rsid w:val="00416A2C"/>
    <w:rsid w:val="00416F8F"/>
    <w:rsid w:val="00420045"/>
    <w:rsid w:val="00421EFC"/>
    <w:rsid w:val="00422F33"/>
    <w:rsid w:val="0042386B"/>
    <w:rsid w:val="004238CD"/>
    <w:rsid w:val="00425059"/>
    <w:rsid w:val="00425249"/>
    <w:rsid w:val="00426E4F"/>
    <w:rsid w:val="004274C4"/>
    <w:rsid w:val="00427C56"/>
    <w:rsid w:val="00430369"/>
    <w:rsid w:val="00431B73"/>
    <w:rsid w:val="0043234A"/>
    <w:rsid w:val="00432353"/>
    <w:rsid w:val="00432B30"/>
    <w:rsid w:val="004357EA"/>
    <w:rsid w:val="00435838"/>
    <w:rsid w:val="0043604C"/>
    <w:rsid w:val="00436B7B"/>
    <w:rsid w:val="004409F8"/>
    <w:rsid w:val="00440A90"/>
    <w:rsid w:val="0044130D"/>
    <w:rsid w:val="00443553"/>
    <w:rsid w:val="00443609"/>
    <w:rsid w:val="00443B5A"/>
    <w:rsid w:val="00443B7E"/>
    <w:rsid w:val="00443F20"/>
    <w:rsid w:val="004446E1"/>
    <w:rsid w:val="0044494E"/>
    <w:rsid w:val="00445973"/>
    <w:rsid w:val="00445BA3"/>
    <w:rsid w:val="00445CA4"/>
    <w:rsid w:val="004464AC"/>
    <w:rsid w:val="004466B5"/>
    <w:rsid w:val="004477E3"/>
    <w:rsid w:val="00447986"/>
    <w:rsid w:val="004500EE"/>
    <w:rsid w:val="004510E7"/>
    <w:rsid w:val="004521D4"/>
    <w:rsid w:val="004522CC"/>
    <w:rsid w:val="0045233B"/>
    <w:rsid w:val="00452B5A"/>
    <w:rsid w:val="004531B4"/>
    <w:rsid w:val="004531BC"/>
    <w:rsid w:val="00453465"/>
    <w:rsid w:val="0045421F"/>
    <w:rsid w:val="00454B8F"/>
    <w:rsid w:val="004554FF"/>
    <w:rsid w:val="00455CC9"/>
    <w:rsid w:val="00456141"/>
    <w:rsid w:val="004563C6"/>
    <w:rsid w:val="004565A6"/>
    <w:rsid w:val="00456695"/>
    <w:rsid w:val="004567CD"/>
    <w:rsid w:val="0045710B"/>
    <w:rsid w:val="004575F5"/>
    <w:rsid w:val="00457AD8"/>
    <w:rsid w:val="00460163"/>
    <w:rsid w:val="00460448"/>
    <w:rsid w:val="00460D40"/>
    <w:rsid w:val="00460FB7"/>
    <w:rsid w:val="00461012"/>
    <w:rsid w:val="00462A28"/>
    <w:rsid w:val="00462B9B"/>
    <w:rsid w:val="00462DBA"/>
    <w:rsid w:val="004631FF"/>
    <w:rsid w:val="0046326A"/>
    <w:rsid w:val="004638B5"/>
    <w:rsid w:val="00463F14"/>
    <w:rsid w:val="00464949"/>
    <w:rsid w:val="004666AE"/>
    <w:rsid w:val="00466BB2"/>
    <w:rsid w:val="00466D34"/>
    <w:rsid w:val="004675E4"/>
    <w:rsid w:val="00467C39"/>
    <w:rsid w:val="00470194"/>
    <w:rsid w:val="0047076E"/>
    <w:rsid w:val="004707CD"/>
    <w:rsid w:val="00470CA0"/>
    <w:rsid w:val="004715AB"/>
    <w:rsid w:val="0047198B"/>
    <w:rsid w:val="00472A32"/>
    <w:rsid w:val="00473E62"/>
    <w:rsid w:val="00474A44"/>
    <w:rsid w:val="00474C4C"/>
    <w:rsid w:val="00474E01"/>
    <w:rsid w:val="00475C50"/>
    <w:rsid w:val="00475E8F"/>
    <w:rsid w:val="0047629F"/>
    <w:rsid w:val="00477388"/>
    <w:rsid w:val="004773B2"/>
    <w:rsid w:val="004802DC"/>
    <w:rsid w:val="00480FA0"/>
    <w:rsid w:val="00481630"/>
    <w:rsid w:val="004818F4"/>
    <w:rsid w:val="00482132"/>
    <w:rsid w:val="0048261F"/>
    <w:rsid w:val="00482C3B"/>
    <w:rsid w:val="004834AF"/>
    <w:rsid w:val="00483780"/>
    <w:rsid w:val="00483EC5"/>
    <w:rsid w:val="0048450B"/>
    <w:rsid w:val="00484C3B"/>
    <w:rsid w:val="00484FEA"/>
    <w:rsid w:val="00485281"/>
    <w:rsid w:val="00485C98"/>
    <w:rsid w:val="004909DD"/>
    <w:rsid w:val="00490E5D"/>
    <w:rsid w:val="004911D7"/>
    <w:rsid w:val="004918CD"/>
    <w:rsid w:val="00491B96"/>
    <w:rsid w:val="00491DD3"/>
    <w:rsid w:val="00492B3E"/>
    <w:rsid w:val="00492C93"/>
    <w:rsid w:val="0049324A"/>
    <w:rsid w:val="00493EE7"/>
    <w:rsid w:val="00494435"/>
    <w:rsid w:val="00494C99"/>
    <w:rsid w:val="0049531C"/>
    <w:rsid w:val="0049532F"/>
    <w:rsid w:val="00495650"/>
    <w:rsid w:val="0049570C"/>
    <w:rsid w:val="00495A3D"/>
    <w:rsid w:val="00495B57"/>
    <w:rsid w:val="004962B8"/>
    <w:rsid w:val="004965B6"/>
    <w:rsid w:val="00497728"/>
    <w:rsid w:val="004A02EA"/>
    <w:rsid w:val="004A10D2"/>
    <w:rsid w:val="004A15A7"/>
    <w:rsid w:val="004A16AC"/>
    <w:rsid w:val="004A22CD"/>
    <w:rsid w:val="004A2735"/>
    <w:rsid w:val="004A2B85"/>
    <w:rsid w:val="004A3100"/>
    <w:rsid w:val="004A48D9"/>
    <w:rsid w:val="004A5CF1"/>
    <w:rsid w:val="004A5FD2"/>
    <w:rsid w:val="004B0D11"/>
    <w:rsid w:val="004B156C"/>
    <w:rsid w:val="004B16AF"/>
    <w:rsid w:val="004B3928"/>
    <w:rsid w:val="004B466D"/>
    <w:rsid w:val="004B5D72"/>
    <w:rsid w:val="004B7074"/>
    <w:rsid w:val="004B73D0"/>
    <w:rsid w:val="004B7BC0"/>
    <w:rsid w:val="004C0236"/>
    <w:rsid w:val="004C10D2"/>
    <w:rsid w:val="004C1A3F"/>
    <w:rsid w:val="004C1F52"/>
    <w:rsid w:val="004C29EF"/>
    <w:rsid w:val="004C3497"/>
    <w:rsid w:val="004C38B5"/>
    <w:rsid w:val="004C40FD"/>
    <w:rsid w:val="004C41E6"/>
    <w:rsid w:val="004C43B8"/>
    <w:rsid w:val="004C448B"/>
    <w:rsid w:val="004C4561"/>
    <w:rsid w:val="004C540E"/>
    <w:rsid w:val="004C64E4"/>
    <w:rsid w:val="004C6BED"/>
    <w:rsid w:val="004C6EE7"/>
    <w:rsid w:val="004C7102"/>
    <w:rsid w:val="004D000E"/>
    <w:rsid w:val="004D0316"/>
    <w:rsid w:val="004D168E"/>
    <w:rsid w:val="004D42FC"/>
    <w:rsid w:val="004D5424"/>
    <w:rsid w:val="004D57FB"/>
    <w:rsid w:val="004D5947"/>
    <w:rsid w:val="004D654C"/>
    <w:rsid w:val="004D65E9"/>
    <w:rsid w:val="004D69C5"/>
    <w:rsid w:val="004D6BF6"/>
    <w:rsid w:val="004D6E8A"/>
    <w:rsid w:val="004D6F92"/>
    <w:rsid w:val="004D7996"/>
    <w:rsid w:val="004D7F01"/>
    <w:rsid w:val="004E00C6"/>
    <w:rsid w:val="004E00EC"/>
    <w:rsid w:val="004E03DF"/>
    <w:rsid w:val="004E1AAD"/>
    <w:rsid w:val="004E1AD0"/>
    <w:rsid w:val="004E2088"/>
    <w:rsid w:val="004E2694"/>
    <w:rsid w:val="004E29BD"/>
    <w:rsid w:val="004E3040"/>
    <w:rsid w:val="004E3A9D"/>
    <w:rsid w:val="004E4626"/>
    <w:rsid w:val="004E4B48"/>
    <w:rsid w:val="004E5A6F"/>
    <w:rsid w:val="004E5C51"/>
    <w:rsid w:val="004E5D9F"/>
    <w:rsid w:val="004E6034"/>
    <w:rsid w:val="004E628A"/>
    <w:rsid w:val="004E6927"/>
    <w:rsid w:val="004E6B7E"/>
    <w:rsid w:val="004F0084"/>
    <w:rsid w:val="004F047D"/>
    <w:rsid w:val="004F0590"/>
    <w:rsid w:val="004F0A62"/>
    <w:rsid w:val="004F106F"/>
    <w:rsid w:val="004F1CFC"/>
    <w:rsid w:val="004F26CE"/>
    <w:rsid w:val="004F2E22"/>
    <w:rsid w:val="004F372D"/>
    <w:rsid w:val="004F376E"/>
    <w:rsid w:val="004F3C5B"/>
    <w:rsid w:val="004F3D4C"/>
    <w:rsid w:val="004F5372"/>
    <w:rsid w:val="004F54A6"/>
    <w:rsid w:val="004F5854"/>
    <w:rsid w:val="004F5D0D"/>
    <w:rsid w:val="004F6063"/>
    <w:rsid w:val="004F7240"/>
    <w:rsid w:val="004F77B0"/>
    <w:rsid w:val="0050103C"/>
    <w:rsid w:val="005011DD"/>
    <w:rsid w:val="00502992"/>
    <w:rsid w:val="00502B66"/>
    <w:rsid w:val="0050319F"/>
    <w:rsid w:val="00503414"/>
    <w:rsid w:val="0050352B"/>
    <w:rsid w:val="00503C69"/>
    <w:rsid w:val="00503F21"/>
    <w:rsid w:val="005046B6"/>
    <w:rsid w:val="005056AC"/>
    <w:rsid w:val="0050591A"/>
    <w:rsid w:val="00505A36"/>
    <w:rsid w:val="005063A9"/>
    <w:rsid w:val="00506645"/>
    <w:rsid w:val="0050668E"/>
    <w:rsid w:val="005074A7"/>
    <w:rsid w:val="005100F1"/>
    <w:rsid w:val="005107C6"/>
    <w:rsid w:val="00510A19"/>
    <w:rsid w:val="00510E9F"/>
    <w:rsid w:val="00511088"/>
    <w:rsid w:val="0051127A"/>
    <w:rsid w:val="00513FCB"/>
    <w:rsid w:val="00514459"/>
    <w:rsid w:val="00514753"/>
    <w:rsid w:val="00514A28"/>
    <w:rsid w:val="0051591D"/>
    <w:rsid w:val="00515B67"/>
    <w:rsid w:val="00516574"/>
    <w:rsid w:val="00516FEC"/>
    <w:rsid w:val="00521246"/>
    <w:rsid w:val="0052148C"/>
    <w:rsid w:val="0052155A"/>
    <w:rsid w:val="00521BAB"/>
    <w:rsid w:val="0052200B"/>
    <w:rsid w:val="005220FA"/>
    <w:rsid w:val="005222B3"/>
    <w:rsid w:val="00523E03"/>
    <w:rsid w:val="00524356"/>
    <w:rsid w:val="005244F7"/>
    <w:rsid w:val="005247B9"/>
    <w:rsid w:val="00525B79"/>
    <w:rsid w:val="0052623C"/>
    <w:rsid w:val="00526485"/>
    <w:rsid w:val="00527490"/>
    <w:rsid w:val="00527684"/>
    <w:rsid w:val="00530BAA"/>
    <w:rsid w:val="00530FF6"/>
    <w:rsid w:val="0053143E"/>
    <w:rsid w:val="00532EDD"/>
    <w:rsid w:val="0053388C"/>
    <w:rsid w:val="00533B1E"/>
    <w:rsid w:val="005346DD"/>
    <w:rsid w:val="005356D7"/>
    <w:rsid w:val="00535B6D"/>
    <w:rsid w:val="005365EE"/>
    <w:rsid w:val="005370B5"/>
    <w:rsid w:val="005372E1"/>
    <w:rsid w:val="00537737"/>
    <w:rsid w:val="005403E4"/>
    <w:rsid w:val="0054066F"/>
    <w:rsid w:val="0054069F"/>
    <w:rsid w:val="005425BD"/>
    <w:rsid w:val="00542C18"/>
    <w:rsid w:val="0054330C"/>
    <w:rsid w:val="00543B6D"/>
    <w:rsid w:val="005447AF"/>
    <w:rsid w:val="00544992"/>
    <w:rsid w:val="0054557C"/>
    <w:rsid w:val="00550EC7"/>
    <w:rsid w:val="005519E2"/>
    <w:rsid w:val="00552217"/>
    <w:rsid w:val="00552AC2"/>
    <w:rsid w:val="00552BAE"/>
    <w:rsid w:val="00552CCC"/>
    <w:rsid w:val="00552E28"/>
    <w:rsid w:val="005533B7"/>
    <w:rsid w:val="00553A84"/>
    <w:rsid w:val="00553AEF"/>
    <w:rsid w:val="00554284"/>
    <w:rsid w:val="00554749"/>
    <w:rsid w:val="00554782"/>
    <w:rsid w:val="00554872"/>
    <w:rsid w:val="00555ABD"/>
    <w:rsid w:val="00555C84"/>
    <w:rsid w:val="00557309"/>
    <w:rsid w:val="005603C1"/>
    <w:rsid w:val="005606F8"/>
    <w:rsid w:val="00561999"/>
    <w:rsid w:val="00561E44"/>
    <w:rsid w:val="005636B2"/>
    <w:rsid w:val="00563824"/>
    <w:rsid w:val="005654BA"/>
    <w:rsid w:val="00567528"/>
    <w:rsid w:val="0056754D"/>
    <w:rsid w:val="00570860"/>
    <w:rsid w:val="00571857"/>
    <w:rsid w:val="00571F52"/>
    <w:rsid w:val="005727DD"/>
    <w:rsid w:val="005728F0"/>
    <w:rsid w:val="00572D5C"/>
    <w:rsid w:val="005750AC"/>
    <w:rsid w:val="00576635"/>
    <w:rsid w:val="005774C1"/>
    <w:rsid w:val="0058086D"/>
    <w:rsid w:val="00580925"/>
    <w:rsid w:val="00580991"/>
    <w:rsid w:val="00580B34"/>
    <w:rsid w:val="00580D52"/>
    <w:rsid w:val="00580DCE"/>
    <w:rsid w:val="005810A7"/>
    <w:rsid w:val="00581652"/>
    <w:rsid w:val="00581C0C"/>
    <w:rsid w:val="00581CC5"/>
    <w:rsid w:val="00581F71"/>
    <w:rsid w:val="00582805"/>
    <w:rsid w:val="00583A63"/>
    <w:rsid w:val="00584ACA"/>
    <w:rsid w:val="00586046"/>
    <w:rsid w:val="005862EA"/>
    <w:rsid w:val="00587771"/>
    <w:rsid w:val="005902C8"/>
    <w:rsid w:val="00591532"/>
    <w:rsid w:val="00591C89"/>
    <w:rsid w:val="00592861"/>
    <w:rsid w:val="00592E31"/>
    <w:rsid w:val="005937C7"/>
    <w:rsid w:val="005937E7"/>
    <w:rsid w:val="0059399A"/>
    <w:rsid w:val="0059411A"/>
    <w:rsid w:val="00594306"/>
    <w:rsid w:val="00594B02"/>
    <w:rsid w:val="00594DE5"/>
    <w:rsid w:val="0059508B"/>
    <w:rsid w:val="00595861"/>
    <w:rsid w:val="005958E0"/>
    <w:rsid w:val="00595D46"/>
    <w:rsid w:val="00596CFD"/>
    <w:rsid w:val="00597824"/>
    <w:rsid w:val="005A106E"/>
    <w:rsid w:val="005A16ED"/>
    <w:rsid w:val="005A19CF"/>
    <w:rsid w:val="005A2BBD"/>
    <w:rsid w:val="005A2F75"/>
    <w:rsid w:val="005A3802"/>
    <w:rsid w:val="005A4DFD"/>
    <w:rsid w:val="005A566F"/>
    <w:rsid w:val="005A56DF"/>
    <w:rsid w:val="005A5AD0"/>
    <w:rsid w:val="005A5C94"/>
    <w:rsid w:val="005A5F88"/>
    <w:rsid w:val="005A660D"/>
    <w:rsid w:val="005A7349"/>
    <w:rsid w:val="005A7746"/>
    <w:rsid w:val="005A7D3A"/>
    <w:rsid w:val="005B0499"/>
    <w:rsid w:val="005B0B8A"/>
    <w:rsid w:val="005B10C6"/>
    <w:rsid w:val="005B222E"/>
    <w:rsid w:val="005B2493"/>
    <w:rsid w:val="005B27E6"/>
    <w:rsid w:val="005B295B"/>
    <w:rsid w:val="005B2DA9"/>
    <w:rsid w:val="005B324E"/>
    <w:rsid w:val="005B390F"/>
    <w:rsid w:val="005B3D64"/>
    <w:rsid w:val="005B4801"/>
    <w:rsid w:val="005B4C2F"/>
    <w:rsid w:val="005B556C"/>
    <w:rsid w:val="005B60BF"/>
    <w:rsid w:val="005B6B3D"/>
    <w:rsid w:val="005B75C3"/>
    <w:rsid w:val="005B7865"/>
    <w:rsid w:val="005B7890"/>
    <w:rsid w:val="005B7C55"/>
    <w:rsid w:val="005B7D4A"/>
    <w:rsid w:val="005C05D2"/>
    <w:rsid w:val="005C1084"/>
    <w:rsid w:val="005C2811"/>
    <w:rsid w:val="005C3627"/>
    <w:rsid w:val="005C3CE7"/>
    <w:rsid w:val="005C4926"/>
    <w:rsid w:val="005C5B3C"/>
    <w:rsid w:val="005C651C"/>
    <w:rsid w:val="005C6C89"/>
    <w:rsid w:val="005C70BF"/>
    <w:rsid w:val="005C75B1"/>
    <w:rsid w:val="005C7CD9"/>
    <w:rsid w:val="005C7F63"/>
    <w:rsid w:val="005D036C"/>
    <w:rsid w:val="005D0650"/>
    <w:rsid w:val="005D139E"/>
    <w:rsid w:val="005D1F4D"/>
    <w:rsid w:val="005D22B4"/>
    <w:rsid w:val="005D292E"/>
    <w:rsid w:val="005D2FFB"/>
    <w:rsid w:val="005D441F"/>
    <w:rsid w:val="005D4915"/>
    <w:rsid w:val="005D4C96"/>
    <w:rsid w:val="005D556D"/>
    <w:rsid w:val="005D5742"/>
    <w:rsid w:val="005D57DE"/>
    <w:rsid w:val="005D705D"/>
    <w:rsid w:val="005D7166"/>
    <w:rsid w:val="005D7607"/>
    <w:rsid w:val="005E009B"/>
    <w:rsid w:val="005E0986"/>
    <w:rsid w:val="005E1AFC"/>
    <w:rsid w:val="005E1D9E"/>
    <w:rsid w:val="005E24C3"/>
    <w:rsid w:val="005E2AF6"/>
    <w:rsid w:val="005E3E26"/>
    <w:rsid w:val="005E4086"/>
    <w:rsid w:val="005E43E2"/>
    <w:rsid w:val="005E48C2"/>
    <w:rsid w:val="005E4B52"/>
    <w:rsid w:val="005E5D49"/>
    <w:rsid w:val="005E76D1"/>
    <w:rsid w:val="005F010D"/>
    <w:rsid w:val="005F0419"/>
    <w:rsid w:val="005F08A2"/>
    <w:rsid w:val="005F2709"/>
    <w:rsid w:val="005F2E3C"/>
    <w:rsid w:val="005F41C1"/>
    <w:rsid w:val="005F41E8"/>
    <w:rsid w:val="005F4B98"/>
    <w:rsid w:val="005F5184"/>
    <w:rsid w:val="005F5A02"/>
    <w:rsid w:val="005F68B4"/>
    <w:rsid w:val="005F7D50"/>
    <w:rsid w:val="00600EE5"/>
    <w:rsid w:val="006010C9"/>
    <w:rsid w:val="006011DF"/>
    <w:rsid w:val="00601814"/>
    <w:rsid w:val="006018FE"/>
    <w:rsid w:val="006029AF"/>
    <w:rsid w:val="00602FBD"/>
    <w:rsid w:val="006040C9"/>
    <w:rsid w:val="00605922"/>
    <w:rsid w:val="00605C71"/>
    <w:rsid w:val="0060669A"/>
    <w:rsid w:val="00606ED7"/>
    <w:rsid w:val="0060785D"/>
    <w:rsid w:val="00610702"/>
    <w:rsid w:val="006110EC"/>
    <w:rsid w:val="0061117B"/>
    <w:rsid w:val="00611793"/>
    <w:rsid w:val="00611822"/>
    <w:rsid w:val="00612D7D"/>
    <w:rsid w:val="00613568"/>
    <w:rsid w:val="00613687"/>
    <w:rsid w:val="00613EDA"/>
    <w:rsid w:val="006141EB"/>
    <w:rsid w:val="00614714"/>
    <w:rsid w:val="00614CAE"/>
    <w:rsid w:val="00614E3B"/>
    <w:rsid w:val="006151F4"/>
    <w:rsid w:val="0061592B"/>
    <w:rsid w:val="00615CDC"/>
    <w:rsid w:val="0061620F"/>
    <w:rsid w:val="00616443"/>
    <w:rsid w:val="00620615"/>
    <w:rsid w:val="0062094C"/>
    <w:rsid w:val="006214FE"/>
    <w:rsid w:val="00621D82"/>
    <w:rsid w:val="00622E27"/>
    <w:rsid w:val="006238FF"/>
    <w:rsid w:val="00623C2B"/>
    <w:rsid w:val="006244D2"/>
    <w:rsid w:val="006259A5"/>
    <w:rsid w:val="00625CC3"/>
    <w:rsid w:val="00625CF9"/>
    <w:rsid w:val="00626264"/>
    <w:rsid w:val="00627AB6"/>
    <w:rsid w:val="00627B8E"/>
    <w:rsid w:val="00627C1E"/>
    <w:rsid w:val="0063180A"/>
    <w:rsid w:val="006323F6"/>
    <w:rsid w:val="00632F40"/>
    <w:rsid w:val="00633193"/>
    <w:rsid w:val="00633255"/>
    <w:rsid w:val="006336E3"/>
    <w:rsid w:val="00633B29"/>
    <w:rsid w:val="00633BD0"/>
    <w:rsid w:val="00634A6B"/>
    <w:rsid w:val="0063615D"/>
    <w:rsid w:val="00636A9B"/>
    <w:rsid w:val="00636FAD"/>
    <w:rsid w:val="006371E1"/>
    <w:rsid w:val="00640388"/>
    <w:rsid w:val="00640B15"/>
    <w:rsid w:val="006414EA"/>
    <w:rsid w:val="00642C31"/>
    <w:rsid w:val="006458FA"/>
    <w:rsid w:val="00645D15"/>
    <w:rsid w:val="00646526"/>
    <w:rsid w:val="0064654B"/>
    <w:rsid w:val="00646CCB"/>
    <w:rsid w:val="00647D29"/>
    <w:rsid w:val="00650187"/>
    <w:rsid w:val="00650E85"/>
    <w:rsid w:val="00651285"/>
    <w:rsid w:val="00651FCD"/>
    <w:rsid w:val="00652691"/>
    <w:rsid w:val="00654414"/>
    <w:rsid w:val="00654625"/>
    <w:rsid w:val="00654D28"/>
    <w:rsid w:val="00655284"/>
    <w:rsid w:val="006559CB"/>
    <w:rsid w:val="006561BB"/>
    <w:rsid w:val="00656336"/>
    <w:rsid w:val="0065659B"/>
    <w:rsid w:val="0065699C"/>
    <w:rsid w:val="00656BD4"/>
    <w:rsid w:val="00657064"/>
    <w:rsid w:val="00657885"/>
    <w:rsid w:val="00657B3C"/>
    <w:rsid w:val="006604F9"/>
    <w:rsid w:val="00660522"/>
    <w:rsid w:val="00661776"/>
    <w:rsid w:val="00663E43"/>
    <w:rsid w:val="00664635"/>
    <w:rsid w:val="0066579F"/>
    <w:rsid w:val="00665A79"/>
    <w:rsid w:val="006660D4"/>
    <w:rsid w:val="0067038C"/>
    <w:rsid w:val="00672417"/>
    <w:rsid w:val="00672E0F"/>
    <w:rsid w:val="006737C0"/>
    <w:rsid w:val="00673B5C"/>
    <w:rsid w:val="00673BE2"/>
    <w:rsid w:val="00673DB8"/>
    <w:rsid w:val="00673E05"/>
    <w:rsid w:val="00673EAD"/>
    <w:rsid w:val="00674BE0"/>
    <w:rsid w:val="00674C1F"/>
    <w:rsid w:val="00674F7E"/>
    <w:rsid w:val="006750E1"/>
    <w:rsid w:val="0067598C"/>
    <w:rsid w:val="0067651A"/>
    <w:rsid w:val="00676CA9"/>
    <w:rsid w:val="00677821"/>
    <w:rsid w:val="00677826"/>
    <w:rsid w:val="006805CD"/>
    <w:rsid w:val="00680A86"/>
    <w:rsid w:val="00680C4F"/>
    <w:rsid w:val="006810CC"/>
    <w:rsid w:val="00681916"/>
    <w:rsid w:val="00681D92"/>
    <w:rsid w:val="0068290D"/>
    <w:rsid w:val="00682AA1"/>
    <w:rsid w:val="00682D90"/>
    <w:rsid w:val="00683141"/>
    <w:rsid w:val="006832D2"/>
    <w:rsid w:val="006832FB"/>
    <w:rsid w:val="00684CCA"/>
    <w:rsid w:val="00684DDA"/>
    <w:rsid w:val="006852F7"/>
    <w:rsid w:val="0068599A"/>
    <w:rsid w:val="00685F24"/>
    <w:rsid w:val="006861E6"/>
    <w:rsid w:val="006862F5"/>
    <w:rsid w:val="0068669C"/>
    <w:rsid w:val="00687920"/>
    <w:rsid w:val="00687D2C"/>
    <w:rsid w:val="0069158C"/>
    <w:rsid w:val="006915C9"/>
    <w:rsid w:val="006916F1"/>
    <w:rsid w:val="00691BCB"/>
    <w:rsid w:val="00691EEF"/>
    <w:rsid w:val="00692772"/>
    <w:rsid w:val="00692ACA"/>
    <w:rsid w:val="0069381D"/>
    <w:rsid w:val="00694841"/>
    <w:rsid w:val="00694992"/>
    <w:rsid w:val="00695EB3"/>
    <w:rsid w:val="00696E5B"/>
    <w:rsid w:val="006A0443"/>
    <w:rsid w:val="006A17FC"/>
    <w:rsid w:val="006A183D"/>
    <w:rsid w:val="006A2278"/>
    <w:rsid w:val="006A3535"/>
    <w:rsid w:val="006A392A"/>
    <w:rsid w:val="006A41B1"/>
    <w:rsid w:val="006A4311"/>
    <w:rsid w:val="006A4860"/>
    <w:rsid w:val="006A492F"/>
    <w:rsid w:val="006A5D47"/>
    <w:rsid w:val="006A654D"/>
    <w:rsid w:val="006A79BE"/>
    <w:rsid w:val="006A7BD3"/>
    <w:rsid w:val="006B0E5B"/>
    <w:rsid w:val="006B31EF"/>
    <w:rsid w:val="006B3F30"/>
    <w:rsid w:val="006B43DD"/>
    <w:rsid w:val="006B4855"/>
    <w:rsid w:val="006B6784"/>
    <w:rsid w:val="006B6FA4"/>
    <w:rsid w:val="006B7046"/>
    <w:rsid w:val="006B7801"/>
    <w:rsid w:val="006B7F75"/>
    <w:rsid w:val="006C0044"/>
    <w:rsid w:val="006C0DD3"/>
    <w:rsid w:val="006C0E03"/>
    <w:rsid w:val="006C11FC"/>
    <w:rsid w:val="006C19EC"/>
    <w:rsid w:val="006C1D96"/>
    <w:rsid w:val="006C2ABF"/>
    <w:rsid w:val="006C2BF4"/>
    <w:rsid w:val="006C2C19"/>
    <w:rsid w:val="006C31E2"/>
    <w:rsid w:val="006C3906"/>
    <w:rsid w:val="006C4D88"/>
    <w:rsid w:val="006C5BE5"/>
    <w:rsid w:val="006C5C13"/>
    <w:rsid w:val="006C612E"/>
    <w:rsid w:val="006C6263"/>
    <w:rsid w:val="006C670C"/>
    <w:rsid w:val="006C717A"/>
    <w:rsid w:val="006C7428"/>
    <w:rsid w:val="006C7BBB"/>
    <w:rsid w:val="006D03B0"/>
    <w:rsid w:val="006D04B0"/>
    <w:rsid w:val="006D05AF"/>
    <w:rsid w:val="006D0876"/>
    <w:rsid w:val="006D08B8"/>
    <w:rsid w:val="006D0AE9"/>
    <w:rsid w:val="006D0C64"/>
    <w:rsid w:val="006D137A"/>
    <w:rsid w:val="006D1603"/>
    <w:rsid w:val="006D2186"/>
    <w:rsid w:val="006D28AA"/>
    <w:rsid w:val="006D3597"/>
    <w:rsid w:val="006D3D13"/>
    <w:rsid w:val="006D452A"/>
    <w:rsid w:val="006D46EF"/>
    <w:rsid w:val="006D4D4F"/>
    <w:rsid w:val="006D60CD"/>
    <w:rsid w:val="006D68C4"/>
    <w:rsid w:val="006D7DFB"/>
    <w:rsid w:val="006E02C8"/>
    <w:rsid w:val="006E0EBD"/>
    <w:rsid w:val="006E0F30"/>
    <w:rsid w:val="006E1F2A"/>
    <w:rsid w:val="006E2307"/>
    <w:rsid w:val="006E233D"/>
    <w:rsid w:val="006E25B3"/>
    <w:rsid w:val="006E2DBA"/>
    <w:rsid w:val="006E2EE4"/>
    <w:rsid w:val="006E3706"/>
    <w:rsid w:val="006E40CF"/>
    <w:rsid w:val="006E4B2E"/>
    <w:rsid w:val="006E4C52"/>
    <w:rsid w:val="006E5B95"/>
    <w:rsid w:val="006E5C0D"/>
    <w:rsid w:val="006E5C26"/>
    <w:rsid w:val="006E6C6A"/>
    <w:rsid w:val="006E72F4"/>
    <w:rsid w:val="006E798D"/>
    <w:rsid w:val="006E7CFA"/>
    <w:rsid w:val="006E7D05"/>
    <w:rsid w:val="006F0120"/>
    <w:rsid w:val="006F09A3"/>
    <w:rsid w:val="006F1536"/>
    <w:rsid w:val="006F2135"/>
    <w:rsid w:val="006F2773"/>
    <w:rsid w:val="006F41D5"/>
    <w:rsid w:val="006F45A4"/>
    <w:rsid w:val="006F47CD"/>
    <w:rsid w:val="006F4C8C"/>
    <w:rsid w:val="006F6C10"/>
    <w:rsid w:val="00701535"/>
    <w:rsid w:val="00701BA5"/>
    <w:rsid w:val="00701F6D"/>
    <w:rsid w:val="007021FC"/>
    <w:rsid w:val="0070398F"/>
    <w:rsid w:val="007044FE"/>
    <w:rsid w:val="00704C81"/>
    <w:rsid w:val="0070509B"/>
    <w:rsid w:val="00706F68"/>
    <w:rsid w:val="00707223"/>
    <w:rsid w:val="007100EE"/>
    <w:rsid w:val="00710470"/>
    <w:rsid w:val="00710A6C"/>
    <w:rsid w:val="00711CE4"/>
    <w:rsid w:val="00712958"/>
    <w:rsid w:val="007133D7"/>
    <w:rsid w:val="00713C9A"/>
    <w:rsid w:val="00713E1C"/>
    <w:rsid w:val="00715FFB"/>
    <w:rsid w:val="00716951"/>
    <w:rsid w:val="00717108"/>
    <w:rsid w:val="00717117"/>
    <w:rsid w:val="0071774F"/>
    <w:rsid w:val="00717FC2"/>
    <w:rsid w:val="0072104F"/>
    <w:rsid w:val="00721677"/>
    <w:rsid w:val="00721C73"/>
    <w:rsid w:val="00721FE8"/>
    <w:rsid w:val="00722082"/>
    <w:rsid w:val="00723421"/>
    <w:rsid w:val="00723CC2"/>
    <w:rsid w:val="00724537"/>
    <w:rsid w:val="00724A4F"/>
    <w:rsid w:val="00724D49"/>
    <w:rsid w:val="00726321"/>
    <w:rsid w:val="00730005"/>
    <w:rsid w:val="007300D9"/>
    <w:rsid w:val="0073072C"/>
    <w:rsid w:val="007308B1"/>
    <w:rsid w:val="00730971"/>
    <w:rsid w:val="00731751"/>
    <w:rsid w:val="00731D7E"/>
    <w:rsid w:val="00731EFD"/>
    <w:rsid w:val="0073270A"/>
    <w:rsid w:val="00732E1A"/>
    <w:rsid w:val="00733575"/>
    <w:rsid w:val="0073462D"/>
    <w:rsid w:val="00734BD0"/>
    <w:rsid w:val="00735437"/>
    <w:rsid w:val="00735706"/>
    <w:rsid w:val="00735770"/>
    <w:rsid w:val="00735EBE"/>
    <w:rsid w:val="00736359"/>
    <w:rsid w:val="0073678C"/>
    <w:rsid w:val="00736870"/>
    <w:rsid w:val="00737763"/>
    <w:rsid w:val="00737865"/>
    <w:rsid w:val="007401C2"/>
    <w:rsid w:val="007404F8"/>
    <w:rsid w:val="007418FD"/>
    <w:rsid w:val="00741F06"/>
    <w:rsid w:val="00743E9B"/>
    <w:rsid w:val="00744D2B"/>
    <w:rsid w:val="00744E96"/>
    <w:rsid w:val="00745341"/>
    <w:rsid w:val="00745CEA"/>
    <w:rsid w:val="00750650"/>
    <w:rsid w:val="00751A37"/>
    <w:rsid w:val="00751D51"/>
    <w:rsid w:val="00752CD6"/>
    <w:rsid w:val="0075346A"/>
    <w:rsid w:val="00755818"/>
    <w:rsid w:val="00756B59"/>
    <w:rsid w:val="00756EA7"/>
    <w:rsid w:val="00757696"/>
    <w:rsid w:val="00757C6A"/>
    <w:rsid w:val="00757CB8"/>
    <w:rsid w:val="00760179"/>
    <w:rsid w:val="00760349"/>
    <w:rsid w:val="00760D0A"/>
    <w:rsid w:val="00760EB8"/>
    <w:rsid w:val="00760FA9"/>
    <w:rsid w:val="007612D0"/>
    <w:rsid w:val="00761AE0"/>
    <w:rsid w:val="00762401"/>
    <w:rsid w:val="007626D8"/>
    <w:rsid w:val="007637FF"/>
    <w:rsid w:val="0076390D"/>
    <w:rsid w:val="00764177"/>
    <w:rsid w:val="00765733"/>
    <w:rsid w:val="00765CD3"/>
    <w:rsid w:val="0076695E"/>
    <w:rsid w:val="00766A96"/>
    <w:rsid w:val="00766D90"/>
    <w:rsid w:val="0076722E"/>
    <w:rsid w:val="007672D3"/>
    <w:rsid w:val="00767597"/>
    <w:rsid w:val="00767CBC"/>
    <w:rsid w:val="00767D39"/>
    <w:rsid w:val="00770637"/>
    <w:rsid w:val="00772716"/>
    <w:rsid w:val="00773D1E"/>
    <w:rsid w:val="00773DF5"/>
    <w:rsid w:val="00774C10"/>
    <w:rsid w:val="0077554D"/>
    <w:rsid w:val="007801C0"/>
    <w:rsid w:val="0078088E"/>
    <w:rsid w:val="00780B2D"/>
    <w:rsid w:val="007817EC"/>
    <w:rsid w:val="00782E45"/>
    <w:rsid w:val="00784054"/>
    <w:rsid w:val="00784314"/>
    <w:rsid w:val="0078447C"/>
    <w:rsid w:val="007849FF"/>
    <w:rsid w:val="00784A5B"/>
    <w:rsid w:val="00784C80"/>
    <w:rsid w:val="00786063"/>
    <w:rsid w:val="0078668E"/>
    <w:rsid w:val="00787396"/>
    <w:rsid w:val="007904D3"/>
    <w:rsid w:val="00790B68"/>
    <w:rsid w:val="00790C49"/>
    <w:rsid w:val="007911AC"/>
    <w:rsid w:val="00791417"/>
    <w:rsid w:val="00791914"/>
    <w:rsid w:val="00791A58"/>
    <w:rsid w:val="00791AD3"/>
    <w:rsid w:val="007923AE"/>
    <w:rsid w:val="00792599"/>
    <w:rsid w:val="00792F1A"/>
    <w:rsid w:val="00793FD5"/>
    <w:rsid w:val="0079492D"/>
    <w:rsid w:val="00794B3B"/>
    <w:rsid w:val="00794B82"/>
    <w:rsid w:val="00795437"/>
    <w:rsid w:val="00795710"/>
    <w:rsid w:val="00795D81"/>
    <w:rsid w:val="007963A0"/>
    <w:rsid w:val="007968B9"/>
    <w:rsid w:val="00797537"/>
    <w:rsid w:val="007A083C"/>
    <w:rsid w:val="007A18A6"/>
    <w:rsid w:val="007A1F4A"/>
    <w:rsid w:val="007A2BF0"/>
    <w:rsid w:val="007A2D7E"/>
    <w:rsid w:val="007A357B"/>
    <w:rsid w:val="007A3AB0"/>
    <w:rsid w:val="007A3F42"/>
    <w:rsid w:val="007A3F6F"/>
    <w:rsid w:val="007A44A4"/>
    <w:rsid w:val="007A4915"/>
    <w:rsid w:val="007A5F2B"/>
    <w:rsid w:val="007A68E3"/>
    <w:rsid w:val="007A6CB7"/>
    <w:rsid w:val="007B02B3"/>
    <w:rsid w:val="007B0782"/>
    <w:rsid w:val="007B1673"/>
    <w:rsid w:val="007B1856"/>
    <w:rsid w:val="007B1A91"/>
    <w:rsid w:val="007B2254"/>
    <w:rsid w:val="007B258F"/>
    <w:rsid w:val="007B4332"/>
    <w:rsid w:val="007B4C05"/>
    <w:rsid w:val="007B4C59"/>
    <w:rsid w:val="007B59B7"/>
    <w:rsid w:val="007B6899"/>
    <w:rsid w:val="007B75A4"/>
    <w:rsid w:val="007B75D9"/>
    <w:rsid w:val="007B7873"/>
    <w:rsid w:val="007C0149"/>
    <w:rsid w:val="007C0D6D"/>
    <w:rsid w:val="007C0D6E"/>
    <w:rsid w:val="007C0FCF"/>
    <w:rsid w:val="007C206C"/>
    <w:rsid w:val="007C39E6"/>
    <w:rsid w:val="007C3E78"/>
    <w:rsid w:val="007C4133"/>
    <w:rsid w:val="007C444F"/>
    <w:rsid w:val="007C47B4"/>
    <w:rsid w:val="007C55E3"/>
    <w:rsid w:val="007C736C"/>
    <w:rsid w:val="007C7DCD"/>
    <w:rsid w:val="007D0449"/>
    <w:rsid w:val="007D061C"/>
    <w:rsid w:val="007D12B3"/>
    <w:rsid w:val="007D15F8"/>
    <w:rsid w:val="007D17C8"/>
    <w:rsid w:val="007D2B59"/>
    <w:rsid w:val="007D369D"/>
    <w:rsid w:val="007D3A5F"/>
    <w:rsid w:val="007D3D7E"/>
    <w:rsid w:val="007D4017"/>
    <w:rsid w:val="007D538A"/>
    <w:rsid w:val="007D5DC2"/>
    <w:rsid w:val="007D656D"/>
    <w:rsid w:val="007D6649"/>
    <w:rsid w:val="007D6761"/>
    <w:rsid w:val="007D699D"/>
    <w:rsid w:val="007D6A95"/>
    <w:rsid w:val="007D725B"/>
    <w:rsid w:val="007D7B63"/>
    <w:rsid w:val="007E071F"/>
    <w:rsid w:val="007E0CA5"/>
    <w:rsid w:val="007E11A8"/>
    <w:rsid w:val="007E127B"/>
    <w:rsid w:val="007E1515"/>
    <w:rsid w:val="007E1F63"/>
    <w:rsid w:val="007E2331"/>
    <w:rsid w:val="007E24F0"/>
    <w:rsid w:val="007E26E1"/>
    <w:rsid w:val="007E2A49"/>
    <w:rsid w:val="007E2BA3"/>
    <w:rsid w:val="007E2CBA"/>
    <w:rsid w:val="007E377D"/>
    <w:rsid w:val="007E3CF0"/>
    <w:rsid w:val="007E4215"/>
    <w:rsid w:val="007E4E31"/>
    <w:rsid w:val="007E5E72"/>
    <w:rsid w:val="007E603A"/>
    <w:rsid w:val="007E7257"/>
    <w:rsid w:val="007E79F7"/>
    <w:rsid w:val="007E7A59"/>
    <w:rsid w:val="007E7E11"/>
    <w:rsid w:val="007F0C6F"/>
    <w:rsid w:val="007F21F1"/>
    <w:rsid w:val="007F2DCB"/>
    <w:rsid w:val="007F379C"/>
    <w:rsid w:val="007F38AA"/>
    <w:rsid w:val="007F4CBB"/>
    <w:rsid w:val="007F59B4"/>
    <w:rsid w:val="007F59E4"/>
    <w:rsid w:val="007F5AA6"/>
    <w:rsid w:val="007F617A"/>
    <w:rsid w:val="007F6328"/>
    <w:rsid w:val="007F65FA"/>
    <w:rsid w:val="007F7A92"/>
    <w:rsid w:val="008003AA"/>
    <w:rsid w:val="00800582"/>
    <w:rsid w:val="00801810"/>
    <w:rsid w:val="0080315F"/>
    <w:rsid w:val="00803440"/>
    <w:rsid w:val="008036D5"/>
    <w:rsid w:val="00803D1C"/>
    <w:rsid w:val="00803E48"/>
    <w:rsid w:val="00804563"/>
    <w:rsid w:val="00804BD1"/>
    <w:rsid w:val="00804C89"/>
    <w:rsid w:val="00805340"/>
    <w:rsid w:val="008054B2"/>
    <w:rsid w:val="00805B1A"/>
    <w:rsid w:val="00805CAA"/>
    <w:rsid w:val="00806776"/>
    <w:rsid w:val="00806E7D"/>
    <w:rsid w:val="0081099F"/>
    <w:rsid w:val="00810DB3"/>
    <w:rsid w:val="008118D6"/>
    <w:rsid w:val="008126CA"/>
    <w:rsid w:val="00812CC7"/>
    <w:rsid w:val="008134AA"/>
    <w:rsid w:val="008138DF"/>
    <w:rsid w:val="0081468E"/>
    <w:rsid w:val="008153BE"/>
    <w:rsid w:val="00815828"/>
    <w:rsid w:val="00816322"/>
    <w:rsid w:val="0081647A"/>
    <w:rsid w:val="008165F6"/>
    <w:rsid w:val="00816E9D"/>
    <w:rsid w:val="00816FB7"/>
    <w:rsid w:val="00817174"/>
    <w:rsid w:val="008177E3"/>
    <w:rsid w:val="00820477"/>
    <w:rsid w:val="00821097"/>
    <w:rsid w:val="008218D8"/>
    <w:rsid w:val="00821905"/>
    <w:rsid w:val="008219BF"/>
    <w:rsid w:val="00822DCE"/>
    <w:rsid w:val="00822E85"/>
    <w:rsid w:val="008246AF"/>
    <w:rsid w:val="00825647"/>
    <w:rsid w:val="00825C41"/>
    <w:rsid w:val="0082600D"/>
    <w:rsid w:val="00826755"/>
    <w:rsid w:val="00826ABD"/>
    <w:rsid w:val="00826E50"/>
    <w:rsid w:val="00827C53"/>
    <w:rsid w:val="00830063"/>
    <w:rsid w:val="008303F8"/>
    <w:rsid w:val="0083048F"/>
    <w:rsid w:val="00830BF9"/>
    <w:rsid w:val="0083139F"/>
    <w:rsid w:val="008335DA"/>
    <w:rsid w:val="00833DC1"/>
    <w:rsid w:val="00834EC2"/>
    <w:rsid w:val="00835458"/>
    <w:rsid w:val="008356E1"/>
    <w:rsid w:val="0083591F"/>
    <w:rsid w:val="0083618B"/>
    <w:rsid w:val="0083651E"/>
    <w:rsid w:val="00836A15"/>
    <w:rsid w:val="00837AFA"/>
    <w:rsid w:val="008405B5"/>
    <w:rsid w:val="00840ED5"/>
    <w:rsid w:val="00841798"/>
    <w:rsid w:val="008418DE"/>
    <w:rsid w:val="00841AF9"/>
    <w:rsid w:val="00841D0A"/>
    <w:rsid w:val="00841E22"/>
    <w:rsid w:val="0084213B"/>
    <w:rsid w:val="008435CC"/>
    <w:rsid w:val="00843B15"/>
    <w:rsid w:val="00843EBE"/>
    <w:rsid w:val="00844E97"/>
    <w:rsid w:val="008469D0"/>
    <w:rsid w:val="00846AB6"/>
    <w:rsid w:val="00847367"/>
    <w:rsid w:val="008477C9"/>
    <w:rsid w:val="00847F43"/>
    <w:rsid w:val="00850D4F"/>
    <w:rsid w:val="008517D7"/>
    <w:rsid w:val="00851944"/>
    <w:rsid w:val="008523C2"/>
    <w:rsid w:val="00852AE0"/>
    <w:rsid w:val="00852E8E"/>
    <w:rsid w:val="008538AD"/>
    <w:rsid w:val="008539F8"/>
    <w:rsid w:val="00853A8D"/>
    <w:rsid w:val="008540C9"/>
    <w:rsid w:val="0085412E"/>
    <w:rsid w:val="0085448F"/>
    <w:rsid w:val="00854ACC"/>
    <w:rsid w:val="00854CCA"/>
    <w:rsid w:val="00854FF8"/>
    <w:rsid w:val="0085564B"/>
    <w:rsid w:val="0085675A"/>
    <w:rsid w:val="00856BEA"/>
    <w:rsid w:val="00861293"/>
    <w:rsid w:val="008615C1"/>
    <w:rsid w:val="0086178C"/>
    <w:rsid w:val="008619F9"/>
    <w:rsid w:val="00861AFC"/>
    <w:rsid w:val="00861E63"/>
    <w:rsid w:val="008625D7"/>
    <w:rsid w:val="00862696"/>
    <w:rsid w:val="00862815"/>
    <w:rsid w:val="008632C8"/>
    <w:rsid w:val="00863DDB"/>
    <w:rsid w:val="00864679"/>
    <w:rsid w:val="00864935"/>
    <w:rsid w:val="00864C71"/>
    <w:rsid w:val="00864C8A"/>
    <w:rsid w:val="00864E0C"/>
    <w:rsid w:val="0086522D"/>
    <w:rsid w:val="008654DB"/>
    <w:rsid w:val="00866416"/>
    <w:rsid w:val="0086741F"/>
    <w:rsid w:val="00867DC1"/>
    <w:rsid w:val="00870E48"/>
    <w:rsid w:val="008712D3"/>
    <w:rsid w:val="0087169D"/>
    <w:rsid w:val="00871C5A"/>
    <w:rsid w:val="008721D1"/>
    <w:rsid w:val="0087288C"/>
    <w:rsid w:val="00872B64"/>
    <w:rsid w:val="00872C43"/>
    <w:rsid w:val="00873A51"/>
    <w:rsid w:val="00875026"/>
    <w:rsid w:val="00875E13"/>
    <w:rsid w:val="0087602A"/>
    <w:rsid w:val="0087770C"/>
    <w:rsid w:val="00877C7D"/>
    <w:rsid w:val="00877D86"/>
    <w:rsid w:val="0088029E"/>
    <w:rsid w:val="00881420"/>
    <w:rsid w:val="00881630"/>
    <w:rsid w:val="008822EA"/>
    <w:rsid w:val="00882980"/>
    <w:rsid w:val="00883B64"/>
    <w:rsid w:val="0088406D"/>
    <w:rsid w:val="0088415F"/>
    <w:rsid w:val="008849DB"/>
    <w:rsid w:val="00884C71"/>
    <w:rsid w:val="00885B1E"/>
    <w:rsid w:val="0088706C"/>
    <w:rsid w:val="0088711A"/>
    <w:rsid w:val="008875D6"/>
    <w:rsid w:val="008879F8"/>
    <w:rsid w:val="008908A9"/>
    <w:rsid w:val="0089122B"/>
    <w:rsid w:val="00891BC0"/>
    <w:rsid w:val="00891BDB"/>
    <w:rsid w:val="00891C16"/>
    <w:rsid w:val="00891DE7"/>
    <w:rsid w:val="00892304"/>
    <w:rsid w:val="008928E1"/>
    <w:rsid w:val="00892C5D"/>
    <w:rsid w:val="00894750"/>
    <w:rsid w:val="008947A7"/>
    <w:rsid w:val="008953C1"/>
    <w:rsid w:val="0089582A"/>
    <w:rsid w:val="00895930"/>
    <w:rsid w:val="008966E5"/>
    <w:rsid w:val="00897177"/>
    <w:rsid w:val="0089720C"/>
    <w:rsid w:val="00897748"/>
    <w:rsid w:val="008A011D"/>
    <w:rsid w:val="008A07DA"/>
    <w:rsid w:val="008A08D9"/>
    <w:rsid w:val="008A1694"/>
    <w:rsid w:val="008A16AD"/>
    <w:rsid w:val="008A199E"/>
    <w:rsid w:val="008A21CC"/>
    <w:rsid w:val="008A2F61"/>
    <w:rsid w:val="008A3A58"/>
    <w:rsid w:val="008A42AF"/>
    <w:rsid w:val="008A42C8"/>
    <w:rsid w:val="008A43CD"/>
    <w:rsid w:val="008A49BE"/>
    <w:rsid w:val="008A6322"/>
    <w:rsid w:val="008A7446"/>
    <w:rsid w:val="008A778B"/>
    <w:rsid w:val="008B02B8"/>
    <w:rsid w:val="008B0398"/>
    <w:rsid w:val="008B0BD5"/>
    <w:rsid w:val="008B1880"/>
    <w:rsid w:val="008B1F74"/>
    <w:rsid w:val="008B27FD"/>
    <w:rsid w:val="008B2D49"/>
    <w:rsid w:val="008B2F5B"/>
    <w:rsid w:val="008B3EB1"/>
    <w:rsid w:val="008B466B"/>
    <w:rsid w:val="008B4889"/>
    <w:rsid w:val="008B4B6D"/>
    <w:rsid w:val="008B4EB6"/>
    <w:rsid w:val="008B56F1"/>
    <w:rsid w:val="008B62B0"/>
    <w:rsid w:val="008B6407"/>
    <w:rsid w:val="008B69F6"/>
    <w:rsid w:val="008B6AA3"/>
    <w:rsid w:val="008B719D"/>
    <w:rsid w:val="008B7776"/>
    <w:rsid w:val="008B7D8F"/>
    <w:rsid w:val="008C0151"/>
    <w:rsid w:val="008C069F"/>
    <w:rsid w:val="008C0ED3"/>
    <w:rsid w:val="008C138E"/>
    <w:rsid w:val="008C2164"/>
    <w:rsid w:val="008C3224"/>
    <w:rsid w:val="008C4864"/>
    <w:rsid w:val="008C4A4E"/>
    <w:rsid w:val="008C4FE5"/>
    <w:rsid w:val="008C6ADD"/>
    <w:rsid w:val="008D0258"/>
    <w:rsid w:val="008D129C"/>
    <w:rsid w:val="008D1456"/>
    <w:rsid w:val="008D1846"/>
    <w:rsid w:val="008D266A"/>
    <w:rsid w:val="008D31F2"/>
    <w:rsid w:val="008D5CF5"/>
    <w:rsid w:val="008D658B"/>
    <w:rsid w:val="008D71EA"/>
    <w:rsid w:val="008D75D7"/>
    <w:rsid w:val="008E0870"/>
    <w:rsid w:val="008E0CF9"/>
    <w:rsid w:val="008E0E06"/>
    <w:rsid w:val="008E16E7"/>
    <w:rsid w:val="008E225D"/>
    <w:rsid w:val="008E2743"/>
    <w:rsid w:val="008E316F"/>
    <w:rsid w:val="008E5C94"/>
    <w:rsid w:val="008E650F"/>
    <w:rsid w:val="008E6796"/>
    <w:rsid w:val="008E68AE"/>
    <w:rsid w:val="008E6B31"/>
    <w:rsid w:val="008E7CA6"/>
    <w:rsid w:val="008F0052"/>
    <w:rsid w:val="008F0845"/>
    <w:rsid w:val="008F09F4"/>
    <w:rsid w:val="008F0E3E"/>
    <w:rsid w:val="008F0E96"/>
    <w:rsid w:val="008F12E1"/>
    <w:rsid w:val="008F1649"/>
    <w:rsid w:val="008F234D"/>
    <w:rsid w:val="008F2B4A"/>
    <w:rsid w:val="008F3FDB"/>
    <w:rsid w:val="008F4057"/>
    <w:rsid w:val="008F421F"/>
    <w:rsid w:val="008F48F5"/>
    <w:rsid w:val="008F53B6"/>
    <w:rsid w:val="008F54E8"/>
    <w:rsid w:val="008F578E"/>
    <w:rsid w:val="008F6020"/>
    <w:rsid w:val="008F6593"/>
    <w:rsid w:val="008F6EE8"/>
    <w:rsid w:val="008F6F00"/>
    <w:rsid w:val="008F6FE8"/>
    <w:rsid w:val="008F73D0"/>
    <w:rsid w:val="008F7C64"/>
    <w:rsid w:val="008F7C65"/>
    <w:rsid w:val="00900F3F"/>
    <w:rsid w:val="009014C2"/>
    <w:rsid w:val="00902CA8"/>
    <w:rsid w:val="00902E36"/>
    <w:rsid w:val="00903589"/>
    <w:rsid w:val="00903612"/>
    <w:rsid w:val="009039B5"/>
    <w:rsid w:val="0090477B"/>
    <w:rsid w:val="00904FB8"/>
    <w:rsid w:val="00905D75"/>
    <w:rsid w:val="009063C1"/>
    <w:rsid w:val="00906995"/>
    <w:rsid w:val="00906B3D"/>
    <w:rsid w:val="009079BC"/>
    <w:rsid w:val="00910BEE"/>
    <w:rsid w:val="00910C01"/>
    <w:rsid w:val="009112FA"/>
    <w:rsid w:val="009114FC"/>
    <w:rsid w:val="00912A9C"/>
    <w:rsid w:val="00912C60"/>
    <w:rsid w:val="00912C99"/>
    <w:rsid w:val="009132C9"/>
    <w:rsid w:val="0091389B"/>
    <w:rsid w:val="00913D8C"/>
    <w:rsid w:val="009140B9"/>
    <w:rsid w:val="00915161"/>
    <w:rsid w:val="009158E9"/>
    <w:rsid w:val="00916AAF"/>
    <w:rsid w:val="0091727A"/>
    <w:rsid w:val="00920368"/>
    <w:rsid w:val="00921573"/>
    <w:rsid w:val="009218BC"/>
    <w:rsid w:val="00921A5F"/>
    <w:rsid w:val="0092278D"/>
    <w:rsid w:val="00922CBC"/>
    <w:rsid w:val="00923FC2"/>
    <w:rsid w:val="0092457E"/>
    <w:rsid w:val="009248CD"/>
    <w:rsid w:val="009249F3"/>
    <w:rsid w:val="0092573C"/>
    <w:rsid w:val="00926003"/>
    <w:rsid w:val="009260CB"/>
    <w:rsid w:val="0092631D"/>
    <w:rsid w:val="009307E6"/>
    <w:rsid w:val="0093258E"/>
    <w:rsid w:val="00932DEA"/>
    <w:rsid w:val="00932FBD"/>
    <w:rsid w:val="00933708"/>
    <w:rsid w:val="00933E69"/>
    <w:rsid w:val="00934312"/>
    <w:rsid w:val="009344B5"/>
    <w:rsid w:val="00935CC0"/>
    <w:rsid w:val="00935F6C"/>
    <w:rsid w:val="00936391"/>
    <w:rsid w:val="0093648E"/>
    <w:rsid w:val="00937278"/>
    <w:rsid w:val="009408A9"/>
    <w:rsid w:val="00942027"/>
    <w:rsid w:val="0094309C"/>
    <w:rsid w:val="009436AE"/>
    <w:rsid w:val="009436E6"/>
    <w:rsid w:val="0094455D"/>
    <w:rsid w:val="00944802"/>
    <w:rsid w:val="009452D9"/>
    <w:rsid w:val="00946397"/>
    <w:rsid w:val="0094658E"/>
    <w:rsid w:val="00946957"/>
    <w:rsid w:val="009508A0"/>
    <w:rsid w:val="009514B7"/>
    <w:rsid w:val="00951CDC"/>
    <w:rsid w:val="00952382"/>
    <w:rsid w:val="009529A7"/>
    <w:rsid w:val="009529BF"/>
    <w:rsid w:val="009533E5"/>
    <w:rsid w:val="009533FD"/>
    <w:rsid w:val="0095398F"/>
    <w:rsid w:val="0095426D"/>
    <w:rsid w:val="009543DC"/>
    <w:rsid w:val="00954D83"/>
    <w:rsid w:val="00955232"/>
    <w:rsid w:val="0095531F"/>
    <w:rsid w:val="009553B3"/>
    <w:rsid w:val="0095558A"/>
    <w:rsid w:val="00956202"/>
    <w:rsid w:val="009563BE"/>
    <w:rsid w:val="009571ED"/>
    <w:rsid w:val="009575C0"/>
    <w:rsid w:val="0095775D"/>
    <w:rsid w:val="00957E1B"/>
    <w:rsid w:val="00960248"/>
    <w:rsid w:val="00960A87"/>
    <w:rsid w:val="009611A7"/>
    <w:rsid w:val="00962F9A"/>
    <w:rsid w:val="0096326B"/>
    <w:rsid w:val="00963349"/>
    <w:rsid w:val="0096373E"/>
    <w:rsid w:val="0096411F"/>
    <w:rsid w:val="009650CD"/>
    <w:rsid w:val="009651FE"/>
    <w:rsid w:val="00965744"/>
    <w:rsid w:val="0096683C"/>
    <w:rsid w:val="00967544"/>
    <w:rsid w:val="00967E34"/>
    <w:rsid w:val="009702CE"/>
    <w:rsid w:val="00970945"/>
    <w:rsid w:val="00970CA4"/>
    <w:rsid w:val="00970DF8"/>
    <w:rsid w:val="009710B6"/>
    <w:rsid w:val="009713A1"/>
    <w:rsid w:val="0097377C"/>
    <w:rsid w:val="0097377E"/>
    <w:rsid w:val="00973DA8"/>
    <w:rsid w:val="00974889"/>
    <w:rsid w:val="00974F00"/>
    <w:rsid w:val="00975C1E"/>
    <w:rsid w:val="009766C9"/>
    <w:rsid w:val="009768EB"/>
    <w:rsid w:val="00977021"/>
    <w:rsid w:val="00977F2A"/>
    <w:rsid w:val="009800FB"/>
    <w:rsid w:val="0098086C"/>
    <w:rsid w:val="00980FB3"/>
    <w:rsid w:val="00980FB8"/>
    <w:rsid w:val="00982DCD"/>
    <w:rsid w:val="0098339E"/>
    <w:rsid w:val="00983C62"/>
    <w:rsid w:val="009845C7"/>
    <w:rsid w:val="0098500A"/>
    <w:rsid w:val="00985280"/>
    <w:rsid w:val="00987B19"/>
    <w:rsid w:val="00987EBF"/>
    <w:rsid w:val="00990699"/>
    <w:rsid w:val="0099258F"/>
    <w:rsid w:val="00992A24"/>
    <w:rsid w:val="00992B57"/>
    <w:rsid w:val="00992C3C"/>
    <w:rsid w:val="00992DAD"/>
    <w:rsid w:val="00993610"/>
    <w:rsid w:val="009943E1"/>
    <w:rsid w:val="00995150"/>
    <w:rsid w:val="00995529"/>
    <w:rsid w:val="00996DA7"/>
    <w:rsid w:val="0099710F"/>
    <w:rsid w:val="009A00A0"/>
    <w:rsid w:val="009A04B6"/>
    <w:rsid w:val="009A23A1"/>
    <w:rsid w:val="009A36C0"/>
    <w:rsid w:val="009A45A7"/>
    <w:rsid w:val="009A4AFE"/>
    <w:rsid w:val="009A4F42"/>
    <w:rsid w:val="009A5A03"/>
    <w:rsid w:val="009A5D3D"/>
    <w:rsid w:val="009A735F"/>
    <w:rsid w:val="009B0466"/>
    <w:rsid w:val="009B1DBD"/>
    <w:rsid w:val="009B231E"/>
    <w:rsid w:val="009B2FF9"/>
    <w:rsid w:val="009B33CC"/>
    <w:rsid w:val="009B41C4"/>
    <w:rsid w:val="009B4329"/>
    <w:rsid w:val="009B49BC"/>
    <w:rsid w:val="009B5FAC"/>
    <w:rsid w:val="009B6927"/>
    <w:rsid w:val="009B6B78"/>
    <w:rsid w:val="009B76E7"/>
    <w:rsid w:val="009B78D6"/>
    <w:rsid w:val="009B7AB4"/>
    <w:rsid w:val="009B7F74"/>
    <w:rsid w:val="009C0857"/>
    <w:rsid w:val="009C0C03"/>
    <w:rsid w:val="009C0D69"/>
    <w:rsid w:val="009C1639"/>
    <w:rsid w:val="009C1B14"/>
    <w:rsid w:val="009C32D7"/>
    <w:rsid w:val="009C3898"/>
    <w:rsid w:val="009C4031"/>
    <w:rsid w:val="009C55D6"/>
    <w:rsid w:val="009C6391"/>
    <w:rsid w:val="009C6BF6"/>
    <w:rsid w:val="009C7190"/>
    <w:rsid w:val="009D01C9"/>
    <w:rsid w:val="009D0611"/>
    <w:rsid w:val="009D1257"/>
    <w:rsid w:val="009D1511"/>
    <w:rsid w:val="009D1B0E"/>
    <w:rsid w:val="009D31B7"/>
    <w:rsid w:val="009D3639"/>
    <w:rsid w:val="009D3903"/>
    <w:rsid w:val="009D4D68"/>
    <w:rsid w:val="009D4E9D"/>
    <w:rsid w:val="009D5255"/>
    <w:rsid w:val="009D5875"/>
    <w:rsid w:val="009D5C0C"/>
    <w:rsid w:val="009D67AD"/>
    <w:rsid w:val="009D6D99"/>
    <w:rsid w:val="009D7367"/>
    <w:rsid w:val="009E0D66"/>
    <w:rsid w:val="009E2925"/>
    <w:rsid w:val="009E2B27"/>
    <w:rsid w:val="009E446D"/>
    <w:rsid w:val="009E5006"/>
    <w:rsid w:val="009E5187"/>
    <w:rsid w:val="009E531C"/>
    <w:rsid w:val="009E561D"/>
    <w:rsid w:val="009E5B38"/>
    <w:rsid w:val="009E6630"/>
    <w:rsid w:val="009E7401"/>
    <w:rsid w:val="009E744A"/>
    <w:rsid w:val="009E79AD"/>
    <w:rsid w:val="009E7A35"/>
    <w:rsid w:val="009E7EB2"/>
    <w:rsid w:val="009F0909"/>
    <w:rsid w:val="009F0AD0"/>
    <w:rsid w:val="009F0EF4"/>
    <w:rsid w:val="009F0F0B"/>
    <w:rsid w:val="009F15DB"/>
    <w:rsid w:val="009F15FC"/>
    <w:rsid w:val="009F1C97"/>
    <w:rsid w:val="009F1DF8"/>
    <w:rsid w:val="009F20FC"/>
    <w:rsid w:val="009F21FB"/>
    <w:rsid w:val="009F2D50"/>
    <w:rsid w:val="009F3FD3"/>
    <w:rsid w:val="009F4256"/>
    <w:rsid w:val="009F477E"/>
    <w:rsid w:val="009F4D26"/>
    <w:rsid w:val="009F5133"/>
    <w:rsid w:val="009F5278"/>
    <w:rsid w:val="009F535F"/>
    <w:rsid w:val="009F6DF0"/>
    <w:rsid w:val="009F744B"/>
    <w:rsid w:val="009F7EFE"/>
    <w:rsid w:val="00A00455"/>
    <w:rsid w:val="00A00486"/>
    <w:rsid w:val="00A00574"/>
    <w:rsid w:val="00A009C2"/>
    <w:rsid w:val="00A009D7"/>
    <w:rsid w:val="00A01AFF"/>
    <w:rsid w:val="00A01EE6"/>
    <w:rsid w:val="00A02153"/>
    <w:rsid w:val="00A02161"/>
    <w:rsid w:val="00A0263A"/>
    <w:rsid w:val="00A02A29"/>
    <w:rsid w:val="00A02E6B"/>
    <w:rsid w:val="00A030FD"/>
    <w:rsid w:val="00A036B1"/>
    <w:rsid w:val="00A03EF5"/>
    <w:rsid w:val="00A03EFA"/>
    <w:rsid w:val="00A0425A"/>
    <w:rsid w:val="00A04316"/>
    <w:rsid w:val="00A05B5B"/>
    <w:rsid w:val="00A06033"/>
    <w:rsid w:val="00A06293"/>
    <w:rsid w:val="00A0725E"/>
    <w:rsid w:val="00A107B2"/>
    <w:rsid w:val="00A10A05"/>
    <w:rsid w:val="00A11C3D"/>
    <w:rsid w:val="00A1207C"/>
    <w:rsid w:val="00A125E2"/>
    <w:rsid w:val="00A129A1"/>
    <w:rsid w:val="00A13F5B"/>
    <w:rsid w:val="00A13FA8"/>
    <w:rsid w:val="00A1491E"/>
    <w:rsid w:val="00A14D92"/>
    <w:rsid w:val="00A15491"/>
    <w:rsid w:val="00A155F0"/>
    <w:rsid w:val="00A1672B"/>
    <w:rsid w:val="00A1779F"/>
    <w:rsid w:val="00A177EE"/>
    <w:rsid w:val="00A17911"/>
    <w:rsid w:val="00A17C3A"/>
    <w:rsid w:val="00A17F31"/>
    <w:rsid w:val="00A20270"/>
    <w:rsid w:val="00A20609"/>
    <w:rsid w:val="00A20BCB"/>
    <w:rsid w:val="00A217F4"/>
    <w:rsid w:val="00A2235F"/>
    <w:rsid w:val="00A2261D"/>
    <w:rsid w:val="00A22F7F"/>
    <w:rsid w:val="00A237D2"/>
    <w:rsid w:val="00A24454"/>
    <w:rsid w:val="00A246B8"/>
    <w:rsid w:val="00A255CC"/>
    <w:rsid w:val="00A2602B"/>
    <w:rsid w:val="00A263D0"/>
    <w:rsid w:val="00A26F2D"/>
    <w:rsid w:val="00A30A00"/>
    <w:rsid w:val="00A30F36"/>
    <w:rsid w:val="00A3179D"/>
    <w:rsid w:val="00A31FD4"/>
    <w:rsid w:val="00A32849"/>
    <w:rsid w:val="00A3286D"/>
    <w:rsid w:val="00A32EAF"/>
    <w:rsid w:val="00A333F9"/>
    <w:rsid w:val="00A33D2A"/>
    <w:rsid w:val="00A33D53"/>
    <w:rsid w:val="00A33E67"/>
    <w:rsid w:val="00A33F31"/>
    <w:rsid w:val="00A33F3D"/>
    <w:rsid w:val="00A356A6"/>
    <w:rsid w:val="00A35775"/>
    <w:rsid w:val="00A363BC"/>
    <w:rsid w:val="00A36655"/>
    <w:rsid w:val="00A36675"/>
    <w:rsid w:val="00A366B5"/>
    <w:rsid w:val="00A36A59"/>
    <w:rsid w:val="00A36EF1"/>
    <w:rsid w:val="00A3753B"/>
    <w:rsid w:val="00A37CA0"/>
    <w:rsid w:val="00A37F2C"/>
    <w:rsid w:val="00A406F3"/>
    <w:rsid w:val="00A41004"/>
    <w:rsid w:val="00A4269E"/>
    <w:rsid w:val="00A4600C"/>
    <w:rsid w:val="00A46C86"/>
    <w:rsid w:val="00A47375"/>
    <w:rsid w:val="00A47C29"/>
    <w:rsid w:val="00A500CA"/>
    <w:rsid w:val="00A5017E"/>
    <w:rsid w:val="00A50634"/>
    <w:rsid w:val="00A506B8"/>
    <w:rsid w:val="00A51B55"/>
    <w:rsid w:val="00A51E9F"/>
    <w:rsid w:val="00A5240E"/>
    <w:rsid w:val="00A531A4"/>
    <w:rsid w:val="00A53361"/>
    <w:rsid w:val="00A54874"/>
    <w:rsid w:val="00A54BF2"/>
    <w:rsid w:val="00A54EE1"/>
    <w:rsid w:val="00A55089"/>
    <w:rsid w:val="00A55478"/>
    <w:rsid w:val="00A5611E"/>
    <w:rsid w:val="00A5622F"/>
    <w:rsid w:val="00A564D9"/>
    <w:rsid w:val="00A5673F"/>
    <w:rsid w:val="00A61720"/>
    <w:rsid w:val="00A61912"/>
    <w:rsid w:val="00A62DA9"/>
    <w:rsid w:val="00A631E2"/>
    <w:rsid w:val="00A636C6"/>
    <w:rsid w:val="00A63B3A"/>
    <w:rsid w:val="00A64DB2"/>
    <w:rsid w:val="00A65346"/>
    <w:rsid w:val="00A65425"/>
    <w:rsid w:val="00A6578D"/>
    <w:rsid w:val="00A65D06"/>
    <w:rsid w:val="00A6681A"/>
    <w:rsid w:val="00A70522"/>
    <w:rsid w:val="00A70C41"/>
    <w:rsid w:val="00A70CFE"/>
    <w:rsid w:val="00A70FB4"/>
    <w:rsid w:val="00A72C94"/>
    <w:rsid w:val="00A73362"/>
    <w:rsid w:val="00A733C8"/>
    <w:rsid w:val="00A73493"/>
    <w:rsid w:val="00A748BE"/>
    <w:rsid w:val="00A74F57"/>
    <w:rsid w:val="00A74FD8"/>
    <w:rsid w:val="00A7515E"/>
    <w:rsid w:val="00A76135"/>
    <w:rsid w:val="00A76BE3"/>
    <w:rsid w:val="00A77C96"/>
    <w:rsid w:val="00A809AC"/>
    <w:rsid w:val="00A80A6E"/>
    <w:rsid w:val="00A8208F"/>
    <w:rsid w:val="00A82B9E"/>
    <w:rsid w:val="00A83AD7"/>
    <w:rsid w:val="00A83FD0"/>
    <w:rsid w:val="00A84D43"/>
    <w:rsid w:val="00A850DA"/>
    <w:rsid w:val="00A852D6"/>
    <w:rsid w:val="00A856AE"/>
    <w:rsid w:val="00A85C0F"/>
    <w:rsid w:val="00A85E8F"/>
    <w:rsid w:val="00A87252"/>
    <w:rsid w:val="00A9002D"/>
    <w:rsid w:val="00A9154A"/>
    <w:rsid w:val="00A9190E"/>
    <w:rsid w:val="00A92A29"/>
    <w:rsid w:val="00A92C50"/>
    <w:rsid w:val="00A92DE9"/>
    <w:rsid w:val="00A94255"/>
    <w:rsid w:val="00A94597"/>
    <w:rsid w:val="00A949B9"/>
    <w:rsid w:val="00A9549D"/>
    <w:rsid w:val="00A95741"/>
    <w:rsid w:val="00A95742"/>
    <w:rsid w:val="00A95B53"/>
    <w:rsid w:val="00A9611A"/>
    <w:rsid w:val="00A96E48"/>
    <w:rsid w:val="00A978C1"/>
    <w:rsid w:val="00AA0479"/>
    <w:rsid w:val="00AA07BA"/>
    <w:rsid w:val="00AA212A"/>
    <w:rsid w:val="00AA2CF5"/>
    <w:rsid w:val="00AA2DFB"/>
    <w:rsid w:val="00AA3112"/>
    <w:rsid w:val="00AA381E"/>
    <w:rsid w:val="00AA3D95"/>
    <w:rsid w:val="00AA4551"/>
    <w:rsid w:val="00AA4654"/>
    <w:rsid w:val="00AA5624"/>
    <w:rsid w:val="00AA6E84"/>
    <w:rsid w:val="00AA7BE4"/>
    <w:rsid w:val="00AB0E61"/>
    <w:rsid w:val="00AB0FB1"/>
    <w:rsid w:val="00AB1032"/>
    <w:rsid w:val="00AB138A"/>
    <w:rsid w:val="00AB1758"/>
    <w:rsid w:val="00AB18D4"/>
    <w:rsid w:val="00AB2161"/>
    <w:rsid w:val="00AB28EB"/>
    <w:rsid w:val="00AB2F87"/>
    <w:rsid w:val="00AB3568"/>
    <w:rsid w:val="00AB432D"/>
    <w:rsid w:val="00AB4421"/>
    <w:rsid w:val="00AB4DEB"/>
    <w:rsid w:val="00AB5CB8"/>
    <w:rsid w:val="00AB5D2E"/>
    <w:rsid w:val="00AB6851"/>
    <w:rsid w:val="00AB6E9F"/>
    <w:rsid w:val="00AB7D4E"/>
    <w:rsid w:val="00AC0727"/>
    <w:rsid w:val="00AC0ED8"/>
    <w:rsid w:val="00AC1AAC"/>
    <w:rsid w:val="00AC312E"/>
    <w:rsid w:val="00AC41CE"/>
    <w:rsid w:val="00AC4693"/>
    <w:rsid w:val="00AC5DDC"/>
    <w:rsid w:val="00AC6E74"/>
    <w:rsid w:val="00AD05E7"/>
    <w:rsid w:val="00AD0722"/>
    <w:rsid w:val="00AD0C16"/>
    <w:rsid w:val="00AD0FE0"/>
    <w:rsid w:val="00AD1291"/>
    <w:rsid w:val="00AD1565"/>
    <w:rsid w:val="00AD1723"/>
    <w:rsid w:val="00AD2251"/>
    <w:rsid w:val="00AD2E03"/>
    <w:rsid w:val="00AD310D"/>
    <w:rsid w:val="00AD38D2"/>
    <w:rsid w:val="00AD418F"/>
    <w:rsid w:val="00AD4D6A"/>
    <w:rsid w:val="00AD5330"/>
    <w:rsid w:val="00AD633D"/>
    <w:rsid w:val="00AD6CD0"/>
    <w:rsid w:val="00AD6DFE"/>
    <w:rsid w:val="00AD75C4"/>
    <w:rsid w:val="00AD7636"/>
    <w:rsid w:val="00AD7955"/>
    <w:rsid w:val="00AD79FE"/>
    <w:rsid w:val="00AE0281"/>
    <w:rsid w:val="00AE035E"/>
    <w:rsid w:val="00AE09DD"/>
    <w:rsid w:val="00AE0DA5"/>
    <w:rsid w:val="00AE0FD3"/>
    <w:rsid w:val="00AE10C7"/>
    <w:rsid w:val="00AE1528"/>
    <w:rsid w:val="00AE1B84"/>
    <w:rsid w:val="00AE2324"/>
    <w:rsid w:val="00AE2A0E"/>
    <w:rsid w:val="00AE4C43"/>
    <w:rsid w:val="00AF11DE"/>
    <w:rsid w:val="00AF18F7"/>
    <w:rsid w:val="00AF1C04"/>
    <w:rsid w:val="00AF23EA"/>
    <w:rsid w:val="00AF2434"/>
    <w:rsid w:val="00AF2577"/>
    <w:rsid w:val="00AF2FE6"/>
    <w:rsid w:val="00AF32BD"/>
    <w:rsid w:val="00AF38C1"/>
    <w:rsid w:val="00AF3C18"/>
    <w:rsid w:val="00AF4060"/>
    <w:rsid w:val="00AF439D"/>
    <w:rsid w:val="00AF46B0"/>
    <w:rsid w:val="00AF484C"/>
    <w:rsid w:val="00AF499E"/>
    <w:rsid w:val="00AF4B26"/>
    <w:rsid w:val="00AF554F"/>
    <w:rsid w:val="00AF5F63"/>
    <w:rsid w:val="00AF79FF"/>
    <w:rsid w:val="00AF7F16"/>
    <w:rsid w:val="00B01D2E"/>
    <w:rsid w:val="00B026CE"/>
    <w:rsid w:val="00B02975"/>
    <w:rsid w:val="00B029FA"/>
    <w:rsid w:val="00B02A1D"/>
    <w:rsid w:val="00B03BFA"/>
    <w:rsid w:val="00B03D7D"/>
    <w:rsid w:val="00B04081"/>
    <w:rsid w:val="00B04FBB"/>
    <w:rsid w:val="00B050B2"/>
    <w:rsid w:val="00B0555F"/>
    <w:rsid w:val="00B059E2"/>
    <w:rsid w:val="00B05F2C"/>
    <w:rsid w:val="00B10D65"/>
    <w:rsid w:val="00B10D9C"/>
    <w:rsid w:val="00B11843"/>
    <w:rsid w:val="00B11CFB"/>
    <w:rsid w:val="00B11D59"/>
    <w:rsid w:val="00B12256"/>
    <w:rsid w:val="00B12327"/>
    <w:rsid w:val="00B14214"/>
    <w:rsid w:val="00B14477"/>
    <w:rsid w:val="00B14D27"/>
    <w:rsid w:val="00B1508B"/>
    <w:rsid w:val="00B1512E"/>
    <w:rsid w:val="00B20BC5"/>
    <w:rsid w:val="00B20D33"/>
    <w:rsid w:val="00B20DE6"/>
    <w:rsid w:val="00B21A94"/>
    <w:rsid w:val="00B22695"/>
    <w:rsid w:val="00B234D9"/>
    <w:rsid w:val="00B242CF"/>
    <w:rsid w:val="00B24BF3"/>
    <w:rsid w:val="00B2667F"/>
    <w:rsid w:val="00B26743"/>
    <w:rsid w:val="00B26FD7"/>
    <w:rsid w:val="00B31303"/>
    <w:rsid w:val="00B31C0F"/>
    <w:rsid w:val="00B3231B"/>
    <w:rsid w:val="00B32DB3"/>
    <w:rsid w:val="00B333AC"/>
    <w:rsid w:val="00B33799"/>
    <w:rsid w:val="00B3388E"/>
    <w:rsid w:val="00B33BDA"/>
    <w:rsid w:val="00B33CE0"/>
    <w:rsid w:val="00B34F4F"/>
    <w:rsid w:val="00B36372"/>
    <w:rsid w:val="00B37AA3"/>
    <w:rsid w:val="00B37C03"/>
    <w:rsid w:val="00B40647"/>
    <w:rsid w:val="00B40E70"/>
    <w:rsid w:val="00B4106C"/>
    <w:rsid w:val="00B41E23"/>
    <w:rsid w:val="00B4270C"/>
    <w:rsid w:val="00B428DF"/>
    <w:rsid w:val="00B43087"/>
    <w:rsid w:val="00B4347B"/>
    <w:rsid w:val="00B43BCD"/>
    <w:rsid w:val="00B4438E"/>
    <w:rsid w:val="00B454BC"/>
    <w:rsid w:val="00B468C4"/>
    <w:rsid w:val="00B46DC3"/>
    <w:rsid w:val="00B46DE1"/>
    <w:rsid w:val="00B46EBE"/>
    <w:rsid w:val="00B47727"/>
    <w:rsid w:val="00B50E4F"/>
    <w:rsid w:val="00B51159"/>
    <w:rsid w:val="00B51583"/>
    <w:rsid w:val="00B51A5D"/>
    <w:rsid w:val="00B51A5E"/>
    <w:rsid w:val="00B52518"/>
    <w:rsid w:val="00B54CCA"/>
    <w:rsid w:val="00B55301"/>
    <w:rsid w:val="00B5604B"/>
    <w:rsid w:val="00B5636A"/>
    <w:rsid w:val="00B56470"/>
    <w:rsid w:val="00B5657E"/>
    <w:rsid w:val="00B56954"/>
    <w:rsid w:val="00B56B8B"/>
    <w:rsid w:val="00B56CB7"/>
    <w:rsid w:val="00B57A1E"/>
    <w:rsid w:val="00B57E0E"/>
    <w:rsid w:val="00B60800"/>
    <w:rsid w:val="00B60BE8"/>
    <w:rsid w:val="00B61104"/>
    <w:rsid w:val="00B6211E"/>
    <w:rsid w:val="00B63082"/>
    <w:rsid w:val="00B637A7"/>
    <w:rsid w:val="00B6454B"/>
    <w:rsid w:val="00B64592"/>
    <w:rsid w:val="00B6564A"/>
    <w:rsid w:val="00B65C4C"/>
    <w:rsid w:val="00B66172"/>
    <w:rsid w:val="00B66FD7"/>
    <w:rsid w:val="00B6795E"/>
    <w:rsid w:val="00B67B19"/>
    <w:rsid w:val="00B701A4"/>
    <w:rsid w:val="00B70745"/>
    <w:rsid w:val="00B70785"/>
    <w:rsid w:val="00B70F60"/>
    <w:rsid w:val="00B711FF"/>
    <w:rsid w:val="00B71909"/>
    <w:rsid w:val="00B71EB4"/>
    <w:rsid w:val="00B72245"/>
    <w:rsid w:val="00B737B7"/>
    <w:rsid w:val="00B73A09"/>
    <w:rsid w:val="00B73D20"/>
    <w:rsid w:val="00B7520E"/>
    <w:rsid w:val="00B75255"/>
    <w:rsid w:val="00B75B92"/>
    <w:rsid w:val="00B7641F"/>
    <w:rsid w:val="00B766AD"/>
    <w:rsid w:val="00B77584"/>
    <w:rsid w:val="00B82045"/>
    <w:rsid w:val="00B823B9"/>
    <w:rsid w:val="00B82477"/>
    <w:rsid w:val="00B82480"/>
    <w:rsid w:val="00B8249D"/>
    <w:rsid w:val="00B82FF8"/>
    <w:rsid w:val="00B83010"/>
    <w:rsid w:val="00B84B59"/>
    <w:rsid w:val="00B871CE"/>
    <w:rsid w:val="00B8730B"/>
    <w:rsid w:val="00B874A1"/>
    <w:rsid w:val="00B87A97"/>
    <w:rsid w:val="00B91415"/>
    <w:rsid w:val="00B914DA"/>
    <w:rsid w:val="00B915C8"/>
    <w:rsid w:val="00B916DB"/>
    <w:rsid w:val="00B91CE9"/>
    <w:rsid w:val="00B92F36"/>
    <w:rsid w:val="00B9384D"/>
    <w:rsid w:val="00B95386"/>
    <w:rsid w:val="00B97EAB"/>
    <w:rsid w:val="00BA0DAE"/>
    <w:rsid w:val="00BA0F50"/>
    <w:rsid w:val="00BA1A8F"/>
    <w:rsid w:val="00BA1DDA"/>
    <w:rsid w:val="00BA24A0"/>
    <w:rsid w:val="00BA39FB"/>
    <w:rsid w:val="00BA455A"/>
    <w:rsid w:val="00BA5843"/>
    <w:rsid w:val="00BA5877"/>
    <w:rsid w:val="00BA5C16"/>
    <w:rsid w:val="00BA6ACA"/>
    <w:rsid w:val="00BA6E5C"/>
    <w:rsid w:val="00BA7736"/>
    <w:rsid w:val="00BA79A9"/>
    <w:rsid w:val="00BA7C2C"/>
    <w:rsid w:val="00BA7D9C"/>
    <w:rsid w:val="00BB1A90"/>
    <w:rsid w:val="00BB1C50"/>
    <w:rsid w:val="00BB1C54"/>
    <w:rsid w:val="00BB2332"/>
    <w:rsid w:val="00BB28F0"/>
    <w:rsid w:val="00BB3028"/>
    <w:rsid w:val="00BB31C0"/>
    <w:rsid w:val="00BB3465"/>
    <w:rsid w:val="00BB3922"/>
    <w:rsid w:val="00BB3971"/>
    <w:rsid w:val="00BB3E2C"/>
    <w:rsid w:val="00BB4886"/>
    <w:rsid w:val="00BB55FC"/>
    <w:rsid w:val="00BB57A7"/>
    <w:rsid w:val="00BB5E87"/>
    <w:rsid w:val="00BB68D7"/>
    <w:rsid w:val="00BB720C"/>
    <w:rsid w:val="00BB7376"/>
    <w:rsid w:val="00BB74B8"/>
    <w:rsid w:val="00BB74C2"/>
    <w:rsid w:val="00BB77D1"/>
    <w:rsid w:val="00BC0433"/>
    <w:rsid w:val="00BC0EBA"/>
    <w:rsid w:val="00BC11A0"/>
    <w:rsid w:val="00BC14E5"/>
    <w:rsid w:val="00BC2496"/>
    <w:rsid w:val="00BC2613"/>
    <w:rsid w:val="00BC2912"/>
    <w:rsid w:val="00BC2945"/>
    <w:rsid w:val="00BC356C"/>
    <w:rsid w:val="00BC3770"/>
    <w:rsid w:val="00BC4ECC"/>
    <w:rsid w:val="00BC5041"/>
    <w:rsid w:val="00BC68BC"/>
    <w:rsid w:val="00BC69DA"/>
    <w:rsid w:val="00BC7531"/>
    <w:rsid w:val="00BC7542"/>
    <w:rsid w:val="00BC7FF5"/>
    <w:rsid w:val="00BD0BB8"/>
    <w:rsid w:val="00BD19A3"/>
    <w:rsid w:val="00BD2AAA"/>
    <w:rsid w:val="00BD2D0A"/>
    <w:rsid w:val="00BD3B66"/>
    <w:rsid w:val="00BD50E9"/>
    <w:rsid w:val="00BD58D4"/>
    <w:rsid w:val="00BD5DE6"/>
    <w:rsid w:val="00BD602D"/>
    <w:rsid w:val="00BD652F"/>
    <w:rsid w:val="00BD6CC0"/>
    <w:rsid w:val="00BD7476"/>
    <w:rsid w:val="00BD75E7"/>
    <w:rsid w:val="00BD769D"/>
    <w:rsid w:val="00BD777A"/>
    <w:rsid w:val="00BD79B2"/>
    <w:rsid w:val="00BE0986"/>
    <w:rsid w:val="00BE137E"/>
    <w:rsid w:val="00BE1D06"/>
    <w:rsid w:val="00BE21D6"/>
    <w:rsid w:val="00BE2468"/>
    <w:rsid w:val="00BE261E"/>
    <w:rsid w:val="00BE4B30"/>
    <w:rsid w:val="00BE4CE6"/>
    <w:rsid w:val="00BE5AD5"/>
    <w:rsid w:val="00BE6A1E"/>
    <w:rsid w:val="00BE723D"/>
    <w:rsid w:val="00BE77CF"/>
    <w:rsid w:val="00BE7B47"/>
    <w:rsid w:val="00BE7B7F"/>
    <w:rsid w:val="00BF068D"/>
    <w:rsid w:val="00BF0C14"/>
    <w:rsid w:val="00BF1566"/>
    <w:rsid w:val="00BF1817"/>
    <w:rsid w:val="00BF1F19"/>
    <w:rsid w:val="00BF29C6"/>
    <w:rsid w:val="00BF2BDE"/>
    <w:rsid w:val="00BF3971"/>
    <w:rsid w:val="00BF3A2E"/>
    <w:rsid w:val="00BF4505"/>
    <w:rsid w:val="00BF4608"/>
    <w:rsid w:val="00BF55B0"/>
    <w:rsid w:val="00BF6CE7"/>
    <w:rsid w:val="00BF6EDC"/>
    <w:rsid w:val="00BF70B1"/>
    <w:rsid w:val="00BF72A6"/>
    <w:rsid w:val="00BF7C5F"/>
    <w:rsid w:val="00C00047"/>
    <w:rsid w:val="00C0012D"/>
    <w:rsid w:val="00C006DF"/>
    <w:rsid w:val="00C00896"/>
    <w:rsid w:val="00C00D93"/>
    <w:rsid w:val="00C00E97"/>
    <w:rsid w:val="00C00FAE"/>
    <w:rsid w:val="00C011F2"/>
    <w:rsid w:val="00C012C8"/>
    <w:rsid w:val="00C02F2B"/>
    <w:rsid w:val="00C03C92"/>
    <w:rsid w:val="00C03E4B"/>
    <w:rsid w:val="00C050A4"/>
    <w:rsid w:val="00C05C4E"/>
    <w:rsid w:val="00C05F6C"/>
    <w:rsid w:val="00C07613"/>
    <w:rsid w:val="00C076AB"/>
    <w:rsid w:val="00C07792"/>
    <w:rsid w:val="00C10668"/>
    <w:rsid w:val="00C10B68"/>
    <w:rsid w:val="00C10D7D"/>
    <w:rsid w:val="00C1104F"/>
    <w:rsid w:val="00C113AF"/>
    <w:rsid w:val="00C127C2"/>
    <w:rsid w:val="00C13BA2"/>
    <w:rsid w:val="00C13DA7"/>
    <w:rsid w:val="00C13FDE"/>
    <w:rsid w:val="00C159FE"/>
    <w:rsid w:val="00C15CE6"/>
    <w:rsid w:val="00C15D66"/>
    <w:rsid w:val="00C16587"/>
    <w:rsid w:val="00C16888"/>
    <w:rsid w:val="00C17C35"/>
    <w:rsid w:val="00C20559"/>
    <w:rsid w:val="00C20865"/>
    <w:rsid w:val="00C20C96"/>
    <w:rsid w:val="00C22C57"/>
    <w:rsid w:val="00C24066"/>
    <w:rsid w:val="00C240FE"/>
    <w:rsid w:val="00C26814"/>
    <w:rsid w:val="00C26C7D"/>
    <w:rsid w:val="00C26EF3"/>
    <w:rsid w:val="00C2702A"/>
    <w:rsid w:val="00C279AB"/>
    <w:rsid w:val="00C27BE7"/>
    <w:rsid w:val="00C305CA"/>
    <w:rsid w:val="00C31C48"/>
    <w:rsid w:val="00C320A1"/>
    <w:rsid w:val="00C3224A"/>
    <w:rsid w:val="00C32996"/>
    <w:rsid w:val="00C330A1"/>
    <w:rsid w:val="00C33320"/>
    <w:rsid w:val="00C33C39"/>
    <w:rsid w:val="00C33C78"/>
    <w:rsid w:val="00C34B6B"/>
    <w:rsid w:val="00C36907"/>
    <w:rsid w:val="00C36F8E"/>
    <w:rsid w:val="00C40923"/>
    <w:rsid w:val="00C40A9D"/>
    <w:rsid w:val="00C40AB9"/>
    <w:rsid w:val="00C42714"/>
    <w:rsid w:val="00C430BB"/>
    <w:rsid w:val="00C432F8"/>
    <w:rsid w:val="00C43B0E"/>
    <w:rsid w:val="00C44303"/>
    <w:rsid w:val="00C451DA"/>
    <w:rsid w:val="00C45715"/>
    <w:rsid w:val="00C459FB"/>
    <w:rsid w:val="00C46A97"/>
    <w:rsid w:val="00C47945"/>
    <w:rsid w:val="00C47BDF"/>
    <w:rsid w:val="00C47C03"/>
    <w:rsid w:val="00C47EE0"/>
    <w:rsid w:val="00C5052C"/>
    <w:rsid w:val="00C50C4F"/>
    <w:rsid w:val="00C51B7F"/>
    <w:rsid w:val="00C51EE8"/>
    <w:rsid w:val="00C5225C"/>
    <w:rsid w:val="00C5274C"/>
    <w:rsid w:val="00C53A36"/>
    <w:rsid w:val="00C56567"/>
    <w:rsid w:val="00C5679B"/>
    <w:rsid w:val="00C56A26"/>
    <w:rsid w:val="00C57055"/>
    <w:rsid w:val="00C57962"/>
    <w:rsid w:val="00C57B14"/>
    <w:rsid w:val="00C57F06"/>
    <w:rsid w:val="00C609BF"/>
    <w:rsid w:val="00C61299"/>
    <w:rsid w:val="00C62004"/>
    <w:rsid w:val="00C6233F"/>
    <w:rsid w:val="00C63028"/>
    <w:rsid w:val="00C638AC"/>
    <w:rsid w:val="00C63FB4"/>
    <w:rsid w:val="00C64822"/>
    <w:rsid w:val="00C65922"/>
    <w:rsid w:val="00C65BE5"/>
    <w:rsid w:val="00C67489"/>
    <w:rsid w:val="00C716CE"/>
    <w:rsid w:val="00C718A8"/>
    <w:rsid w:val="00C71A96"/>
    <w:rsid w:val="00C72D42"/>
    <w:rsid w:val="00C73075"/>
    <w:rsid w:val="00C7348C"/>
    <w:rsid w:val="00C73C1A"/>
    <w:rsid w:val="00C74792"/>
    <w:rsid w:val="00C75A74"/>
    <w:rsid w:val="00C75C99"/>
    <w:rsid w:val="00C75FD1"/>
    <w:rsid w:val="00C766BB"/>
    <w:rsid w:val="00C76B6F"/>
    <w:rsid w:val="00C80073"/>
    <w:rsid w:val="00C8037C"/>
    <w:rsid w:val="00C824DF"/>
    <w:rsid w:val="00C82789"/>
    <w:rsid w:val="00C82841"/>
    <w:rsid w:val="00C83606"/>
    <w:rsid w:val="00C84227"/>
    <w:rsid w:val="00C84866"/>
    <w:rsid w:val="00C84EE1"/>
    <w:rsid w:val="00C8517A"/>
    <w:rsid w:val="00C8640B"/>
    <w:rsid w:val="00C902A9"/>
    <w:rsid w:val="00C902DE"/>
    <w:rsid w:val="00C914A4"/>
    <w:rsid w:val="00C916DC"/>
    <w:rsid w:val="00C918E7"/>
    <w:rsid w:val="00C919ED"/>
    <w:rsid w:val="00C91D99"/>
    <w:rsid w:val="00C9201D"/>
    <w:rsid w:val="00C923AA"/>
    <w:rsid w:val="00C9247D"/>
    <w:rsid w:val="00C926A7"/>
    <w:rsid w:val="00C92C39"/>
    <w:rsid w:val="00C92D96"/>
    <w:rsid w:val="00C9310D"/>
    <w:rsid w:val="00C93BAC"/>
    <w:rsid w:val="00C9456F"/>
    <w:rsid w:val="00C97110"/>
    <w:rsid w:val="00C97B09"/>
    <w:rsid w:val="00C97FEE"/>
    <w:rsid w:val="00CA07DF"/>
    <w:rsid w:val="00CA0C76"/>
    <w:rsid w:val="00CA0C9C"/>
    <w:rsid w:val="00CA10ED"/>
    <w:rsid w:val="00CA13F9"/>
    <w:rsid w:val="00CA18F3"/>
    <w:rsid w:val="00CA19AB"/>
    <w:rsid w:val="00CA2236"/>
    <w:rsid w:val="00CA24FF"/>
    <w:rsid w:val="00CA2BE1"/>
    <w:rsid w:val="00CA2D06"/>
    <w:rsid w:val="00CA2F32"/>
    <w:rsid w:val="00CA3715"/>
    <w:rsid w:val="00CA47F1"/>
    <w:rsid w:val="00CA580F"/>
    <w:rsid w:val="00CA58E4"/>
    <w:rsid w:val="00CA5DE1"/>
    <w:rsid w:val="00CA664E"/>
    <w:rsid w:val="00CA711A"/>
    <w:rsid w:val="00CA7525"/>
    <w:rsid w:val="00CB01AB"/>
    <w:rsid w:val="00CB0558"/>
    <w:rsid w:val="00CB0CBC"/>
    <w:rsid w:val="00CB0DE4"/>
    <w:rsid w:val="00CB0E34"/>
    <w:rsid w:val="00CB1384"/>
    <w:rsid w:val="00CB1D1F"/>
    <w:rsid w:val="00CB22FE"/>
    <w:rsid w:val="00CB2660"/>
    <w:rsid w:val="00CB2F80"/>
    <w:rsid w:val="00CB3F09"/>
    <w:rsid w:val="00CB47B3"/>
    <w:rsid w:val="00CB4C43"/>
    <w:rsid w:val="00CB5CDD"/>
    <w:rsid w:val="00CB68C0"/>
    <w:rsid w:val="00CB6976"/>
    <w:rsid w:val="00CB700E"/>
    <w:rsid w:val="00CC02CF"/>
    <w:rsid w:val="00CC0C80"/>
    <w:rsid w:val="00CC1460"/>
    <w:rsid w:val="00CC27E9"/>
    <w:rsid w:val="00CC3234"/>
    <w:rsid w:val="00CC3B83"/>
    <w:rsid w:val="00CC42D0"/>
    <w:rsid w:val="00CC47D0"/>
    <w:rsid w:val="00CC4E96"/>
    <w:rsid w:val="00CC5AF1"/>
    <w:rsid w:val="00CC6B04"/>
    <w:rsid w:val="00CD034D"/>
    <w:rsid w:val="00CD0AAB"/>
    <w:rsid w:val="00CD168B"/>
    <w:rsid w:val="00CD1727"/>
    <w:rsid w:val="00CD21BB"/>
    <w:rsid w:val="00CD28DF"/>
    <w:rsid w:val="00CD37A3"/>
    <w:rsid w:val="00CD43DB"/>
    <w:rsid w:val="00CD47E8"/>
    <w:rsid w:val="00CD4CF2"/>
    <w:rsid w:val="00CD6E73"/>
    <w:rsid w:val="00CE0673"/>
    <w:rsid w:val="00CE1A0D"/>
    <w:rsid w:val="00CE2040"/>
    <w:rsid w:val="00CE2A7D"/>
    <w:rsid w:val="00CE2FFD"/>
    <w:rsid w:val="00CE3184"/>
    <w:rsid w:val="00CE3290"/>
    <w:rsid w:val="00CE3919"/>
    <w:rsid w:val="00CE3FD2"/>
    <w:rsid w:val="00CE4189"/>
    <w:rsid w:val="00CE42DE"/>
    <w:rsid w:val="00CE4487"/>
    <w:rsid w:val="00CE4579"/>
    <w:rsid w:val="00CE4F9E"/>
    <w:rsid w:val="00CE5399"/>
    <w:rsid w:val="00CE7053"/>
    <w:rsid w:val="00CF00CE"/>
    <w:rsid w:val="00CF04EE"/>
    <w:rsid w:val="00CF071D"/>
    <w:rsid w:val="00CF0867"/>
    <w:rsid w:val="00CF0995"/>
    <w:rsid w:val="00CF0A1D"/>
    <w:rsid w:val="00CF0AB3"/>
    <w:rsid w:val="00CF141B"/>
    <w:rsid w:val="00CF16E6"/>
    <w:rsid w:val="00CF17F8"/>
    <w:rsid w:val="00CF4948"/>
    <w:rsid w:val="00CF4BCA"/>
    <w:rsid w:val="00CF54BC"/>
    <w:rsid w:val="00CF5BEC"/>
    <w:rsid w:val="00CF5F1B"/>
    <w:rsid w:val="00CF6EC0"/>
    <w:rsid w:val="00CF717E"/>
    <w:rsid w:val="00D01E5D"/>
    <w:rsid w:val="00D0257E"/>
    <w:rsid w:val="00D02DDD"/>
    <w:rsid w:val="00D04A0E"/>
    <w:rsid w:val="00D0535E"/>
    <w:rsid w:val="00D064CC"/>
    <w:rsid w:val="00D06911"/>
    <w:rsid w:val="00D0783E"/>
    <w:rsid w:val="00D07DB4"/>
    <w:rsid w:val="00D1062F"/>
    <w:rsid w:val="00D10D4C"/>
    <w:rsid w:val="00D132B9"/>
    <w:rsid w:val="00D13949"/>
    <w:rsid w:val="00D13B33"/>
    <w:rsid w:val="00D14011"/>
    <w:rsid w:val="00D145ED"/>
    <w:rsid w:val="00D1461B"/>
    <w:rsid w:val="00D14AE1"/>
    <w:rsid w:val="00D14FA5"/>
    <w:rsid w:val="00D1544A"/>
    <w:rsid w:val="00D1576D"/>
    <w:rsid w:val="00D15F26"/>
    <w:rsid w:val="00D16B7B"/>
    <w:rsid w:val="00D178A7"/>
    <w:rsid w:val="00D17B50"/>
    <w:rsid w:val="00D17F85"/>
    <w:rsid w:val="00D20114"/>
    <w:rsid w:val="00D20179"/>
    <w:rsid w:val="00D206B1"/>
    <w:rsid w:val="00D2077D"/>
    <w:rsid w:val="00D20DB5"/>
    <w:rsid w:val="00D21151"/>
    <w:rsid w:val="00D22373"/>
    <w:rsid w:val="00D22377"/>
    <w:rsid w:val="00D22FA4"/>
    <w:rsid w:val="00D23863"/>
    <w:rsid w:val="00D23B82"/>
    <w:rsid w:val="00D2428C"/>
    <w:rsid w:val="00D26249"/>
    <w:rsid w:val="00D26A45"/>
    <w:rsid w:val="00D2746F"/>
    <w:rsid w:val="00D30383"/>
    <w:rsid w:val="00D30575"/>
    <w:rsid w:val="00D309AE"/>
    <w:rsid w:val="00D3376A"/>
    <w:rsid w:val="00D33979"/>
    <w:rsid w:val="00D33B93"/>
    <w:rsid w:val="00D34065"/>
    <w:rsid w:val="00D35DD8"/>
    <w:rsid w:val="00D35ED0"/>
    <w:rsid w:val="00D36DF1"/>
    <w:rsid w:val="00D376C4"/>
    <w:rsid w:val="00D406DE"/>
    <w:rsid w:val="00D40C54"/>
    <w:rsid w:val="00D40D84"/>
    <w:rsid w:val="00D41B26"/>
    <w:rsid w:val="00D42DF4"/>
    <w:rsid w:val="00D442D1"/>
    <w:rsid w:val="00D4477F"/>
    <w:rsid w:val="00D4542F"/>
    <w:rsid w:val="00D456A4"/>
    <w:rsid w:val="00D463CC"/>
    <w:rsid w:val="00D46BCB"/>
    <w:rsid w:val="00D46D5E"/>
    <w:rsid w:val="00D47251"/>
    <w:rsid w:val="00D47564"/>
    <w:rsid w:val="00D47658"/>
    <w:rsid w:val="00D5128F"/>
    <w:rsid w:val="00D5139C"/>
    <w:rsid w:val="00D516A4"/>
    <w:rsid w:val="00D5189A"/>
    <w:rsid w:val="00D51E40"/>
    <w:rsid w:val="00D52B55"/>
    <w:rsid w:val="00D532C6"/>
    <w:rsid w:val="00D53556"/>
    <w:rsid w:val="00D535A6"/>
    <w:rsid w:val="00D535B3"/>
    <w:rsid w:val="00D5389B"/>
    <w:rsid w:val="00D546BE"/>
    <w:rsid w:val="00D557E6"/>
    <w:rsid w:val="00D563F1"/>
    <w:rsid w:val="00D577DA"/>
    <w:rsid w:val="00D57955"/>
    <w:rsid w:val="00D57C37"/>
    <w:rsid w:val="00D60151"/>
    <w:rsid w:val="00D60956"/>
    <w:rsid w:val="00D60FED"/>
    <w:rsid w:val="00D613A9"/>
    <w:rsid w:val="00D61695"/>
    <w:rsid w:val="00D61AC0"/>
    <w:rsid w:val="00D63034"/>
    <w:rsid w:val="00D63338"/>
    <w:rsid w:val="00D63FFA"/>
    <w:rsid w:val="00D650B9"/>
    <w:rsid w:val="00D66469"/>
    <w:rsid w:val="00D672FE"/>
    <w:rsid w:val="00D67340"/>
    <w:rsid w:val="00D6783B"/>
    <w:rsid w:val="00D67F25"/>
    <w:rsid w:val="00D70C33"/>
    <w:rsid w:val="00D70DE9"/>
    <w:rsid w:val="00D70FCD"/>
    <w:rsid w:val="00D7150B"/>
    <w:rsid w:val="00D728CB"/>
    <w:rsid w:val="00D72BF7"/>
    <w:rsid w:val="00D73BDD"/>
    <w:rsid w:val="00D75305"/>
    <w:rsid w:val="00D76C11"/>
    <w:rsid w:val="00D77368"/>
    <w:rsid w:val="00D77675"/>
    <w:rsid w:val="00D77705"/>
    <w:rsid w:val="00D80636"/>
    <w:rsid w:val="00D8159D"/>
    <w:rsid w:val="00D816F4"/>
    <w:rsid w:val="00D82058"/>
    <w:rsid w:val="00D82169"/>
    <w:rsid w:val="00D82545"/>
    <w:rsid w:val="00D82A34"/>
    <w:rsid w:val="00D8490C"/>
    <w:rsid w:val="00D84BEB"/>
    <w:rsid w:val="00D85448"/>
    <w:rsid w:val="00D8632D"/>
    <w:rsid w:val="00D86BAB"/>
    <w:rsid w:val="00D86C2A"/>
    <w:rsid w:val="00D876DB"/>
    <w:rsid w:val="00D878C3"/>
    <w:rsid w:val="00D87A9D"/>
    <w:rsid w:val="00D90149"/>
    <w:rsid w:val="00D912C2"/>
    <w:rsid w:val="00D912D4"/>
    <w:rsid w:val="00D93C1D"/>
    <w:rsid w:val="00D94CE3"/>
    <w:rsid w:val="00D95DF7"/>
    <w:rsid w:val="00D966C8"/>
    <w:rsid w:val="00D96E9B"/>
    <w:rsid w:val="00D96F16"/>
    <w:rsid w:val="00DA0702"/>
    <w:rsid w:val="00DA4A35"/>
    <w:rsid w:val="00DA637C"/>
    <w:rsid w:val="00DA7382"/>
    <w:rsid w:val="00DA75BB"/>
    <w:rsid w:val="00DB135E"/>
    <w:rsid w:val="00DB17CD"/>
    <w:rsid w:val="00DB2677"/>
    <w:rsid w:val="00DB27E9"/>
    <w:rsid w:val="00DB295C"/>
    <w:rsid w:val="00DB357D"/>
    <w:rsid w:val="00DB38E0"/>
    <w:rsid w:val="00DB3CB9"/>
    <w:rsid w:val="00DB42E9"/>
    <w:rsid w:val="00DB4726"/>
    <w:rsid w:val="00DB536B"/>
    <w:rsid w:val="00DB544E"/>
    <w:rsid w:val="00DB595B"/>
    <w:rsid w:val="00DB5A6C"/>
    <w:rsid w:val="00DB7FDC"/>
    <w:rsid w:val="00DC0279"/>
    <w:rsid w:val="00DC1162"/>
    <w:rsid w:val="00DC1426"/>
    <w:rsid w:val="00DC23EA"/>
    <w:rsid w:val="00DC2D3B"/>
    <w:rsid w:val="00DC2D4F"/>
    <w:rsid w:val="00DC3464"/>
    <w:rsid w:val="00DC3BC9"/>
    <w:rsid w:val="00DC4670"/>
    <w:rsid w:val="00DC528C"/>
    <w:rsid w:val="00DC6092"/>
    <w:rsid w:val="00DC620F"/>
    <w:rsid w:val="00DC6224"/>
    <w:rsid w:val="00DC6B4B"/>
    <w:rsid w:val="00DC775F"/>
    <w:rsid w:val="00DD0632"/>
    <w:rsid w:val="00DD1BBD"/>
    <w:rsid w:val="00DD1FEA"/>
    <w:rsid w:val="00DD2CB2"/>
    <w:rsid w:val="00DD3AAB"/>
    <w:rsid w:val="00DD3FA1"/>
    <w:rsid w:val="00DD4217"/>
    <w:rsid w:val="00DD5E90"/>
    <w:rsid w:val="00DD6B11"/>
    <w:rsid w:val="00DD6FBF"/>
    <w:rsid w:val="00DD75F6"/>
    <w:rsid w:val="00DE0275"/>
    <w:rsid w:val="00DE06B3"/>
    <w:rsid w:val="00DE0CA8"/>
    <w:rsid w:val="00DE1F0D"/>
    <w:rsid w:val="00DE1F49"/>
    <w:rsid w:val="00DE20CE"/>
    <w:rsid w:val="00DE29D3"/>
    <w:rsid w:val="00DE2DAC"/>
    <w:rsid w:val="00DE4BD4"/>
    <w:rsid w:val="00DE61C2"/>
    <w:rsid w:val="00DF19B6"/>
    <w:rsid w:val="00DF242C"/>
    <w:rsid w:val="00DF2ED9"/>
    <w:rsid w:val="00DF372D"/>
    <w:rsid w:val="00DF3F70"/>
    <w:rsid w:val="00DF4589"/>
    <w:rsid w:val="00DF57BF"/>
    <w:rsid w:val="00DF60BE"/>
    <w:rsid w:val="00DF667C"/>
    <w:rsid w:val="00DF6AD5"/>
    <w:rsid w:val="00DF7CAE"/>
    <w:rsid w:val="00DF7F5C"/>
    <w:rsid w:val="00E006EC"/>
    <w:rsid w:val="00E00F02"/>
    <w:rsid w:val="00E01083"/>
    <w:rsid w:val="00E01AB7"/>
    <w:rsid w:val="00E029E0"/>
    <w:rsid w:val="00E04A3A"/>
    <w:rsid w:val="00E0578A"/>
    <w:rsid w:val="00E0586C"/>
    <w:rsid w:val="00E05A11"/>
    <w:rsid w:val="00E107BF"/>
    <w:rsid w:val="00E12D99"/>
    <w:rsid w:val="00E133E3"/>
    <w:rsid w:val="00E157C0"/>
    <w:rsid w:val="00E1621B"/>
    <w:rsid w:val="00E17413"/>
    <w:rsid w:val="00E17CD8"/>
    <w:rsid w:val="00E2087F"/>
    <w:rsid w:val="00E214E1"/>
    <w:rsid w:val="00E22A7D"/>
    <w:rsid w:val="00E22CBE"/>
    <w:rsid w:val="00E232E2"/>
    <w:rsid w:val="00E23385"/>
    <w:rsid w:val="00E2442A"/>
    <w:rsid w:val="00E24613"/>
    <w:rsid w:val="00E2474F"/>
    <w:rsid w:val="00E247F1"/>
    <w:rsid w:val="00E26880"/>
    <w:rsid w:val="00E26DFA"/>
    <w:rsid w:val="00E2716D"/>
    <w:rsid w:val="00E27D57"/>
    <w:rsid w:val="00E27E81"/>
    <w:rsid w:val="00E30159"/>
    <w:rsid w:val="00E310FD"/>
    <w:rsid w:val="00E3194A"/>
    <w:rsid w:val="00E330AC"/>
    <w:rsid w:val="00E3335E"/>
    <w:rsid w:val="00E33597"/>
    <w:rsid w:val="00E3367A"/>
    <w:rsid w:val="00E340D3"/>
    <w:rsid w:val="00E342FC"/>
    <w:rsid w:val="00E34764"/>
    <w:rsid w:val="00E34E40"/>
    <w:rsid w:val="00E34E5B"/>
    <w:rsid w:val="00E34F56"/>
    <w:rsid w:val="00E35014"/>
    <w:rsid w:val="00E3645A"/>
    <w:rsid w:val="00E36C0F"/>
    <w:rsid w:val="00E372B7"/>
    <w:rsid w:val="00E37544"/>
    <w:rsid w:val="00E3763B"/>
    <w:rsid w:val="00E37F01"/>
    <w:rsid w:val="00E40C82"/>
    <w:rsid w:val="00E41CE5"/>
    <w:rsid w:val="00E41FB2"/>
    <w:rsid w:val="00E421DD"/>
    <w:rsid w:val="00E431B8"/>
    <w:rsid w:val="00E43891"/>
    <w:rsid w:val="00E43AFB"/>
    <w:rsid w:val="00E43C73"/>
    <w:rsid w:val="00E4635E"/>
    <w:rsid w:val="00E46759"/>
    <w:rsid w:val="00E467FE"/>
    <w:rsid w:val="00E471E8"/>
    <w:rsid w:val="00E4774C"/>
    <w:rsid w:val="00E479EF"/>
    <w:rsid w:val="00E50611"/>
    <w:rsid w:val="00E5075C"/>
    <w:rsid w:val="00E5130E"/>
    <w:rsid w:val="00E52789"/>
    <w:rsid w:val="00E52E4D"/>
    <w:rsid w:val="00E53072"/>
    <w:rsid w:val="00E53A3D"/>
    <w:rsid w:val="00E53C72"/>
    <w:rsid w:val="00E53EBA"/>
    <w:rsid w:val="00E5445A"/>
    <w:rsid w:val="00E548DB"/>
    <w:rsid w:val="00E54947"/>
    <w:rsid w:val="00E54FA5"/>
    <w:rsid w:val="00E55210"/>
    <w:rsid w:val="00E55A22"/>
    <w:rsid w:val="00E55B33"/>
    <w:rsid w:val="00E56C07"/>
    <w:rsid w:val="00E56F7D"/>
    <w:rsid w:val="00E57051"/>
    <w:rsid w:val="00E576DD"/>
    <w:rsid w:val="00E577AE"/>
    <w:rsid w:val="00E57A41"/>
    <w:rsid w:val="00E57BFA"/>
    <w:rsid w:val="00E60B8F"/>
    <w:rsid w:val="00E614BB"/>
    <w:rsid w:val="00E615BC"/>
    <w:rsid w:val="00E62040"/>
    <w:rsid w:val="00E62310"/>
    <w:rsid w:val="00E6248B"/>
    <w:rsid w:val="00E64B57"/>
    <w:rsid w:val="00E65AA5"/>
    <w:rsid w:val="00E65E66"/>
    <w:rsid w:val="00E660A1"/>
    <w:rsid w:val="00E66276"/>
    <w:rsid w:val="00E67792"/>
    <w:rsid w:val="00E705D8"/>
    <w:rsid w:val="00E715CA"/>
    <w:rsid w:val="00E7189D"/>
    <w:rsid w:val="00E71D01"/>
    <w:rsid w:val="00E725B4"/>
    <w:rsid w:val="00E73A36"/>
    <w:rsid w:val="00E74137"/>
    <w:rsid w:val="00E749CA"/>
    <w:rsid w:val="00E74F7A"/>
    <w:rsid w:val="00E7509D"/>
    <w:rsid w:val="00E755F8"/>
    <w:rsid w:val="00E75853"/>
    <w:rsid w:val="00E80A46"/>
    <w:rsid w:val="00E80FE4"/>
    <w:rsid w:val="00E81604"/>
    <w:rsid w:val="00E8165E"/>
    <w:rsid w:val="00E82029"/>
    <w:rsid w:val="00E825E0"/>
    <w:rsid w:val="00E826EF"/>
    <w:rsid w:val="00E8282A"/>
    <w:rsid w:val="00E838F3"/>
    <w:rsid w:val="00E8390B"/>
    <w:rsid w:val="00E84EC7"/>
    <w:rsid w:val="00E8569F"/>
    <w:rsid w:val="00E85EAD"/>
    <w:rsid w:val="00E874DA"/>
    <w:rsid w:val="00E879C2"/>
    <w:rsid w:val="00E87D51"/>
    <w:rsid w:val="00E90002"/>
    <w:rsid w:val="00E9024F"/>
    <w:rsid w:val="00E903BC"/>
    <w:rsid w:val="00E908C5"/>
    <w:rsid w:val="00E90C6B"/>
    <w:rsid w:val="00E914DD"/>
    <w:rsid w:val="00E91F9F"/>
    <w:rsid w:val="00E92267"/>
    <w:rsid w:val="00E9270B"/>
    <w:rsid w:val="00E927B4"/>
    <w:rsid w:val="00E92929"/>
    <w:rsid w:val="00E92C56"/>
    <w:rsid w:val="00E934D2"/>
    <w:rsid w:val="00E938CE"/>
    <w:rsid w:val="00E94166"/>
    <w:rsid w:val="00E943FC"/>
    <w:rsid w:val="00E94EA8"/>
    <w:rsid w:val="00E95470"/>
    <w:rsid w:val="00E95F51"/>
    <w:rsid w:val="00E960A9"/>
    <w:rsid w:val="00E9611C"/>
    <w:rsid w:val="00E96C3A"/>
    <w:rsid w:val="00EA0C10"/>
    <w:rsid w:val="00EA1541"/>
    <w:rsid w:val="00EA1B8A"/>
    <w:rsid w:val="00EA2BD6"/>
    <w:rsid w:val="00EA2F94"/>
    <w:rsid w:val="00EA326C"/>
    <w:rsid w:val="00EA3A34"/>
    <w:rsid w:val="00EA3FB9"/>
    <w:rsid w:val="00EA4104"/>
    <w:rsid w:val="00EA4C64"/>
    <w:rsid w:val="00EA4CA7"/>
    <w:rsid w:val="00EA4D54"/>
    <w:rsid w:val="00EA5019"/>
    <w:rsid w:val="00EA5074"/>
    <w:rsid w:val="00EA5D79"/>
    <w:rsid w:val="00EA607C"/>
    <w:rsid w:val="00EB046D"/>
    <w:rsid w:val="00EB053E"/>
    <w:rsid w:val="00EB07EB"/>
    <w:rsid w:val="00EB1518"/>
    <w:rsid w:val="00EB18C8"/>
    <w:rsid w:val="00EB1900"/>
    <w:rsid w:val="00EB36A2"/>
    <w:rsid w:val="00EB4C31"/>
    <w:rsid w:val="00EB5EC0"/>
    <w:rsid w:val="00EB629D"/>
    <w:rsid w:val="00EB6901"/>
    <w:rsid w:val="00EB6DC1"/>
    <w:rsid w:val="00EB6FD2"/>
    <w:rsid w:val="00EB712E"/>
    <w:rsid w:val="00EB7DBE"/>
    <w:rsid w:val="00EC0A4B"/>
    <w:rsid w:val="00EC1016"/>
    <w:rsid w:val="00EC11CC"/>
    <w:rsid w:val="00EC3278"/>
    <w:rsid w:val="00EC7395"/>
    <w:rsid w:val="00EC74C5"/>
    <w:rsid w:val="00EC7689"/>
    <w:rsid w:val="00EC76CD"/>
    <w:rsid w:val="00ED03FA"/>
    <w:rsid w:val="00ED05B8"/>
    <w:rsid w:val="00ED12C1"/>
    <w:rsid w:val="00ED1A84"/>
    <w:rsid w:val="00ED2725"/>
    <w:rsid w:val="00ED27D2"/>
    <w:rsid w:val="00ED2CC7"/>
    <w:rsid w:val="00ED3BB6"/>
    <w:rsid w:val="00ED3C9F"/>
    <w:rsid w:val="00ED4266"/>
    <w:rsid w:val="00ED5AC9"/>
    <w:rsid w:val="00ED5B91"/>
    <w:rsid w:val="00ED6017"/>
    <w:rsid w:val="00ED68D6"/>
    <w:rsid w:val="00ED72EA"/>
    <w:rsid w:val="00ED78D6"/>
    <w:rsid w:val="00ED79D5"/>
    <w:rsid w:val="00ED7A57"/>
    <w:rsid w:val="00ED7E10"/>
    <w:rsid w:val="00EE1420"/>
    <w:rsid w:val="00EE14C4"/>
    <w:rsid w:val="00EE1D3B"/>
    <w:rsid w:val="00EE1DED"/>
    <w:rsid w:val="00EE1E0A"/>
    <w:rsid w:val="00EE1E60"/>
    <w:rsid w:val="00EE1EAF"/>
    <w:rsid w:val="00EE2422"/>
    <w:rsid w:val="00EE2678"/>
    <w:rsid w:val="00EE3A83"/>
    <w:rsid w:val="00EE44ED"/>
    <w:rsid w:val="00EE4F78"/>
    <w:rsid w:val="00EE5CEA"/>
    <w:rsid w:val="00EE5EB7"/>
    <w:rsid w:val="00EE5F47"/>
    <w:rsid w:val="00EE60DE"/>
    <w:rsid w:val="00EE6648"/>
    <w:rsid w:val="00EE742E"/>
    <w:rsid w:val="00EF0723"/>
    <w:rsid w:val="00EF098C"/>
    <w:rsid w:val="00EF09A4"/>
    <w:rsid w:val="00EF0DE4"/>
    <w:rsid w:val="00EF2AB6"/>
    <w:rsid w:val="00EF2F09"/>
    <w:rsid w:val="00EF3728"/>
    <w:rsid w:val="00EF3D98"/>
    <w:rsid w:val="00EF4D89"/>
    <w:rsid w:val="00EF50C4"/>
    <w:rsid w:val="00EF547D"/>
    <w:rsid w:val="00EF5681"/>
    <w:rsid w:val="00EF58E3"/>
    <w:rsid w:val="00EF6069"/>
    <w:rsid w:val="00EF70C0"/>
    <w:rsid w:val="00EF730B"/>
    <w:rsid w:val="00EF7A12"/>
    <w:rsid w:val="00EF7EB6"/>
    <w:rsid w:val="00F00989"/>
    <w:rsid w:val="00F01BC2"/>
    <w:rsid w:val="00F02467"/>
    <w:rsid w:val="00F0250E"/>
    <w:rsid w:val="00F03E82"/>
    <w:rsid w:val="00F040F7"/>
    <w:rsid w:val="00F0491A"/>
    <w:rsid w:val="00F05335"/>
    <w:rsid w:val="00F05F80"/>
    <w:rsid w:val="00F05FE2"/>
    <w:rsid w:val="00F069C9"/>
    <w:rsid w:val="00F073EA"/>
    <w:rsid w:val="00F07F12"/>
    <w:rsid w:val="00F1171D"/>
    <w:rsid w:val="00F11B3F"/>
    <w:rsid w:val="00F11DFC"/>
    <w:rsid w:val="00F12AD9"/>
    <w:rsid w:val="00F13085"/>
    <w:rsid w:val="00F13102"/>
    <w:rsid w:val="00F13445"/>
    <w:rsid w:val="00F14C60"/>
    <w:rsid w:val="00F14D42"/>
    <w:rsid w:val="00F14E88"/>
    <w:rsid w:val="00F15535"/>
    <w:rsid w:val="00F176AD"/>
    <w:rsid w:val="00F178E6"/>
    <w:rsid w:val="00F17E0C"/>
    <w:rsid w:val="00F20AB0"/>
    <w:rsid w:val="00F20D8C"/>
    <w:rsid w:val="00F22EE6"/>
    <w:rsid w:val="00F244DF"/>
    <w:rsid w:val="00F24E93"/>
    <w:rsid w:val="00F256F4"/>
    <w:rsid w:val="00F25F63"/>
    <w:rsid w:val="00F261E4"/>
    <w:rsid w:val="00F267A0"/>
    <w:rsid w:val="00F26AC7"/>
    <w:rsid w:val="00F26F49"/>
    <w:rsid w:val="00F272C5"/>
    <w:rsid w:val="00F30F9D"/>
    <w:rsid w:val="00F31452"/>
    <w:rsid w:val="00F31B10"/>
    <w:rsid w:val="00F31EDF"/>
    <w:rsid w:val="00F32BDE"/>
    <w:rsid w:val="00F33556"/>
    <w:rsid w:val="00F33968"/>
    <w:rsid w:val="00F33AD8"/>
    <w:rsid w:val="00F34FB1"/>
    <w:rsid w:val="00F352DE"/>
    <w:rsid w:val="00F35BD5"/>
    <w:rsid w:val="00F36267"/>
    <w:rsid w:val="00F36833"/>
    <w:rsid w:val="00F376BE"/>
    <w:rsid w:val="00F4017F"/>
    <w:rsid w:val="00F41478"/>
    <w:rsid w:val="00F41493"/>
    <w:rsid w:val="00F415EC"/>
    <w:rsid w:val="00F41F8A"/>
    <w:rsid w:val="00F42490"/>
    <w:rsid w:val="00F4321C"/>
    <w:rsid w:val="00F43395"/>
    <w:rsid w:val="00F4496A"/>
    <w:rsid w:val="00F46274"/>
    <w:rsid w:val="00F466B4"/>
    <w:rsid w:val="00F47241"/>
    <w:rsid w:val="00F4745F"/>
    <w:rsid w:val="00F475DF"/>
    <w:rsid w:val="00F47AFB"/>
    <w:rsid w:val="00F50256"/>
    <w:rsid w:val="00F50437"/>
    <w:rsid w:val="00F50B03"/>
    <w:rsid w:val="00F5162F"/>
    <w:rsid w:val="00F52DA1"/>
    <w:rsid w:val="00F551E5"/>
    <w:rsid w:val="00F55C2D"/>
    <w:rsid w:val="00F55F32"/>
    <w:rsid w:val="00F55FA3"/>
    <w:rsid w:val="00F6075C"/>
    <w:rsid w:val="00F611B3"/>
    <w:rsid w:val="00F61CDE"/>
    <w:rsid w:val="00F62766"/>
    <w:rsid w:val="00F63F41"/>
    <w:rsid w:val="00F64467"/>
    <w:rsid w:val="00F644CE"/>
    <w:rsid w:val="00F648DE"/>
    <w:rsid w:val="00F64CD7"/>
    <w:rsid w:val="00F64E0B"/>
    <w:rsid w:val="00F65727"/>
    <w:rsid w:val="00F65CC8"/>
    <w:rsid w:val="00F65FDA"/>
    <w:rsid w:val="00F66694"/>
    <w:rsid w:val="00F66B8C"/>
    <w:rsid w:val="00F674EF"/>
    <w:rsid w:val="00F67BDF"/>
    <w:rsid w:val="00F67E07"/>
    <w:rsid w:val="00F67F9C"/>
    <w:rsid w:val="00F70BDC"/>
    <w:rsid w:val="00F71661"/>
    <w:rsid w:val="00F71BC6"/>
    <w:rsid w:val="00F71F47"/>
    <w:rsid w:val="00F729AC"/>
    <w:rsid w:val="00F73092"/>
    <w:rsid w:val="00F73164"/>
    <w:rsid w:val="00F740FF"/>
    <w:rsid w:val="00F745CF"/>
    <w:rsid w:val="00F747DA"/>
    <w:rsid w:val="00F751DE"/>
    <w:rsid w:val="00F75E68"/>
    <w:rsid w:val="00F75FBA"/>
    <w:rsid w:val="00F76E95"/>
    <w:rsid w:val="00F76FBD"/>
    <w:rsid w:val="00F7727A"/>
    <w:rsid w:val="00F8065A"/>
    <w:rsid w:val="00F80686"/>
    <w:rsid w:val="00F80C51"/>
    <w:rsid w:val="00F811B3"/>
    <w:rsid w:val="00F81392"/>
    <w:rsid w:val="00F816EF"/>
    <w:rsid w:val="00F81DD6"/>
    <w:rsid w:val="00F81E4B"/>
    <w:rsid w:val="00F82AAE"/>
    <w:rsid w:val="00F82DA8"/>
    <w:rsid w:val="00F836F3"/>
    <w:rsid w:val="00F847CE"/>
    <w:rsid w:val="00F84CD8"/>
    <w:rsid w:val="00F84F5D"/>
    <w:rsid w:val="00F858AE"/>
    <w:rsid w:val="00F85A44"/>
    <w:rsid w:val="00F86024"/>
    <w:rsid w:val="00F86526"/>
    <w:rsid w:val="00F86716"/>
    <w:rsid w:val="00F86BB7"/>
    <w:rsid w:val="00F86E71"/>
    <w:rsid w:val="00F86FC3"/>
    <w:rsid w:val="00F8796B"/>
    <w:rsid w:val="00F906FF"/>
    <w:rsid w:val="00F9198F"/>
    <w:rsid w:val="00F91E3F"/>
    <w:rsid w:val="00F94454"/>
    <w:rsid w:val="00F94560"/>
    <w:rsid w:val="00F948A2"/>
    <w:rsid w:val="00F94F92"/>
    <w:rsid w:val="00F9529D"/>
    <w:rsid w:val="00F9563C"/>
    <w:rsid w:val="00F9581D"/>
    <w:rsid w:val="00F96F07"/>
    <w:rsid w:val="00F978EF"/>
    <w:rsid w:val="00F97A7A"/>
    <w:rsid w:val="00FA0A8F"/>
    <w:rsid w:val="00FA1417"/>
    <w:rsid w:val="00FA15E6"/>
    <w:rsid w:val="00FA1689"/>
    <w:rsid w:val="00FA19C1"/>
    <w:rsid w:val="00FA2132"/>
    <w:rsid w:val="00FA214D"/>
    <w:rsid w:val="00FA28BD"/>
    <w:rsid w:val="00FA346E"/>
    <w:rsid w:val="00FA3B78"/>
    <w:rsid w:val="00FA3BBD"/>
    <w:rsid w:val="00FA4A3B"/>
    <w:rsid w:val="00FA4C77"/>
    <w:rsid w:val="00FA53E8"/>
    <w:rsid w:val="00FA579E"/>
    <w:rsid w:val="00FA58AD"/>
    <w:rsid w:val="00FA5E34"/>
    <w:rsid w:val="00FA617A"/>
    <w:rsid w:val="00FA639B"/>
    <w:rsid w:val="00FA67D9"/>
    <w:rsid w:val="00FB005D"/>
    <w:rsid w:val="00FB1236"/>
    <w:rsid w:val="00FB12EE"/>
    <w:rsid w:val="00FB12FC"/>
    <w:rsid w:val="00FB2475"/>
    <w:rsid w:val="00FB24C6"/>
    <w:rsid w:val="00FB27F3"/>
    <w:rsid w:val="00FB319C"/>
    <w:rsid w:val="00FB3241"/>
    <w:rsid w:val="00FB3376"/>
    <w:rsid w:val="00FB3DA3"/>
    <w:rsid w:val="00FB41DC"/>
    <w:rsid w:val="00FB5F5B"/>
    <w:rsid w:val="00FB7038"/>
    <w:rsid w:val="00FC1287"/>
    <w:rsid w:val="00FC1EE1"/>
    <w:rsid w:val="00FC272E"/>
    <w:rsid w:val="00FC28C3"/>
    <w:rsid w:val="00FC3FCA"/>
    <w:rsid w:val="00FC4532"/>
    <w:rsid w:val="00FC5969"/>
    <w:rsid w:val="00FC5B73"/>
    <w:rsid w:val="00FC6762"/>
    <w:rsid w:val="00FC6DFD"/>
    <w:rsid w:val="00FC6FC0"/>
    <w:rsid w:val="00FC70E2"/>
    <w:rsid w:val="00FC72E0"/>
    <w:rsid w:val="00FC737A"/>
    <w:rsid w:val="00FD14AF"/>
    <w:rsid w:val="00FD14D7"/>
    <w:rsid w:val="00FD1F6E"/>
    <w:rsid w:val="00FD2C4F"/>
    <w:rsid w:val="00FD3040"/>
    <w:rsid w:val="00FD31C2"/>
    <w:rsid w:val="00FD3E57"/>
    <w:rsid w:val="00FD4988"/>
    <w:rsid w:val="00FD5BC2"/>
    <w:rsid w:val="00FD604B"/>
    <w:rsid w:val="00FD6483"/>
    <w:rsid w:val="00FD67F5"/>
    <w:rsid w:val="00FD7DFC"/>
    <w:rsid w:val="00FD7FD0"/>
    <w:rsid w:val="00FE0449"/>
    <w:rsid w:val="00FE05BB"/>
    <w:rsid w:val="00FE0CA2"/>
    <w:rsid w:val="00FE0D59"/>
    <w:rsid w:val="00FE126C"/>
    <w:rsid w:val="00FE207F"/>
    <w:rsid w:val="00FE23CE"/>
    <w:rsid w:val="00FE3397"/>
    <w:rsid w:val="00FE358C"/>
    <w:rsid w:val="00FE39C6"/>
    <w:rsid w:val="00FE4646"/>
    <w:rsid w:val="00FE4B6B"/>
    <w:rsid w:val="00FE6809"/>
    <w:rsid w:val="00FE7B69"/>
    <w:rsid w:val="00FE7C47"/>
    <w:rsid w:val="00FF0131"/>
    <w:rsid w:val="00FF2093"/>
    <w:rsid w:val="00FF270F"/>
    <w:rsid w:val="00FF31C9"/>
    <w:rsid w:val="00FF43C9"/>
    <w:rsid w:val="00FF45E0"/>
    <w:rsid w:val="00FF46E5"/>
    <w:rsid w:val="00FF6411"/>
    <w:rsid w:val="00FF6A84"/>
    <w:rsid w:val="08833321"/>
    <w:rsid w:val="0D0DC50A"/>
    <w:rsid w:val="204652A5"/>
    <w:rsid w:val="22DD52F0"/>
    <w:rsid w:val="35F9BCB0"/>
    <w:rsid w:val="3D2F6F52"/>
    <w:rsid w:val="3F81FE27"/>
    <w:rsid w:val="500D9AAF"/>
    <w:rsid w:val="50FEB59F"/>
    <w:rsid w:val="595F4A60"/>
    <w:rsid w:val="5C401F67"/>
    <w:rsid w:val="6E81692D"/>
    <w:rsid w:val="77BBE6EA"/>
    <w:rsid w:val="7874F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20848"/>
  <w15:chartTrackingRefBased/>
  <w15:docId w15:val="{64FFAE9E-FE45-44F8-BA0F-0E5486D1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D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D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0D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D0D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D0D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D0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D0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D0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D0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D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0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0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D0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D0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D0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D0D2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D0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D0D2E"/>
    <w:rPr>
      <w:rFonts w:eastAsiaTheme="majorEastAsia" w:cstheme="majorBidi"/>
      <w:color w:val="272727" w:themeColor="text1" w:themeTint="D8"/>
    </w:rPr>
  </w:style>
  <w:style w:type="paragraph" w:styleId="Title">
    <w:name w:val="Title"/>
    <w:basedOn w:val="Normal"/>
    <w:next w:val="Normal"/>
    <w:link w:val="TitleChar"/>
    <w:uiPriority w:val="10"/>
    <w:qFormat/>
    <w:rsid w:val="003D0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D2E"/>
    <w:pPr>
      <w:spacing w:before="160"/>
      <w:jc w:val="center"/>
    </w:pPr>
    <w:rPr>
      <w:i/>
      <w:iCs/>
      <w:color w:val="404040" w:themeColor="text1" w:themeTint="BF"/>
    </w:rPr>
  </w:style>
  <w:style w:type="character" w:customStyle="1" w:styleId="QuoteChar">
    <w:name w:val="Quote Char"/>
    <w:basedOn w:val="DefaultParagraphFont"/>
    <w:link w:val="Quote"/>
    <w:uiPriority w:val="29"/>
    <w:rsid w:val="003D0D2E"/>
    <w:rPr>
      <w:i/>
      <w:iCs/>
      <w:color w:val="404040" w:themeColor="text1" w:themeTint="BF"/>
    </w:rPr>
  </w:style>
  <w:style w:type="paragraph" w:styleId="ListParagraph">
    <w:name w:val="List Paragraph"/>
    <w:basedOn w:val="Normal"/>
    <w:uiPriority w:val="34"/>
    <w:qFormat/>
    <w:rsid w:val="003D0D2E"/>
    <w:pPr>
      <w:ind w:left="720"/>
      <w:contextualSpacing/>
    </w:pPr>
  </w:style>
  <w:style w:type="character" w:styleId="IntenseEmphasis">
    <w:name w:val="Intense Emphasis"/>
    <w:basedOn w:val="DefaultParagraphFont"/>
    <w:uiPriority w:val="21"/>
    <w:qFormat/>
    <w:rsid w:val="003D0D2E"/>
    <w:rPr>
      <w:i/>
      <w:iCs/>
      <w:color w:val="0F4761" w:themeColor="accent1" w:themeShade="BF"/>
    </w:rPr>
  </w:style>
  <w:style w:type="paragraph" w:styleId="IntenseQuote">
    <w:name w:val="Intense Quote"/>
    <w:basedOn w:val="Normal"/>
    <w:next w:val="Normal"/>
    <w:link w:val="IntenseQuoteChar"/>
    <w:uiPriority w:val="30"/>
    <w:qFormat/>
    <w:rsid w:val="003D0D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D2E"/>
    <w:rPr>
      <w:i/>
      <w:iCs/>
      <w:color w:val="0F4761" w:themeColor="accent1" w:themeShade="BF"/>
    </w:rPr>
  </w:style>
  <w:style w:type="character" w:styleId="IntenseReference">
    <w:name w:val="Intense Reference"/>
    <w:basedOn w:val="DefaultParagraphFont"/>
    <w:uiPriority w:val="32"/>
    <w:qFormat/>
    <w:rsid w:val="003D0D2E"/>
    <w:rPr>
      <w:b/>
      <w:bCs/>
      <w:smallCaps/>
      <w:color w:val="0F4761" w:themeColor="accent1" w:themeShade="BF"/>
      <w:spacing w:val="5"/>
    </w:rPr>
  </w:style>
  <w:style w:type="table" w:styleId="TableGrid">
    <w:name w:val="Table Grid"/>
    <w:basedOn w:val="TableNormal"/>
    <w:uiPriority w:val="59"/>
    <w:rsid w:val="00B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62B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5F010D"/>
    <w:rPr>
      <w:b/>
      <w:bCs/>
    </w:rPr>
  </w:style>
  <w:style w:type="table" w:styleId="GridTable2-Accent1">
    <w:name w:val="Grid Table 2 Accent 1"/>
    <w:basedOn w:val="TableNormal"/>
    <w:uiPriority w:val="47"/>
    <w:rsid w:val="00D94CE3"/>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CA711A"/>
    <w:rPr>
      <w:color w:val="467886" w:themeColor="hyperlink"/>
      <w:u w:val="single"/>
    </w:rPr>
  </w:style>
  <w:style w:type="character" w:styleId="UnresolvedMention">
    <w:name w:val="Unresolved Mention"/>
    <w:basedOn w:val="DefaultParagraphFont"/>
    <w:uiPriority w:val="99"/>
    <w:semiHidden/>
    <w:unhideWhenUsed/>
    <w:rsid w:val="00CA711A"/>
    <w:rPr>
      <w:color w:val="605E5C"/>
      <w:shd w:val="clear" w:color="auto" w:fill="E1DFDD"/>
    </w:rPr>
  </w:style>
  <w:style w:type="paragraph" w:styleId="Header">
    <w:name w:val="header"/>
    <w:basedOn w:val="Normal"/>
    <w:link w:val="HeaderChar"/>
    <w:uiPriority w:val="99"/>
    <w:unhideWhenUsed/>
    <w:rsid w:val="00315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616"/>
  </w:style>
  <w:style w:type="paragraph" w:styleId="Footer">
    <w:name w:val="footer"/>
    <w:basedOn w:val="Normal"/>
    <w:link w:val="FooterChar"/>
    <w:uiPriority w:val="99"/>
    <w:unhideWhenUsed/>
    <w:rsid w:val="00315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616"/>
  </w:style>
  <w:style w:type="character" w:styleId="FollowedHyperlink">
    <w:name w:val="FollowedHyperlink"/>
    <w:basedOn w:val="DefaultParagraphFont"/>
    <w:uiPriority w:val="99"/>
    <w:semiHidden/>
    <w:unhideWhenUsed/>
    <w:rsid w:val="000C1736"/>
    <w:rPr>
      <w:color w:val="96607D" w:themeColor="followedHyperlink"/>
      <w:u w:val="single"/>
    </w:rPr>
  </w:style>
  <w:style w:type="paragraph" w:styleId="NormalWeb">
    <w:name w:val="Normal (Web)"/>
    <w:basedOn w:val="Normal"/>
    <w:uiPriority w:val="99"/>
    <w:semiHidden/>
    <w:unhideWhenUsed/>
    <w:rsid w:val="00EA2F94"/>
    <w:rPr>
      <w:rFonts w:ascii="Times New Roman" w:hAnsi="Times New Roman" w:cs="Times New Roman"/>
      <w:sz w:val="24"/>
      <w:szCs w:val="24"/>
    </w:rPr>
  </w:style>
  <w:style w:type="table" w:styleId="TableGridLight">
    <w:name w:val="Grid Table Light"/>
    <w:basedOn w:val="TableNormal"/>
    <w:uiPriority w:val="40"/>
    <w:rsid w:val="008210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210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D440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0B29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2">
    <w:name w:val="toc 2"/>
    <w:basedOn w:val="Normal"/>
    <w:next w:val="Normal"/>
    <w:autoRedefine/>
    <w:uiPriority w:val="39"/>
    <w:unhideWhenUsed/>
    <w:rsid w:val="00305DF4"/>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05DF4"/>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305DF4"/>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305DF4"/>
    <w:pPr>
      <w:spacing w:after="100"/>
      <w:ind w:left="660"/>
    </w:pPr>
  </w:style>
  <w:style w:type="paragraph" w:styleId="TOC5">
    <w:name w:val="toc 5"/>
    <w:basedOn w:val="Normal"/>
    <w:next w:val="Normal"/>
    <w:autoRedefine/>
    <w:uiPriority w:val="39"/>
    <w:unhideWhenUsed/>
    <w:rsid w:val="00305DF4"/>
    <w:pPr>
      <w:spacing w:after="100"/>
      <w:ind w:left="880"/>
    </w:pPr>
  </w:style>
  <w:style w:type="paragraph" w:styleId="TOC6">
    <w:name w:val="toc 6"/>
    <w:basedOn w:val="Normal"/>
    <w:next w:val="Normal"/>
    <w:autoRedefine/>
    <w:uiPriority w:val="39"/>
    <w:unhideWhenUsed/>
    <w:rsid w:val="00305DF4"/>
    <w:pPr>
      <w:spacing w:after="100"/>
      <w:ind w:left="1100"/>
    </w:pPr>
  </w:style>
  <w:style w:type="paragraph" w:styleId="TOC7">
    <w:name w:val="toc 7"/>
    <w:basedOn w:val="Normal"/>
    <w:next w:val="Normal"/>
    <w:autoRedefine/>
    <w:uiPriority w:val="39"/>
    <w:unhideWhenUsed/>
    <w:rsid w:val="00305DF4"/>
    <w:pPr>
      <w:spacing w:after="100"/>
      <w:ind w:left="1320"/>
    </w:pPr>
  </w:style>
  <w:style w:type="paragraph" w:styleId="TOC8">
    <w:name w:val="toc 8"/>
    <w:basedOn w:val="Normal"/>
    <w:next w:val="Normal"/>
    <w:autoRedefine/>
    <w:uiPriority w:val="39"/>
    <w:unhideWhenUsed/>
    <w:rsid w:val="00305DF4"/>
    <w:pPr>
      <w:spacing w:after="100"/>
      <w:ind w:left="1540"/>
    </w:pPr>
  </w:style>
  <w:style w:type="paragraph" w:styleId="TOC9">
    <w:name w:val="toc 9"/>
    <w:basedOn w:val="Normal"/>
    <w:next w:val="Normal"/>
    <w:autoRedefine/>
    <w:uiPriority w:val="39"/>
    <w:unhideWhenUsed/>
    <w:rsid w:val="007A5F2B"/>
    <w:pPr>
      <w:spacing w:after="100"/>
      <w:ind w:left="1760"/>
    </w:pPr>
  </w:style>
  <w:style w:type="table" w:styleId="ListTable5Dark">
    <w:name w:val="List Table 5 Dark"/>
    <w:basedOn w:val="TableNormal"/>
    <w:uiPriority w:val="50"/>
    <w:rsid w:val="007B4C5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E55B3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121B4A"/>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E17413"/>
    <w:pPr>
      <w:spacing w:before="240" w:after="0"/>
      <w:outlineLvl w:val="9"/>
    </w:pPr>
    <w:rPr>
      <w:kern w:val="0"/>
      <w:sz w:val="32"/>
      <w:szCs w:val="32"/>
      <w:lang w:eastAsia="en-GB"/>
      <w14:ligatures w14:val="none"/>
    </w:rPr>
  </w:style>
  <w:style w:type="table" w:styleId="GridTable1Light-Accent1">
    <w:name w:val="Grid Table 1 Light Accent 1"/>
    <w:basedOn w:val="TableNormal"/>
    <w:uiPriority w:val="46"/>
    <w:rsid w:val="00605C71"/>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C6200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PlaceholderText">
    <w:name w:val="Placeholder Text"/>
    <w:basedOn w:val="DefaultParagraphFont"/>
    <w:uiPriority w:val="99"/>
    <w:semiHidden/>
    <w:rsid w:val="00717FC2"/>
    <w:rPr>
      <w:color w:val="666666"/>
    </w:rPr>
  </w:style>
  <w:style w:type="table" w:styleId="PlainTable4">
    <w:name w:val="Plain Table 4"/>
    <w:basedOn w:val="TableNormal"/>
    <w:uiPriority w:val="44"/>
    <w:rsid w:val="00EF3D9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DD3AA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D3AA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semiHidden/>
    <w:unhideWhenUsed/>
    <w:qFormat/>
    <w:rsid w:val="00336334"/>
    <w:pPr>
      <w:spacing w:after="120" w:line="240" w:lineRule="auto"/>
    </w:pPr>
    <w:rPr>
      <w:rFonts w:ascii="Arial" w:eastAsiaTheme="minorEastAsia" w:hAnsi="Arial"/>
      <w:b/>
      <w:bCs/>
      <w:color w:val="464646"/>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02">
      <w:bodyDiv w:val="1"/>
      <w:marLeft w:val="0"/>
      <w:marRight w:val="0"/>
      <w:marTop w:val="0"/>
      <w:marBottom w:val="0"/>
      <w:divBdr>
        <w:top w:val="none" w:sz="0" w:space="0" w:color="auto"/>
        <w:left w:val="none" w:sz="0" w:space="0" w:color="auto"/>
        <w:bottom w:val="none" w:sz="0" w:space="0" w:color="auto"/>
        <w:right w:val="none" w:sz="0" w:space="0" w:color="auto"/>
      </w:divBdr>
    </w:div>
    <w:div w:id="6567985">
      <w:bodyDiv w:val="1"/>
      <w:marLeft w:val="0"/>
      <w:marRight w:val="0"/>
      <w:marTop w:val="0"/>
      <w:marBottom w:val="0"/>
      <w:divBdr>
        <w:top w:val="none" w:sz="0" w:space="0" w:color="auto"/>
        <w:left w:val="none" w:sz="0" w:space="0" w:color="auto"/>
        <w:bottom w:val="none" w:sz="0" w:space="0" w:color="auto"/>
        <w:right w:val="none" w:sz="0" w:space="0" w:color="auto"/>
      </w:divBdr>
    </w:div>
    <w:div w:id="17438757">
      <w:bodyDiv w:val="1"/>
      <w:marLeft w:val="0"/>
      <w:marRight w:val="0"/>
      <w:marTop w:val="0"/>
      <w:marBottom w:val="0"/>
      <w:divBdr>
        <w:top w:val="none" w:sz="0" w:space="0" w:color="auto"/>
        <w:left w:val="none" w:sz="0" w:space="0" w:color="auto"/>
        <w:bottom w:val="none" w:sz="0" w:space="0" w:color="auto"/>
        <w:right w:val="none" w:sz="0" w:space="0" w:color="auto"/>
      </w:divBdr>
    </w:div>
    <w:div w:id="47340211">
      <w:bodyDiv w:val="1"/>
      <w:marLeft w:val="0"/>
      <w:marRight w:val="0"/>
      <w:marTop w:val="0"/>
      <w:marBottom w:val="0"/>
      <w:divBdr>
        <w:top w:val="none" w:sz="0" w:space="0" w:color="auto"/>
        <w:left w:val="none" w:sz="0" w:space="0" w:color="auto"/>
        <w:bottom w:val="none" w:sz="0" w:space="0" w:color="auto"/>
        <w:right w:val="none" w:sz="0" w:space="0" w:color="auto"/>
      </w:divBdr>
    </w:div>
    <w:div w:id="51774058">
      <w:bodyDiv w:val="1"/>
      <w:marLeft w:val="0"/>
      <w:marRight w:val="0"/>
      <w:marTop w:val="0"/>
      <w:marBottom w:val="0"/>
      <w:divBdr>
        <w:top w:val="none" w:sz="0" w:space="0" w:color="auto"/>
        <w:left w:val="none" w:sz="0" w:space="0" w:color="auto"/>
        <w:bottom w:val="none" w:sz="0" w:space="0" w:color="auto"/>
        <w:right w:val="none" w:sz="0" w:space="0" w:color="auto"/>
      </w:divBdr>
    </w:div>
    <w:div w:id="67776067">
      <w:bodyDiv w:val="1"/>
      <w:marLeft w:val="0"/>
      <w:marRight w:val="0"/>
      <w:marTop w:val="0"/>
      <w:marBottom w:val="0"/>
      <w:divBdr>
        <w:top w:val="none" w:sz="0" w:space="0" w:color="auto"/>
        <w:left w:val="none" w:sz="0" w:space="0" w:color="auto"/>
        <w:bottom w:val="none" w:sz="0" w:space="0" w:color="auto"/>
        <w:right w:val="none" w:sz="0" w:space="0" w:color="auto"/>
      </w:divBdr>
    </w:div>
    <w:div w:id="83038236">
      <w:bodyDiv w:val="1"/>
      <w:marLeft w:val="0"/>
      <w:marRight w:val="0"/>
      <w:marTop w:val="0"/>
      <w:marBottom w:val="0"/>
      <w:divBdr>
        <w:top w:val="none" w:sz="0" w:space="0" w:color="auto"/>
        <w:left w:val="none" w:sz="0" w:space="0" w:color="auto"/>
        <w:bottom w:val="none" w:sz="0" w:space="0" w:color="auto"/>
        <w:right w:val="none" w:sz="0" w:space="0" w:color="auto"/>
      </w:divBdr>
    </w:div>
    <w:div w:id="107773519">
      <w:bodyDiv w:val="1"/>
      <w:marLeft w:val="0"/>
      <w:marRight w:val="0"/>
      <w:marTop w:val="0"/>
      <w:marBottom w:val="0"/>
      <w:divBdr>
        <w:top w:val="none" w:sz="0" w:space="0" w:color="auto"/>
        <w:left w:val="none" w:sz="0" w:space="0" w:color="auto"/>
        <w:bottom w:val="none" w:sz="0" w:space="0" w:color="auto"/>
        <w:right w:val="none" w:sz="0" w:space="0" w:color="auto"/>
      </w:divBdr>
    </w:div>
    <w:div w:id="110367462">
      <w:bodyDiv w:val="1"/>
      <w:marLeft w:val="0"/>
      <w:marRight w:val="0"/>
      <w:marTop w:val="0"/>
      <w:marBottom w:val="0"/>
      <w:divBdr>
        <w:top w:val="none" w:sz="0" w:space="0" w:color="auto"/>
        <w:left w:val="none" w:sz="0" w:space="0" w:color="auto"/>
        <w:bottom w:val="none" w:sz="0" w:space="0" w:color="auto"/>
        <w:right w:val="none" w:sz="0" w:space="0" w:color="auto"/>
      </w:divBdr>
    </w:div>
    <w:div w:id="122699724">
      <w:bodyDiv w:val="1"/>
      <w:marLeft w:val="0"/>
      <w:marRight w:val="0"/>
      <w:marTop w:val="0"/>
      <w:marBottom w:val="0"/>
      <w:divBdr>
        <w:top w:val="none" w:sz="0" w:space="0" w:color="auto"/>
        <w:left w:val="none" w:sz="0" w:space="0" w:color="auto"/>
        <w:bottom w:val="none" w:sz="0" w:space="0" w:color="auto"/>
        <w:right w:val="none" w:sz="0" w:space="0" w:color="auto"/>
      </w:divBdr>
    </w:div>
    <w:div w:id="196898509">
      <w:bodyDiv w:val="1"/>
      <w:marLeft w:val="0"/>
      <w:marRight w:val="0"/>
      <w:marTop w:val="0"/>
      <w:marBottom w:val="0"/>
      <w:divBdr>
        <w:top w:val="none" w:sz="0" w:space="0" w:color="auto"/>
        <w:left w:val="none" w:sz="0" w:space="0" w:color="auto"/>
        <w:bottom w:val="none" w:sz="0" w:space="0" w:color="auto"/>
        <w:right w:val="none" w:sz="0" w:space="0" w:color="auto"/>
      </w:divBdr>
    </w:div>
    <w:div w:id="209652039">
      <w:bodyDiv w:val="1"/>
      <w:marLeft w:val="0"/>
      <w:marRight w:val="0"/>
      <w:marTop w:val="0"/>
      <w:marBottom w:val="0"/>
      <w:divBdr>
        <w:top w:val="none" w:sz="0" w:space="0" w:color="auto"/>
        <w:left w:val="none" w:sz="0" w:space="0" w:color="auto"/>
        <w:bottom w:val="none" w:sz="0" w:space="0" w:color="auto"/>
        <w:right w:val="none" w:sz="0" w:space="0" w:color="auto"/>
      </w:divBdr>
    </w:div>
    <w:div w:id="224730291">
      <w:bodyDiv w:val="1"/>
      <w:marLeft w:val="0"/>
      <w:marRight w:val="0"/>
      <w:marTop w:val="0"/>
      <w:marBottom w:val="0"/>
      <w:divBdr>
        <w:top w:val="none" w:sz="0" w:space="0" w:color="auto"/>
        <w:left w:val="none" w:sz="0" w:space="0" w:color="auto"/>
        <w:bottom w:val="none" w:sz="0" w:space="0" w:color="auto"/>
        <w:right w:val="none" w:sz="0" w:space="0" w:color="auto"/>
      </w:divBdr>
    </w:div>
    <w:div w:id="236400121">
      <w:bodyDiv w:val="1"/>
      <w:marLeft w:val="0"/>
      <w:marRight w:val="0"/>
      <w:marTop w:val="0"/>
      <w:marBottom w:val="0"/>
      <w:divBdr>
        <w:top w:val="none" w:sz="0" w:space="0" w:color="auto"/>
        <w:left w:val="none" w:sz="0" w:space="0" w:color="auto"/>
        <w:bottom w:val="none" w:sz="0" w:space="0" w:color="auto"/>
        <w:right w:val="none" w:sz="0" w:space="0" w:color="auto"/>
      </w:divBdr>
    </w:div>
    <w:div w:id="254174458">
      <w:bodyDiv w:val="1"/>
      <w:marLeft w:val="0"/>
      <w:marRight w:val="0"/>
      <w:marTop w:val="0"/>
      <w:marBottom w:val="0"/>
      <w:divBdr>
        <w:top w:val="none" w:sz="0" w:space="0" w:color="auto"/>
        <w:left w:val="none" w:sz="0" w:space="0" w:color="auto"/>
        <w:bottom w:val="none" w:sz="0" w:space="0" w:color="auto"/>
        <w:right w:val="none" w:sz="0" w:space="0" w:color="auto"/>
      </w:divBdr>
    </w:div>
    <w:div w:id="270935963">
      <w:bodyDiv w:val="1"/>
      <w:marLeft w:val="0"/>
      <w:marRight w:val="0"/>
      <w:marTop w:val="0"/>
      <w:marBottom w:val="0"/>
      <w:divBdr>
        <w:top w:val="none" w:sz="0" w:space="0" w:color="auto"/>
        <w:left w:val="none" w:sz="0" w:space="0" w:color="auto"/>
        <w:bottom w:val="none" w:sz="0" w:space="0" w:color="auto"/>
        <w:right w:val="none" w:sz="0" w:space="0" w:color="auto"/>
      </w:divBdr>
    </w:div>
    <w:div w:id="280694112">
      <w:bodyDiv w:val="1"/>
      <w:marLeft w:val="0"/>
      <w:marRight w:val="0"/>
      <w:marTop w:val="0"/>
      <w:marBottom w:val="0"/>
      <w:divBdr>
        <w:top w:val="none" w:sz="0" w:space="0" w:color="auto"/>
        <w:left w:val="none" w:sz="0" w:space="0" w:color="auto"/>
        <w:bottom w:val="none" w:sz="0" w:space="0" w:color="auto"/>
        <w:right w:val="none" w:sz="0" w:space="0" w:color="auto"/>
      </w:divBdr>
    </w:div>
    <w:div w:id="284581488">
      <w:bodyDiv w:val="1"/>
      <w:marLeft w:val="0"/>
      <w:marRight w:val="0"/>
      <w:marTop w:val="0"/>
      <w:marBottom w:val="0"/>
      <w:divBdr>
        <w:top w:val="none" w:sz="0" w:space="0" w:color="auto"/>
        <w:left w:val="none" w:sz="0" w:space="0" w:color="auto"/>
        <w:bottom w:val="none" w:sz="0" w:space="0" w:color="auto"/>
        <w:right w:val="none" w:sz="0" w:space="0" w:color="auto"/>
      </w:divBdr>
    </w:div>
    <w:div w:id="342587044">
      <w:bodyDiv w:val="1"/>
      <w:marLeft w:val="0"/>
      <w:marRight w:val="0"/>
      <w:marTop w:val="0"/>
      <w:marBottom w:val="0"/>
      <w:divBdr>
        <w:top w:val="none" w:sz="0" w:space="0" w:color="auto"/>
        <w:left w:val="none" w:sz="0" w:space="0" w:color="auto"/>
        <w:bottom w:val="none" w:sz="0" w:space="0" w:color="auto"/>
        <w:right w:val="none" w:sz="0" w:space="0" w:color="auto"/>
      </w:divBdr>
    </w:div>
    <w:div w:id="359550927">
      <w:bodyDiv w:val="1"/>
      <w:marLeft w:val="0"/>
      <w:marRight w:val="0"/>
      <w:marTop w:val="0"/>
      <w:marBottom w:val="0"/>
      <w:divBdr>
        <w:top w:val="none" w:sz="0" w:space="0" w:color="auto"/>
        <w:left w:val="none" w:sz="0" w:space="0" w:color="auto"/>
        <w:bottom w:val="none" w:sz="0" w:space="0" w:color="auto"/>
        <w:right w:val="none" w:sz="0" w:space="0" w:color="auto"/>
      </w:divBdr>
    </w:div>
    <w:div w:id="360060749">
      <w:bodyDiv w:val="1"/>
      <w:marLeft w:val="0"/>
      <w:marRight w:val="0"/>
      <w:marTop w:val="0"/>
      <w:marBottom w:val="0"/>
      <w:divBdr>
        <w:top w:val="none" w:sz="0" w:space="0" w:color="auto"/>
        <w:left w:val="none" w:sz="0" w:space="0" w:color="auto"/>
        <w:bottom w:val="none" w:sz="0" w:space="0" w:color="auto"/>
        <w:right w:val="none" w:sz="0" w:space="0" w:color="auto"/>
      </w:divBdr>
    </w:div>
    <w:div w:id="361321042">
      <w:bodyDiv w:val="1"/>
      <w:marLeft w:val="0"/>
      <w:marRight w:val="0"/>
      <w:marTop w:val="0"/>
      <w:marBottom w:val="0"/>
      <w:divBdr>
        <w:top w:val="none" w:sz="0" w:space="0" w:color="auto"/>
        <w:left w:val="none" w:sz="0" w:space="0" w:color="auto"/>
        <w:bottom w:val="none" w:sz="0" w:space="0" w:color="auto"/>
        <w:right w:val="none" w:sz="0" w:space="0" w:color="auto"/>
      </w:divBdr>
    </w:div>
    <w:div w:id="373387839">
      <w:bodyDiv w:val="1"/>
      <w:marLeft w:val="0"/>
      <w:marRight w:val="0"/>
      <w:marTop w:val="0"/>
      <w:marBottom w:val="0"/>
      <w:divBdr>
        <w:top w:val="none" w:sz="0" w:space="0" w:color="auto"/>
        <w:left w:val="none" w:sz="0" w:space="0" w:color="auto"/>
        <w:bottom w:val="none" w:sz="0" w:space="0" w:color="auto"/>
        <w:right w:val="none" w:sz="0" w:space="0" w:color="auto"/>
      </w:divBdr>
    </w:div>
    <w:div w:id="390075565">
      <w:bodyDiv w:val="1"/>
      <w:marLeft w:val="0"/>
      <w:marRight w:val="0"/>
      <w:marTop w:val="0"/>
      <w:marBottom w:val="0"/>
      <w:divBdr>
        <w:top w:val="none" w:sz="0" w:space="0" w:color="auto"/>
        <w:left w:val="none" w:sz="0" w:space="0" w:color="auto"/>
        <w:bottom w:val="none" w:sz="0" w:space="0" w:color="auto"/>
        <w:right w:val="none" w:sz="0" w:space="0" w:color="auto"/>
      </w:divBdr>
    </w:div>
    <w:div w:id="402683425">
      <w:bodyDiv w:val="1"/>
      <w:marLeft w:val="0"/>
      <w:marRight w:val="0"/>
      <w:marTop w:val="0"/>
      <w:marBottom w:val="0"/>
      <w:divBdr>
        <w:top w:val="none" w:sz="0" w:space="0" w:color="auto"/>
        <w:left w:val="none" w:sz="0" w:space="0" w:color="auto"/>
        <w:bottom w:val="none" w:sz="0" w:space="0" w:color="auto"/>
        <w:right w:val="none" w:sz="0" w:space="0" w:color="auto"/>
      </w:divBdr>
    </w:div>
    <w:div w:id="404645404">
      <w:bodyDiv w:val="1"/>
      <w:marLeft w:val="0"/>
      <w:marRight w:val="0"/>
      <w:marTop w:val="0"/>
      <w:marBottom w:val="0"/>
      <w:divBdr>
        <w:top w:val="none" w:sz="0" w:space="0" w:color="auto"/>
        <w:left w:val="none" w:sz="0" w:space="0" w:color="auto"/>
        <w:bottom w:val="none" w:sz="0" w:space="0" w:color="auto"/>
        <w:right w:val="none" w:sz="0" w:space="0" w:color="auto"/>
      </w:divBdr>
    </w:div>
    <w:div w:id="409545095">
      <w:bodyDiv w:val="1"/>
      <w:marLeft w:val="0"/>
      <w:marRight w:val="0"/>
      <w:marTop w:val="0"/>
      <w:marBottom w:val="0"/>
      <w:divBdr>
        <w:top w:val="none" w:sz="0" w:space="0" w:color="auto"/>
        <w:left w:val="none" w:sz="0" w:space="0" w:color="auto"/>
        <w:bottom w:val="none" w:sz="0" w:space="0" w:color="auto"/>
        <w:right w:val="none" w:sz="0" w:space="0" w:color="auto"/>
      </w:divBdr>
    </w:div>
    <w:div w:id="413086537">
      <w:bodyDiv w:val="1"/>
      <w:marLeft w:val="0"/>
      <w:marRight w:val="0"/>
      <w:marTop w:val="0"/>
      <w:marBottom w:val="0"/>
      <w:divBdr>
        <w:top w:val="none" w:sz="0" w:space="0" w:color="auto"/>
        <w:left w:val="none" w:sz="0" w:space="0" w:color="auto"/>
        <w:bottom w:val="none" w:sz="0" w:space="0" w:color="auto"/>
        <w:right w:val="none" w:sz="0" w:space="0" w:color="auto"/>
      </w:divBdr>
    </w:div>
    <w:div w:id="418409551">
      <w:bodyDiv w:val="1"/>
      <w:marLeft w:val="0"/>
      <w:marRight w:val="0"/>
      <w:marTop w:val="0"/>
      <w:marBottom w:val="0"/>
      <w:divBdr>
        <w:top w:val="none" w:sz="0" w:space="0" w:color="auto"/>
        <w:left w:val="none" w:sz="0" w:space="0" w:color="auto"/>
        <w:bottom w:val="none" w:sz="0" w:space="0" w:color="auto"/>
        <w:right w:val="none" w:sz="0" w:space="0" w:color="auto"/>
      </w:divBdr>
    </w:div>
    <w:div w:id="432745000">
      <w:bodyDiv w:val="1"/>
      <w:marLeft w:val="0"/>
      <w:marRight w:val="0"/>
      <w:marTop w:val="0"/>
      <w:marBottom w:val="0"/>
      <w:divBdr>
        <w:top w:val="none" w:sz="0" w:space="0" w:color="auto"/>
        <w:left w:val="none" w:sz="0" w:space="0" w:color="auto"/>
        <w:bottom w:val="none" w:sz="0" w:space="0" w:color="auto"/>
        <w:right w:val="none" w:sz="0" w:space="0" w:color="auto"/>
      </w:divBdr>
    </w:div>
    <w:div w:id="438794162">
      <w:bodyDiv w:val="1"/>
      <w:marLeft w:val="0"/>
      <w:marRight w:val="0"/>
      <w:marTop w:val="0"/>
      <w:marBottom w:val="0"/>
      <w:divBdr>
        <w:top w:val="none" w:sz="0" w:space="0" w:color="auto"/>
        <w:left w:val="none" w:sz="0" w:space="0" w:color="auto"/>
        <w:bottom w:val="none" w:sz="0" w:space="0" w:color="auto"/>
        <w:right w:val="none" w:sz="0" w:space="0" w:color="auto"/>
      </w:divBdr>
    </w:div>
    <w:div w:id="444160178">
      <w:bodyDiv w:val="1"/>
      <w:marLeft w:val="0"/>
      <w:marRight w:val="0"/>
      <w:marTop w:val="0"/>
      <w:marBottom w:val="0"/>
      <w:divBdr>
        <w:top w:val="none" w:sz="0" w:space="0" w:color="auto"/>
        <w:left w:val="none" w:sz="0" w:space="0" w:color="auto"/>
        <w:bottom w:val="none" w:sz="0" w:space="0" w:color="auto"/>
        <w:right w:val="none" w:sz="0" w:space="0" w:color="auto"/>
      </w:divBdr>
    </w:div>
    <w:div w:id="446892770">
      <w:bodyDiv w:val="1"/>
      <w:marLeft w:val="0"/>
      <w:marRight w:val="0"/>
      <w:marTop w:val="0"/>
      <w:marBottom w:val="0"/>
      <w:divBdr>
        <w:top w:val="none" w:sz="0" w:space="0" w:color="auto"/>
        <w:left w:val="none" w:sz="0" w:space="0" w:color="auto"/>
        <w:bottom w:val="none" w:sz="0" w:space="0" w:color="auto"/>
        <w:right w:val="none" w:sz="0" w:space="0" w:color="auto"/>
      </w:divBdr>
    </w:div>
    <w:div w:id="471675447">
      <w:bodyDiv w:val="1"/>
      <w:marLeft w:val="0"/>
      <w:marRight w:val="0"/>
      <w:marTop w:val="0"/>
      <w:marBottom w:val="0"/>
      <w:divBdr>
        <w:top w:val="none" w:sz="0" w:space="0" w:color="auto"/>
        <w:left w:val="none" w:sz="0" w:space="0" w:color="auto"/>
        <w:bottom w:val="none" w:sz="0" w:space="0" w:color="auto"/>
        <w:right w:val="none" w:sz="0" w:space="0" w:color="auto"/>
      </w:divBdr>
    </w:div>
    <w:div w:id="484904271">
      <w:bodyDiv w:val="1"/>
      <w:marLeft w:val="0"/>
      <w:marRight w:val="0"/>
      <w:marTop w:val="0"/>
      <w:marBottom w:val="0"/>
      <w:divBdr>
        <w:top w:val="none" w:sz="0" w:space="0" w:color="auto"/>
        <w:left w:val="none" w:sz="0" w:space="0" w:color="auto"/>
        <w:bottom w:val="none" w:sz="0" w:space="0" w:color="auto"/>
        <w:right w:val="none" w:sz="0" w:space="0" w:color="auto"/>
      </w:divBdr>
    </w:div>
    <w:div w:id="508956667">
      <w:bodyDiv w:val="1"/>
      <w:marLeft w:val="0"/>
      <w:marRight w:val="0"/>
      <w:marTop w:val="0"/>
      <w:marBottom w:val="0"/>
      <w:divBdr>
        <w:top w:val="none" w:sz="0" w:space="0" w:color="auto"/>
        <w:left w:val="none" w:sz="0" w:space="0" w:color="auto"/>
        <w:bottom w:val="none" w:sz="0" w:space="0" w:color="auto"/>
        <w:right w:val="none" w:sz="0" w:space="0" w:color="auto"/>
      </w:divBdr>
    </w:div>
    <w:div w:id="517358037">
      <w:bodyDiv w:val="1"/>
      <w:marLeft w:val="0"/>
      <w:marRight w:val="0"/>
      <w:marTop w:val="0"/>
      <w:marBottom w:val="0"/>
      <w:divBdr>
        <w:top w:val="none" w:sz="0" w:space="0" w:color="auto"/>
        <w:left w:val="none" w:sz="0" w:space="0" w:color="auto"/>
        <w:bottom w:val="none" w:sz="0" w:space="0" w:color="auto"/>
        <w:right w:val="none" w:sz="0" w:space="0" w:color="auto"/>
      </w:divBdr>
    </w:div>
    <w:div w:id="522473283">
      <w:bodyDiv w:val="1"/>
      <w:marLeft w:val="0"/>
      <w:marRight w:val="0"/>
      <w:marTop w:val="0"/>
      <w:marBottom w:val="0"/>
      <w:divBdr>
        <w:top w:val="none" w:sz="0" w:space="0" w:color="auto"/>
        <w:left w:val="none" w:sz="0" w:space="0" w:color="auto"/>
        <w:bottom w:val="none" w:sz="0" w:space="0" w:color="auto"/>
        <w:right w:val="none" w:sz="0" w:space="0" w:color="auto"/>
      </w:divBdr>
    </w:div>
    <w:div w:id="531462277">
      <w:bodyDiv w:val="1"/>
      <w:marLeft w:val="0"/>
      <w:marRight w:val="0"/>
      <w:marTop w:val="0"/>
      <w:marBottom w:val="0"/>
      <w:divBdr>
        <w:top w:val="none" w:sz="0" w:space="0" w:color="auto"/>
        <w:left w:val="none" w:sz="0" w:space="0" w:color="auto"/>
        <w:bottom w:val="none" w:sz="0" w:space="0" w:color="auto"/>
        <w:right w:val="none" w:sz="0" w:space="0" w:color="auto"/>
      </w:divBdr>
    </w:div>
    <w:div w:id="531693765">
      <w:bodyDiv w:val="1"/>
      <w:marLeft w:val="0"/>
      <w:marRight w:val="0"/>
      <w:marTop w:val="0"/>
      <w:marBottom w:val="0"/>
      <w:divBdr>
        <w:top w:val="none" w:sz="0" w:space="0" w:color="auto"/>
        <w:left w:val="none" w:sz="0" w:space="0" w:color="auto"/>
        <w:bottom w:val="none" w:sz="0" w:space="0" w:color="auto"/>
        <w:right w:val="none" w:sz="0" w:space="0" w:color="auto"/>
      </w:divBdr>
    </w:div>
    <w:div w:id="532153253">
      <w:bodyDiv w:val="1"/>
      <w:marLeft w:val="0"/>
      <w:marRight w:val="0"/>
      <w:marTop w:val="0"/>
      <w:marBottom w:val="0"/>
      <w:divBdr>
        <w:top w:val="none" w:sz="0" w:space="0" w:color="auto"/>
        <w:left w:val="none" w:sz="0" w:space="0" w:color="auto"/>
        <w:bottom w:val="none" w:sz="0" w:space="0" w:color="auto"/>
        <w:right w:val="none" w:sz="0" w:space="0" w:color="auto"/>
      </w:divBdr>
    </w:div>
    <w:div w:id="533887131">
      <w:bodyDiv w:val="1"/>
      <w:marLeft w:val="0"/>
      <w:marRight w:val="0"/>
      <w:marTop w:val="0"/>
      <w:marBottom w:val="0"/>
      <w:divBdr>
        <w:top w:val="none" w:sz="0" w:space="0" w:color="auto"/>
        <w:left w:val="none" w:sz="0" w:space="0" w:color="auto"/>
        <w:bottom w:val="none" w:sz="0" w:space="0" w:color="auto"/>
        <w:right w:val="none" w:sz="0" w:space="0" w:color="auto"/>
      </w:divBdr>
    </w:div>
    <w:div w:id="543757059">
      <w:bodyDiv w:val="1"/>
      <w:marLeft w:val="0"/>
      <w:marRight w:val="0"/>
      <w:marTop w:val="0"/>
      <w:marBottom w:val="0"/>
      <w:divBdr>
        <w:top w:val="none" w:sz="0" w:space="0" w:color="auto"/>
        <w:left w:val="none" w:sz="0" w:space="0" w:color="auto"/>
        <w:bottom w:val="none" w:sz="0" w:space="0" w:color="auto"/>
        <w:right w:val="none" w:sz="0" w:space="0" w:color="auto"/>
      </w:divBdr>
    </w:div>
    <w:div w:id="552890838">
      <w:bodyDiv w:val="1"/>
      <w:marLeft w:val="0"/>
      <w:marRight w:val="0"/>
      <w:marTop w:val="0"/>
      <w:marBottom w:val="0"/>
      <w:divBdr>
        <w:top w:val="none" w:sz="0" w:space="0" w:color="auto"/>
        <w:left w:val="none" w:sz="0" w:space="0" w:color="auto"/>
        <w:bottom w:val="none" w:sz="0" w:space="0" w:color="auto"/>
        <w:right w:val="none" w:sz="0" w:space="0" w:color="auto"/>
      </w:divBdr>
    </w:div>
    <w:div w:id="610363090">
      <w:bodyDiv w:val="1"/>
      <w:marLeft w:val="0"/>
      <w:marRight w:val="0"/>
      <w:marTop w:val="0"/>
      <w:marBottom w:val="0"/>
      <w:divBdr>
        <w:top w:val="none" w:sz="0" w:space="0" w:color="auto"/>
        <w:left w:val="none" w:sz="0" w:space="0" w:color="auto"/>
        <w:bottom w:val="none" w:sz="0" w:space="0" w:color="auto"/>
        <w:right w:val="none" w:sz="0" w:space="0" w:color="auto"/>
      </w:divBdr>
    </w:div>
    <w:div w:id="625939322">
      <w:bodyDiv w:val="1"/>
      <w:marLeft w:val="0"/>
      <w:marRight w:val="0"/>
      <w:marTop w:val="0"/>
      <w:marBottom w:val="0"/>
      <w:divBdr>
        <w:top w:val="none" w:sz="0" w:space="0" w:color="auto"/>
        <w:left w:val="none" w:sz="0" w:space="0" w:color="auto"/>
        <w:bottom w:val="none" w:sz="0" w:space="0" w:color="auto"/>
        <w:right w:val="none" w:sz="0" w:space="0" w:color="auto"/>
      </w:divBdr>
    </w:div>
    <w:div w:id="643892066">
      <w:bodyDiv w:val="1"/>
      <w:marLeft w:val="0"/>
      <w:marRight w:val="0"/>
      <w:marTop w:val="0"/>
      <w:marBottom w:val="0"/>
      <w:divBdr>
        <w:top w:val="none" w:sz="0" w:space="0" w:color="auto"/>
        <w:left w:val="none" w:sz="0" w:space="0" w:color="auto"/>
        <w:bottom w:val="none" w:sz="0" w:space="0" w:color="auto"/>
        <w:right w:val="none" w:sz="0" w:space="0" w:color="auto"/>
      </w:divBdr>
    </w:div>
    <w:div w:id="644436197">
      <w:bodyDiv w:val="1"/>
      <w:marLeft w:val="0"/>
      <w:marRight w:val="0"/>
      <w:marTop w:val="0"/>
      <w:marBottom w:val="0"/>
      <w:divBdr>
        <w:top w:val="none" w:sz="0" w:space="0" w:color="auto"/>
        <w:left w:val="none" w:sz="0" w:space="0" w:color="auto"/>
        <w:bottom w:val="none" w:sz="0" w:space="0" w:color="auto"/>
        <w:right w:val="none" w:sz="0" w:space="0" w:color="auto"/>
      </w:divBdr>
    </w:div>
    <w:div w:id="660275920">
      <w:bodyDiv w:val="1"/>
      <w:marLeft w:val="0"/>
      <w:marRight w:val="0"/>
      <w:marTop w:val="0"/>
      <w:marBottom w:val="0"/>
      <w:divBdr>
        <w:top w:val="none" w:sz="0" w:space="0" w:color="auto"/>
        <w:left w:val="none" w:sz="0" w:space="0" w:color="auto"/>
        <w:bottom w:val="none" w:sz="0" w:space="0" w:color="auto"/>
        <w:right w:val="none" w:sz="0" w:space="0" w:color="auto"/>
      </w:divBdr>
    </w:div>
    <w:div w:id="663702256">
      <w:bodyDiv w:val="1"/>
      <w:marLeft w:val="0"/>
      <w:marRight w:val="0"/>
      <w:marTop w:val="0"/>
      <w:marBottom w:val="0"/>
      <w:divBdr>
        <w:top w:val="none" w:sz="0" w:space="0" w:color="auto"/>
        <w:left w:val="none" w:sz="0" w:space="0" w:color="auto"/>
        <w:bottom w:val="none" w:sz="0" w:space="0" w:color="auto"/>
        <w:right w:val="none" w:sz="0" w:space="0" w:color="auto"/>
      </w:divBdr>
    </w:div>
    <w:div w:id="665716340">
      <w:bodyDiv w:val="1"/>
      <w:marLeft w:val="0"/>
      <w:marRight w:val="0"/>
      <w:marTop w:val="0"/>
      <w:marBottom w:val="0"/>
      <w:divBdr>
        <w:top w:val="none" w:sz="0" w:space="0" w:color="auto"/>
        <w:left w:val="none" w:sz="0" w:space="0" w:color="auto"/>
        <w:bottom w:val="none" w:sz="0" w:space="0" w:color="auto"/>
        <w:right w:val="none" w:sz="0" w:space="0" w:color="auto"/>
      </w:divBdr>
    </w:div>
    <w:div w:id="676270719">
      <w:bodyDiv w:val="1"/>
      <w:marLeft w:val="0"/>
      <w:marRight w:val="0"/>
      <w:marTop w:val="0"/>
      <w:marBottom w:val="0"/>
      <w:divBdr>
        <w:top w:val="none" w:sz="0" w:space="0" w:color="auto"/>
        <w:left w:val="none" w:sz="0" w:space="0" w:color="auto"/>
        <w:bottom w:val="none" w:sz="0" w:space="0" w:color="auto"/>
        <w:right w:val="none" w:sz="0" w:space="0" w:color="auto"/>
      </w:divBdr>
    </w:div>
    <w:div w:id="680013117">
      <w:bodyDiv w:val="1"/>
      <w:marLeft w:val="0"/>
      <w:marRight w:val="0"/>
      <w:marTop w:val="0"/>
      <w:marBottom w:val="0"/>
      <w:divBdr>
        <w:top w:val="none" w:sz="0" w:space="0" w:color="auto"/>
        <w:left w:val="none" w:sz="0" w:space="0" w:color="auto"/>
        <w:bottom w:val="none" w:sz="0" w:space="0" w:color="auto"/>
        <w:right w:val="none" w:sz="0" w:space="0" w:color="auto"/>
      </w:divBdr>
    </w:div>
    <w:div w:id="680939489">
      <w:bodyDiv w:val="1"/>
      <w:marLeft w:val="0"/>
      <w:marRight w:val="0"/>
      <w:marTop w:val="0"/>
      <w:marBottom w:val="0"/>
      <w:divBdr>
        <w:top w:val="none" w:sz="0" w:space="0" w:color="auto"/>
        <w:left w:val="none" w:sz="0" w:space="0" w:color="auto"/>
        <w:bottom w:val="none" w:sz="0" w:space="0" w:color="auto"/>
        <w:right w:val="none" w:sz="0" w:space="0" w:color="auto"/>
      </w:divBdr>
    </w:div>
    <w:div w:id="725418209">
      <w:bodyDiv w:val="1"/>
      <w:marLeft w:val="0"/>
      <w:marRight w:val="0"/>
      <w:marTop w:val="0"/>
      <w:marBottom w:val="0"/>
      <w:divBdr>
        <w:top w:val="none" w:sz="0" w:space="0" w:color="auto"/>
        <w:left w:val="none" w:sz="0" w:space="0" w:color="auto"/>
        <w:bottom w:val="none" w:sz="0" w:space="0" w:color="auto"/>
        <w:right w:val="none" w:sz="0" w:space="0" w:color="auto"/>
      </w:divBdr>
    </w:div>
    <w:div w:id="750083941">
      <w:bodyDiv w:val="1"/>
      <w:marLeft w:val="0"/>
      <w:marRight w:val="0"/>
      <w:marTop w:val="0"/>
      <w:marBottom w:val="0"/>
      <w:divBdr>
        <w:top w:val="none" w:sz="0" w:space="0" w:color="auto"/>
        <w:left w:val="none" w:sz="0" w:space="0" w:color="auto"/>
        <w:bottom w:val="none" w:sz="0" w:space="0" w:color="auto"/>
        <w:right w:val="none" w:sz="0" w:space="0" w:color="auto"/>
      </w:divBdr>
    </w:div>
    <w:div w:id="754591604">
      <w:bodyDiv w:val="1"/>
      <w:marLeft w:val="0"/>
      <w:marRight w:val="0"/>
      <w:marTop w:val="0"/>
      <w:marBottom w:val="0"/>
      <w:divBdr>
        <w:top w:val="none" w:sz="0" w:space="0" w:color="auto"/>
        <w:left w:val="none" w:sz="0" w:space="0" w:color="auto"/>
        <w:bottom w:val="none" w:sz="0" w:space="0" w:color="auto"/>
        <w:right w:val="none" w:sz="0" w:space="0" w:color="auto"/>
      </w:divBdr>
    </w:div>
    <w:div w:id="757754081">
      <w:bodyDiv w:val="1"/>
      <w:marLeft w:val="0"/>
      <w:marRight w:val="0"/>
      <w:marTop w:val="0"/>
      <w:marBottom w:val="0"/>
      <w:divBdr>
        <w:top w:val="none" w:sz="0" w:space="0" w:color="auto"/>
        <w:left w:val="none" w:sz="0" w:space="0" w:color="auto"/>
        <w:bottom w:val="none" w:sz="0" w:space="0" w:color="auto"/>
        <w:right w:val="none" w:sz="0" w:space="0" w:color="auto"/>
      </w:divBdr>
    </w:div>
    <w:div w:id="762795979">
      <w:bodyDiv w:val="1"/>
      <w:marLeft w:val="0"/>
      <w:marRight w:val="0"/>
      <w:marTop w:val="0"/>
      <w:marBottom w:val="0"/>
      <w:divBdr>
        <w:top w:val="none" w:sz="0" w:space="0" w:color="auto"/>
        <w:left w:val="none" w:sz="0" w:space="0" w:color="auto"/>
        <w:bottom w:val="none" w:sz="0" w:space="0" w:color="auto"/>
        <w:right w:val="none" w:sz="0" w:space="0" w:color="auto"/>
      </w:divBdr>
    </w:div>
    <w:div w:id="768358217">
      <w:bodyDiv w:val="1"/>
      <w:marLeft w:val="0"/>
      <w:marRight w:val="0"/>
      <w:marTop w:val="0"/>
      <w:marBottom w:val="0"/>
      <w:divBdr>
        <w:top w:val="none" w:sz="0" w:space="0" w:color="auto"/>
        <w:left w:val="none" w:sz="0" w:space="0" w:color="auto"/>
        <w:bottom w:val="none" w:sz="0" w:space="0" w:color="auto"/>
        <w:right w:val="none" w:sz="0" w:space="0" w:color="auto"/>
      </w:divBdr>
    </w:div>
    <w:div w:id="772213569">
      <w:bodyDiv w:val="1"/>
      <w:marLeft w:val="0"/>
      <w:marRight w:val="0"/>
      <w:marTop w:val="0"/>
      <w:marBottom w:val="0"/>
      <w:divBdr>
        <w:top w:val="none" w:sz="0" w:space="0" w:color="auto"/>
        <w:left w:val="none" w:sz="0" w:space="0" w:color="auto"/>
        <w:bottom w:val="none" w:sz="0" w:space="0" w:color="auto"/>
        <w:right w:val="none" w:sz="0" w:space="0" w:color="auto"/>
      </w:divBdr>
    </w:div>
    <w:div w:id="780731540">
      <w:bodyDiv w:val="1"/>
      <w:marLeft w:val="0"/>
      <w:marRight w:val="0"/>
      <w:marTop w:val="0"/>
      <w:marBottom w:val="0"/>
      <w:divBdr>
        <w:top w:val="none" w:sz="0" w:space="0" w:color="auto"/>
        <w:left w:val="none" w:sz="0" w:space="0" w:color="auto"/>
        <w:bottom w:val="none" w:sz="0" w:space="0" w:color="auto"/>
        <w:right w:val="none" w:sz="0" w:space="0" w:color="auto"/>
      </w:divBdr>
    </w:div>
    <w:div w:id="785469110">
      <w:bodyDiv w:val="1"/>
      <w:marLeft w:val="0"/>
      <w:marRight w:val="0"/>
      <w:marTop w:val="0"/>
      <w:marBottom w:val="0"/>
      <w:divBdr>
        <w:top w:val="none" w:sz="0" w:space="0" w:color="auto"/>
        <w:left w:val="none" w:sz="0" w:space="0" w:color="auto"/>
        <w:bottom w:val="none" w:sz="0" w:space="0" w:color="auto"/>
        <w:right w:val="none" w:sz="0" w:space="0" w:color="auto"/>
      </w:divBdr>
    </w:div>
    <w:div w:id="793327508">
      <w:bodyDiv w:val="1"/>
      <w:marLeft w:val="0"/>
      <w:marRight w:val="0"/>
      <w:marTop w:val="0"/>
      <w:marBottom w:val="0"/>
      <w:divBdr>
        <w:top w:val="none" w:sz="0" w:space="0" w:color="auto"/>
        <w:left w:val="none" w:sz="0" w:space="0" w:color="auto"/>
        <w:bottom w:val="none" w:sz="0" w:space="0" w:color="auto"/>
        <w:right w:val="none" w:sz="0" w:space="0" w:color="auto"/>
      </w:divBdr>
    </w:div>
    <w:div w:id="798181584">
      <w:bodyDiv w:val="1"/>
      <w:marLeft w:val="0"/>
      <w:marRight w:val="0"/>
      <w:marTop w:val="0"/>
      <w:marBottom w:val="0"/>
      <w:divBdr>
        <w:top w:val="none" w:sz="0" w:space="0" w:color="auto"/>
        <w:left w:val="none" w:sz="0" w:space="0" w:color="auto"/>
        <w:bottom w:val="none" w:sz="0" w:space="0" w:color="auto"/>
        <w:right w:val="none" w:sz="0" w:space="0" w:color="auto"/>
      </w:divBdr>
    </w:div>
    <w:div w:id="831992586">
      <w:bodyDiv w:val="1"/>
      <w:marLeft w:val="0"/>
      <w:marRight w:val="0"/>
      <w:marTop w:val="0"/>
      <w:marBottom w:val="0"/>
      <w:divBdr>
        <w:top w:val="none" w:sz="0" w:space="0" w:color="auto"/>
        <w:left w:val="none" w:sz="0" w:space="0" w:color="auto"/>
        <w:bottom w:val="none" w:sz="0" w:space="0" w:color="auto"/>
        <w:right w:val="none" w:sz="0" w:space="0" w:color="auto"/>
      </w:divBdr>
    </w:div>
    <w:div w:id="836848530">
      <w:bodyDiv w:val="1"/>
      <w:marLeft w:val="0"/>
      <w:marRight w:val="0"/>
      <w:marTop w:val="0"/>
      <w:marBottom w:val="0"/>
      <w:divBdr>
        <w:top w:val="none" w:sz="0" w:space="0" w:color="auto"/>
        <w:left w:val="none" w:sz="0" w:space="0" w:color="auto"/>
        <w:bottom w:val="none" w:sz="0" w:space="0" w:color="auto"/>
        <w:right w:val="none" w:sz="0" w:space="0" w:color="auto"/>
      </w:divBdr>
    </w:div>
    <w:div w:id="849560686">
      <w:bodyDiv w:val="1"/>
      <w:marLeft w:val="0"/>
      <w:marRight w:val="0"/>
      <w:marTop w:val="0"/>
      <w:marBottom w:val="0"/>
      <w:divBdr>
        <w:top w:val="none" w:sz="0" w:space="0" w:color="auto"/>
        <w:left w:val="none" w:sz="0" w:space="0" w:color="auto"/>
        <w:bottom w:val="none" w:sz="0" w:space="0" w:color="auto"/>
        <w:right w:val="none" w:sz="0" w:space="0" w:color="auto"/>
      </w:divBdr>
    </w:div>
    <w:div w:id="863251445">
      <w:bodyDiv w:val="1"/>
      <w:marLeft w:val="0"/>
      <w:marRight w:val="0"/>
      <w:marTop w:val="0"/>
      <w:marBottom w:val="0"/>
      <w:divBdr>
        <w:top w:val="none" w:sz="0" w:space="0" w:color="auto"/>
        <w:left w:val="none" w:sz="0" w:space="0" w:color="auto"/>
        <w:bottom w:val="none" w:sz="0" w:space="0" w:color="auto"/>
        <w:right w:val="none" w:sz="0" w:space="0" w:color="auto"/>
      </w:divBdr>
    </w:div>
    <w:div w:id="873494733">
      <w:bodyDiv w:val="1"/>
      <w:marLeft w:val="0"/>
      <w:marRight w:val="0"/>
      <w:marTop w:val="0"/>
      <w:marBottom w:val="0"/>
      <w:divBdr>
        <w:top w:val="none" w:sz="0" w:space="0" w:color="auto"/>
        <w:left w:val="none" w:sz="0" w:space="0" w:color="auto"/>
        <w:bottom w:val="none" w:sz="0" w:space="0" w:color="auto"/>
        <w:right w:val="none" w:sz="0" w:space="0" w:color="auto"/>
      </w:divBdr>
    </w:div>
    <w:div w:id="943609917">
      <w:bodyDiv w:val="1"/>
      <w:marLeft w:val="0"/>
      <w:marRight w:val="0"/>
      <w:marTop w:val="0"/>
      <w:marBottom w:val="0"/>
      <w:divBdr>
        <w:top w:val="none" w:sz="0" w:space="0" w:color="auto"/>
        <w:left w:val="none" w:sz="0" w:space="0" w:color="auto"/>
        <w:bottom w:val="none" w:sz="0" w:space="0" w:color="auto"/>
        <w:right w:val="none" w:sz="0" w:space="0" w:color="auto"/>
      </w:divBdr>
    </w:div>
    <w:div w:id="950093620">
      <w:bodyDiv w:val="1"/>
      <w:marLeft w:val="0"/>
      <w:marRight w:val="0"/>
      <w:marTop w:val="0"/>
      <w:marBottom w:val="0"/>
      <w:divBdr>
        <w:top w:val="none" w:sz="0" w:space="0" w:color="auto"/>
        <w:left w:val="none" w:sz="0" w:space="0" w:color="auto"/>
        <w:bottom w:val="none" w:sz="0" w:space="0" w:color="auto"/>
        <w:right w:val="none" w:sz="0" w:space="0" w:color="auto"/>
      </w:divBdr>
    </w:div>
    <w:div w:id="957637594">
      <w:bodyDiv w:val="1"/>
      <w:marLeft w:val="0"/>
      <w:marRight w:val="0"/>
      <w:marTop w:val="0"/>
      <w:marBottom w:val="0"/>
      <w:divBdr>
        <w:top w:val="none" w:sz="0" w:space="0" w:color="auto"/>
        <w:left w:val="none" w:sz="0" w:space="0" w:color="auto"/>
        <w:bottom w:val="none" w:sz="0" w:space="0" w:color="auto"/>
        <w:right w:val="none" w:sz="0" w:space="0" w:color="auto"/>
      </w:divBdr>
    </w:div>
    <w:div w:id="959871289">
      <w:bodyDiv w:val="1"/>
      <w:marLeft w:val="0"/>
      <w:marRight w:val="0"/>
      <w:marTop w:val="0"/>
      <w:marBottom w:val="0"/>
      <w:divBdr>
        <w:top w:val="none" w:sz="0" w:space="0" w:color="auto"/>
        <w:left w:val="none" w:sz="0" w:space="0" w:color="auto"/>
        <w:bottom w:val="none" w:sz="0" w:space="0" w:color="auto"/>
        <w:right w:val="none" w:sz="0" w:space="0" w:color="auto"/>
      </w:divBdr>
    </w:div>
    <w:div w:id="969477718">
      <w:bodyDiv w:val="1"/>
      <w:marLeft w:val="0"/>
      <w:marRight w:val="0"/>
      <w:marTop w:val="0"/>
      <w:marBottom w:val="0"/>
      <w:divBdr>
        <w:top w:val="none" w:sz="0" w:space="0" w:color="auto"/>
        <w:left w:val="none" w:sz="0" w:space="0" w:color="auto"/>
        <w:bottom w:val="none" w:sz="0" w:space="0" w:color="auto"/>
        <w:right w:val="none" w:sz="0" w:space="0" w:color="auto"/>
      </w:divBdr>
    </w:div>
    <w:div w:id="985623174">
      <w:bodyDiv w:val="1"/>
      <w:marLeft w:val="0"/>
      <w:marRight w:val="0"/>
      <w:marTop w:val="0"/>
      <w:marBottom w:val="0"/>
      <w:divBdr>
        <w:top w:val="none" w:sz="0" w:space="0" w:color="auto"/>
        <w:left w:val="none" w:sz="0" w:space="0" w:color="auto"/>
        <w:bottom w:val="none" w:sz="0" w:space="0" w:color="auto"/>
        <w:right w:val="none" w:sz="0" w:space="0" w:color="auto"/>
      </w:divBdr>
    </w:div>
    <w:div w:id="1004940230">
      <w:bodyDiv w:val="1"/>
      <w:marLeft w:val="0"/>
      <w:marRight w:val="0"/>
      <w:marTop w:val="0"/>
      <w:marBottom w:val="0"/>
      <w:divBdr>
        <w:top w:val="none" w:sz="0" w:space="0" w:color="auto"/>
        <w:left w:val="none" w:sz="0" w:space="0" w:color="auto"/>
        <w:bottom w:val="none" w:sz="0" w:space="0" w:color="auto"/>
        <w:right w:val="none" w:sz="0" w:space="0" w:color="auto"/>
      </w:divBdr>
    </w:div>
    <w:div w:id="1022976950">
      <w:bodyDiv w:val="1"/>
      <w:marLeft w:val="0"/>
      <w:marRight w:val="0"/>
      <w:marTop w:val="0"/>
      <w:marBottom w:val="0"/>
      <w:divBdr>
        <w:top w:val="none" w:sz="0" w:space="0" w:color="auto"/>
        <w:left w:val="none" w:sz="0" w:space="0" w:color="auto"/>
        <w:bottom w:val="none" w:sz="0" w:space="0" w:color="auto"/>
        <w:right w:val="none" w:sz="0" w:space="0" w:color="auto"/>
      </w:divBdr>
    </w:div>
    <w:div w:id="1024286651">
      <w:bodyDiv w:val="1"/>
      <w:marLeft w:val="0"/>
      <w:marRight w:val="0"/>
      <w:marTop w:val="0"/>
      <w:marBottom w:val="0"/>
      <w:divBdr>
        <w:top w:val="none" w:sz="0" w:space="0" w:color="auto"/>
        <w:left w:val="none" w:sz="0" w:space="0" w:color="auto"/>
        <w:bottom w:val="none" w:sz="0" w:space="0" w:color="auto"/>
        <w:right w:val="none" w:sz="0" w:space="0" w:color="auto"/>
      </w:divBdr>
    </w:div>
    <w:div w:id="1044403066">
      <w:bodyDiv w:val="1"/>
      <w:marLeft w:val="0"/>
      <w:marRight w:val="0"/>
      <w:marTop w:val="0"/>
      <w:marBottom w:val="0"/>
      <w:divBdr>
        <w:top w:val="none" w:sz="0" w:space="0" w:color="auto"/>
        <w:left w:val="none" w:sz="0" w:space="0" w:color="auto"/>
        <w:bottom w:val="none" w:sz="0" w:space="0" w:color="auto"/>
        <w:right w:val="none" w:sz="0" w:space="0" w:color="auto"/>
      </w:divBdr>
    </w:div>
    <w:div w:id="1061950930">
      <w:bodyDiv w:val="1"/>
      <w:marLeft w:val="0"/>
      <w:marRight w:val="0"/>
      <w:marTop w:val="0"/>
      <w:marBottom w:val="0"/>
      <w:divBdr>
        <w:top w:val="none" w:sz="0" w:space="0" w:color="auto"/>
        <w:left w:val="none" w:sz="0" w:space="0" w:color="auto"/>
        <w:bottom w:val="none" w:sz="0" w:space="0" w:color="auto"/>
        <w:right w:val="none" w:sz="0" w:space="0" w:color="auto"/>
      </w:divBdr>
    </w:div>
    <w:div w:id="1084451401">
      <w:bodyDiv w:val="1"/>
      <w:marLeft w:val="0"/>
      <w:marRight w:val="0"/>
      <w:marTop w:val="0"/>
      <w:marBottom w:val="0"/>
      <w:divBdr>
        <w:top w:val="none" w:sz="0" w:space="0" w:color="auto"/>
        <w:left w:val="none" w:sz="0" w:space="0" w:color="auto"/>
        <w:bottom w:val="none" w:sz="0" w:space="0" w:color="auto"/>
        <w:right w:val="none" w:sz="0" w:space="0" w:color="auto"/>
      </w:divBdr>
    </w:div>
    <w:div w:id="1086075662">
      <w:bodyDiv w:val="1"/>
      <w:marLeft w:val="0"/>
      <w:marRight w:val="0"/>
      <w:marTop w:val="0"/>
      <w:marBottom w:val="0"/>
      <w:divBdr>
        <w:top w:val="none" w:sz="0" w:space="0" w:color="auto"/>
        <w:left w:val="none" w:sz="0" w:space="0" w:color="auto"/>
        <w:bottom w:val="none" w:sz="0" w:space="0" w:color="auto"/>
        <w:right w:val="none" w:sz="0" w:space="0" w:color="auto"/>
      </w:divBdr>
    </w:div>
    <w:div w:id="1106194384">
      <w:bodyDiv w:val="1"/>
      <w:marLeft w:val="0"/>
      <w:marRight w:val="0"/>
      <w:marTop w:val="0"/>
      <w:marBottom w:val="0"/>
      <w:divBdr>
        <w:top w:val="none" w:sz="0" w:space="0" w:color="auto"/>
        <w:left w:val="none" w:sz="0" w:space="0" w:color="auto"/>
        <w:bottom w:val="none" w:sz="0" w:space="0" w:color="auto"/>
        <w:right w:val="none" w:sz="0" w:space="0" w:color="auto"/>
      </w:divBdr>
    </w:div>
    <w:div w:id="1126972318">
      <w:bodyDiv w:val="1"/>
      <w:marLeft w:val="0"/>
      <w:marRight w:val="0"/>
      <w:marTop w:val="0"/>
      <w:marBottom w:val="0"/>
      <w:divBdr>
        <w:top w:val="none" w:sz="0" w:space="0" w:color="auto"/>
        <w:left w:val="none" w:sz="0" w:space="0" w:color="auto"/>
        <w:bottom w:val="none" w:sz="0" w:space="0" w:color="auto"/>
        <w:right w:val="none" w:sz="0" w:space="0" w:color="auto"/>
      </w:divBdr>
    </w:div>
    <w:div w:id="1127897120">
      <w:bodyDiv w:val="1"/>
      <w:marLeft w:val="0"/>
      <w:marRight w:val="0"/>
      <w:marTop w:val="0"/>
      <w:marBottom w:val="0"/>
      <w:divBdr>
        <w:top w:val="none" w:sz="0" w:space="0" w:color="auto"/>
        <w:left w:val="none" w:sz="0" w:space="0" w:color="auto"/>
        <w:bottom w:val="none" w:sz="0" w:space="0" w:color="auto"/>
        <w:right w:val="none" w:sz="0" w:space="0" w:color="auto"/>
      </w:divBdr>
    </w:div>
    <w:div w:id="1200170722">
      <w:bodyDiv w:val="1"/>
      <w:marLeft w:val="0"/>
      <w:marRight w:val="0"/>
      <w:marTop w:val="0"/>
      <w:marBottom w:val="0"/>
      <w:divBdr>
        <w:top w:val="none" w:sz="0" w:space="0" w:color="auto"/>
        <w:left w:val="none" w:sz="0" w:space="0" w:color="auto"/>
        <w:bottom w:val="none" w:sz="0" w:space="0" w:color="auto"/>
        <w:right w:val="none" w:sz="0" w:space="0" w:color="auto"/>
      </w:divBdr>
    </w:div>
    <w:div w:id="1210074695">
      <w:bodyDiv w:val="1"/>
      <w:marLeft w:val="0"/>
      <w:marRight w:val="0"/>
      <w:marTop w:val="0"/>
      <w:marBottom w:val="0"/>
      <w:divBdr>
        <w:top w:val="none" w:sz="0" w:space="0" w:color="auto"/>
        <w:left w:val="none" w:sz="0" w:space="0" w:color="auto"/>
        <w:bottom w:val="none" w:sz="0" w:space="0" w:color="auto"/>
        <w:right w:val="none" w:sz="0" w:space="0" w:color="auto"/>
      </w:divBdr>
    </w:div>
    <w:div w:id="1229144864">
      <w:bodyDiv w:val="1"/>
      <w:marLeft w:val="0"/>
      <w:marRight w:val="0"/>
      <w:marTop w:val="0"/>
      <w:marBottom w:val="0"/>
      <w:divBdr>
        <w:top w:val="none" w:sz="0" w:space="0" w:color="auto"/>
        <w:left w:val="none" w:sz="0" w:space="0" w:color="auto"/>
        <w:bottom w:val="none" w:sz="0" w:space="0" w:color="auto"/>
        <w:right w:val="none" w:sz="0" w:space="0" w:color="auto"/>
      </w:divBdr>
    </w:div>
    <w:div w:id="1232423427">
      <w:bodyDiv w:val="1"/>
      <w:marLeft w:val="0"/>
      <w:marRight w:val="0"/>
      <w:marTop w:val="0"/>
      <w:marBottom w:val="0"/>
      <w:divBdr>
        <w:top w:val="none" w:sz="0" w:space="0" w:color="auto"/>
        <w:left w:val="none" w:sz="0" w:space="0" w:color="auto"/>
        <w:bottom w:val="none" w:sz="0" w:space="0" w:color="auto"/>
        <w:right w:val="none" w:sz="0" w:space="0" w:color="auto"/>
      </w:divBdr>
    </w:div>
    <w:div w:id="1238131416">
      <w:bodyDiv w:val="1"/>
      <w:marLeft w:val="0"/>
      <w:marRight w:val="0"/>
      <w:marTop w:val="0"/>
      <w:marBottom w:val="0"/>
      <w:divBdr>
        <w:top w:val="none" w:sz="0" w:space="0" w:color="auto"/>
        <w:left w:val="none" w:sz="0" w:space="0" w:color="auto"/>
        <w:bottom w:val="none" w:sz="0" w:space="0" w:color="auto"/>
        <w:right w:val="none" w:sz="0" w:space="0" w:color="auto"/>
      </w:divBdr>
    </w:div>
    <w:div w:id="1263801188">
      <w:bodyDiv w:val="1"/>
      <w:marLeft w:val="0"/>
      <w:marRight w:val="0"/>
      <w:marTop w:val="0"/>
      <w:marBottom w:val="0"/>
      <w:divBdr>
        <w:top w:val="none" w:sz="0" w:space="0" w:color="auto"/>
        <w:left w:val="none" w:sz="0" w:space="0" w:color="auto"/>
        <w:bottom w:val="none" w:sz="0" w:space="0" w:color="auto"/>
        <w:right w:val="none" w:sz="0" w:space="0" w:color="auto"/>
      </w:divBdr>
    </w:div>
    <w:div w:id="1271275277">
      <w:bodyDiv w:val="1"/>
      <w:marLeft w:val="0"/>
      <w:marRight w:val="0"/>
      <w:marTop w:val="0"/>
      <w:marBottom w:val="0"/>
      <w:divBdr>
        <w:top w:val="none" w:sz="0" w:space="0" w:color="auto"/>
        <w:left w:val="none" w:sz="0" w:space="0" w:color="auto"/>
        <w:bottom w:val="none" w:sz="0" w:space="0" w:color="auto"/>
        <w:right w:val="none" w:sz="0" w:space="0" w:color="auto"/>
      </w:divBdr>
    </w:div>
    <w:div w:id="1298491815">
      <w:bodyDiv w:val="1"/>
      <w:marLeft w:val="0"/>
      <w:marRight w:val="0"/>
      <w:marTop w:val="0"/>
      <w:marBottom w:val="0"/>
      <w:divBdr>
        <w:top w:val="none" w:sz="0" w:space="0" w:color="auto"/>
        <w:left w:val="none" w:sz="0" w:space="0" w:color="auto"/>
        <w:bottom w:val="none" w:sz="0" w:space="0" w:color="auto"/>
        <w:right w:val="none" w:sz="0" w:space="0" w:color="auto"/>
      </w:divBdr>
    </w:div>
    <w:div w:id="1302227977">
      <w:bodyDiv w:val="1"/>
      <w:marLeft w:val="0"/>
      <w:marRight w:val="0"/>
      <w:marTop w:val="0"/>
      <w:marBottom w:val="0"/>
      <w:divBdr>
        <w:top w:val="none" w:sz="0" w:space="0" w:color="auto"/>
        <w:left w:val="none" w:sz="0" w:space="0" w:color="auto"/>
        <w:bottom w:val="none" w:sz="0" w:space="0" w:color="auto"/>
        <w:right w:val="none" w:sz="0" w:space="0" w:color="auto"/>
      </w:divBdr>
    </w:div>
    <w:div w:id="1308170238">
      <w:bodyDiv w:val="1"/>
      <w:marLeft w:val="0"/>
      <w:marRight w:val="0"/>
      <w:marTop w:val="0"/>
      <w:marBottom w:val="0"/>
      <w:divBdr>
        <w:top w:val="none" w:sz="0" w:space="0" w:color="auto"/>
        <w:left w:val="none" w:sz="0" w:space="0" w:color="auto"/>
        <w:bottom w:val="none" w:sz="0" w:space="0" w:color="auto"/>
        <w:right w:val="none" w:sz="0" w:space="0" w:color="auto"/>
      </w:divBdr>
    </w:div>
    <w:div w:id="1314069652">
      <w:bodyDiv w:val="1"/>
      <w:marLeft w:val="0"/>
      <w:marRight w:val="0"/>
      <w:marTop w:val="0"/>
      <w:marBottom w:val="0"/>
      <w:divBdr>
        <w:top w:val="none" w:sz="0" w:space="0" w:color="auto"/>
        <w:left w:val="none" w:sz="0" w:space="0" w:color="auto"/>
        <w:bottom w:val="none" w:sz="0" w:space="0" w:color="auto"/>
        <w:right w:val="none" w:sz="0" w:space="0" w:color="auto"/>
      </w:divBdr>
    </w:div>
    <w:div w:id="1331056804">
      <w:bodyDiv w:val="1"/>
      <w:marLeft w:val="0"/>
      <w:marRight w:val="0"/>
      <w:marTop w:val="0"/>
      <w:marBottom w:val="0"/>
      <w:divBdr>
        <w:top w:val="none" w:sz="0" w:space="0" w:color="auto"/>
        <w:left w:val="none" w:sz="0" w:space="0" w:color="auto"/>
        <w:bottom w:val="none" w:sz="0" w:space="0" w:color="auto"/>
        <w:right w:val="none" w:sz="0" w:space="0" w:color="auto"/>
      </w:divBdr>
    </w:div>
    <w:div w:id="1362244667">
      <w:bodyDiv w:val="1"/>
      <w:marLeft w:val="0"/>
      <w:marRight w:val="0"/>
      <w:marTop w:val="0"/>
      <w:marBottom w:val="0"/>
      <w:divBdr>
        <w:top w:val="none" w:sz="0" w:space="0" w:color="auto"/>
        <w:left w:val="none" w:sz="0" w:space="0" w:color="auto"/>
        <w:bottom w:val="none" w:sz="0" w:space="0" w:color="auto"/>
        <w:right w:val="none" w:sz="0" w:space="0" w:color="auto"/>
      </w:divBdr>
    </w:div>
    <w:div w:id="1381972945">
      <w:bodyDiv w:val="1"/>
      <w:marLeft w:val="0"/>
      <w:marRight w:val="0"/>
      <w:marTop w:val="0"/>
      <w:marBottom w:val="0"/>
      <w:divBdr>
        <w:top w:val="none" w:sz="0" w:space="0" w:color="auto"/>
        <w:left w:val="none" w:sz="0" w:space="0" w:color="auto"/>
        <w:bottom w:val="none" w:sz="0" w:space="0" w:color="auto"/>
        <w:right w:val="none" w:sz="0" w:space="0" w:color="auto"/>
      </w:divBdr>
    </w:div>
    <w:div w:id="1418792750">
      <w:bodyDiv w:val="1"/>
      <w:marLeft w:val="0"/>
      <w:marRight w:val="0"/>
      <w:marTop w:val="0"/>
      <w:marBottom w:val="0"/>
      <w:divBdr>
        <w:top w:val="none" w:sz="0" w:space="0" w:color="auto"/>
        <w:left w:val="none" w:sz="0" w:space="0" w:color="auto"/>
        <w:bottom w:val="none" w:sz="0" w:space="0" w:color="auto"/>
        <w:right w:val="none" w:sz="0" w:space="0" w:color="auto"/>
      </w:divBdr>
    </w:div>
    <w:div w:id="1433866165">
      <w:bodyDiv w:val="1"/>
      <w:marLeft w:val="0"/>
      <w:marRight w:val="0"/>
      <w:marTop w:val="0"/>
      <w:marBottom w:val="0"/>
      <w:divBdr>
        <w:top w:val="none" w:sz="0" w:space="0" w:color="auto"/>
        <w:left w:val="none" w:sz="0" w:space="0" w:color="auto"/>
        <w:bottom w:val="none" w:sz="0" w:space="0" w:color="auto"/>
        <w:right w:val="none" w:sz="0" w:space="0" w:color="auto"/>
      </w:divBdr>
    </w:div>
    <w:div w:id="1436051462">
      <w:bodyDiv w:val="1"/>
      <w:marLeft w:val="0"/>
      <w:marRight w:val="0"/>
      <w:marTop w:val="0"/>
      <w:marBottom w:val="0"/>
      <w:divBdr>
        <w:top w:val="none" w:sz="0" w:space="0" w:color="auto"/>
        <w:left w:val="none" w:sz="0" w:space="0" w:color="auto"/>
        <w:bottom w:val="none" w:sz="0" w:space="0" w:color="auto"/>
        <w:right w:val="none" w:sz="0" w:space="0" w:color="auto"/>
      </w:divBdr>
    </w:div>
    <w:div w:id="1449280135">
      <w:bodyDiv w:val="1"/>
      <w:marLeft w:val="0"/>
      <w:marRight w:val="0"/>
      <w:marTop w:val="0"/>
      <w:marBottom w:val="0"/>
      <w:divBdr>
        <w:top w:val="none" w:sz="0" w:space="0" w:color="auto"/>
        <w:left w:val="none" w:sz="0" w:space="0" w:color="auto"/>
        <w:bottom w:val="none" w:sz="0" w:space="0" w:color="auto"/>
        <w:right w:val="none" w:sz="0" w:space="0" w:color="auto"/>
      </w:divBdr>
    </w:div>
    <w:div w:id="1460688728">
      <w:bodyDiv w:val="1"/>
      <w:marLeft w:val="0"/>
      <w:marRight w:val="0"/>
      <w:marTop w:val="0"/>
      <w:marBottom w:val="0"/>
      <w:divBdr>
        <w:top w:val="none" w:sz="0" w:space="0" w:color="auto"/>
        <w:left w:val="none" w:sz="0" w:space="0" w:color="auto"/>
        <w:bottom w:val="none" w:sz="0" w:space="0" w:color="auto"/>
        <w:right w:val="none" w:sz="0" w:space="0" w:color="auto"/>
      </w:divBdr>
    </w:div>
    <w:div w:id="1461457331">
      <w:bodyDiv w:val="1"/>
      <w:marLeft w:val="0"/>
      <w:marRight w:val="0"/>
      <w:marTop w:val="0"/>
      <w:marBottom w:val="0"/>
      <w:divBdr>
        <w:top w:val="none" w:sz="0" w:space="0" w:color="auto"/>
        <w:left w:val="none" w:sz="0" w:space="0" w:color="auto"/>
        <w:bottom w:val="none" w:sz="0" w:space="0" w:color="auto"/>
        <w:right w:val="none" w:sz="0" w:space="0" w:color="auto"/>
      </w:divBdr>
    </w:div>
    <w:div w:id="1470711773">
      <w:bodyDiv w:val="1"/>
      <w:marLeft w:val="0"/>
      <w:marRight w:val="0"/>
      <w:marTop w:val="0"/>
      <w:marBottom w:val="0"/>
      <w:divBdr>
        <w:top w:val="none" w:sz="0" w:space="0" w:color="auto"/>
        <w:left w:val="none" w:sz="0" w:space="0" w:color="auto"/>
        <w:bottom w:val="none" w:sz="0" w:space="0" w:color="auto"/>
        <w:right w:val="none" w:sz="0" w:space="0" w:color="auto"/>
      </w:divBdr>
    </w:div>
    <w:div w:id="1481656318">
      <w:bodyDiv w:val="1"/>
      <w:marLeft w:val="0"/>
      <w:marRight w:val="0"/>
      <w:marTop w:val="0"/>
      <w:marBottom w:val="0"/>
      <w:divBdr>
        <w:top w:val="none" w:sz="0" w:space="0" w:color="auto"/>
        <w:left w:val="none" w:sz="0" w:space="0" w:color="auto"/>
        <w:bottom w:val="none" w:sz="0" w:space="0" w:color="auto"/>
        <w:right w:val="none" w:sz="0" w:space="0" w:color="auto"/>
      </w:divBdr>
    </w:div>
    <w:div w:id="1486824517">
      <w:bodyDiv w:val="1"/>
      <w:marLeft w:val="0"/>
      <w:marRight w:val="0"/>
      <w:marTop w:val="0"/>
      <w:marBottom w:val="0"/>
      <w:divBdr>
        <w:top w:val="none" w:sz="0" w:space="0" w:color="auto"/>
        <w:left w:val="none" w:sz="0" w:space="0" w:color="auto"/>
        <w:bottom w:val="none" w:sz="0" w:space="0" w:color="auto"/>
        <w:right w:val="none" w:sz="0" w:space="0" w:color="auto"/>
      </w:divBdr>
    </w:div>
    <w:div w:id="1487890488">
      <w:bodyDiv w:val="1"/>
      <w:marLeft w:val="0"/>
      <w:marRight w:val="0"/>
      <w:marTop w:val="0"/>
      <w:marBottom w:val="0"/>
      <w:divBdr>
        <w:top w:val="none" w:sz="0" w:space="0" w:color="auto"/>
        <w:left w:val="none" w:sz="0" w:space="0" w:color="auto"/>
        <w:bottom w:val="none" w:sz="0" w:space="0" w:color="auto"/>
        <w:right w:val="none" w:sz="0" w:space="0" w:color="auto"/>
      </w:divBdr>
    </w:div>
    <w:div w:id="1491411583">
      <w:bodyDiv w:val="1"/>
      <w:marLeft w:val="0"/>
      <w:marRight w:val="0"/>
      <w:marTop w:val="0"/>
      <w:marBottom w:val="0"/>
      <w:divBdr>
        <w:top w:val="none" w:sz="0" w:space="0" w:color="auto"/>
        <w:left w:val="none" w:sz="0" w:space="0" w:color="auto"/>
        <w:bottom w:val="none" w:sz="0" w:space="0" w:color="auto"/>
        <w:right w:val="none" w:sz="0" w:space="0" w:color="auto"/>
      </w:divBdr>
    </w:div>
    <w:div w:id="1506095365">
      <w:bodyDiv w:val="1"/>
      <w:marLeft w:val="0"/>
      <w:marRight w:val="0"/>
      <w:marTop w:val="0"/>
      <w:marBottom w:val="0"/>
      <w:divBdr>
        <w:top w:val="none" w:sz="0" w:space="0" w:color="auto"/>
        <w:left w:val="none" w:sz="0" w:space="0" w:color="auto"/>
        <w:bottom w:val="none" w:sz="0" w:space="0" w:color="auto"/>
        <w:right w:val="none" w:sz="0" w:space="0" w:color="auto"/>
      </w:divBdr>
    </w:div>
    <w:div w:id="1592735646">
      <w:bodyDiv w:val="1"/>
      <w:marLeft w:val="0"/>
      <w:marRight w:val="0"/>
      <w:marTop w:val="0"/>
      <w:marBottom w:val="0"/>
      <w:divBdr>
        <w:top w:val="none" w:sz="0" w:space="0" w:color="auto"/>
        <w:left w:val="none" w:sz="0" w:space="0" w:color="auto"/>
        <w:bottom w:val="none" w:sz="0" w:space="0" w:color="auto"/>
        <w:right w:val="none" w:sz="0" w:space="0" w:color="auto"/>
      </w:divBdr>
    </w:div>
    <w:div w:id="1614939480">
      <w:bodyDiv w:val="1"/>
      <w:marLeft w:val="0"/>
      <w:marRight w:val="0"/>
      <w:marTop w:val="0"/>
      <w:marBottom w:val="0"/>
      <w:divBdr>
        <w:top w:val="none" w:sz="0" w:space="0" w:color="auto"/>
        <w:left w:val="none" w:sz="0" w:space="0" w:color="auto"/>
        <w:bottom w:val="none" w:sz="0" w:space="0" w:color="auto"/>
        <w:right w:val="none" w:sz="0" w:space="0" w:color="auto"/>
      </w:divBdr>
    </w:div>
    <w:div w:id="1635867671">
      <w:bodyDiv w:val="1"/>
      <w:marLeft w:val="0"/>
      <w:marRight w:val="0"/>
      <w:marTop w:val="0"/>
      <w:marBottom w:val="0"/>
      <w:divBdr>
        <w:top w:val="none" w:sz="0" w:space="0" w:color="auto"/>
        <w:left w:val="none" w:sz="0" w:space="0" w:color="auto"/>
        <w:bottom w:val="none" w:sz="0" w:space="0" w:color="auto"/>
        <w:right w:val="none" w:sz="0" w:space="0" w:color="auto"/>
      </w:divBdr>
    </w:div>
    <w:div w:id="1646660290">
      <w:bodyDiv w:val="1"/>
      <w:marLeft w:val="0"/>
      <w:marRight w:val="0"/>
      <w:marTop w:val="0"/>
      <w:marBottom w:val="0"/>
      <w:divBdr>
        <w:top w:val="none" w:sz="0" w:space="0" w:color="auto"/>
        <w:left w:val="none" w:sz="0" w:space="0" w:color="auto"/>
        <w:bottom w:val="none" w:sz="0" w:space="0" w:color="auto"/>
        <w:right w:val="none" w:sz="0" w:space="0" w:color="auto"/>
      </w:divBdr>
    </w:div>
    <w:div w:id="1648515705">
      <w:bodyDiv w:val="1"/>
      <w:marLeft w:val="0"/>
      <w:marRight w:val="0"/>
      <w:marTop w:val="0"/>
      <w:marBottom w:val="0"/>
      <w:divBdr>
        <w:top w:val="none" w:sz="0" w:space="0" w:color="auto"/>
        <w:left w:val="none" w:sz="0" w:space="0" w:color="auto"/>
        <w:bottom w:val="none" w:sz="0" w:space="0" w:color="auto"/>
        <w:right w:val="none" w:sz="0" w:space="0" w:color="auto"/>
      </w:divBdr>
    </w:div>
    <w:div w:id="1662926735">
      <w:bodyDiv w:val="1"/>
      <w:marLeft w:val="0"/>
      <w:marRight w:val="0"/>
      <w:marTop w:val="0"/>
      <w:marBottom w:val="0"/>
      <w:divBdr>
        <w:top w:val="none" w:sz="0" w:space="0" w:color="auto"/>
        <w:left w:val="none" w:sz="0" w:space="0" w:color="auto"/>
        <w:bottom w:val="none" w:sz="0" w:space="0" w:color="auto"/>
        <w:right w:val="none" w:sz="0" w:space="0" w:color="auto"/>
      </w:divBdr>
    </w:div>
    <w:div w:id="1663044912">
      <w:bodyDiv w:val="1"/>
      <w:marLeft w:val="0"/>
      <w:marRight w:val="0"/>
      <w:marTop w:val="0"/>
      <w:marBottom w:val="0"/>
      <w:divBdr>
        <w:top w:val="none" w:sz="0" w:space="0" w:color="auto"/>
        <w:left w:val="none" w:sz="0" w:space="0" w:color="auto"/>
        <w:bottom w:val="none" w:sz="0" w:space="0" w:color="auto"/>
        <w:right w:val="none" w:sz="0" w:space="0" w:color="auto"/>
      </w:divBdr>
    </w:div>
    <w:div w:id="1682002440">
      <w:bodyDiv w:val="1"/>
      <w:marLeft w:val="0"/>
      <w:marRight w:val="0"/>
      <w:marTop w:val="0"/>
      <w:marBottom w:val="0"/>
      <w:divBdr>
        <w:top w:val="none" w:sz="0" w:space="0" w:color="auto"/>
        <w:left w:val="none" w:sz="0" w:space="0" w:color="auto"/>
        <w:bottom w:val="none" w:sz="0" w:space="0" w:color="auto"/>
        <w:right w:val="none" w:sz="0" w:space="0" w:color="auto"/>
      </w:divBdr>
    </w:div>
    <w:div w:id="1696880072">
      <w:bodyDiv w:val="1"/>
      <w:marLeft w:val="0"/>
      <w:marRight w:val="0"/>
      <w:marTop w:val="0"/>
      <w:marBottom w:val="0"/>
      <w:divBdr>
        <w:top w:val="none" w:sz="0" w:space="0" w:color="auto"/>
        <w:left w:val="none" w:sz="0" w:space="0" w:color="auto"/>
        <w:bottom w:val="none" w:sz="0" w:space="0" w:color="auto"/>
        <w:right w:val="none" w:sz="0" w:space="0" w:color="auto"/>
      </w:divBdr>
    </w:div>
    <w:div w:id="1697997260">
      <w:bodyDiv w:val="1"/>
      <w:marLeft w:val="0"/>
      <w:marRight w:val="0"/>
      <w:marTop w:val="0"/>
      <w:marBottom w:val="0"/>
      <w:divBdr>
        <w:top w:val="none" w:sz="0" w:space="0" w:color="auto"/>
        <w:left w:val="none" w:sz="0" w:space="0" w:color="auto"/>
        <w:bottom w:val="none" w:sz="0" w:space="0" w:color="auto"/>
        <w:right w:val="none" w:sz="0" w:space="0" w:color="auto"/>
      </w:divBdr>
    </w:div>
    <w:div w:id="1699506564">
      <w:bodyDiv w:val="1"/>
      <w:marLeft w:val="0"/>
      <w:marRight w:val="0"/>
      <w:marTop w:val="0"/>
      <w:marBottom w:val="0"/>
      <w:divBdr>
        <w:top w:val="none" w:sz="0" w:space="0" w:color="auto"/>
        <w:left w:val="none" w:sz="0" w:space="0" w:color="auto"/>
        <w:bottom w:val="none" w:sz="0" w:space="0" w:color="auto"/>
        <w:right w:val="none" w:sz="0" w:space="0" w:color="auto"/>
      </w:divBdr>
    </w:div>
    <w:div w:id="1702323152">
      <w:bodyDiv w:val="1"/>
      <w:marLeft w:val="0"/>
      <w:marRight w:val="0"/>
      <w:marTop w:val="0"/>
      <w:marBottom w:val="0"/>
      <w:divBdr>
        <w:top w:val="none" w:sz="0" w:space="0" w:color="auto"/>
        <w:left w:val="none" w:sz="0" w:space="0" w:color="auto"/>
        <w:bottom w:val="none" w:sz="0" w:space="0" w:color="auto"/>
        <w:right w:val="none" w:sz="0" w:space="0" w:color="auto"/>
      </w:divBdr>
    </w:div>
    <w:div w:id="1725836605">
      <w:bodyDiv w:val="1"/>
      <w:marLeft w:val="0"/>
      <w:marRight w:val="0"/>
      <w:marTop w:val="0"/>
      <w:marBottom w:val="0"/>
      <w:divBdr>
        <w:top w:val="none" w:sz="0" w:space="0" w:color="auto"/>
        <w:left w:val="none" w:sz="0" w:space="0" w:color="auto"/>
        <w:bottom w:val="none" w:sz="0" w:space="0" w:color="auto"/>
        <w:right w:val="none" w:sz="0" w:space="0" w:color="auto"/>
      </w:divBdr>
    </w:div>
    <w:div w:id="1727416109">
      <w:bodyDiv w:val="1"/>
      <w:marLeft w:val="0"/>
      <w:marRight w:val="0"/>
      <w:marTop w:val="0"/>
      <w:marBottom w:val="0"/>
      <w:divBdr>
        <w:top w:val="none" w:sz="0" w:space="0" w:color="auto"/>
        <w:left w:val="none" w:sz="0" w:space="0" w:color="auto"/>
        <w:bottom w:val="none" w:sz="0" w:space="0" w:color="auto"/>
        <w:right w:val="none" w:sz="0" w:space="0" w:color="auto"/>
      </w:divBdr>
    </w:div>
    <w:div w:id="1748531233">
      <w:bodyDiv w:val="1"/>
      <w:marLeft w:val="0"/>
      <w:marRight w:val="0"/>
      <w:marTop w:val="0"/>
      <w:marBottom w:val="0"/>
      <w:divBdr>
        <w:top w:val="none" w:sz="0" w:space="0" w:color="auto"/>
        <w:left w:val="none" w:sz="0" w:space="0" w:color="auto"/>
        <w:bottom w:val="none" w:sz="0" w:space="0" w:color="auto"/>
        <w:right w:val="none" w:sz="0" w:space="0" w:color="auto"/>
      </w:divBdr>
    </w:div>
    <w:div w:id="1748576878">
      <w:bodyDiv w:val="1"/>
      <w:marLeft w:val="0"/>
      <w:marRight w:val="0"/>
      <w:marTop w:val="0"/>
      <w:marBottom w:val="0"/>
      <w:divBdr>
        <w:top w:val="none" w:sz="0" w:space="0" w:color="auto"/>
        <w:left w:val="none" w:sz="0" w:space="0" w:color="auto"/>
        <w:bottom w:val="none" w:sz="0" w:space="0" w:color="auto"/>
        <w:right w:val="none" w:sz="0" w:space="0" w:color="auto"/>
      </w:divBdr>
      <w:divsChild>
        <w:div w:id="411895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344964">
      <w:bodyDiv w:val="1"/>
      <w:marLeft w:val="0"/>
      <w:marRight w:val="0"/>
      <w:marTop w:val="0"/>
      <w:marBottom w:val="0"/>
      <w:divBdr>
        <w:top w:val="none" w:sz="0" w:space="0" w:color="auto"/>
        <w:left w:val="none" w:sz="0" w:space="0" w:color="auto"/>
        <w:bottom w:val="none" w:sz="0" w:space="0" w:color="auto"/>
        <w:right w:val="none" w:sz="0" w:space="0" w:color="auto"/>
      </w:divBdr>
    </w:div>
    <w:div w:id="1760977606">
      <w:bodyDiv w:val="1"/>
      <w:marLeft w:val="0"/>
      <w:marRight w:val="0"/>
      <w:marTop w:val="0"/>
      <w:marBottom w:val="0"/>
      <w:divBdr>
        <w:top w:val="none" w:sz="0" w:space="0" w:color="auto"/>
        <w:left w:val="none" w:sz="0" w:space="0" w:color="auto"/>
        <w:bottom w:val="none" w:sz="0" w:space="0" w:color="auto"/>
        <w:right w:val="none" w:sz="0" w:space="0" w:color="auto"/>
      </w:divBdr>
    </w:div>
    <w:div w:id="1786584169">
      <w:bodyDiv w:val="1"/>
      <w:marLeft w:val="0"/>
      <w:marRight w:val="0"/>
      <w:marTop w:val="0"/>
      <w:marBottom w:val="0"/>
      <w:divBdr>
        <w:top w:val="none" w:sz="0" w:space="0" w:color="auto"/>
        <w:left w:val="none" w:sz="0" w:space="0" w:color="auto"/>
        <w:bottom w:val="none" w:sz="0" w:space="0" w:color="auto"/>
        <w:right w:val="none" w:sz="0" w:space="0" w:color="auto"/>
      </w:divBdr>
    </w:div>
    <w:div w:id="1799251883">
      <w:bodyDiv w:val="1"/>
      <w:marLeft w:val="0"/>
      <w:marRight w:val="0"/>
      <w:marTop w:val="0"/>
      <w:marBottom w:val="0"/>
      <w:divBdr>
        <w:top w:val="none" w:sz="0" w:space="0" w:color="auto"/>
        <w:left w:val="none" w:sz="0" w:space="0" w:color="auto"/>
        <w:bottom w:val="none" w:sz="0" w:space="0" w:color="auto"/>
        <w:right w:val="none" w:sz="0" w:space="0" w:color="auto"/>
      </w:divBdr>
    </w:div>
    <w:div w:id="1806392971">
      <w:bodyDiv w:val="1"/>
      <w:marLeft w:val="0"/>
      <w:marRight w:val="0"/>
      <w:marTop w:val="0"/>
      <w:marBottom w:val="0"/>
      <w:divBdr>
        <w:top w:val="none" w:sz="0" w:space="0" w:color="auto"/>
        <w:left w:val="none" w:sz="0" w:space="0" w:color="auto"/>
        <w:bottom w:val="none" w:sz="0" w:space="0" w:color="auto"/>
        <w:right w:val="none" w:sz="0" w:space="0" w:color="auto"/>
      </w:divBdr>
    </w:div>
    <w:div w:id="1832519693">
      <w:bodyDiv w:val="1"/>
      <w:marLeft w:val="0"/>
      <w:marRight w:val="0"/>
      <w:marTop w:val="0"/>
      <w:marBottom w:val="0"/>
      <w:divBdr>
        <w:top w:val="none" w:sz="0" w:space="0" w:color="auto"/>
        <w:left w:val="none" w:sz="0" w:space="0" w:color="auto"/>
        <w:bottom w:val="none" w:sz="0" w:space="0" w:color="auto"/>
        <w:right w:val="none" w:sz="0" w:space="0" w:color="auto"/>
      </w:divBdr>
    </w:div>
    <w:div w:id="1833327285">
      <w:bodyDiv w:val="1"/>
      <w:marLeft w:val="0"/>
      <w:marRight w:val="0"/>
      <w:marTop w:val="0"/>
      <w:marBottom w:val="0"/>
      <w:divBdr>
        <w:top w:val="none" w:sz="0" w:space="0" w:color="auto"/>
        <w:left w:val="none" w:sz="0" w:space="0" w:color="auto"/>
        <w:bottom w:val="none" w:sz="0" w:space="0" w:color="auto"/>
        <w:right w:val="none" w:sz="0" w:space="0" w:color="auto"/>
      </w:divBdr>
    </w:div>
    <w:div w:id="1838500399">
      <w:bodyDiv w:val="1"/>
      <w:marLeft w:val="0"/>
      <w:marRight w:val="0"/>
      <w:marTop w:val="0"/>
      <w:marBottom w:val="0"/>
      <w:divBdr>
        <w:top w:val="none" w:sz="0" w:space="0" w:color="auto"/>
        <w:left w:val="none" w:sz="0" w:space="0" w:color="auto"/>
        <w:bottom w:val="none" w:sz="0" w:space="0" w:color="auto"/>
        <w:right w:val="none" w:sz="0" w:space="0" w:color="auto"/>
      </w:divBdr>
    </w:div>
    <w:div w:id="1854686926">
      <w:bodyDiv w:val="1"/>
      <w:marLeft w:val="0"/>
      <w:marRight w:val="0"/>
      <w:marTop w:val="0"/>
      <w:marBottom w:val="0"/>
      <w:divBdr>
        <w:top w:val="none" w:sz="0" w:space="0" w:color="auto"/>
        <w:left w:val="none" w:sz="0" w:space="0" w:color="auto"/>
        <w:bottom w:val="none" w:sz="0" w:space="0" w:color="auto"/>
        <w:right w:val="none" w:sz="0" w:space="0" w:color="auto"/>
      </w:divBdr>
    </w:div>
    <w:div w:id="1896310049">
      <w:bodyDiv w:val="1"/>
      <w:marLeft w:val="0"/>
      <w:marRight w:val="0"/>
      <w:marTop w:val="0"/>
      <w:marBottom w:val="0"/>
      <w:divBdr>
        <w:top w:val="none" w:sz="0" w:space="0" w:color="auto"/>
        <w:left w:val="none" w:sz="0" w:space="0" w:color="auto"/>
        <w:bottom w:val="none" w:sz="0" w:space="0" w:color="auto"/>
        <w:right w:val="none" w:sz="0" w:space="0" w:color="auto"/>
      </w:divBdr>
    </w:div>
    <w:div w:id="1900095579">
      <w:bodyDiv w:val="1"/>
      <w:marLeft w:val="0"/>
      <w:marRight w:val="0"/>
      <w:marTop w:val="0"/>
      <w:marBottom w:val="0"/>
      <w:divBdr>
        <w:top w:val="none" w:sz="0" w:space="0" w:color="auto"/>
        <w:left w:val="none" w:sz="0" w:space="0" w:color="auto"/>
        <w:bottom w:val="none" w:sz="0" w:space="0" w:color="auto"/>
        <w:right w:val="none" w:sz="0" w:space="0" w:color="auto"/>
      </w:divBdr>
    </w:div>
    <w:div w:id="1912307181">
      <w:bodyDiv w:val="1"/>
      <w:marLeft w:val="0"/>
      <w:marRight w:val="0"/>
      <w:marTop w:val="0"/>
      <w:marBottom w:val="0"/>
      <w:divBdr>
        <w:top w:val="none" w:sz="0" w:space="0" w:color="auto"/>
        <w:left w:val="none" w:sz="0" w:space="0" w:color="auto"/>
        <w:bottom w:val="none" w:sz="0" w:space="0" w:color="auto"/>
        <w:right w:val="none" w:sz="0" w:space="0" w:color="auto"/>
      </w:divBdr>
    </w:div>
    <w:div w:id="1913735645">
      <w:bodyDiv w:val="1"/>
      <w:marLeft w:val="0"/>
      <w:marRight w:val="0"/>
      <w:marTop w:val="0"/>
      <w:marBottom w:val="0"/>
      <w:divBdr>
        <w:top w:val="none" w:sz="0" w:space="0" w:color="auto"/>
        <w:left w:val="none" w:sz="0" w:space="0" w:color="auto"/>
        <w:bottom w:val="none" w:sz="0" w:space="0" w:color="auto"/>
        <w:right w:val="none" w:sz="0" w:space="0" w:color="auto"/>
      </w:divBdr>
    </w:div>
    <w:div w:id="1913810310">
      <w:bodyDiv w:val="1"/>
      <w:marLeft w:val="0"/>
      <w:marRight w:val="0"/>
      <w:marTop w:val="0"/>
      <w:marBottom w:val="0"/>
      <w:divBdr>
        <w:top w:val="none" w:sz="0" w:space="0" w:color="auto"/>
        <w:left w:val="none" w:sz="0" w:space="0" w:color="auto"/>
        <w:bottom w:val="none" w:sz="0" w:space="0" w:color="auto"/>
        <w:right w:val="none" w:sz="0" w:space="0" w:color="auto"/>
      </w:divBdr>
    </w:div>
    <w:div w:id="1933926812">
      <w:bodyDiv w:val="1"/>
      <w:marLeft w:val="0"/>
      <w:marRight w:val="0"/>
      <w:marTop w:val="0"/>
      <w:marBottom w:val="0"/>
      <w:divBdr>
        <w:top w:val="none" w:sz="0" w:space="0" w:color="auto"/>
        <w:left w:val="none" w:sz="0" w:space="0" w:color="auto"/>
        <w:bottom w:val="none" w:sz="0" w:space="0" w:color="auto"/>
        <w:right w:val="none" w:sz="0" w:space="0" w:color="auto"/>
      </w:divBdr>
    </w:div>
    <w:div w:id="1936402671">
      <w:bodyDiv w:val="1"/>
      <w:marLeft w:val="0"/>
      <w:marRight w:val="0"/>
      <w:marTop w:val="0"/>
      <w:marBottom w:val="0"/>
      <w:divBdr>
        <w:top w:val="none" w:sz="0" w:space="0" w:color="auto"/>
        <w:left w:val="none" w:sz="0" w:space="0" w:color="auto"/>
        <w:bottom w:val="none" w:sz="0" w:space="0" w:color="auto"/>
        <w:right w:val="none" w:sz="0" w:space="0" w:color="auto"/>
      </w:divBdr>
    </w:div>
    <w:div w:id="1964993521">
      <w:bodyDiv w:val="1"/>
      <w:marLeft w:val="0"/>
      <w:marRight w:val="0"/>
      <w:marTop w:val="0"/>
      <w:marBottom w:val="0"/>
      <w:divBdr>
        <w:top w:val="none" w:sz="0" w:space="0" w:color="auto"/>
        <w:left w:val="none" w:sz="0" w:space="0" w:color="auto"/>
        <w:bottom w:val="none" w:sz="0" w:space="0" w:color="auto"/>
        <w:right w:val="none" w:sz="0" w:space="0" w:color="auto"/>
      </w:divBdr>
    </w:div>
    <w:div w:id="1983079646">
      <w:bodyDiv w:val="1"/>
      <w:marLeft w:val="0"/>
      <w:marRight w:val="0"/>
      <w:marTop w:val="0"/>
      <w:marBottom w:val="0"/>
      <w:divBdr>
        <w:top w:val="none" w:sz="0" w:space="0" w:color="auto"/>
        <w:left w:val="none" w:sz="0" w:space="0" w:color="auto"/>
        <w:bottom w:val="none" w:sz="0" w:space="0" w:color="auto"/>
        <w:right w:val="none" w:sz="0" w:space="0" w:color="auto"/>
      </w:divBdr>
    </w:div>
    <w:div w:id="1997949329">
      <w:bodyDiv w:val="1"/>
      <w:marLeft w:val="0"/>
      <w:marRight w:val="0"/>
      <w:marTop w:val="0"/>
      <w:marBottom w:val="0"/>
      <w:divBdr>
        <w:top w:val="none" w:sz="0" w:space="0" w:color="auto"/>
        <w:left w:val="none" w:sz="0" w:space="0" w:color="auto"/>
        <w:bottom w:val="none" w:sz="0" w:space="0" w:color="auto"/>
        <w:right w:val="none" w:sz="0" w:space="0" w:color="auto"/>
      </w:divBdr>
    </w:div>
    <w:div w:id="2003193908">
      <w:bodyDiv w:val="1"/>
      <w:marLeft w:val="0"/>
      <w:marRight w:val="0"/>
      <w:marTop w:val="0"/>
      <w:marBottom w:val="0"/>
      <w:divBdr>
        <w:top w:val="none" w:sz="0" w:space="0" w:color="auto"/>
        <w:left w:val="none" w:sz="0" w:space="0" w:color="auto"/>
        <w:bottom w:val="none" w:sz="0" w:space="0" w:color="auto"/>
        <w:right w:val="none" w:sz="0" w:space="0" w:color="auto"/>
      </w:divBdr>
      <w:divsChild>
        <w:div w:id="741566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780200">
      <w:bodyDiv w:val="1"/>
      <w:marLeft w:val="0"/>
      <w:marRight w:val="0"/>
      <w:marTop w:val="0"/>
      <w:marBottom w:val="0"/>
      <w:divBdr>
        <w:top w:val="none" w:sz="0" w:space="0" w:color="auto"/>
        <w:left w:val="none" w:sz="0" w:space="0" w:color="auto"/>
        <w:bottom w:val="none" w:sz="0" w:space="0" w:color="auto"/>
        <w:right w:val="none" w:sz="0" w:space="0" w:color="auto"/>
      </w:divBdr>
    </w:div>
    <w:div w:id="2018538368">
      <w:bodyDiv w:val="1"/>
      <w:marLeft w:val="0"/>
      <w:marRight w:val="0"/>
      <w:marTop w:val="0"/>
      <w:marBottom w:val="0"/>
      <w:divBdr>
        <w:top w:val="none" w:sz="0" w:space="0" w:color="auto"/>
        <w:left w:val="none" w:sz="0" w:space="0" w:color="auto"/>
        <w:bottom w:val="none" w:sz="0" w:space="0" w:color="auto"/>
        <w:right w:val="none" w:sz="0" w:space="0" w:color="auto"/>
      </w:divBdr>
    </w:div>
    <w:div w:id="2028214824">
      <w:bodyDiv w:val="1"/>
      <w:marLeft w:val="0"/>
      <w:marRight w:val="0"/>
      <w:marTop w:val="0"/>
      <w:marBottom w:val="0"/>
      <w:divBdr>
        <w:top w:val="none" w:sz="0" w:space="0" w:color="auto"/>
        <w:left w:val="none" w:sz="0" w:space="0" w:color="auto"/>
        <w:bottom w:val="none" w:sz="0" w:space="0" w:color="auto"/>
        <w:right w:val="none" w:sz="0" w:space="0" w:color="auto"/>
      </w:divBdr>
    </w:div>
    <w:div w:id="2031836880">
      <w:bodyDiv w:val="1"/>
      <w:marLeft w:val="0"/>
      <w:marRight w:val="0"/>
      <w:marTop w:val="0"/>
      <w:marBottom w:val="0"/>
      <w:divBdr>
        <w:top w:val="none" w:sz="0" w:space="0" w:color="auto"/>
        <w:left w:val="none" w:sz="0" w:space="0" w:color="auto"/>
        <w:bottom w:val="none" w:sz="0" w:space="0" w:color="auto"/>
        <w:right w:val="none" w:sz="0" w:space="0" w:color="auto"/>
      </w:divBdr>
    </w:div>
    <w:div w:id="2055764714">
      <w:bodyDiv w:val="1"/>
      <w:marLeft w:val="0"/>
      <w:marRight w:val="0"/>
      <w:marTop w:val="0"/>
      <w:marBottom w:val="0"/>
      <w:divBdr>
        <w:top w:val="none" w:sz="0" w:space="0" w:color="auto"/>
        <w:left w:val="none" w:sz="0" w:space="0" w:color="auto"/>
        <w:bottom w:val="none" w:sz="0" w:space="0" w:color="auto"/>
        <w:right w:val="none" w:sz="0" w:space="0" w:color="auto"/>
      </w:divBdr>
    </w:div>
    <w:div w:id="2058433375">
      <w:bodyDiv w:val="1"/>
      <w:marLeft w:val="0"/>
      <w:marRight w:val="0"/>
      <w:marTop w:val="0"/>
      <w:marBottom w:val="0"/>
      <w:divBdr>
        <w:top w:val="none" w:sz="0" w:space="0" w:color="auto"/>
        <w:left w:val="none" w:sz="0" w:space="0" w:color="auto"/>
        <w:bottom w:val="none" w:sz="0" w:space="0" w:color="auto"/>
        <w:right w:val="none" w:sz="0" w:space="0" w:color="auto"/>
      </w:divBdr>
    </w:div>
    <w:div w:id="2060325941">
      <w:bodyDiv w:val="1"/>
      <w:marLeft w:val="0"/>
      <w:marRight w:val="0"/>
      <w:marTop w:val="0"/>
      <w:marBottom w:val="0"/>
      <w:divBdr>
        <w:top w:val="none" w:sz="0" w:space="0" w:color="auto"/>
        <w:left w:val="none" w:sz="0" w:space="0" w:color="auto"/>
        <w:bottom w:val="none" w:sz="0" w:space="0" w:color="auto"/>
        <w:right w:val="none" w:sz="0" w:space="0" w:color="auto"/>
      </w:divBdr>
    </w:div>
    <w:div w:id="2072539442">
      <w:bodyDiv w:val="1"/>
      <w:marLeft w:val="0"/>
      <w:marRight w:val="0"/>
      <w:marTop w:val="0"/>
      <w:marBottom w:val="0"/>
      <w:divBdr>
        <w:top w:val="none" w:sz="0" w:space="0" w:color="auto"/>
        <w:left w:val="none" w:sz="0" w:space="0" w:color="auto"/>
        <w:bottom w:val="none" w:sz="0" w:space="0" w:color="auto"/>
        <w:right w:val="none" w:sz="0" w:space="0" w:color="auto"/>
      </w:divBdr>
    </w:div>
    <w:div w:id="2078741460">
      <w:bodyDiv w:val="1"/>
      <w:marLeft w:val="0"/>
      <w:marRight w:val="0"/>
      <w:marTop w:val="0"/>
      <w:marBottom w:val="0"/>
      <w:divBdr>
        <w:top w:val="none" w:sz="0" w:space="0" w:color="auto"/>
        <w:left w:val="none" w:sz="0" w:space="0" w:color="auto"/>
        <w:bottom w:val="none" w:sz="0" w:space="0" w:color="auto"/>
        <w:right w:val="none" w:sz="0" w:space="0" w:color="auto"/>
      </w:divBdr>
    </w:div>
    <w:div w:id="2114856738">
      <w:bodyDiv w:val="1"/>
      <w:marLeft w:val="0"/>
      <w:marRight w:val="0"/>
      <w:marTop w:val="0"/>
      <w:marBottom w:val="0"/>
      <w:divBdr>
        <w:top w:val="none" w:sz="0" w:space="0" w:color="auto"/>
        <w:left w:val="none" w:sz="0" w:space="0" w:color="auto"/>
        <w:bottom w:val="none" w:sz="0" w:space="0" w:color="auto"/>
        <w:right w:val="none" w:sz="0" w:space="0" w:color="auto"/>
      </w:divBdr>
    </w:div>
    <w:div w:id="2117671684">
      <w:bodyDiv w:val="1"/>
      <w:marLeft w:val="0"/>
      <w:marRight w:val="0"/>
      <w:marTop w:val="0"/>
      <w:marBottom w:val="0"/>
      <w:divBdr>
        <w:top w:val="none" w:sz="0" w:space="0" w:color="auto"/>
        <w:left w:val="none" w:sz="0" w:space="0" w:color="auto"/>
        <w:bottom w:val="none" w:sz="0" w:space="0" w:color="auto"/>
        <w:right w:val="none" w:sz="0" w:space="0" w:color="auto"/>
      </w:divBdr>
    </w:div>
    <w:div w:id="2136369564">
      <w:bodyDiv w:val="1"/>
      <w:marLeft w:val="0"/>
      <w:marRight w:val="0"/>
      <w:marTop w:val="0"/>
      <w:marBottom w:val="0"/>
      <w:divBdr>
        <w:top w:val="none" w:sz="0" w:space="0" w:color="auto"/>
        <w:left w:val="none" w:sz="0" w:space="0" w:color="auto"/>
        <w:bottom w:val="none" w:sz="0" w:space="0" w:color="auto"/>
        <w:right w:val="none" w:sz="0" w:space="0" w:color="auto"/>
      </w:divBdr>
    </w:div>
    <w:div w:id="214330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5FE7D5-4DCA-427D-8FBB-A3F789B78F25}">
  <ds:schemaRefs>
    <ds:schemaRef ds:uri="http://schemas.openxmlformats.org/officeDocument/2006/bibliography"/>
  </ds:schemaRefs>
</ds:datastoreItem>
</file>

<file path=customXml/itemProps2.xml><?xml version="1.0" encoding="utf-8"?>
<ds:datastoreItem xmlns:ds="http://schemas.openxmlformats.org/officeDocument/2006/customXml" ds:itemID="{E299BE1E-9C62-4C3F-B8EF-B469434FCC62}">
  <ds:schemaRefs>
    <ds:schemaRef ds:uri="http://schemas.microsoft.com/sharepoint/v3/contenttype/forms"/>
  </ds:schemaRefs>
</ds:datastoreItem>
</file>

<file path=customXml/itemProps3.xml><?xml version="1.0" encoding="utf-8"?>
<ds:datastoreItem xmlns:ds="http://schemas.openxmlformats.org/officeDocument/2006/customXml" ds:itemID="{3D80029E-702C-4ACE-873B-50F61D130375}">
  <ds:schemaRefs>
    <ds:schemaRef ds:uri="http://schemas.microsoft.com/office/2006/metadata/properties"/>
    <ds:schemaRef ds:uri="http://schemas.microsoft.com/office/infopath/2007/PartnerControls"/>
    <ds:schemaRef ds:uri="b6c735d2-3114-479d-9f38-f4e14bc16876"/>
  </ds:schemaRefs>
</ds:datastoreItem>
</file>

<file path=customXml/itemProps4.xml><?xml version="1.0" encoding="utf-8"?>
<ds:datastoreItem xmlns:ds="http://schemas.openxmlformats.org/officeDocument/2006/customXml" ds:itemID="{EEECE426-573F-4C03-AC3A-CC58965D6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3686</Words>
  <Characters>21014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2026-07-28T10:34:00Z</dcterms:created>
  <dcterms:modified xsi:type="dcterms:W3CDTF">2026-07-28T10:34:00Z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