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E2296" w14:textId="77777777" w:rsidR="00510DAB" w:rsidRDefault="00510DAB" w:rsidP="00510DAB">
      <w:pPr>
        <w:jc w:val="center"/>
        <w:rPr>
          <w:b/>
          <w:sz w:val="32"/>
        </w:rPr>
      </w:pPr>
      <w:bookmarkStart w:id="0" w:name="_5kc8x926ller" w:colFirst="0" w:colLast="0"/>
      <w:bookmarkEnd w:id="0"/>
    </w:p>
    <w:p w14:paraId="38419CA6" w14:textId="77777777" w:rsidR="00510DAB" w:rsidRDefault="00510DAB" w:rsidP="00510DAB">
      <w:pPr>
        <w:jc w:val="center"/>
        <w:rPr>
          <w:b/>
          <w:sz w:val="32"/>
        </w:rPr>
      </w:pPr>
    </w:p>
    <w:p w14:paraId="5EE9FA18" w14:textId="39D3C02A" w:rsidR="00510DAB" w:rsidRPr="000126FF" w:rsidRDefault="00EE684F" w:rsidP="000E66A3">
      <w:pPr>
        <w:jc w:val="center"/>
        <w:rPr>
          <w:b/>
          <w:sz w:val="36"/>
          <w:szCs w:val="36"/>
        </w:rPr>
      </w:pPr>
      <w:r w:rsidRPr="000126FF">
        <w:rPr>
          <w:b/>
          <w:sz w:val="36"/>
          <w:szCs w:val="36"/>
        </w:rPr>
        <w:t>UNIVERSITY</w:t>
      </w:r>
      <w:r w:rsidR="00B74FB6" w:rsidRPr="000126FF">
        <w:rPr>
          <w:b/>
          <w:sz w:val="36"/>
          <w:szCs w:val="36"/>
        </w:rPr>
        <w:t xml:space="preserve"> </w:t>
      </w:r>
      <w:r w:rsidRPr="000126FF">
        <w:rPr>
          <w:b/>
          <w:sz w:val="36"/>
          <w:szCs w:val="36"/>
        </w:rPr>
        <w:t>OF</w:t>
      </w:r>
      <w:r w:rsidR="00B74FB6" w:rsidRPr="000126FF">
        <w:rPr>
          <w:b/>
          <w:sz w:val="36"/>
          <w:szCs w:val="36"/>
        </w:rPr>
        <w:t xml:space="preserve"> </w:t>
      </w:r>
      <w:r w:rsidRPr="000126FF">
        <w:rPr>
          <w:b/>
          <w:sz w:val="36"/>
          <w:szCs w:val="36"/>
        </w:rPr>
        <w:t>W</w:t>
      </w:r>
      <w:r w:rsidR="00B74FB6" w:rsidRPr="000126FF">
        <w:rPr>
          <w:b/>
          <w:sz w:val="36"/>
          <w:szCs w:val="36"/>
        </w:rPr>
        <w:t>A</w:t>
      </w:r>
      <w:r w:rsidRPr="000126FF">
        <w:rPr>
          <w:b/>
          <w:sz w:val="36"/>
          <w:szCs w:val="36"/>
        </w:rPr>
        <w:t xml:space="preserve">LES </w:t>
      </w:r>
      <w:r w:rsidR="00470B20" w:rsidRPr="000126FF">
        <w:rPr>
          <w:b/>
          <w:sz w:val="36"/>
          <w:szCs w:val="36"/>
        </w:rPr>
        <w:t>TRITINY SAINT DAVID</w:t>
      </w:r>
    </w:p>
    <w:p w14:paraId="46107A02" w14:textId="3807B5C8" w:rsidR="00345470" w:rsidRDefault="002838D1" w:rsidP="000E66A3">
      <w:pPr>
        <w:jc w:val="center"/>
        <w:rPr>
          <w:b/>
          <w:sz w:val="32"/>
        </w:rPr>
      </w:pPr>
      <w:r>
        <w:rPr>
          <w:b/>
          <w:sz w:val="32"/>
        </w:rPr>
        <w:t xml:space="preserve">INTERNATIONAL </w:t>
      </w:r>
      <w:r w:rsidR="002D18DF">
        <w:rPr>
          <w:b/>
          <w:sz w:val="32"/>
        </w:rPr>
        <w:t>FINANCIAL MANAGEMENT</w:t>
      </w:r>
      <w:r w:rsidR="00654B49">
        <w:rPr>
          <w:b/>
          <w:sz w:val="32"/>
        </w:rPr>
        <w:t xml:space="preserve">- </w:t>
      </w:r>
      <w:r w:rsidR="00345470">
        <w:rPr>
          <w:b/>
          <w:sz w:val="32"/>
        </w:rPr>
        <w:t>LCBB6002</w:t>
      </w:r>
    </w:p>
    <w:p w14:paraId="05734ACF" w14:textId="487C1B6E" w:rsidR="00654B49" w:rsidRDefault="00510DAB" w:rsidP="000E66A3">
      <w:pPr>
        <w:jc w:val="center"/>
        <w:rPr>
          <w:b/>
          <w:sz w:val="32"/>
        </w:rPr>
      </w:pPr>
      <w:r w:rsidRPr="00510DAB">
        <w:rPr>
          <w:b/>
          <w:sz w:val="32"/>
        </w:rPr>
        <w:t>ASSESSMENT 1</w:t>
      </w:r>
    </w:p>
    <w:p w14:paraId="5ED39CCC" w14:textId="5C352A45" w:rsidR="005C2A4F" w:rsidRDefault="00DF6881" w:rsidP="000E66A3">
      <w:pPr>
        <w:jc w:val="center"/>
        <w:rPr>
          <w:b/>
          <w:sz w:val="32"/>
        </w:rPr>
      </w:pPr>
      <w:r>
        <w:rPr>
          <w:b/>
          <w:sz w:val="32"/>
        </w:rPr>
        <w:t xml:space="preserve">STUDENT NAME: </w:t>
      </w:r>
      <w:r w:rsidR="005C2A4F">
        <w:rPr>
          <w:b/>
          <w:sz w:val="32"/>
        </w:rPr>
        <w:t>ANA-MARIA RIZEA</w:t>
      </w:r>
    </w:p>
    <w:p w14:paraId="1EA6D694" w14:textId="7EA374B3" w:rsidR="000A0AF4" w:rsidRDefault="000A0AF4" w:rsidP="000E66A3">
      <w:pPr>
        <w:jc w:val="center"/>
        <w:rPr>
          <w:b/>
          <w:sz w:val="32"/>
        </w:rPr>
      </w:pPr>
      <w:r>
        <w:rPr>
          <w:b/>
          <w:sz w:val="32"/>
        </w:rPr>
        <w:t>ID</w:t>
      </w:r>
      <w:r w:rsidR="00227799">
        <w:rPr>
          <w:b/>
          <w:sz w:val="32"/>
        </w:rPr>
        <w:t xml:space="preserve"> NUMBER: 1917143</w:t>
      </w:r>
    </w:p>
    <w:p w14:paraId="44EBE448" w14:textId="01508FEE" w:rsidR="00761F97" w:rsidRPr="00510DAB" w:rsidRDefault="00761F97" w:rsidP="007855F5">
      <w:pPr>
        <w:rPr>
          <w:b/>
          <w:sz w:val="28"/>
          <w:szCs w:val="28"/>
          <w:lang w:val="en-GB"/>
        </w:rPr>
      </w:pPr>
      <w:r w:rsidRPr="00510DAB">
        <w:rPr>
          <w:b/>
          <w:lang w:val="en-GB"/>
        </w:rPr>
        <w:br w:type="page"/>
      </w:r>
    </w:p>
    <w:sdt>
      <w:sdtPr>
        <w:rPr>
          <w:rFonts w:ascii="Times New Roman" w:eastAsia="Times New Roman" w:hAnsi="Times New Roman" w:cs="Times New Roman"/>
          <w:b w:val="0"/>
          <w:bCs w:val="0"/>
          <w:color w:val="auto"/>
          <w:sz w:val="24"/>
          <w:szCs w:val="24"/>
        </w:rPr>
        <w:id w:val="16115117"/>
        <w:docPartObj>
          <w:docPartGallery w:val="Table of Contents"/>
          <w:docPartUnique/>
        </w:docPartObj>
      </w:sdtPr>
      <w:sdtEndPr/>
      <w:sdtContent>
        <w:p w14:paraId="28A169B0" w14:textId="77777777" w:rsidR="00761F97" w:rsidRDefault="00761F97" w:rsidP="00761F97">
          <w:pPr>
            <w:pStyle w:val="TOCHeading"/>
            <w:jc w:val="center"/>
          </w:pPr>
          <w:r w:rsidRPr="00761F97">
            <w:rPr>
              <w:rFonts w:ascii="Times New Roman" w:hAnsi="Times New Roman" w:cs="Times New Roman"/>
              <w:color w:val="000000" w:themeColor="text1"/>
            </w:rPr>
            <w:t>Table of Contents</w:t>
          </w:r>
        </w:p>
        <w:p w14:paraId="53603C02" w14:textId="77777777" w:rsidR="00761F97" w:rsidRDefault="00761F97">
          <w:pPr>
            <w:pStyle w:val="TOC1"/>
            <w:tabs>
              <w:tab w:val="right" w:leader="dot" w:pos="9019"/>
            </w:tabs>
            <w:rPr>
              <w:noProof/>
            </w:rPr>
          </w:pPr>
          <w:r>
            <w:fldChar w:fldCharType="begin"/>
          </w:r>
          <w:r>
            <w:instrText xml:space="preserve"> TOC \o "1-3" \h \z \u </w:instrText>
          </w:r>
          <w:r>
            <w:fldChar w:fldCharType="separate"/>
          </w:r>
          <w:hyperlink w:anchor="_Toc98261449" w:history="1">
            <w:r w:rsidRPr="00EC78D1">
              <w:rPr>
                <w:rStyle w:val="Hyperlink"/>
                <w:noProof/>
                <w:lang w:val="en-GB"/>
              </w:rPr>
              <w:t>Introduction</w:t>
            </w:r>
            <w:r>
              <w:rPr>
                <w:noProof/>
                <w:webHidden/>
              </w:rPr>
              <w:tab/>
            </w:r>
            <w:r>
              <w:rPr>
                <w:noProof/>
                <w:webHidden/>
              </w:rPr>
              <w:fldChar w:fldCharType="begin"/>
            </w:r>
            <w:r>
              <w:rPr>
                <w:noProof/>
                <w:webHidden/>
              </w:rPr>
              <w:instrText xml:space="preserve"> PAGEREF _Toc98261449 \h </w:instrText>
            </w:r>
            <w:r>
              <w:rPr>
                <w:noProof/>
                <w:webHidden/>
              </w:rPr>
            </w:r>
            <w:r>
              <w:rPr>
                <w:noProof/>
                <w:webHidden/>
              </w:rPr>
              <w:fldChar w:fldCharType="separate"/>
            </w:r>
            <w:r>
              <w:rPr>
                <w:noProof/>
                <w:webHidden/>
              </w:rPr>
              <w:t>3</w:t>
            </w:r>
            <w:r>
              <w:rPr>
                <w:noProof/>
                <w:webHidden/>
              </w:rPr>
              <w:fldChar w:fldCharType="end"/>
            </w:r>
          </w:hyperlink>
        </w:p>
        <w:p w14:paraId="2DEB05F9" w14:textId="77777777" w:rsidR="00761F97" w:rsidRDefault="00854277">
          <w:pPr>
            <w:pStyle w:val="TOC1"/>
            <w:tabs>
              <w:tab w:val="right" w:leader="dot" w:pos="9019"/>
            </w:tabs>
            <w:rPr>
              <w:noProof/>
            </w:rPr>
          </w:pPr>
          <w:hyperlink w:anchor="_Toc98261450" w:history="1">
            <w:r w:rsidR="00761F97" w:rsidRPr="00EC78D1">
              <w:rPr>
                <w:rStyle w:val="Hyperlink"/>
                <w:noProof/>
                <w:lang w:val="en-GB"/>
              </w:rPr>
              <w:t>Discussion</w:t>
            </w:r>
            <w:r w:rsidR="00761F97">
              <w:rPr>
                <w:noProof/>
                <w:webHidden/>
              </w:rPr>
              <w:tab/>
            </w:r>
            <w:r w:rsidR="00761F97">
              <w:rPr>
                <w:noProof/>
                <w:webHidden/>
              </w:rPr>
              <w:fldChar w:fldCharType="begin"/>
            </w:r>
            <w:r w:rsidR="00761F97">
              <w:rPr>
                <w:noProof/>
                <w:webHidden/>
              </w:rPr>
              <w:instrText xml:space="preserve"> PAGEREF _Toc98261450 \h </w:instrText>
            </w:r>
            <w:r w:rsidR="00761F97">
              <w:rPr>
                <w:noProof/>
                <w:webHidden/>
              </w:rPr>
            </w:r>
            <w:r w:rsidR="00761F97">
              <w:rPr>
                <w:noProof/>
                <w:webHidden/>
              </w:rPr>
              <w:fldChar w:fldCharType="separate"/>
            </w:r>
            <w:r w:rsidR="00761F97">
              <w:rPr>
                <w:noProof/>
                <w:webHidden/>
              </w:rPr>
              <w:t>3</w:t>
            </w:r>
            <w:r w:rsidR="00761F97">
              <w:rPr>
                <w:noProof/>
                <w:webHidden/>
              </w:rPr>
              <w:fldChar w:fldCharType="end"/>
            </w:r>
          </w:hyperlink>
        </w:p>
        <w:p w14:paraId="2C50F4DB" w14:textId="77777777" w:rsidR="00761F97" w:rsidRDefault="00854277">
          <w:pPr>
            <w:pStyle w:val="TOC1"/>
            <w:tabs>
              <w:tab w:val="right" w:leader="dot" w:pos="9019"/>
            </w:tabs>
            <w:rPr>
              <w:noProof/>
            </w:rPr>
          </w:pPr>
          <w:hyperlink w:anchor="_Toc98261451" w:history="1">
            <w:r w:rsidR="00761F97" w:rsidRPr="00EC78D1">
              <w:rPr>
                <w:rStyle w:val="Hyperlink"/>
                <w:noProof/>
                <w:lang w:val="en-GB"/>
              </w:rPr>
              <w:t>Conclusion</w:t>
            </w:r>
            <w:r w:rsidR="00761F97">
              <w:rPr>
                <w:noProof/>
                <w:webHidden/>
              </w:rPr>
              <w:tab/>
            </w:r>
            <w:r w:rsidR="00761F97">
              <w:rPr>
                <w:noProof/>
                <w:webHidden/>
              </w:rPr>
              <w:fldChar w:fldCharType="begin"/>
            </w:r>
            <w:r w:rsidR="00761F97">
              <w:rPr>
                <w:noProof/>
                <w:webHidden/>
              </w:rPr>
              <w:instrText xml:space="preserve"> PAGEREF _Toc98261451 \h </w:instrText>
            </w:r>
            <w:r w:rsidR="00761F97">
              <w:rPr>
                <w:noProof/>
                <w:webHidden/>
              </w:rPr>
            </w:r>
            <w:r w:rsidR="00761F97">
              <w:rPr>
                <w:noProof/>
                <w:webHidden/>
              </w:rPr>
              <w:fldChar w:fldCharType="separate"/>
            </w:r>
            <w:r w:rsidR="00761F97">
              <w:rPr>
                <w:noProof/>
                <w:webHidden/>
              </w:rPr>
              <w:t>6</w:t>
            </w:r>
            <w:r w:rsidR="00761F97">
              <w:rPr>
                <w:noProof/>
                <w:webHidden/>
              </w:rPr>
              <w:fldChar w:fldCharType="end"/>
            </w:r>
          </w:hyperlink>
        </w:p>
        <w:p w14:paraId="38CE2F67" w14:textId="77777777" w:rsidR="00761F97" w:rsidRDefault="00854277">
          <w:pPr>
            <w:pStyle w:val="TOC1"/>
            <w:tabs>
              <w:tab w:val="right" w:leader="dot" w:pos="9019"/>
            </w:tabs>
            <w:rPr>
              <w:noProof/>
            </w:rPr>
          </w:pPr>
          <w:hyperlink w:anchor="_Toc98261452" w:history="1">
            <w:r w:rsidR="00761F97" w:rsidRPr="00EC78D1">
              <w:rPr>
                <w:rStyle w:val="Hyperlink"/>
                <w:noProof/>
                <w:lang w:val="en-GB"/>
              </w:rPr>
              <w:t>References</w:t>
            </w:r>
            <w:r w:rsidR="00761F97">
              <w:rPr>
                <w:noProof/>
                <w:webHidden/>
              </w:rPr>
              <w:tab/>
            </w:r>
            <w:r w:rsidR="00761F97">
              <w:rPr>
                <w:noProof/>
                <w:webHidden/>
              </w:rPr>
              <w:fldChar w:fldCharType="begin"/>
            </w:r>
            <w:r w:rsidR="00761F97">
              <w:rPr>
                <w:noProof/>
                <w:webHidden/>
              </w:rPr>
              <w:instrText xml:space="preserve"> PAGEREF _Toc98261452 \h </w:instrText>
            </w:r>
            <w:r w:rsidR="00761F97">
              <w:rPr>
                <w:noProof/>
                <w:webHidden/>
              </w:rPr>
            </w:r>
            <w:r w:rsidR="00761F97">
              <w:rPr>
                <w:noProof/>
                <w:webHidden/>
              </w:rPr>
              <w:fldChar w:fldCharType="separate"/>
            </w:r>
            <w:r w:rsidR="00761F97">
              <w:rPr>
                <w:noProof/>
                <w:webHidden/>
              </w:rPr>
              <w:t>7</w:t>
            </w:r>
            <w:r w:rsidR="00761F97">
              <w:rPr>
                <w:noProof/>
                <w:webHidden/>
              </w:rPr>
              <w:fldChar w:fldCharType="end"/>
            </w:r>
          </w:hyperlink>
        </w:p>
        <w:p w14:paraId="58FD64F3" w14:textId="77777777" w:rsidR="00761F97" w:rsidRDefault="00761F97">
          <w:r>
            <w:fldChar w:fldCharType="end"/>
          </w:r>
        </w:p>
      </w:sdtContent>
    </w:sdt>
    <w:p w14:paraId="0C1692A6" w14:textId="77777777" w:rsidR="00761F97" w:rsidRDefault="00761F97">
      <w:pPr>
        <w:rPr>
          <w:b/>
          <w:sz w:val="28"/>
          <w:szCs w:val="28"/>
          <w:lang w:val="en-GB"/>
        </w:rPr>
      </w:pPr>
      <w:r>
        <w:rPr>
          <w:lang w:val="en-GB"/>
        </w:rPr>
        <w:br w:type="page"/>
      </w:r>
    </w:p>
    <w:p w14:paraId="5904B203" w14:textId="77777777" w:rsidR="008B2D0B" w:rsidRPr="009B76C9" w:rsidRDefault="00167D3F">
      <w:pPr>
        <w:pStyle w:val="Heading1"/>
        <w:rPr>
          <w:lang w:val="en-GB"/>
        </w:rPr>
      </w:pPr>
      <w:bookmarkStart w:id="1" w:name="_Toc98261449"/>
      <w:r w:rsidRPr="009B76C9">
        <w:rPr>
          <w:lang w:val="en-GB"/>
        </w:rPr>
        <w:lastRenderedPageBreak/>
        <w:t>Introduction</w:t>
      </w:r>
      <w:bookmarkEnd w:id="1"/>
    </w:p>
    <w:p w14:paraId="242DF06A" w14:textId="77777777" w:rsidR="008B2D0B" w:rsidRPr="009B76C9" w:rsidRDefault="00167D3F" w:rsidP="009D17E9">
      <w:pPr>
        <w:ind w:firstLine="720"/>
        <w:rPr>
          <w:lang w:val="en-GB"/>
        </w:rPr>
      </w:pPr>
      <w:r w:rsidRPr="009B76C9">
        <w:rPr>
          <w:lang w:val="en-GB"/>
        </w:rPr>
        <w:t xml:space="preserve">The essay highlights the “International Financial Management (IFM)” theories with respect to multinational corporations (MNC) to define the significance of financial management within the MNCs. In this context, the UK-based multinational organisation Unilever has been taken into consideration for analysing the influence of financial management on the firms’ performance. The essay mainly investigates the challenges associated with multinational corporations in terms of the international management aspect. In this context, the </w:t>
      </w:r>
      <w:r w:rsidR="009B76C9" w:rsidRPr="009B76C9">
        <w:rPr>
          <w:lang w:val="en-GB"/>
        </w:rPr>
        <w:t>theories of “international finance management” have</w:t>
      </w:r>
      <w:r w:rsidRPr="009B76C9">
        <w:rPr>
          <w:lang w:val="en-GB"/>
        </w:rPr>
        <w:t xml:space="preserve"> been considered with the relevant information regarding the issues in Unilever to define the challenges of MNCs. The dividend distribution policies of Unilever have been analysed in accordance with the dividend relevance and irrelevance theory. In addition to that, a critical evaluation has been made on the market hypothesis segments by considering agency theory and the tools of “effective market hypothesis”. Finally, the essay signifies the capital appraisal methods along with a critical overview in relation to the concerning approaches to appraising projects.     </w:t>
      </w:r>
    </w:p>
    <w:p w14:paraId="116CC563" w14:textId="77777777" w:rsidR="008B2D0B" w:rsidRPr="009B76C9" w:rsidRDefault="00167D3F">
      <w:pPr>
        <w:pStyle w:val="Heading1"/>
        <w:rPr>
          <w:lang w:val="en-GB"/>
        </w:rPr>
      </w:pPr>
      <w:bookmarkStart w:id="2" w:name="_l4vy614zg0ur" w:colFirst="0" w:colLast="0"/>
      <w:bookmarkStart w:id="3" w:name="_Toc98261450"/>
      <w:bookmarkEnd w:id="2"/>
      <w:r w:rsidRPr="009B76C9">
        <w:rPr>
          <w:lang w:val="en-GB"/>
        </w:rPr>
        <w:t>Discussion</w:t>
      </w:r>
      <w:bookmarkEnd w:id="3"/>
    </w:p>
    <w:p w14:paraId="14DD2742" w14:textId="77777777" w:rsidR="008B2D0B" w:rsidRPr="009B76C9" w:rsidRDefault="00167D3F">
      <w:pPr>
        <w:rPr>
          <w:b/>
          <w:lang w:val="en-GB"/>
        </w:rPr>
      </w:pPr>
      <w:r w:rsidRPr="009B76C9">
        <w:rPr>
          <w:b/>
          <w:lang w:val="en-GB"/>
        </w:rPr>
        <w:t>Critical Evaluation of the dividend distribution policy of Unilever</w:t>
      </w:r>
    </w:p>
    <w:p w14:paraId="0337BC9D" w14:textId="77777777" w:rsidR="008B2D0B" w:rsidRPr="009B76C9" w:rsidRDefault="00167D3F" w:rsidP="009F74CA">
      <w:pPr>
        <w:ind w:firstLine="720"/>
        <w:rPr>
          <w:lang w:val="en-GB"/>
        </w:rPr>
      </w:pPr>
      <w:r w:rsidRPr="009B76C9">
        <w:rPr>
          <w:lang w:val="en-GB"/>
        </w:rPr>
        <w:t>Unilever is a multinational corporation based in the United Kingdom offering consumer goods to potential consumers across the world. The dividend distribution policy of the concerned firm has been dependent upon the “current year’s profit after tax” (Unilever, 2022). “Dividend distribution policy” mainly signifies the principles of the firm to measure the amount which can be distributed to the equity shareholders equally in accordance with their shares (</w:t>
      </w:r>
      <w:proofErr w:type="spellStart"/>
      <w:r w:rsidRPr="009B76C9">
        <w:rPr>
          <w:lang w:val="en-GB"/>
        </w:rPr>
        <w:t>Kanakriyah</w:t>
      </w:r>
      <w:proofErr w:type="spellEnd"/>
      <w:r w:rsidRPr="009B76C9">
        <w:rPr>
          <w:lang w:val="en-GB"/>
        </w:rPr>
        <w:t>, 2020). In addition to that, it has been observed in this context that Unilever has mainly paid dividends around 4 times a year (Global Dividend Growth, 2022). In this context, the growth of dividend payments can be observed from the recent data. It signifies the dividend distribution approach of Unilever where the company has paid a total dividend of 1.91 US dollars per share which is correspondent to 4.26% of the dividend yield (Global Dividend Growth, 2022). It indicates that Unilever has maintained the “dividend relevance theory” and managed the dividend distribution approaches according to the relevant theoretical approaches.</w:t>
      </w:r>
    </w:p>
    <w:p w14:paraId="0C4B77E7" w14:textId="77777777" w:rsidR="008B2D0B" w:rsidRPr="009B76C9" w:rsidRDefault="00167D3F" w:rsidP="006D0DB2">
      <w:pPr>
        <w:ind w:firstLine="720"/>
        <w:rPr>
          <w:lang w:val="en-GB"/>
        </w:rPr>
      </w:pPr>
      <w:r w:rsidRPr="009B76C9">
        <w:rPr>
          <w:lang w:val="en-GB"/>
        </w:rPr>
        <w:t xml:space="preserve">As mentioned in the words of </w:t>
      </w:r>
      <w:proofErr w:type="spellStart"/>
      <w:r w:rsidRPr="009B76C9">
        <w:rPr>
          <w:lang w:val="en-GB"/>
        </w:rPr>
        <w:t>Morni</w:t>
      </w:r>
      <w:proofErr w:type="spellEnd"/>
      <w:r w:rsidRPr="009B76C9">
        <w:rPr>
          <w:lang w:val="en-GB"/>
        </w:rPr>
        <w:t xml:space="preserve"> </w:t>
      </w:r>
      <w:r w:rsidRPr="009B76C9">
        <w:rPr>
          <w:i/>
          <w:lang w:val="en-GB"/>
        </w:rPr>
        <w:t>et al.</w:t>
      </w:r>
      <w:r w:rsidRPr="009B76C9">
        <w:rPr>
          <w:lang w:val="en-GB"/>
        </w:rPr>
        <w:t xml:space="preserve"> (2019), “dividend relevance theory” signifies the dividend decision effects on the market value of the firm where it expresses the significance of the dividend distribution approach to enlarge the organisational growth. The concerned theory has also signified the influence of optimal dividend policy to establish the maximisation process of shareholders’ wealth (</w:t>
      </w:r>
      <w:proofErr w:type="spellStart"/>
      <w:r w:rsidRPr="009B76C9">
        <w:rPr>
          <w:lang w:val="en-GB"/>
        </w:rPr>
        <w:t>Sinnadurai</w:t>
      </w:r>
      <w:proofErr w:type="spellEnd"/>
      <w:r w:rsidRPr="009B76C9">
        <w:rPr>
          <w:lang w:val="en-GB"/>
        </w:rPr>
        <w:t xml:space="preserve"> </w:t>
      </w:r>
      <w:r w:rsidRPr="009B76C9">
        <w:rPr>
          <w:i/>
          <w:lang w:val="en-GB"/>
        </w:rPr>
        <w:t>et al.</w:t>
      </w:r>
      <w:r w:rsidRPr="009B76C9">
        <w:rPr>
          <w:lang w:val="en-GB"/>
        </w:rPr>
        <w:t xml:space="preserve"> 2021). On the other hand, as argued by </w:t>
      </w:r>
      <w:proofErr w:type="spellStart"/>
      <w:r w:rsidRPr="009B76C9">
        <w:rPr>
          <w:lang w:val="en-GB"/>
        </w:rPr>
        <w:lastRenderedPageBreak/>
        <w:t>Brusov</w:t>
      </w:r>
      <w:proofErr w:type="spellEnd"/>
      <w:r w:rsidRPr="009B76C9">
        <w:rPr>
          <w:lang w:val="en-GB"/>
        </w:rPr>
        <w:t xml:space="preserve"> </w:t>
      </w:r>
      <w:r w:rsidRPr="009B76C9">
        <w:rPr>
          <w:i/>
          <w:lang w:val="en-GB"/>
        </w:rPr>
        <w:t>et al.</w:t>
      </w:r>
      <w:r w:rsidRPr="009B76C9">
        <w:rPr>
          <w:lang w:val="en-GB"/>
        </w:rPr>
        <w:t xml:space="preserve"> (2020), the “irrelevance of dividend distribution” has been analysed by “Modigliani and Millar Dividend Theory” that argued the value of the organisation is mainly dependent on the basic earning power. The current theory has rejected the concerning factors of “dividend relevance theory” and argued that the investment options of the shareholders cannot be dependent upon the dividend decision but on the MNCs’ profitability (Al-</w:t>
      </w:r>
      <w:proofErr w:type="spellStart"/>
      <w:r w:rsidRPr="009B76C9">
        <w:rPr>
          <w:lang w:val="en-GB"/>
        </w:rPr>
        <w:t>Kahtani</w:t>
      </w:r>
      <w:proofErr w:type="spellEnd"/>
      <w:r w:rsidRPr="009B76C9">
        <w:rPr>
          <w:lang w:val="en-GB"/>
        </w:rPr>
        <w:t xml:space="preserve"> and Al-</w:t>
      </w:r>
      <w:proofErr w:type="spellStart"/>
      <w:r w:rsidRPr="009B76C9">
        <w:rPr>
          <w:lang w:val="en-GB"/>
        </w:rPr>
        <w:t>Eraij</w:t>
      </w:r>
      <w:proofErr w:type="spellEnd"/>
      <w:r w:rsidRPr="009B76C9">
        <w:rPr>
          <w:lang w:val="en-GB"/>
        </w:rPr>
        <w:t xml:space="preserve">, 2018). However, it has been observed in the context of Unilever that the firm has maintained dividend distribution which indicates the dividend distribution policy is relevant to the multinational corporations. Therefore, it can be said that the dividend distribution policy of Unilever has potentially impacted the company to ensure organisational growth. In addition to that, the firm can also be enabled to create shareholders’ value by the dividend policy of the organisation. </w:t>
      </w:r>
    </w:p>
    <w:p w14:paraId="46439A7C" w14:textId="77777777" w:rsidR="008B2D0B" w:rsidRPr="009B76C9" w:rsidRDefault="00167D3F">
      <w:pPr>
        <w:rPr>
          <w:b/>
          <w:lang w:val="en-GB"/>
        </w:rPr>
      </w:pPr>
      <w:r w:rsidRPr="009B76C9">
        <w:rPr>
          <w:b/>
          <w:lang w:val="en-GB"/>
        </w:rPr>
        <w:t>Critical Appraisal of the Market Hypothesis Theory considering Unilever’s operations</w:t>
      </w:r>
    </w:p>
    <w:p w14:paraId="2A8A4F0C" w14:textId="77777777" w:rsidR="008B2D0B" w:rsidRPr="009B76C9" w:rsidRDefault="00167D3F" w:rsidP="00223C66">
      <w:pPr>
        <w:ind w:firstLine="720"/>
        <w:rPr>
          <w:lang w:val="en-GB"/>
        </w:rPr>
      </w:pPr>
      <w:r w:rsidRPr="009B76C9">
        <w:rPr>
          <w:lang w:val="en-GB"/>
        </w:rPr>
        <w:t xml:space="preserve">The operational management of an organisation is specifically dependent upon the series of market hypotheses considering the assumptions relating to the share price and the market value. According to the words of Ying </w:t>
      </w:r>
      <w:r w:rsidRPr="009B76C9">
        <w:rPr>
          <w:i/>
          <w:lang w:val="en-GB"/>
        </w:rPr>
        <w:t>et al.</w:t>
      </w:r>
      <w:r w:rsidRPr="009B76C9">
        <w:rPr>
          <w:lang w:val="en-GB"/>
        </w:rPr>
        <w:t xml:space="preserve"> (2019), the “effective market hypothesis” is one of the theories of international finance management which assumed that stocks are mainly traded at their fair value in the context of exchange. In addition to that, it also influenced the investors by making it impossible to buy the stocks which have been undervalued and sell them at an inflated price. In this context, it has been seen that the effective market hypothesis involves three forms of market segmentation which includes strong, semi-strong, and weak (</w:t>
      </w:r>
      <w:proofErr w:type="spellStart"/>
      <w:r w:rsidRPr="009B76C9">
        <w:rPr>
          <w:lang w:val="en-GB"/>
        </w:rPr>
        <w:t>Dabic</w:t>
      </w:r>
      <w:proofErr w:type="spellEnd"/>
      <w:r w:rsidRPr="009B76C9">
        <w:rPr>
          <w:lang w:val="en-GB"/>
        </w:rPr>
        <w:t xml:space="preserve"> and </w:t>
      </w:r>
      <w:proofErr w:type="spellStart"/>
      <w:r w:rsidRPr="009B76C9">
        <w:rPr>
          <w:lang w:val="en-GB"/>
        </w:rPr>
        <w:t>Kiessling</w:t>
      </w:r>
      <w:proofErr w:type="spellEnd"/>
      <w:r w:rsidRPr="009B76C9">
        <w:rPr>
          <w:lang w:val="en-GB"/>
        </w:rPr>
        <w:t>, 2019). It mainly refers to the cornerstones of the modern financial theory which has a significant impact on the fundamentals of economic variables. In the context of Unilever, it has been found that the market efficiency of Unilever can be proclaimed based on the “effective market hypothesis theory”. It can enable the firm to distinguish the asymmetric and uncertain information (</w:t>
      </w:r>
      <w:proofErr w:type="spellStart"/>
      <w:r w:rsidRPr="009B76C9">
        <w:rPr>
          <w:lang w:val="en-GB"/>
        </w:rPr>
        <w:t>Dabic</w:t>
      </w:r>
      <w:proofErr w:type="spellEnd"/>
      <w:r w:rsidRPr="009B76C9">
        <w:rPr>
          <w:lang w:val="en-GB"/>
        </w:rPr>
        <w:t xml:space="preserve"> and </w:t>
      </w:r>
      <w:proofErr w:type="spellStart"/>
      <w:r w:rsidRPr="009B76C9">
        <w:rPr>
          <w:lang w:val="en-GB"/>
        </w:rPr>
        <w:t>Kiessling</w:t>
      </w:r>
      <w:proofErr w:type="spellEnd"/>
      <w:r w:rsidRPr="009B76C9">
        <w:rPr>
          <w:lang w:val="en-GB"/>
        </w:rPr>
        <w:t xml:space="preserve">, 2019). </w:t>
      </w:r>
    </w:p>
    <w:p w14:paraId="170738E8" w14:textId="77777777" w:rsidR="008B2D0B" w:rsidRPr="009B76C9" w:rsidRDefault="00167D3F" w:rsidP="00460AC8">
      <w:pPr>
        <w:ind w:firstLine="720"/>
        <w:rPr>
          <w:lang w:val="en-GB"/>
        </w:rPr>
      </w:pPr>
      <w:r w:rsidRPr="009B76C9">
        <w:rPr>
          <w:lang w:val="en-GB"/>
        </w:rPr>
        <w:t xml:space="preserve">In addition to that, the market efficiency of the MNCs can be defined by the fundamentals of the hypothesis in terms of defining the operational performance of Unilever. Therefore, it can be said in this context that the main aspect of the concerned theory is dependent on the hypothesis that the share price of Unilever can disclose the organisational information with respect to the operational issues and advantages of the firm. On the other hand, as argued by Ying </w:t>
      </w:r>
      <w:r w:rsidRPr="009B76C9">
        <w:rPr>
          <w:i/>
          <w:lang w:val="en-GB"/>
        </w:rPr>
        <w:t xml:space="preserve">et al. </w:t>
      </w:r>
      <w:r w:rsidRPr="009B76C9">
        <w:rPr>
          <w:lang w:val="en-GB"/>
        </w:rPr>
        <w:t xml:space="preserve">(2019), the “efficient market hypothesis” is irrelevant to predicting the actual trends of the firm as the share price cannot determine the market strengths of the company relating to the undervalued stocks. It signifies that the “efficient market hypothesis” has involved the limitations of predicting trends and cannot define the reasons </w:t>
      </w:r>
      <w:r w:rsidRPr="009B76C9">
        <w:rPr>
          <w:lang w:val="en-GB"/>
        </w:rPr>
        <w:lastRenderedPageBreak/>
        <w:t>behind undervalued stocks. It can enlarge the agency issues in the context of multinational corporations (Kong</w:t>
      </w:r>
      <w:r w:rsidRPr="009B76C9">
        <w:rPr>
          <w:i/>
          <w:lang w:val="en-GB"/>
        </w:rPr>
        <w:t xml:space="preserve"> et al.</w:t>
      </w:r>
      <w:r w:rsidRPr="009B76C9">
        <w:rPr>
          <w:lang w:val="en-GB"/>
        </w:rPr>
        <w:t xml:space="preserve"> 2018). The agency theory mainly helps the MNCs to resolve issues within the relationship between the agents and principles (</w:t>
      </w:r>
      <w:proofErr w:type="spellStart"/>
      <w:r w:rsidRPr="009B76C9">
        <w:rPr>
          <w:lang w:val="en-GB"/>
        </w:rPr>
        <w:t>Kostova</w:t>
      </w:r>
      <w:proofErr w:type="spellEnd"/>
      <w:r w:rsidRPr="009B76C9">
        <w:rPr>
          <w:lang w:val="en-GB"/>
        </w:rPr>
        <w:t xml:space="preserve"> </w:t>
      </w:r>
      <w:r w:rsidRPr="009B76C9">
        <w:rPr>
          <w:i/>
          <w:lang w:val="en-GB"/>
        </w:rPr>
        <w:t>et al.</w:t>
      </w:r>
      <w:r w:rsidRPr="009B76C9">
        <w:rPr>
          <w:lang w:val="en-GB"/>
        </w:rPr>
        <w:t xml:space="preserve"> 2018). In this context, the agency issues can be defined by the agency theory in accordance with the operational management of Unilever. Therefore, it can be said that the “efficient market hypothesis” can create significant limitations for the company which can be resolved with the agency theory by defining the operational management issues.       </w:t>
      </w:r>
    </w:p>
    <w:p w14:paraId="0B1EE2F1" w14:textId="77777777" w:rsidR="008B2D0B" w:rsidRPr="009B76C9" w:rsidRDefault="00167D3F">
      <w:pPr>
        <w:rPr>
          <w:b/>
          <w:lang w:val="en-GB"/>
        </w:rPr>
      </w:pPr>
      <w:r w:rsidRPr="009B76C9">
        <w:rPr>
          <w:b/>
          <w:lang w:val="en-GB"/>
        </w:rPr>
        <w:t>Critical Analysis of the methods of appraising projects</w:t>
      </w:r>
    </w:p>
    <w:p w14:paraId="3AF4F60B" w14:textId="77777777" w:rsidR="008B2D0B" w:rsidRPr="009B76C9" w:rsidRDefault="00167D3F" w:rsidP="008318CA">
      <w:pPr>
        <w:ind w:firstLine="720"/>
        <w:rPr>
          <w:lang w:val="en-GB"/>
        </w:rPr>
      </w:pPr>
      <w:r w:rsidRPr="009B76C9">
        <w:rPr>
          <w:lang w:val="en-GB"/>
        </w:rPr>
        <w:t xml:space="preserve">Multinational corporations (MNCs) have mainly followed the capital investment appraisal techniques to define the appraisal of the projects. According to the article of </w:t>
      </w:r>
      <w:proofErr w:type="spellStart"/>
      <w:r w:rsidRPr="009B76C9">
        <w:rPr>
          <w:lang w:val="en-GB"/>
        </w:rPr>
        <w:t>Siziba</w:t>
      </w:r>
      <w:proofErr w:type="spellEnd"/>
      <w:r w:rsidRPr="009B76C9">
        <w:rPr>
          <w:lang w:val="en-GB"/>
        </w:rPr>
        <w:t xml:space="preserve"> and Hall (2021), capital budgeting methods primarily involve “payback period”, “net present value”, “accounting rate of return”, and “internal rate of return” which have been used by multinational organisations in developing countries to measure the value of the project. Therefore, it can be said that the aforementioned methods can influence multinational firms to define the expected return from the projects considering the investment options and manage the funds accordingly. In this context, the most common budgeting technique of MNCs along with the stakeholders of the firms is the “net present value method” which can also be used by Unilever in the context of analysing capital investment appraisal. According to the article by Kasprowicz </w:t>
      </w:r>
      <w:r w:rsidRPr="009B76C9">
        <w:rPr>
          <w:i/>
          <w:lang w:val="en-GB"/>
        </w:rPr>
        <w:t>et al.</w:t>
      </w:r>
      <w:r w:rsidRPr="009B76C9">
        <w:rPr>
          <w:lang w:val="en-GB"/>
        </w:rPr>
        <w:t xml:space="preserve"> (2022), the “net present value” mainly defines the difference between the present and future value of cash flows by analysing the profitability of the investment decisions. It signifies the aspects of defining the projected value of the future return of the investment options. </w:t>
      </w:r>
    </w:p>
    <w:p w14:paraId="628FCA34" w14:textId="77777777" w:rsidR="008B2D0B" w:rsidRPr="009B76C9" w:rsidRDefault="00167D3F" w:rsidP="0077011C">
      <w:pPr>
        <w:ind w:firstLine="720"/>
        <w:rPr>
          <w:lang w:val="en-GB"/>
        </w:rPr>
      </w:pPr>
      <w:r w:rsidRPr="009B76C9">
        <w:rPr>
          <w:lang w:val="en-GB"/>
        </w:rPr>
        <w:t xml:space="preserve">In addition to that, it can also influence the investment decision of Unilever by defining the project value considering “time value of money”. On the other hand, as argued by </w:t>
      </w:r>
      <w:proofErr w:type="spellStart"/>
      <w:r w:rsidRPr="009B76C9">
        <w:rPr>
          <w:lang w:val="en-GB"/>
        </w:rPr>
        <w:t>Knoke</w:t>
      </w:r>
      <w:proofErr w:type="spellEnd"/>
      <w:r w:rsidRPr="009B76C9">
        <w:rPr>
          <w:lang w:val="en-GB"/>
        </w:rPr>
        <w:t xml:space="preserve"> </w:t>
      </w:r>
      <w:r w:rsidRPr="009B76C9">
        <w:rPr>
          <w:i/>
          <w:lang w:val="en-GB"/>
        </w:rPr>
        <w:t>et al.</w:t>
      </w:r>
      <w:r w:rsidRPr="009B76C9">
        <w:rPr>
          <w:lang w:val="en-GB"/>
        </w:rPr>
        <w:t xml:space="preserve"> (2020), the “net present value method” cannot provide accuracy of the actual return of the investment as it depends upon the guesswork regarding the cost of capital of the firm. Therefore, the concerned appraisal method can be replaced by the “non-discounting method” of capital budgeting which includes “payback period” and “accounting rate of return”. In this context, it has been observed that the “payback period” defines the expected recovery time of the initial investment in accordance with the liquidity margin of the cash flows (</w:t>
      </w:r>
      <w:proofErr w:type="spellStart"/>
      <w:r w:rsidRPr="009B76C9">
        <w:rPr>
          <w:lang w:val="en-GB"/>
        </w:rPr>
        <w:t>Zativita</w:t>
      </w:r>
      <w:proofErr w:type="spellEnd"/>
      <w:r w:rsidRPr="009B76C9">
        <w:rPr>
          <w:lang w:val="en-GB"/>
        </w:rPr>
        <w:t xml:space="preserve"> and </w:t>
      </w:r>
      <w:proofErr w:type="spellStart"/>
      <w:r w:rsidRPr="009B76C9">
        <w:rPr>
          <w:lang w:val="en-GB"/>
        </w:rPr>
        <w:t>Chumaidiyah</w:t>
      </w:r>
      <w:proofErr w:type="spellEnd"/>
      <w:r w:rsidRPr="009B76C9">
        <w:rPr>
          <w:lang w:val="en-GB"/>
        </w:rPr>
        <w:t>, 2019). The concerned method has ignored the time value of money which signifies the potential limitation of the current technique (</w:t>
      </w:r>
      <w:proofErr w:type="spellStart"/>
      <w:r w:rsidRPr="009B76C9">
        <w:rPr>
          <w:lang w:val="en-GB"/>
        </w:rPr>
        <w:t>Gorshkov</w:t>
      </w:r>
      <w:proofErr w:type="spellEnd"/>
      <w:r w:rsidRPr="009B76C9">
        <w:rPr>
          <w:lang w:val="en-GB"/>
        </w:rPr>
        <w:t xml:space="preserve"> </w:t>
      </w:r>
      <w:r w:rsidRPr="009B76C9">
        <w:rPr>
          <w:i/>
          <w:lang w:val="en-GB"/>
        </w:rPr>
        <w:t>et al.</w:t>
      </w:r>
      <w:r w:rsidRPr="009B76C9">
        <w:rPr>
          <w:lang w:val="en-GB"/>
        </w:rPr>
        <w:t xml:space="preserve"> 2018). Therefore, it can also be recommended to Unilever that the multinational firm can use the “payback period” as a tool of measuring “capital investment appraisal”. It can enable the firm to enhance the </w:t>
      </w:r>
      <w:r w:rsidRPr="009B76C9">
        <w:rPr>
          <w:lang w:val="en-GB"/>
        </w:rPr>
        <w:lastRenderedPageBreak/>
        <w:t xml:space="preserve">applicability of the capital investment techniques in relation to developing investment appraisal decisions.         </w:t>
      </w:r>
    </w:p>
    <w:p w14:paraId="414D0E4C" w14:textId="77777777" w:rsidR="008B2D0B" w:rsidRPr="009B76C9" w:rsidRDefault="00167D3F">
      <w:pPr>
        <w:pStyle w:val="Heading1"/>
        <w:rPr>
          <w:lang w:val="en-GB"/>
        </w:rPr>
      </w:pPr>
      <w:bookmarkStart w:id="4" w:name="_4iskchhpvb0h" w:colFirst="0" w:colLast="0"/>
      <w:bookmarkStart w:id="5" w:name="_Toc98261451"/>
      <w:bookmarkEnd w:id="4"/>
      <w:r w:rsidRPr="009B76C9">
        <w:rPr>
          <w:lang w:val="en-GB"/>
        </w:rPr>
        <w:t>Conclusion</w:t>
      </w:r>
      <w:bookmarkEnd w:id="5"/>
    </w:p>
    <w:p w14:paraId="442A588B" w14:textId="77777777" w:rsidR="008B2D0B" w:rsidRPr="009B76C9" w:rsidRDefault="00167D3F" w:rsidP="00B24D3A">
      <w:pPr>
        <w:ind w:firstLine="720"/>
        <w:rPr>
          <w:lang w:val="en-GB"/>
        </w:rPr>
      </w:pPr>
      <w:r w:rsidRPr="009B76C9">
        <w:rPr>
          <w:lang w:val="en-GB"/>
        </w:rPr>
        <w:t>Based on the above analysis, it can be concluded in the essay that multinational corporations have been influenced by international financial management which has also signified the issues of management and operations. In this context, the essay has analysed the organisational behaviour of Unilever to define the dividend distribution policy of the firm in accordance with the dividend theories. The “dividend relevance theory” along with the “dividend irrelevance theory” has been discussed to define the significance of the policies. In addition to that, the essay has also provided a critical analysis of the efficient market hypothesis theory which signifies that the concerned theory is irrelevant for Unilever as it assumes that the share price of the firm can define the organisational information to the shareholders. Furthermore, the capital appraisal techniques have also been discussed in this context which includes “net present value” and “payback period” apart from the “internal rate of return” and “accounting rate of return”.</w:t>
      </w:r>
    </w:p>
    <w:p w14:paraId="2793ABA8" w14:textId="77777777" w:rsidR="008B2D0B" w:rsidRPr="009B76C9" w:rsidRDefault="00167D3F">
      <w:pPr>
        <w:pStyle w:val="Heading1"/>
        <w:rPr>
          <w:lang w:val="en-GB"/>
        </w:rPr>
      </w:pPr>
      <w:bookmarkStart w:id="6" w:name="_9jbita77xdsn" w:colFirst="0" w:colLast="0"/>
      <w:bookmarkEnd w:id="6"/>
      <w:r w:rsidRPr="009B76C9">
        <w:rPr>
          <w:lang w:val="en-GB"/>
        </w:rPr>
        <w:br w:type="page"/>
      </w:r>
    </w:p>
    <w:p w14:paraId="672D19BB" w14:textId="77777777" w:rsidR="008B2D0B" w:rsidRPr="009D17E9" w:rsidRDefault="00167D3F">
      <w:pPr>
        <w:pStyle w:val="Heading1"/>
        <w:rPr>
          <w:lang w:val="it-IT"/>
        </w:rPr>
      </w:pPr>
      <w:bookmarkStart w:id="7" w:name="_bo9rvqavz6oc" w:colFirst="0" w:colLast="0"/>
      <w:bookmarkStart w:id="8" w:name="_Toc98261452"/>
      <w:bookmarkEnd w:id="7"/>
      <w:proofErr w:type="spellStart"/>
      <w:r w:rsidRPr="009D17E9">
        <w:rPr>
          <w:lang w:val="it-IT"/>
        </w:rPr>
        <w:lastRenderedPageBreak/>
        <w:t>References</w:t>
      </w:r>
      <w:bookmarkEnd w:id="8"/>
      <w:proofErr w:type="spellEnd"/>
    </w:p>
    <w:p w14:paraId="484102A2" w14:textId="77777777" w:rsidR="000A0FD6" w:rsidRPr="009B2F55" w:rsidRDefault="000A0FD6" w:rsidP="000A0FD6">
      <w:pPr>
        <w:rPr>
          <w:color w:val="000000" w:themeColor="text1"/>
          <w:shd w:val="clear" w:color="auto" w:fill="FFFFFF"/>
        </w:rPr>
      </w:pPr>
      <w:r w:rsidRPr="009D17E9">
        <w:rPr>
          <w:color w:val="000000" w:themeColor="text1"/>
          <w:shd w:val="clear" w:color="auto" w:fill="FFFFFF"/>
          <w:lang w:val="it-IT"/>
        </w:rPr>
        <w:t>Al-</w:t>
      </w:r>
      <w:proofErr w:type="spellStart"/>
      <w:r w:rsidRPr="009D17E9">
        <w:rPr>
          <w:color w:val="000000" w:themeColor="text1"/>
          <w:shd w:val="clear" w:color="auto" w:fill="FFFFFF"/>
          <w:lang w:val="it-IT"/>
        </w:rPr>
        <w:t>Kahtani</w:t>
      </w:r>
      <w:proofErr w:type="spellEnd"/>
      <w:r w:rsidRPr="009D17E9">
        <w:rPr>
          <w:color w:val="000000" w:themeColor="text1"/>
          <w:shd w:val="clear" w:color="auto" w:fill="FFFFFF"/>
          <w:lang w:val="it-IT"/>
        </w:rPr>
        <w:t>, N. and Al-</w:t>
      </w:r>
      <w:proofErr w:type="spellStart"/>
      <w:r w:rsidRPr="009D17E9">
        <w:rPr>
          <w:color w:val="000000" w:themeColor="text1"/>
          <w:shd w:val="clear" w:color="auto" w:fill="FFFFFF"/>
          <w:lang w:val="it-IT"/>
        </w:rPr>
        <w:t>Eraij</w:t>
      </w:r>
      <w:proofErr w:type="spellEnd"/>
      <w:r w:rsidRPr="009D17E9">
        <w:rPr>
          <w:color w:val="000000" w:themeColor="text1"/>
          <w:shd w:val="clear" w:color="auto" w:fill="FFFFFF"/>
          <w:lang w:val="it-IT"/>
        </w:rPr>
        <w:t xml:space="preserve">, M., 2018. </w:t>
      </w:r>
      <w:r w:rsidRPr="009B2F55">
        <w:rPr>
          <w:color w:val="000000" w:themeColor="text1"/>
          <w:shd w:val="clear" w:color="auto" w:fill="FFFFFF"/>
        </w:rPr>
        <w:t>Does capital structure matter? Reflection on capital structure irrelevance theory: Modigliani-Miller theorem (MM 1958). </w:t>
      </w:r>
      <w:r w:rsidRPr="009B2F55">
        <w:rPr>
          <w:i/>
          <w:iCs/>
          <w:color w:val="000000" w:themeColor="text1"/>
          <w:shd w:val="clear" w:color="auto" w:fill="FFFFFF"/>
        </w:rPr>
        <w:t>International Journal of Financial Services Management</w:t>
      </w:r>
      <w:r w:rsidRPr="009B2F55">
        <w:rPr>
          <w:color w:val="000000" w:themeColor="text1"/>
          <w:shd w:val="clear" w:color="auto" w:fill="FFFFFF"/>
        </w:rPr>
        <w:t>, </w:t>
      </w:r>
      <w:r w:rsidRPr="009B2F55">
        <w:rPr>
          <w:i/>
          <w:iCs/>
          <w:color w:val="000000" w:themeColor="text1"/>
          <w:shd w:val="clear" w:color="auto" w:fill="FFFFFF"/>
        </w:rPr>
        <w:t>9</w:t>
      </w:r>
      <w:r w:rsidRPr="009B2F55">
        <w:rPr>
          <w:color w:val="000000" w:themeColor="text1"/>
          <w:shd w:val="clear" w:color="auto" w:fill="FFFFFF"/>
        </w:rPr>
        <w:t>(1), pp.39-46.</w:t>
      </w:r>
    </w:p>
    <w:p w14:paraId="010EE9AE"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Brusov</w:t>
      </w:r>
      <w:proofErr w:type="spellEnd"/>
      <w:r w:rsidRPr="009B2F55">
        <w:rPr>
          <w:color w:val="000000" w:themeColor="text1"/>
          <w:shd w:val="clear" w:color="auto" w:fill="FFFFFF"/>
        </w:rPr>
        <w:t xml:space="preserve">, P.N., </w:t>
      </w:r>
      <w:proofErr w:type="spellStart"/>
      <w:r w:rsidRPr="009B2F55">
        <w:rPr>
          <w:color w:val="000000" w:themeColor="text1"/>
          <w:shd w:val="clear" w:color="auto" w:fill="FFFFFF"/>
        </w:rPr>
        <w:t>Filatova</w:t>
      </w:r>
      <w:proofErr w:type="spellEnd"/>
      <w:r w:rsidRPr="009B2F55">
        <w:rPr>
          <w:color w:val="000000" w:themeColor="text1"/>
          <w:shd w:val="clear" w:color="auto" w:fill="FFFFFF"/>
        </w:rPr>
        <w:t xml:space="preserve">, T.V., </w:t>
      </w:r>
      <w:proofErr w:type="spellStart"/>
      <w:r w:rsidRPr="009B2F55">
        <w:rPr>
          <w:color w:val="000000" w:themeColor="text1"/>
          <w:shd w:val="clear" w:color="auto" w:fill="FFFFFF"/>
        </w:rPr>
        <w:t>Orekhova</w:t>
      </w:r>
      <w:proofErr w:type="spellEnd"/>
      <w:r w:rsidRPr="009B2F55">
        <w:rPr>
          <w:color w:val="000000" w:themeColor="text1"/>
          <w:shd w:val="clear" w:color="auto" w:fill="FFFFFF"/>
        </w:rPr>
        <w:t>, N.P., Kulik, V.L., Chang, S.I. and Lin, Y.C.G., 2020. Modification of the Modigliani–Miller theory for the case of advance payments of tax on profit. </w:t>
      </w:r>
      <w:r w:rsidRPr="009B2F55">
        <w:rPr>
          <w:i/>
          <w:iCs/>
          <w:color w:val="000000" w:themeColor="text1"/>
          <w:shd w:val="clear" w:color="auto" w:fill="FFFFFF"/>
        </w:rPr>
        <w:t>Journal of Reviews on Global Economics</w:t>
      </w:r>
      <w:r w:rsidRPr="009B2F55">
        <w:rPr>
          <w:color w:val="000000" w:themeColor="text1"/>
          <w:shd w:val="clear" w:color="auto" w:fill="FFFFFF"/>
        </w:rPr>
        <w:t>, </w:t>
      </w:r>
      <w:r w:rsidRPr="009B2F55">
        <w:rPr>
          <w:i/>
          <w:iCs/>
          <w:color w:val="000000" w:themeColor="text1"/>
          <w:shd w:val="clear" w:color="auto" w:fill="FFFFFF"/>
        </w:rPr>
        <w:t>9</w:t>
      </w:r>
      <w:r w:rsidRPr="009B2F55">
        <w:rPr>
          <w:color w:val="000000" w:themeColor="text1"/>
          <w:shd w:val="clear" w:color="auto" w:fill="FFFFFF"/>
        </w:rPr>
        <w:t>, pp.257-267.</w:t>
      </w:r>
    </w:p>
    <w:p w14:paraId="3427701C"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Dabic</w:t>
      </w:r>
      <w:proofErr w:type="spellEnd"/>
      <w:r w:rsidRPr="009B2F55">
        <w:rPr>
          <w:color w:val="000000" w:themeColor="text1"/>
          <w:shd w:val="clear" w:color="auto" w:fill="FFFFFF"/>
        </w:rPr>
        <w:t xml:space="preserve">, M. and </w:t>
      </w:r>
      <w:proofErr w:type="spellStart"/>
      <w:r w:rsidRPr="009B2F55">
        <w:rPr>
          <w:color w:val="000000" w:themeColor="text1"/>
          <w:shd w:val="clear" w:color="auto" w:fill="FFFFFF"/>
        </w:rPr>
        <w:t>Kiessling</w:t>
      </w:r>
      <w:proofErr w:type="spellEnd"/>
      <w:r w:rsidRPr="009B2F55">
        <w:rPr>
          <w:color w:val="000000" w:themeColor="text1"/>
          <w:shd w:val="clear" w:color="auto" w:fill="FFFFFF"/>
        </w:rPr>
        <w:t>, T., 2019. The performance implications of knowledge management and strategic alignment of MNC subsidiaries. </w:t>
      </w:r>
      <w:r w:rsidRPr="009B2F55">
        <w:rPr>
          <w:i/>
          <w:iCs/>
          <w:color w:val="000000" w:themeColor="text1"/>
          <w:shd w:val="clear" w:color="auto" w:fill="FFFFFF"/>
        </w:rPr>
        <w:t>Journal of Knowledge Management</w:t>
      </w:r>
      <w:r w:rsidRPr="009B2F55">
        <w:rPr>
          <w:color w:val="000000" w:themeColor="text1"/>
          <w:shd w:val="clear" w:color="auto" w:fill="FFFFFF"/>
        </w:rPr>
        <w:t>.</w:t>
      </w:r>
    </w:p>
    <w:p w14:paraId="6804A8FA" w14:textId="77777777" w:rsidR="000A0FD6" w:rsidRPr="009B2F55" w:rsidRDefault="000A0FD6" w:rsidP="000A0FD6">
      <w:pPr>
        <w:rPr>
          <w:color w:val="000000" w:themeColor="text1"/>
        </w:rPr>
      </w:pPr>
      <w:r w:rsidRPr="009B2F55">
        <w:rPr>
          <w:color w:val="000000" w:themeColor="text1"/>
        </w:rPr>
        <w:t xml:space="preserve">Global Dividend Growth, 2022. </w:t>
      </w:r>
      <w:r w:rsidRPr="009B2F55">
        <w:rPr>
          <w:i/>
          <w:color w:val="000000" w:themeColor="text1"/>
        </w:rPr>
        <w:t>UNILEVER DIVIDEND</w:t>
      </w:r>
      <w:r w:rsidRPr="009B2F55">
        <w:rPr>
          <w:color w:val="000000" w:themeColor="text1"/>
        </w:rPr>
        <w:t>. [Online] Available at: https://dividendstocks.cash/dividend-profile/Unilever-Dividend [Accessed on 15 March 2022].</w:t>
      </w:r>
    </w:p>
    <w:p w14:paraId="15D37D1D"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Gorshkov</w:t>
      </w:r>
      <w:proofErr w:type="spellEnd"/>
      <w:r w:rsidRPr="009B2F55">
        <w:rPr>
          <w:color w:val="000000" w:themeColor="text1"/>
          <w:shd w:val="clear" w:color="auto" w:fill="FFFFFF"/>
        </w:rPr>
        <w:t xml:space="preserve">, A.S., </w:t>
      </w:r>
      <w:proofErr w:type="spellStart"/>
      <w:r w:rsidRPr="009B2F55">
        <w:rPr>
          <w:color w:val="000000" w:themeColor="text1"/>
          <w:shd w:val="clear" w:color="auto" w:fill="FFFFFF"/>
        </w:rPr>
        <w:t>Vatin</w:t>
      </w:r>
      <w:proofErr w:type="spellEnd"/>
      <w:r w:rsidRPr="009B2F55">
        <w:rPr>
          <w:color w:val="000000" w:themeColor="text1"/>
          <w:shd w:val="clear" w:color="auto" w:fill="FFFFFF"/>
        </w:rPr>
        <w:t xml:space="preserve">, N.I., </w:t>
      </w:r>
      <w:proofErr w:type="spellStart"/>
      <w:r w:rsidRPr="009B2F55">
        <w:rPr>
          <w:color w:val="000000" w:themeColor="text1"/>
          <w:shd w:val="clear" w:color="auto" w:fill="FFFFFF"/>
        </w:rPr>
        <w:t>Rymkevich</w:t>
      </w:r>
      <w:proofErr w:type="spellEnd"/>
      <w:r w:rsidRPr="009B2F55">
        <w:rPr>
          <w:color w:val="000000" w:themeColor="text1"/>
          <w:shd w:val="clear" w:color="auto" w:fill="FFFFFF"/>
        </w:rPr>
        <w:t xml:space="preserve">, P.P. and </w:t>
      </w:r>
      <w:proofErr w:type="spellStart"/>
      <w:r w:rsidRPr="009B2F55">
        <w:rPr>
          <w:color w:val="000000" w:themeColor="text1"/>
          <w:shd w:val="clear" w:color="auto" w:fill="FFFFFF"/>
        </w:rPr>
        <w:t>Kydrevich</w:t>
      </w:r>
      <w:proofErr w:type="spellEnd"/>
      <w:r w:rsidRPr="009B2F55">
        <w:rPr>
          <w:color w:val="000000" w:themeColor="text1"/>
          <w:shd w:val="clear" w:color="auto" w:fill="FFFFFF"/>
        </w:rPr>
        <w:t>, O.O., 2018. Payback period of investments in energy saving. </w:t>
      </w:r>
      <w:r w:rsidRPr="009B2F55">
        <w:rPr>
          <w:i/>
          <w:iCs/>
          <w:color w:val="000000" w:themeColor="text1"/>
          <w:shd w:val="clear" w:color="auto" w:fill="FFFFFF"/>
        </w:rPr>
        <w:t>Magazine of Civil Engineering</w:t>
      </w:r>
      <w:r w:rsidRPr="009B2F55">
        <w:rPr>
          <w:color w:val="000000" w:themeColor="text1"/>
          <w:shd w:val="clear" w:color="auto" w:fill="FFFFFF"/>
        </w:rPr>
        <w:t>, (2).</w:t>
      </w:r>
    </w:p>
    <w:p w14:paraId="6D738E1C"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Kanakriyah</w:t>
      </w:r>
      <w:proofErr w:type="spellEnd"/>
      <w:r w:rsidRPr="009B2F55">
        <w:rPr>
          <w:color w:val="000000" w:themeColor="text1"/>
          <w:shd w:val="clear" w:color="auto" w:fill="FFFFFF"/>
        </w:rPr>
        <w:t>, R., 2020. Dividend policy and companies' financial performance. </w:t>
      </w:r>
      <w:r w:rsidRPr="009B2F55">
        <w:rPr>
          <w:i/>
          <w:iCs/>
          <w:color w:val="000000" w:themeColor="text1"/>
          <w:shd w:val="clear" w:color="auto" w:fill="FFFFFF"/>
        </w:rPr>
        <w:t>The Journal of Asian Finance, Economics, and Business</w:t>
      </w:r>
      <w:r w:rsidRPr="009B2F55">
        <w:rPr>
          <w:color w:val="000000" w:themeColor="text1"/>
          <w:shd w:val="clear" w:color="auto" w:fill="FFFFFF"/>
        </w:rPr>
        <w:t>, </w:t>
      </w:r>
      <w:r w:rsidRPr="009B2F55">
        <w:rPr>
          <w:i/>
          <w:iCs/>
          <w:color w:val="000000" w:themeColor="text1"/>
          <w:shd w:val="clear" w:color="auto" w:fill="FFFFFF"/>
        </w:rPr>
        <w:t>7</w:t>
      </w:r>
      <w:r w:rsidRPr="009B2F55">
        <w:rPr>
          <w:color w:val="000000" w:themeColor="text1"/>
          <w:shd w:val="clear" w:color="auto" w:fill="FFFFFF"/>
        </w:rPr>
        <w:t>(10), pp.531-541.</w:t>
      </w:r>
    </w:p>
    <w:p w14:paraId="051FBA71" w14:textId="77777777" w:rsidR="000A0FD6" w:rsidRPr="009B2F55" w:rsidRDefault="000A0FD6" w:rsidP="000A0FD6">
      <w:pPr>
        <w:rPr>
          <w:color w:val="000000" w:themeColor="text1"/>
        </w:rPr>
      </w:pPr>
      <w:r w:rsidRPr="009B2F55">
        <w:rPr>
          <w:color w:val="000000" w:themeColor="text1"/>
          <w:shd w:val="clear" w:color="auto" w:fill="FFFFFF"/>
        </w:rPr>
        <w:t xml:space="preserve">Kasprowicz, T., </w:t>
      </w:r>
      <w:proofErr w:type="spellStart"/>
      <w:r w:rsidRPr="009B2F55">
        <w:rPr>
          <w:color w:val="000000" w:themeColor="text1"/>
          <w:shd w:val="clear" w:color="auto" w:fill="FFFFFF"/>
        </w:rPr>
        <w:t>Starczyk-Kołbyk</w:t>
      </w:r>
      <w:proofErr w:type="spellEnd"/>
      <w:r w:rsidRPr="009B2F55">
        <w:rPr>
          <w:color w:val="000000" w:themeColor="text1"/>
          <w:shd w:val="clear" w:color="auto" w:fill="FFFFFF"/>
        </w:rPr>
        <w:t xml:space="preserve">, A. and </w:t>
      </w:r>
      <w:proofErr w:type="spellStart"/>
      <w:r w:rsidRPr="009B2F55">
        <w:rPr>
          <w:color w:val="000000" w:themeColor="text1"/>
          <w:shd w:val="clear" w:color="auto" w:fill="FFFFFF"/>
        </w:rPr>
        <w:t>Wójcik</w:t>
      </w:r>
      <w:proofErr w:type="spellEnd"/>
      <w:r w:rsidRPr="009B2F55">
        <w:rPr>
          <w:color w:val="000000" w:themeColor="text1"/>
          <w:shd w:val="clear" w:color="auto" w:fill="FFFFFF"/>
        </w:rPr>
        <w:t>, R.R., 2022. The randomized method of estimating the net present value of construction projects efficiency. </w:t>
      </w:r>
      <w:r w:rsidRPr="009B2F55">
        <w:rPr>
          <w:i/>
          <w:iCs/>
          <w:color w:val="000000" w:themeColor="text1"/>
          <w:shd w:val="clear" w:color="auto" w:fill="FFFFFF"/>
        </w:rPr>
        <w:t>International Journal of Construction Management</w:t>
      </w:r>
      <w:r w:rsidRPr="009B2F55">
        <w:rPr>
          <w:color w:val="000000" w:themeColor="text1"/>
          <w:shd w:val="clear" w:color="auto" w:fill="FFFFFF"/>
        </w:rPr>
        <w:t>, pp.1-8.</w:t>
      </w:r>
    </w:p>
    <w:p w14:paraId="2D4034AE"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Knoke</w:t>
      </w:r>
      <w:proofErr w:type="spellEnd"/>
      <w:r w:rsidRPr="009B2F55">
        <w:rPr>
          <w:color w:val="000000" w:themeColor="text1"/>
          <w:shd w:val="clear" w:color="auto" w:fill="FFFFFF"/>
        </w:rPr>
        <w:t>, T., Gosling, E. and Paul, C., 2020. Use and misuse of the net present value in environmental studies. </w:t>
      </w:r>
      <w:r w:rsidRPr="009B2F55">
        <w:rPr>
          <w:i/>
          <w:iCs/>
          <w:color w:val="000000" w:themeColor="text1"/>
          <w:shd w:val="clear" w:color="auto" w:fill="FFFFFF"/>
        </w:rPr>
        <w:t>Ecological Economics</w:t>
      </w:r>
      <w:r w:rsidRPr="009B2F55">
        <w:rPr>
          <w:color w:val="000000" w:themeColor="text1"/>
          <w:shd w:val="clear" w:color="auto" w:fill="FFFFFF"/>
        </w:rPr>
        <w:t>, </w:t>
      </w:r>
      <w:r w:rsidRPr="009B2F55">
        <w:rPr>
          <w:i/>
          <w:iCs/>
          <w:color w:val="000000" w:themeColor="text1"/>
          <w:shd w:val="clear" w:color="auto" w:fill="FFFFFF"/>
        </w:rPr>
        <w:t>174</w:t>
      </w:r>
      <w:r w:rsidRPr="009B2F55">
        <w:rPr>
          <w:color w:val="000000" w:themeColor="text1"/>
          <w:shd w:val="clear" w:color="auto" w:fill="FFFFFF"/>
        </w:rPr>
        <w:t>, p.106664.</w:t>
      </w:r>
    </w:p>
    <w:p w14:paraId="1331B076" w14:textId="77777777" w:rsidR="000A0FD6" w:rsidRPr="009B2F55" w:rsidRDefault="000A0FD6" w:rsidP="000A0FD6">
      <w:pPr>
        <w:rPr>
          <w:color w:val="000000" w:themeColor="text1"/>
          <w:shd w:val="clear" w:color="auto" w:fill="FFFFFF"/>
        </w:rPr>
      </w:pPr>
      <w:r w:rsidRPr="009B2F55">
        <w:rPr>
          <w:color w:val="000000" w:themeColor="text1"/>
          <w:shd w:val="clear" w:color="auto" w:fill="FFFFFF"/>
        </w:rPr>
        <w:t xml:space="preserve">Kong, L., </w:t>
      </w:r>
      <w:proofErr w:type="spellStart"/>
      <w:r w:rsidRPr="009B2F55">
        <w:rPr>
          <w:color w:val="000000" w:themeColor="text1"/>
          <w:shd w:val="clear" w:color="auto" w:fill="FFFFFF"/>
        </w:rPr>
        <w:t>Ciabuschi</w:t>
      </w:r>
      <w:proofErr w:type="spellEnd"/>
      <w:r w:rsidRPr="009B2F55">
        <w:rPr>
          <w:color w:val="000000" w:themeColor="text1"/>
          <w:shd w:val="clear" w:color="auto" w:fill="FFFFFF"/>
        </w:rPr>
        <w:t>, F. and Martín, O.M., 2018. Expatriate managers' relationships and reverse knowledge transfer within emerging market MNCs: The mediating role of subsidiary willingness. </w:t>
      </w:r>
      <w:r w:rsidRPr="009B2F55">
        <w:rPr>
          <w:i/>
          <w:iCs/>
          <w:color w:val="000000" w:themeColor="text1"/>
          <w:shd w:val="clear" w:color="auto" w:fill="FFFFFF"/>
        </w:rPr>
        <w:t>Journal of Business Research</w:t>
      </w:r>
      <w:r w:rsidRPr="009B2F55">
        <w:rPr>
          <w:color w:val="000000" w:themeColor="text1"/>
          <w:shd w:val="clear" w:color="auto" w:fill="FFFFFF"/>
        </w:rPr>
        <w:t>, </w:t>
      </w:r>
      <w:r w:rsidRPr="009B2F55">
        <w:rPr>
          <w:i/>
          <w:iCs/>
          <w:color w:val="000000" w:themeColor="text1"/>
          <w:shd w:val="clear" w:color="auto" w:fill="FFFFFF"/>
        </w:rPr>
        <w:t>93</w:t>
      </w:r>
      <w:r w:rsidRPr="009B2F55">
        <w:rPr>
          <w:color w:val="000000" w:themeColor="text1"/>
          <w:shd w:val="clear" w:color="auto" w:fill="FFFFFF"/>
        </w:rPr>
        <w:t>, pp.216-229.</w:t>
      </w:r>
    </w:p>
    <w:p w14:paraId="744B49A6"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Kostova</w:t>
      </w:r>
      <w:proofErr w:type="spellEnd"/>
      <w:r w:rsidRPr="009B2F55">
        <w:rPr>
          <w:color w:val="000000" w:themeColor="text1"/>
          <w:shd w:val="clear" w:color="auto" w:fill="FFFFFF"/>
        </w:rPr>
        <w:t xml:space="preserve">, T., Nell, P.C. and </w:t>
      </w:r>
      <w:proofErr w:type="spellStart"/>
      <w:r w:rsidRPr="009B2F55">
        <w:rPr>
          <w:color w:val="000000" w:themeColor="text1"/>
          <w:shd w:val="clear" w:color="auto" w:fill="FFFFFF"/>
        </w:rPr>
        <w:t>Hoenen</w:t>
      </w:r>
      <w:proofErr w:type="spellEnd"/>
      <w:r w:rsidRPr="009B2F55">
        <w:rPr>
          <w:color w:val="000000" w:themeColor="text1"/>
          <w:shd w:val="clear" w:color="auto" w:fill="FFFFFF"/>
        </w:rPr>
        <w:t>, A.K., 2018. Understanding agency problems in headquarters-subsidiary relationships in multinational corporations: A contextualized model. </w:t>
      </w:r>
      <w:r w:rsidRPr="009B2F55">
        <w:rPr>
          <w:i/>
          <w:iCs/>
          <w:color w:val="000000" w:themeColor="text1"/>
          <w:shd w:val="clear" w:color="auto" w:fill="FFFFFF"/>
        </w:rPr>
        <w:t>Journal of Management</w:t>
      </w:r>
      <w:r w:rsidRPr="009B2F55">
        <w:rPr>
          <w:color w:val="000000" w:themeColor="text1"/>
          <w:shd w:val="clear" w:color="auto" w:fill="FFFFFF"/>
        </w:rPr>
        <w:t>, </w:t>
      </w:r>
      <w:r w:rsidRPr="009B2F55">
        <w:rPr>
          <w:i/>
          <w:iCs/>
          <w:color w:val="000000" w:themeColor="text1"/>
          <w:shd w:val="clear" w:color="auto" w:fill="FFFFFF"/>
        </w:rPr>
        <w:t>44</w:t>
      </w:r>
      <w:r w:rsidRPr="009B2F55">
        <w:rPr>
          <w:color w:val="000000" w:themeColor="text1"/>
          <w:shd w:val="clear" w:color="auto" w:fill="FFFFFF"/>
        </w:rPr>
        <w:t>(7), pp.2611-2637.</w:t>
      </w:r>
    </w:p>
    <w:p w14:paraId="07555AA5"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Morni</w:t>
      </w:r>
      <w:proofErr w:type="spellEnd"/>
      <w:r w:rsidRPr="009B2F55">
        <w:rPr>
          <w:color w:val="000000" w:themeColor="text1"/>
          <w:shd w:val="clear" w:color="auto" w:fill="FFFFFF"/>
        </w:rPr>
        <w:t xml:space="preserve">, F., Iskandar, A.M. and </w:t>
      </w:r>
      <w:proofErr w:type="spellStart"/>
      <w:r w:rsidRPr="009B2F55">
        <w:rPr>
          <w:color w:val="000000" w:themeColor="text1"/>
          <w:shd w:val="clear" w:color="auto" w:fill="FFFFFF"/>
        </w:rPr>
        <w:t>Banchit</w:t>
      </w:r>
      <w:proofErr w:type="spellEnd"/>
      <w:r w:rsidRPr="009B2F55">
        <w:rPr>
          <w:color w:val="000000" w:themeColor="text1"/>
          <w:shd w:val="clear" w:color="auto" w:fill="FFFFFF"/>
        </w:rPr>
        <w:t xml:space="preserve">, A., 2019. The Relevance of Bird-in-Hand Theory to </w:t>
      </w:r>
      <w:proofErr w:type="spellStart"/>
      <w:r w:rsidRPr="009B2F55">
        <w:rPr>
          <w:color w:val="000000" w:themeColor="text1"/>
          <w:shd w:val="clear" w:color="auto" w:fill="FFFFFF"/>
        </w:rPr>
        <w:t>ShariahInclined</w:t>
      </w:r>
      <w:proofErr w:type="spellEnd"/>
      <w:r w:rsidRPr="009B2F55">
        <w:rPr>
          <w:color w:val="000000" w:themeColor="text1"/>
          <w:shd w:val="clear" w:color="auto" w:fill="FFFFFF"/>
        </w:rPr>
        <w:t xml:space="preserve"> Investors: A Case Study of Malaysia. </w:t>
      </w:r>
      <w:r w:rsidRPr="009B2F55">
        <w:rPr>
          <w:i/>
          <w:iCs/>
          <w:color w:val="000000" w:themeColor="text1"/>
          <w:shd w:val="clear" w:color="auto" w:fill="FFFFFF"/>
        </w:rPr>
        <w:t>Journal of International Business, Economics and Entrepreneurship</w:t>
      </w:r>
      <w:r w:rsidRPr="009B2F55">
        <w:rPr>
          <w:color w:val="000000" w:themeColor="text1"/>
          <w:shd w:val="clear" w:color="auto" w:fill="FFFFFF"/>
        </w:rPr>
        <w:t>, </w:t>
      </w:r>
      <w:r w:rsidRPr="009B2F55">
        <w:rPr>
          <w:i/>
          <w:iCs/>
          <w:color w:val="000000" w:themeColor="text1"/>
          <w:shd w:val="clear" w:color="auto" w:fill="FFFFFF"/>
        </w:rPr>
        <w:t>4</w:t>
      </w:r>
      <w:r w:rsidRPr="009B2F55">
        <w:rPr>
          <w:color w:val="000000" w:themeColor="text1"/>
          <w:shd w:val="clear" w:color="auto" w:fill="FFFFFF"/>
        </w:rPr>
        <w:t>(2), pp.67-72.</w:t>
      </w:r>
    </w:p>
    <w:p w14:paraId="708330CC"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Sinnadurai</w:t>
      </w:r>
      <w:proofErr w:type="spellEnd"/>
      <w:r w:rsidRPr="009B2F55">
        <w:rPr>
          <w:color w:val="000000" w:themeColor="text1"/>
          <w:shd w:val="clear" w:color="auto" w:fill="FFFFFF"/>
        </w:rPr>
        <w:t>, P., Subramaniam, R. and Devi, S., 2021. The Influence of Government Shareholding on Dividend Policy in Malaysia. </w:t>
      </w:r>
      <w:r w:rsidRPr="009B2F55">
        <w:rPr>
          <w:i/>
          <w:iCs/>
          <w:color w:val="000000" w:themeColor="text1"/>
          <w:shd w:val="clear" w:color="auto" w:fill="FFFFFF"/>
        </w:rPr>
        <w:t>International Journal of Financial Studies</w:t>
      </w:r>
      <w:r w:rsidRPr="009B2F55">
        <w:rPr>
          <w:color w:val="000000" w:themeColor="text1"/>
          <w:shd w:val="clear" w:color="auto" w:fill="FFFFFF"/>
        </w:rPr>
        <w:t>, </w:t>
      </w:r>
      <w:r w:rsidRPr="009B2F55">
        <w:rPr>
          <w:i/>
          <w:iCs/>
          <w:color w:val="000000" w:themeColor="text1"/>
          <w:shd w:val="clear" w:color="auto" w:fill="FFFFFF"/>
        </w:rPr>
        <w:t>9</w:t>
      </w:r>
      <w:r w:rsidRPr="009B2F55">
        <w:rPr>
          <w:color w:val="000000" w:themeColor="text1"/>
          <w:shd w:val="clear" w:color="auto" w:fill="FFFFFF"/>
        </w:rPr>
        <w:t>(3), p.49.</w:t>
      </w:r>
    </w:p>
    <w:p w14:paraId="73F3FF89"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lastRenderedPageBreak/>
        <w:t>Siziba</w:t>
      </w:r>
      <w:proofErr w:type="spellEnd"/>
      <w:r w:rsidRPr="009B2F55">
        <w:rPr>
          <w:color w:val="000000" w:themeColor="text1"/>
          <w:shd w:val="clear" w:color="auto" w:fill="FFFFFF"/>
        </w:rPr>
        <w:t>, S. and Hall, J.H., 2021. The evolution of the application of capital budgeting techniques in enterprises. </w:t>
      </w:r>
      <w:r w:rsidRPr="009B2F55">
        <w:rPr>
          <w:i/>
          <w:iCs/>
          <w:color w:val="000000" w:themeColor="text1"/>
          <w:shd w:val="clear" w:color="auto" w:fill="FFFFFF"/>
        </w:rPr>
        <w:t>Global Finance Journal</w:t>
      </w:r>
      <w:r w:rsidRPr="009B2F55">
        <w:rPr>
          <w:color w:val="000000" w:themeColor="text1"/>
          <w:shd w:val="clear" w:color="auto" w:fill="FFFFFF"/>
        </w:rPr>
        <w:t>, </w:t>
      </w:r>
      <w:r w:rsidRPr="009B2F55">
        <w:rPr>
          <w:i/>
          <w:iCs/>
          <w:color w:val="000000" w:themeColor="text1"/>
          <w:shd w:val="clear" w:color="auto" w:fill="FFFFFF"/>
        </w:rPr>
        <w:t>47</w:t>
      </w:r>
      <w:r w:rsidRPr="009B2F55">
        <w:rPr>
          <w:color w:val="000000" w:themeColor="text1"/>
          <w:shd w:val="clear" w:color="auto" w:fill="FFFFFF"/>
        </w:rPr>
        <w:t>, p.100504.</w:t>
      </w:r>
    </w:p>
    <w:p w14:paraId="729F2DAB" w14:textId="77777777" w:rsidR="000A0FD6" w:rsidRPr="009B2F55" w:rsidRDefault="000A0FD6" w:rsidP="000A0FD6">
      <w:pPr>
        <w:rPr>
          <w:color w:val="000000" w:themeColor="text1"/>
        </w:rPr>
      </w:pPr>
      <w:r w:rsidRPr="009B2F55">
        <w:rPr>
          <w:color w:val="000000" w:themeColor="text1"/>
        </w:rPr>
        <w:t xml:space="preserve">Unilever, 2022. </w:t>
      </w:r>
      <w:r w:rsidRPr="009B2F55">
        <w:rPr>
          <w:i/>
          <w:color w:val="000000" w:themeColor="text1"/>
        </w:rPr>
        <w:t>Dividend information</w:t>
      </w:r>
      <w:r w:rsidRPr="009B2F55">
        <w:rPr>
          <w:color w:val="000000" w:themeColor="text1"/>
        </w:rPr>
        <w:t>. [Online] Available at: https://www.unilever.com/investors/shareholder-centre/dividend-history/ [Accessed on 15 March 2022].</w:t>
      </w:r>
    </w:p>
    <w:p w14:paraId="5FA7DF8C" w14:textId="77777777" w:rsidR="000A0FD6" w:rsidRPr="009B2F55" w:rsidRDefault="000A0FD6" w:rsidP="000A0FD6">
      <w:pPr>
        <w:rPr>
          <w:color w:val="000000" w:themeColor="text1"/>
          <w:shd w:val="clear" w:color="auto" w:fill="FFFFFF"/>
        </w:rPr>
      </w:pPr>
      <w:r w:rsidRPr="009B2F55">
        <w:rPr>
          <w:color w:val="000000" w:themeColor="text1"/>
          <w:shd w:val="clear" w:color="auto" w:fill="FFFFFF"/>
        </w:rPr>
        <w:t>Ying, Q., Yousaf, T., Ain, Q.U., Akhtar, Y. and Rasheed, M.S., 2019. Stock investment and excess returns: a critical review in the light of the efficient market hypothesis. </w:t>
      </w:r>
      <w:r w:rsidRPr="009B2F55">
        <w:rPr>
          <w:i/>
          <w:iCs/>
          <w:color w:val="000000" w:themeColor="text1"/>
          <w:shd w:val="clear" w:color="auto" w:fill="FFFFFF"/>
        </w:rPr>
        <w:t>Journal of Risk and Financial Management</w:t>
      </w:r>
      <w:r w:rsidRPr="009B2F55">
        <w:rPr>
          <w:color w:val="000000" w:themeColor="text1"/>
          <w:shd w:val="clear" w:color="auto" w:fill="FFFFFF"/>
        </w:rPr>
        <w:t>, </w:t>
      </w:r>
      <w:r w:rsidRPr="009B2F55">
        <w:rPr>
          <w:i/>
          <w:iCs/>
          <w:color w:val="000000" w:themeColor="text1"/>
          <w:shd w:val="clear" w:color="auto" w:fill="FFFFFF"/>
        </w:rPr>
        <w:t>12</w:t>
      </w:r>
      <w:r w:rsidRPr="009B2F55">
        <w:rPr>
          <w:color w:val="000000" w:themeColor="text1"/>
          <w:shd w:val="clear" w:color="auto" w:fill="FFFFFF"/>
        </w:rPr>
        <w:t>(2), p.97.</w:t>
      </w:r>
    </w:p>
    <w:p w14:paraId="4637E363" w14:textId="77777777" w:rsidR="000A0FD6" w:rsidRPr="009B2F55" w:rsidRDefault="000A0FD6" w:rsidP="000A0FD6">
      <w:pPr>
        <w:rPr>
          <w:color w:val="000000" w:themeColor="text1"/>
          <w:shd w:val="clear" w:color="auto" w:fill="FFFFFF"/>
        </w:rPr>
      </w:pPr>
      <w:proofErr w:type="spellStart"/>
      <w:r w:rsidRPr="009B2F55">
        <w:rPr>
          <w:color w:val="000000" w:themeColor="text1"/>
          <w:shd w:val="clear" w:color="auto" w:fill="FFFFFF"/>
        </w:rPr>
        <w:t>Zativita</w:t>
      </w:r>
      <w:proofErr w:type="spellEnd"/>
      <w:r w:rsidRPr="009B2F55">
        <w:rPr>
          <w:color w:val="000000" w:themeColor="text1"/>
          <w:shd w:val="clear" w:color="auto" w:fill="FFFFFF"/>
        </w:rPr>
        <w:t xml:space="preserve">, F.I. and </w:t>
      </w:r>
      <w:proofErr w:type="spellStart"/>
      <w:r w:rsidRPr="009B2F55">
        <w:rPr>
          <w:color w:val="000000" w:themeColor="text1"/>
          <w:shd w:val="clear" w:color="auto" w:fill="FFFFFF"/>
        </w:rPr>
        <w:t>Chumaidiyah</w:t>
      </w:r>
      <w:proofErr w:type="spellEnd"/>
      <w:r w:rsidRPr="009B2F55">
        <w:rPr>
          <w:color w:val="000000" w:themeColor="text1"/>
          <w:shd w:val="clear" w:color="auto" w:fill="FFFFFF"/>
        </w:rPr>
        <w:t xml:space="preserve">, E., 2019, May. Feasibility analysis of </w:t>
      </w:r>
      <w:proofErr w:type="spellStart"/>
      <w:r w:rsidRPr="009B2F55">
        <w:rPr>
          <w:color w:val="000000" w:themeColor="text1"/>
          <w:shd w:val="clear" w:color="auto" w:fill="FFFFFF"/>
        </w:rPr>
        <w:t>Rumah</w:t>
      </w:r>
      <w:proofErr w:type="spellEnd"/>
      <w:r w:rsidRPr="009B2F55">
        <w:rPr>
          <w:color w:val="000000" w:themeColor="text1"/>
          <w:shd w:val="clear" w:color="auto" w:fill="FFFFFF"/>
        </w:rPr>
        <w:t xml:space="preserve"> Tempe </w:t>
      </w:r>
      <w:proofErr w:type="spellStart"/>
      <w:r w:rsidRPr="009B2F55">
        <w:rPr>
          <w:color w:val="000000" w:themeColor="text1"/>
          <w:shd w:val="clear" w:color="auto" w:fill="FFFFFF"/>
        </w:rPr>
        <w:t>Zanada</w:t>
      </w:r>
      <w:proofErr w:type="spellEnd"/>
      <w:r w:rsidRPr="009B2F55">
        <w:rPr>
          <w:color w:val="000000" w:themeColor="text1"/>
          <w:shd w:val="clear" w:color="auto" w:fill="FFFFFF"/>
        </w:rPr>
        <w:t xml:space="preserve"> establishment in Bandung using net present value, internal rate of return, and payback period. In </w:t>
      </w:r>
      <w:r w:rsidRPr="009B2F55">
        <w:rPr>
          <w:i/>
          <w:iCs/>
          <w:color w:val="000000" w:themeColor="text1"/>
          <w:shd w:val="clear" w:color="auto" w:fill="FFFFFF"/>
        </w:rPr>
        <w:t>IOP Conference Series: Materials Science and Engineering</w:t>
      </w:r>
      <w:r w:rsidRPr="009B2F55">
        <w:rPr>
          <w:color w:val="000000" w:themeColor="text1"/>
          <w:shd w:val="clear" w:color="auto" w:fill="FFFFFF"/>
        </w:rPr>
        <w:t> (Vol. 505, No. 1, p. 012007). IOP Publishing.</w:t>
      </w:r>
    </w:p>
    <w:p w14:paraId="691B2B86" w14:textId="77777777" w:rsidR="008B2D0B" w:rsidRPr="009B76C9" w:rsidRDefault="008B2D0B">
      <w:pPr>
        <w:rPr>
          <w:b/>
          <w:lang w:val="en-GB"/>
        </w:rPr>
      </w:pPr>
    </w:p>
    <w:sectPr w:rsidR="008B2D0B" w:rsidRPr="009B76C9" w:rsidSect="00220C15">
      <w:footerReference w:type="default" r:id="rId7"/>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CE64B" w14:textId="77777777" w:rsidR="00854277" w:rsidRDefault="00854277" w:rsidP="00220C15">
      <w:pPr>
        <w:spacing w:line="240" w:lineRule="auto"/>
      </w:pPr>
      <w:r>
        <w:separator/>
      </w:r>
    </w:p>
  </w:endnote>
  <w:endnote w:type="continuationSeparator" w:id="0">
    <w:p w14:paraId="7A8EBDD9" w14:textId="77777777" w:rsidR="00854277" w:rsidRDefault="00854277" w:rsidP="00220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15120"/>
      <w:docPartObj>
        <w:docPartGallery w:val="Page Numbers (Bottom of Page)"/>
        <w:docPartUnique/>
      </w:docPartObj>
    </w:sdtPr>
    <w:sdtEndPr/>
    <w:sdtContent>
      <w:p w14:paraId="15DBE937" w14:textId="77777777" w:rsidR="00220C15" w:rsidRDefault="00D1312F">
        <w:pPr>
          <w:pStyle w:val="Footer"/>
          <w:jc w:val="right"/>
        </w:pPr>
        <w:r>
          <w:fldChar w:fldCharType="begin"/>
        </w:r>
        <w:r>
          <w:instrText xml:space="preserve"> PAGE   \* MERGEFORMAT </w:instrText>
        </w:r>
        <w:r>
          <w:fldChar w:fldCharType="separate"/>
        </w:r>
        <w:r w:rsidR="00220C15">
          <w:rPr>
            <w:noProof/>
          </w:rPr>
          <w:t>8</w:t>
        </w:r>
        <w:r>
          <w:rPr>
            <w:noProof/>
          </w:rPr>
          <w:fldChar w:fldCharType="end"/>
        </w:r>
      </w:p>
    </w:sdtContent>
  </w:sdt>
  <w:p w14:paraId="308EA6B8" w14:textId="77777777" w:rsidR="00220C15" w:rsidRDefault="00220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3A68C" w14:textId="77777777" w:rsidR="00854277" w:rsidRDefault="00854277" w:rsidP="00220C15">
      <w:pPr>
        <w:spacing w:line="240" w:lineRule="auto"/>
      </w:pPr>
      <w:r>
        <w:separator/>
      </w:r>
    </w:p>
  </w:footnote>
  <w:footnote w:type="continuationSeparator" w:id="0">
    <w:p w14:paraId="35B36434" w14:textId="77777777" w:rsidR="00854277" w:rsidRDefault="00854277" w:rsidP="00220C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D0B"/>
    <w:rsid w:val="000126FF"/>
    <w:rsid w:val="000A0AF4"/>
    <w:rsid w:val="000A0FD6"/>
    <w:rsid w:val="000E66A3"/>
    <w:rsid w:val="00167D3F"/>
    <w:rsid w:val="00220C15"/>
    <w:rsid w:val="00223C66"/>
    <w:rsid w:val="00227799"/>
    <w:rsid w:val="002838D1"/>
    <w:rsid w:val="002D18DF"/>
    <w:rsid w:val="00345470"/>
    <w:rsid w:val="00460AC8"/>
    <w:rsid w:val="00470B20"/>
    <w:rsid w:val="00510DAB"/>
    <w:rsid w:val="005C2A4F"/>
    <w:rsid w:val="00654B49"/>
    <w:rsid w:val="006D0DB2"/>
    <w:rsid w:val="00742037"/>
    <w:rsid w:val="007513D8"/>
    <w:rsid w:val="00761F97"/>
    <w:rsid w:val="0077011C"/>
    <w:rsid w:val="007855F5"/>
    <w:rsid w:val="008318CA"/>
    <w:rsid w:val="00854277"/>
    <w:rsid w:val="00866670"/>
    <w:rsid w:val="008B2D0B"/>
    <w:rsid w:val="009B76C9"/>
    <w:rsid w:val="009C662D"/>
    <w:rsid w:val="009D17E9"/>
    <w:rsid w:val="009F74CA"/>
    <w:rsid w:val="00B12796"/>
    <w:rsid w:val="00B24D3A"/>
    <w:rsid w:val="00B74FB6"/>
    <w:rsid w:val="00BD6787"/>
    <w:rsid w:val="00D1312F"/>
    <w:rsid w:val="00DF6881"/>
    <w:rsid w:val="00EE6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28608"/>
  <w15:docId w15:val="{C857F88D-979B-4B8D-AB40-F489F6A3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B2D0B"/>
  </w:style>
  <w:style w:type="paragraph" w:styleId="Heading1">
    <w:name w:val="heading 1"/>
    <w:basedOn w:val="Normal"/>
    <w:next w:val="Normal"/>
    <w:rsid w:val="008B2D0B"/>
    <w:pPr>
      <w:keepNext/>
      <w:keepLines/>
      <w:outlineLvl w:val="0"/>
    </w:pPr>
    <w:rPr>
      <w:b/>
      <w:sz w:val="28"/>
      <w:szCs w:val="28"/>
    </w:rPr>
  </w:style>
  <w:style w:type="paragraph" w:styleId="Heading2">
    <w:name w:val="heading 2"/>
    <w:basedOn w:val="Normal"/>
    <w:next w:val="Normal"/>
    <w:rsid w:val="008B2D0B"/>
    <w:pPr>
      <w:keepNext/>
      <w:keepLines/>
      <w:spacing w:before="360" w:after="120"/>
      <w:outlineLvl w:val="1"/>
    </w:pPr>
    <w:rPr>
      <w:sz w:val="32"/>
      <w:szCs w:val="32"/>
    </w:rPr>
  </w:style>
  <w:style w:type="paragraph" w:styleId="Heading3">
    <w:name w:val="heading 3"/>
    <w:basedOn w:val="Normal"/>
    <w:next w:val="Normal"/>
    <w:rsid w:val="008B2D0B"/>
    <w:pPr>
      <w:keepNext/>
      <w:keepLines/>
      <w:spacing w:before="320" w:after="80"/>
      <w:outlineLvl w:val="2"/>
    </w:pPr>
    <w:rPr>
      <w:color w:val="434343"/>
      <w:sz w:val="28"/>
      <w:szCs w:val="28"/>
    </w:rPr>
  </w:style>
  <w:style w:type="paragraph" w:styleId="Heading4">
    <w:name w:val="heading 4"/>
    <w:basedOn w:val="Normal"/>
    <w:next w:val="Normal"/>
    <w:rsid w:val="008B2D0B"/>
    <w:pPr>
      <w:keepNext/>
      <w:keepLines/>
      <w:spacing w:before="280" w:after="80"/>
      <w:outlineLvl w:val="3"/>
    </w:pPr>
    <w:rPr>
      <w:color w:val="666666"/>
    </w:rPr>
  </w:style>
  <w:style w:type="paragraph" w:styleId="Heading5">
    <w:name w:val="heading 5"/>
    <w:basedOn w:val="Normal"/>
    <w:next w:val="Normal"/>
    <w:rsid w:val="008B2D0B"/>
    <w:pPr>
      <w:keepNext/>
      <w:keepLines/>
      <w:spacing w:before="240" w:after="80"/>
      <w:outlineLvl w:val="4"/>
    </w:pPr>
    <w:rPr>
      <w:color w:val="666666"/>
      <w:sz w:val="22"/>
      <w:szCs w:val="22"/>
    </w:rPr>
  </w:style>
  <w:style w:type="paragraph" w:styleId="Heading6">
    <w:name w:val="heading 6"/>
    <w:basedOn w:val="Normal"/>
    <w:next w:val="Normal"/>
    <w:rsid w:val="008B2D0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B2D0B"/>
    <w:pPr>
      <w:keepNext/>
      <w:keepLines/>
      <w:spacing w:after="60"/>
    </w:pPr>
    <w:rPr>
      <w:sz w:val="52"/>
      <w:szCs w:val="52"/>
    </w:rPr>
  </w:style>
  <w:style w:type="paragraph" w:styleId="Subtitle">
    <w:name w:val="Subtitle"/>
    <w:basedOn w:val="Normal"/>
    <w:next w:val="Normal"/>
    <w:rsid w:val="008B2D0B"/>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761F97"/>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761F97"/>
    <w:pPr>
      <w:spacing w:after="100"/>
    </w:pPr>
  </w:style>
  <w:style w:type="character" w:styleId="Hyperlink">
    <w:name w:val="Hyperlink"/>
    <w:basedOn w:val="DefaultParagraphFont"/>
    <w:uiPriority w:val="99"/>
    <w:unhideWhenUsed/>
    <w:rsid w:val="00761F97"/>
    <w:rPr>
      <w:color w:val="0000FF" w:themeColor="hyperlink"/>
      <w:u w:val="single"/>
    </w:rPr>
  </w:style>
  <w:style w:type="paragraph" w:styleId="BalloonText">
    <w:name w:val="Balloon Text"/>
    <w:basedOn w:val="Normal"/>
    <w:link w:val="BalloonTextChar"/>
    <w:uiPriority w:val="99"/>
    <w:semiHidden/>
    <w:unhideWhenUsed/>
    <w:rsid w:val="00761F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F97"/>
    <w:rPr>
      <w:rFonts w:ascii="Tahoma" w:hAnsi="Tahoma" w:cs="Tahoma"/>
      <w:sz w:val="16"/>
      <w:szCs w:val="16"/>
    </w:rPr>
  </w:style>
  <w:style w:type="paragraph" w:styleId="Header">
    <w:name w:val="header"/>
    <w:basedOn w:val="Normal"/>
    <w:link w:val="HeaderChar"/>
    <w:uiPriority w:val="99"/>
    <w:semiHidden/>
    <w:unhideWhenUsed/>
    <w:rsid w:val="00220C1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20C15"/>
  </w:style>
  <w:style w:type="paragraph" w:styleId="Footer">
    <w:name w:val="footer"/>
    <w:basedOn w:val="Normal"/>
    <w:link w:val="FooterChar"/>
    <w:uiPriority w:val="99"/>
    <w:unhideWhenUsed/>
    <w:rsid w:val="00220C15"/>
    <w:pPr>
      <w:tabs>
        <w:tab w:val="center" w:pos="4680"/>
        <w:tab w:val="right" w:pos="9360"/>
      </w:tabs>
      <w:spacing w:line="240" w:lineRule="auto"/>
    </w:pPr>
  </w:style>
  <w:style w:type="character" w:customStyle="1" w:styleId="FooterChar">
    <w:name w:val="Footer Char"/>
    <w:basedOn w:val="DefaultParagraphFont"/>
    <w:link w:val="Footer"/>
    <w:uiPriority w:val="99"/>
    <w:rsid w:val="00220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21AB9-9078-4F43-9D64-38F057307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rizea</dc:creator>
  <cp:lastModifiedBy>Ana-Maria Rizea (1917143)</cp:lastModifiedBy>
  <cp:revision>3</cp:revision>
  <dcterms:created xsi:type="dcterms:W3CDTF">2022-03-16T12:43:00Z</dcterms:created>
  <dcterms:modified xsi:type="dcterms:W3CDTF">2022-05-01T18:31:00Z</dcterms:modified>
</cp:coreProperties>
</file>