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oter4.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word/header5.xml" ContentType="application/vnd.openxmlformats-officedocument.wordprocessingml.header+xml"/>
  <Override PartName="/word/settings.xml" ContentType="application/vnd.openxmlformats-officedocument.wordprocessingml.settings+xml"/>
  <Override PartName="/docProps/custom.xml" ContentType="application/vnd.openxmlformats-officedocument.custom-properties+xml"/>
  <Override PartName="/word/header2.xml" ContentType="application/vnd.openxmlformats-officedocument.wordprocessingml.header+xml"/>
  <Override PartName="/word/footer3.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57EFBFD4">
      <w:pPr>
        <w:pStyle w:val="style0"/>
        <w:jc w:val="center"/>
        <w:rPr>
          <w:rFonts w:ascii="Arial" w:cs="Arial" w:hAnsi="Arial"/>
          <w:lang w:val="en-GB"/>
        </w:rPr>
      </w:pPr>
      <w:r>
        <w:rPr>
          <w:rFonts w:ascii="Arial" w:cs="Arial" w:hAnsi="Arial"/>
          <w:noProof/>
          <w:lang w:val="en-GB"/>
        </w:rPr>
        <w:drawing>
          <wp:inline distL="0" distT="0" distB="0" distR="0">
            <wp:extent cx="1809750" cy="723900"/>
            <wp:effectExtent l="0" t="0" r="0" b="0"/>
            <wp:docPr id="1026" name="image7.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7.png"/>
                    <pic:cNvPicPr/>
                  </pic:nvPicPr>
                  <pic:blipFill>
                    <a:blip r:embed="rId2" cstate="print"/>
                    <a:srcRect l="0" t="0" r="0" b="0"/>
                    <a:stretch/>
                  </pic:blipFill>
                  <pic:spPr>
                    <a:xfrm rot="0">
                      <a:off x="0" y="0"/>
                      <a:ext cx="1809750" cy="723900"/>
                    </a:xfrm>
                    <a:prstGeom prst="rect"/>
                  </pic:spPr>
                </pic:pic>
              </a:graphicData>
            </a:graphic>
          </wp:inline>
        </w:drawing>
      </w:r>
    </w:p>
    <w:p w14:paraId="239F13D7">
      <w:pPr>
        <w:pStyle w:val="style0"/>
        <w:jc w:val="center"/>
        <w:rPr>
          <w:rFonts w:ascii="Arial" w:cs="Arial" w:hAnsi="Arial"/>
          <w:lang w:val="en-GB"/>
        </w:rPr>
      </w:pPr>
    </w:p>
    <w:tbl>
      <w:tblPr>
        <w:tblStyle w:val="style4098"/>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526"/>
        <w:gridCol w:w="4820"/>
        <w:gridCol w:w="14"/>
      </w:tblGrid>
      <w:tr w14:paraId="5AA63A4C">
        <w:trPr>
          <w:gridAfter w:val="1"/>
          <w:wAfter w:w="14" w:type="dxa"/>
          <w:trHeight w:val="495" w:hRule="atLeast"/>
        </w:trPr>
        <w:tc>
          <w:tcPr>
            <w:tcW w:w="452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8C8E132">
            <w:pPr>
              <w:pStyle w:val="style0"/>
              <w:spacing w:before="120" w:after="120"/>
              <w:ind w:left="400"/>
              <w:jc w:val="center"/>
              <w:rPr>
                <w:rFonts w:ascii="Arial" w:cs="Arial" w:hAnsi="Arial"/>
                <w:b/>
                <w:bCs/>
                <w:lang w:val="en-GB"/>
              </w:rPr>
            </w:pPr>
            <w:r>
              <w:rPr>
                <w:rFonts w:ascii="Arial" w:cs="Arial" w:hAnsi="Arial"/>
                <w:b/>
                <w:bCs/>
                <w:lang w:val="en-GB"/>
              </w:rPr>
              <w:t>Student name</w:t>
            </w:r>
          </w:p>
        </w:tc>
        <w:tc>
          <w:tcPr>
            <w:tcW w:w="482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D73F695">
            <w:pPr>
              <w:pStyle w:val="style0"/>
              <w:spacing w:before="120" w:after="120"/>
              <w:jc w:val="left"/>
              <w:rPr>
                <w:rFonts w:ascii="Arial" w:cs="Arial" w:hAnsi="Arial"/>
                <w:b/>
                <w:bCs/>
                <w:lang w:val="en-GB"/>
              </w:rPr>
            </w:pPr>
            <w:r>
              <w:rPr>
                <w:rFonts w:ascii="Arial" w:cs="Arial" w:hAnsi="Arial"/>
                <w:b/>
                <w:bCs/>
                <w:lang w:val="en-US"/>
              </w:rPr>
              <w:t xml:space="preserve">                Bhavisha khistariya </w:t>
            </w:r>
          </w:p>
        </w:tc>
      </w:tr>
      <w:tr w14:paraId="24F647C9">
        <w:tblPrEx/>
        <w:trPr>
          <w:gridAfter w:val="1"/>
          <w:wAfter w:w="14" w:type="dxa"/>
          <w:trHeight w:val="495" w:hRule="atLeast"/>
        </w:trPr>
        <w:tc>
          <w:tcPr>
            <w:tcW w:w="452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14FDE73">
            <w:pPr>
              <w:pStyle w:val="style0"/>
              <w:spacing w:before="120" w:after="120"/>
              <w:ind w:left="400"/>
              <w:jc w:val="center"/>
              <w:rPr>
                <w:rFonts w:ascii="Arial" w:cs="Arial" w:hAnsi="Arial"/>
                <w:b/>
                <w:bCs/>
                <w:lang w:val="en-GB"/>
              </w:rPr>
            </w:pPr>
            <w:r>
              <w:rPr>
                <w:rFonts w:ascii="Arial" w:cs="Arial" w:hAnsi="Arial"/>
                <w:b/>
                <w:bCs/>
                <w:lang w:val="en-GB"/>
              </w:rPr>
              <w:t>Student ID number</w:t>
            </w:r>
          </w:p>
        </w:tc>
        <w:tc>
          <w:tcPr>
            <w:tcW w:w="482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015BD45">
            <w:pPr>
              <w:pStyle w:val="style0"/>
              <w:spacing w:before="120" w:after="120"/>
              <w:ind w:left="400"/>
              <w:jc w:val="center"/>
              <w:rPr>
                <w:rFonts w:ascii="Arial" w:cs="Arial" w:hAnsi="Arial"/>
                <w:b/>
                <w:bCs/>
                <w:lang w:val="en-GB"/>
              </w:rPr>
            </w:pPr>
            <w:r>
              <w:rPr>
                <w:rFonts w:ascii="Arial" w:cs="Arial" w:hAnsi="Arial"/>
                <w:b/>
                <w:bCs/>
                <w:lang w:val="en-US"/>
              </w:rPr>
              <w:t>2609963</w:t>
            </w:r>
          </w:p>
        </w:tc>
      </w:tr>
      <w:tr w14:paraId="7FD626A1">
        <w:tblPrEx/>
        <w:trPr>
          <w:trHeight w:val="495" w:hRule="atLeast"/>
        </w:trPr>
        <w:tc>
          <w:tcPr>
            <w:tcW w:w="4526"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6174BB4">
            <w:pPr>
              <w:pStyle w:val="style0"/>
              <w:spacing w:before="120" w:after="120"/>
              <w:ind w:left="400"/>
              <w:jc w:val="center"/>
              <w:rPr>
                <w:rFonts w:ascii="Arial" w:cs="Arial" w:hAnsi="Arial"/>
                <w:b/>
                <w:bCs/>
                <w:lang w:val="en-GB"/>
              </w:rPr>
            </w:pPr>
            <w:r>
              <w:rPr>
                <w:rFonts w:ascii="Arial" w:cs="Arial" w:hAnsi="Arial"/>
                <w:b/>
                <w:bCs/>
                <w:lang w:val="en-GB"/>
              </w:rPr>
              <w:t>Programme</w:t>
            </w:r>
          </w:p>
        </w:tc>
        <w:tc>
          <w:tcPr>
            <w:tcW w:w="4834" w:type="dxa"/>
            <w:gridSpan w:val="2"/>
            <w:tcBorders>
              <w:top w:val="nil"/>
              <w:left w:val="nil"/>
              <w:bottom w:val="single" w:sz="8" w:space="0" w:color="000000"/>
              <w:right w:val="single" w:sz="8" w:space="0" w:color="000000"/>
            </w:tcBorders>
            <w:tcMar>
              <w:top w:w="0" w:type="dxa"/>
              <w:left w:w="100" w:type="dxa"/>
              <w:bottom w:w="0" w:type="dxa"/>
              <w:right w:w="100" w:type="dxa"/>
            </w:tcMar>
          </w:tcPr>
          <w:p w14:paraId="36C006EB">
            <w:pPr>
              <w:pStyle w:val="style0"/>
              <w:spacing w:before="120" w:after="120"/>
              <w:jc w:val="center"/>
              <w:rPr>
                <w:rFonts w:ascii="Arial" w:cs="Arial" w:hAnsi="Arial"/>
                <w:b/>
                <w:bCs/>
                <w:lang w:val="en-GB"/>
              </w:rPr>
            </w:pPr>
            <w:r>
              <w:rPr>
                <w:rFonts w:ascii="Arial" w:cs="Arial" w:hAnsi="Arial"/>
                <w:b/>
                <w:bCs/>
                <w:lang w:val="en-GB"/>
              </w:rPr>
              <w:t>Master of Business Administration</w:t>
            </w:r>
          </w:p>
        </w:tc>
      </w:tr>
      <w:tr w14:paraId="1E7FA4E4">
        <w:tblPrEx/>
        <w:trPr>
          <w:trHeight w:val="495" w:hRule="atLeast"/>
        </w:trPr>
        <w:tc>
          <w:tcPr>
            <w:tcW w:w="4526"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594F6B5">
            <w:pPr>
              <w:pStyle w:val="style0"/>
              <w:spacing w:before="120" w:after="120"/>
              <w:ind w:left="400"/>
              <w:jc w:val="center"/>
              <w:rPr>
                <w:rFonts w:ascii="Arial" w:cs="Arial" w:hAnsi="Arial"/>
                <w:b/>
                <w:bCs/>
                <w:lang w:val="en-GB"/>
              </w:rPr>
            </w:pPr>
            <w:r>
              <w:rPr>
                <w:rFonts w:ascii="Arial" w:cs="Arial" w:hAnsi="Arial"/>
                <w:b/>
                <w:bCs/>
                <w:lang w:val="en-GB"/>
              </w:rPr>
              <w:t>Module</w:t>
            </w:r>
            <w:r>
              <w:rPr>
                <w:rFonts w:ascii="Arial" w:cs="Arial" w:hAnsi="Arial"/>
                <w:b/>
                <w:bCs/>
                <w:lang w:val="en-GB"/>
              </w:rPr>
              <w:t xml:space="preserve"> Title</w:t>
            </w:r>
          </w:p>
        </w:tc>
        <w:tc>
          <w:tcPr>
            <w:tcW w:w="4834" w:type="dxa"/>
            <w:gridSpan w:val="2"/>
            <w:tcBorders>
              <w:top w:val="nil"/>
              <w:left w:val="nil"/>
              <w:bottom w:val="single" w:sz="8" w:space="0" w:color="000000"/>
              <w:right w:val="single" w:sz="8" w:space="0" w:color="000000"/>
            </w:tcBorders>
            <w:tcMar>
              <w:top w:w="0" w:type="dxa"/>
              <w:left w:w="100" w:type="dxa"/>
              <w:bottom w:w="0" w:type="dxa"/>
              <w:right w:w="100" w:type="dxa"/>
            </w:tcMar>
          </w:tcPr>
          <w:p w14:paraId="4EC96049">
            <w:pPr>
              <w:pStyle w:val="style0"/>
              <w:spacing w:before="120" w:after="120"/>
              <w:jc w:val="center"/>
              <w:rPr>
                <w:rFonts w:ascii="Arial" w:cs="Arial" w:hAnsi="Arial"/>
                <w:b/>
                <w:bCs/>
                <w:lang w:val="en-GB"/>
              </w:rPr>
            </w:pPr>
            <w:r>
              <w:rPr>
                <w:rFonts w:ascii="Arial" w:cs="Arial" w:hAnsi="Arial"/>
                <w:b/>
                <w:bCs/>
                <w:lang w:val="en-GB"/>
              </w:rPr>
              <w:t>Human Capital Management</w:t>
            </w:r>
          </w:p>
        </w:tc>
      </w:tr>
      <w:tr w14:paraId="5C0A07F3">
        <w:tblPrEx/>
        <w:trPr>
          <w:gridAfter w:val="1"/>
          <w:wAfter w:w="14" w:type="dxa"/>
          <w:trHeight w:val="735" w:hRule="atLeast"/>
        </w:trPr>
        <w:tc>
          <w:tcPr>
            <w:tcW w:w="4526"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1E58689">
            <w:pPr>
              <w:pStyle w:val="style0"/>
              <w:spacing w:before="120" w:after="120"/>
              <w:ind w:left="400"/>
              <w:jc w:val="center"/>
              <w:rPr>
                <w:rFonts w:ascii="Arial" w:cs="Arial" w:hAnsi="Arial"/>
                <w:b/>
                <w:bCs/>
                <w:lang w:val="en-GB"/>
              </w:rPr>
            </w:pPr>
            <w:r>
              <w:rPr>
                <w:rFonts w:ascii="Arial" w:cs="Arial" w:hAnsi="Arial"/>
                <w:b/>
                <w:bCs/>
                <w:lang w:val="en-GB"/>
              </w:rPr>
              <w:t>Module code</w:t>
            </w:r>
          </w:p>
        </w:tc>
        <w:tc>
          <w:tcPr>
            <w:tcW w:w="4820" w:type="dxa"/>
            <w:tcBorders>
              <w:top w:val="nil"/>
              <w:left w:val="nil"/>
              <w:bottom w:val="single" w:sz="8" w:space="0" w:color="000000"/>
              <w:right w:val="single" w:sz="8" w:space="0" w:color="000000"/>
            </w:tcBorders>
            <w:tcMar>
              <w:top w:w="0" w:type="dxa"/>
              <w:left w:w="100" w:type="dxa"/>
              <w:bottom w:w="0" w:type="dxa"/>
              <w:right w:w="100" w:type="dxa"/>
            </w:tcMar>
          </w:tcPr>
          <w:p w14:paraId="7D670916">
            <w:pPr>
              <w:pStyle w:val="style0"/>
              <w:spacing w:before="120" w:after="120"/>
              <w:jc w:val="center"/>
              <w:rPr>
                <w:rFonts w:ascii="Arial" w:cs="Arial" w:hAnsi="Arial"/>
                <w:b/>
                <w:bCs/>
                <w:lang w:val="en-GB"/>
              </w:rPr>
            </w:pPr>
            <w:r>
              <w:rPr>
                <w:rFonts w:ascii="Arial" w:cs="Arial" w:hAnsi="Arial"/>
                <w:b/>
                <w:bCs/>
                <w:lang w:val="en-GB"/>
              </w:rPr>
              <w:t>LCMB7023</w:t>
            </w:r>
          </w:p>
          <w:bookmarkStart w:id="0" w:name="_8b4q8mkg3bj3" w:colFirst="0" w:colLast="0"/>
          <w:bookmarkEnd w:id="0"/>
        </w:tc>
      </w:tr>
      <w:tr w14:paraId="79531901">
        <w:tblPrEx/>
        <w:trPr>
          <w:gridAfter w:val="1"/>
          <w:wAfter w:w="14" w:type="dxa"/>
          <w:trHeight w:val="1095" w:hRule="atLeast"/>
        </w:trPr>
        <w:tc>
          <w:tcPr>
            <w:tcW w:w="4526"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7DFE9B8">
            <w:pPr>
              <w:pStyle w:val="style0"/>
              <w:spacing w:before="120" w:after="120"/>
              <w:jc w:val="center"/>
              <w:rPr>
                <w:rFonts w:ascii="Arial" w:cs="Arial" w:hAnsi="Arial"/>
                <w:b/>
                <w:bCs/>
                <w:lang w:val="en-GB"/>
              </w:rPr>
            </w:pPr>
            <w:r>
              <w:rPr>
                <w:rFonts w:ascii="Arial" w:cs="Arial" w:hAnsi="Arial"/>
                <w:b/>
                <w:bCs/>
                <w:lang w:val="en-GB"/>
              </w:rPr>
              <w:t>Lecturer</w:t>
            </w:r>
          </w:p>
        </w:tc>
        <w:tc>
          <w:tcPr>
            <w:tcW w:w="4820" w:type="dxa"/>
            <w:tcBorders>
              <w:top w:val="nil"/>
              <w:left w:val="nil"/>
              <w:bottom w:val="single" w:sz="8" w:space="0" w:color="000000"/>
              <w:right w:val="single" w:sz="8" w:space="0" w:color="000000"/>
            </w:tcBorders>
            <w:tcMar>
              <w:top w:w="0" w:type="dxa"/>
              <w:left w:w="100" w:type="dxa"/>
              <w:bottom w:w="0" w:type="dxa"/>
              <w:right w:w="100" w:type="dxa"/>
            </w:tcMar>
          </w:tcPr>
          <w:p w14:paraId="497E289D">
            <w:pPr>
              <w:pStyle w:val="style0"/>
              <w:spacing w:before="120" w:after="120"/>
              <w:jc w:val="left"/>
              <w:rPr>
                <w:rFonts w:ascii="Arial" w:cs="Arial" w:hAnsi="Arial"/>
                <w:b/>
                <w:bCs/>
                <w:lang w:val="en-GB"/>
              </w:rPr>
            </w:pPr>
            <w:r>
              <w:rPr>
                <w:rFonts w:ascii="Arial" w:cs="Arial" w:hAnsi="Arial"/>
                <w:b/>
                <w:bCs/>
                <w:lang w:val="en-US"/>
              </w:rPr>
              <w:t xml:space="preserve">      </w:t>
            </w:r>
            <w:r>
              <w:rPr>
                <w:rFonts w:ascii="Arial" w:cs="Arial" w:hAnsi="Arial"/>
                <w:b/>
                <w:bCs/>
                <w:lang w:val="en-GB"/>
              </w:rPr>
              <w:t>Eno Maycock (Birmingham)</w:t>
            </w:r>
          </w:p>
        </w:tc>
      </w:tr>
      <w:tr w14:paraId="03A9F086">
        <w:tblPrEx/>
        <w:trPr>
          <w:gridAfter w:val="1"/>
          <w:wAfter w:w="14" w:type="dxa"/>
          <w:trHeight w:val="735" w:hRule="atLeast"/>
        </w:trPr>
        <w:tc>
          <w:tcPr>
            <w:tcW w:w="4526"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3F33893">
            <w:pPr>
              <w:pStyle w:val="style0"/>
              <w:spacing w:before="120" w:after="120"/>
              <w:jc w:val="center"/>
              <w:rPr>
                <w:rFonts w:ascii="Arial" w:cs="Arial" w:hAnsi="Arial"/>
                <w:b/>
                <w:bCs/>
                <w:lang w:val="en-GB"/>
              </w:rPr>
            </w:pPr>
            <w:r>
              <w:rPr>
                <w:rFonts w:ascii="Arial" w:cs="Arial" w:hAnsi="Arial"/>
                <w:b/>
                <w:bCs/>
                <w:lang w:val="en-GB"/>
              </w:rPr>
              <w:t>Assignment Title</w:t>
            </w:r>
          </w:p>
        </w:tc>
        <w:tc>
          <w:tcPr>
            <w:tcW w:w="4820" w:type="dxa"/>
            <w:tcBorders>
              <w:top w:val="nil"/>
              <w:left w:val="nil"/>
              <w:bottom w:val="single" w:sz="8" w:space="0" w:color="000000"/>
              <w:right w:val="single" w:sz="8" w:space="0" w:color="000000"/>
            </w:tcBorders>
            <w:tcMar>
              <w:top w:w="0" w:type="dxa"/>
              <w:left w:w="100" w:type="dxa"/>
              <w:bottom w:w="0" w:type="dxa"/>
              <w:right w:w="100" w:type="dxa"/>
            </w:tcMar>
          </w:tcPr>
          <w:p w14:paraId="24CE0099">
            <w:pPr>
              <w:pStyle w:val="style0"/>
              <w:spacing w:before="120" w:after="120"/>
              <w:jc w:val="center"/>
              <w:rPr>
                <w:rFonts w:ascii="Arial" w:cs="Arial" w:hAnsi="Arial"/>
                <w:b/>
                <w:bCs/>
                <w:lang w:val="en-GB"/>
              </w:rPr>
            </w:pPr>
            <w:r>
              <w:rPr>
                <w:rFonts w:ascii="Arial" w:cs="Arial" w:hAnsi="Arial"/>
                <w:b/>
                <w:bCs/>
                <w:lang w:val="en-GB"/>
              </w:rPr>
              <w:t>Assessment component 1: Individual report</w:t>
            </w:r>
          </w:p>
        </w:tc>
      </w:tr>
      <w:tr w14:paraId="317FB268">
        <w:tblPrEx/>
        <w:trPr>
          <w:gridAfter w:val="1"/>
          <w:wAfter w:w="14" w:type="dxa"/>
          <w:trHeight w:val="735" w:hRule="atLeast"/>
        </w:trPr>
        <w:tc>
          <w:tcPr>
            <w:tcW w:w="4526"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406A964">
            <w:pPr>
              <w:pStyle w:val="style0"/>
              <w:spacing w:before="120" w:after="120"/>
              <w:jc w:val="center"/>
              <w:rPr>
                <w:rFonts w:ascii="Arial" w:cs="Arial" w:hAnsi="Arial"/>
                <w:b/>
                <w:bCs/>
                <w:lang w:val="en-GB"/>
              </w:rPr>
            </w:pPr>
            <w:r>
              <w:rPr>
                <w:rFonts w:ascii="Arial" w:cs="Arial" w:hAnsi="Arial"/>
                <w:b/>
                <w:bCs/>
                <w:lang w:val="en-GB"/>
              </w:rPr>
              <w:t>Word count</w:t>
            </w:r>
          </w:p>
        </w:tc>
        <w:tc>
          <w:tcPr>
            <w:tcW w:w="4820" w:type="dxa"/>
            <w:tcBorders>
              <w:top w:val="nil"/>
              <w:left w:val="nil"/>
              <w:bottom w:val="single" w:sz="8" w:space="0" w:color="000000"/>
              <w:right w:val="single" w:sz="8" w:space="0" w:color="000000"/>
            </w:tcBorders>
            <w:tcMar>
              <w:top w:w="0" w:type="dxa"/>
              <w:left w:w="100" w:type="dxa"/>
              <w:bottom w:w="0" w:type="dxa"/>
              <w:right w:w="100" w:type="dxa"/>
            </w:tcMar>
          </w:tcPr>
          <w:p w14:paraId="2E9D145B">
            <w:pPr>
              <w:pStyle w:val="style0"/>
              <w:spacing w:before="120" w:after="120"/>
              <w:jc w:val="center"/>
              <w:rPr>
                <w:rFonts w:ascii="Arial" w:cs="Arial" w:hAnsi="Arial"/>
                <w:b/>
                <w:bCs/>
                <w:lang w:val="en-GB"/>
              </w:rPr>
            </w:pPr>
            <w:r>
              <w:rPr>
                <w:rFonts w:ascii="Arial" w:cs="Arial" w:hAnsi="Arial"/>
                <w:b/>
                <w:bCs/>
                <w:lang w:val="en-GB"/>
              </w:rPr>
              <w:t>2,7</w:t>
            </w:r>
            <w:r>
              <w:rPr>
                <w:rFonts w:ascii="Arial" w:cs="Arial" w:hAnsi="Arial"/>
                <w:b/>
                <w:bCs/>
                <w:lang w:val="en-GB"/>
              </w:rPr>
              <w:t>38</w:t>
            </w:r>
          </w:p>
        </w:tc>
      </w:tr>
      <w:tr w14:paraId="0A407543">
        <w:tblPrEx/>
        <w:trPr>
          <w:gridAfter w:val="1"/>
          <w:wAfter w:w="14" w:type="dxa"/>
          <w:trHeight w:val="1155" w:hRule="atLeast"/>
        </w:trPr>
        <w:tc>
          <w:tcPr>
            <w:tcW w:w="4526"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97CF95B">
            <w:pPr>
              <w:pStyle w:val="style0"/>
              <w:spacing w:before="120" w:after="120"/>
              <w:jc w:val="center"/>
              <w:rPr>
                <w:rFonts w:ascii="Arial" w:cs="Arial" w:hAnsi="Arial"/>
                <w:b/>
                <w:bCs/>
                <w:lang w:val="en-GB"/>
              </w:rPr>
            </w:pPr>
            <w:r>
              <w:rPr>
                <w:rFonts w:ascii="Arial" w:cs="Arial" w:hAnsi="Arial"/>
                <w:b/>
                <w:bCs/>
                <w:lang w:val="en-GB"/>
              </w:rPr>
              <w:t>Submission deadline</w:t>
            </w:r>
          </w:p>
        </w:tc>
        <w:tc>
          <w:tcPr>
            <w:tcW w:w="4820" w:type="dxa"/>
            <w:tcBorders>
              <w:top w:val="nil"/>
              <w:left w:val="nil"/>
              <w:bottom w:val="single" w:sz="8" w:space="0" w:color="000000"/>
              <w:right w:val="single" w:sz="8" w:space="0" w:color="000000"/>
            </w:tcBorders>
            <w:tcMar>
              <w:top w:w="0" w:type="dxa"/>
              <w:left w:w="100" w:type="dxa"/>
              <w:bottom w:w="0" w:type="dxa"/>
              <w:right w:w="100" w:type="dxa"/>
            </w:tcMar>
          </w:tcPr>
          <w:p w14:paraId="3A76E622">
            <w:pPr>
              <w:pStyle w:val="style0"/>
              <w:spacing w:before="120" w:after="120"/>
              <w:jc w:val="center"/>
              <w:rPr>
                <w:rFonts w:ascii="Arial" w:cs="Arial" w:hAnsi="Arial"/>
                <w:b/>
                <w:bCs/>
                <w:color w:val="000000"/>
                <w:highlight w:val="none"/>
                <w:lang w:val="en-US"/>
              </w:rPr>
            </w:pPr>
            <w:r>
              <w:rPr>
                <w:rFonts w:ascii="Arial" w:cs="Arial" w:hAnsi="Arial"/>
                <w:b/>
                <w:bCs/>
                <w:color w:val="000000"/>
                <w:highlight w:val="none"/>
                <w:lang w:val="en-US"/>
              </w:rPr>
              <w:t>15 October 2026</w:t>
            </w:r>
          </w:p>
          <w:p w14:paraId="DA214743">
            <w:pPr>
              <w:pStyle w:val="style0"/>
              <w:spacing w:before="120" w:after="120"/>
              <w:jc w:val="center"/>
              <w:rPr>
                <w:rFonts w:ascii="Arial" w:cs="Arial" w:hAnsi="Arial"/>
                <w:b/>
                <w:bCs/>
                <w:color w:val="ff0000"/>
                <w:lang w:val="en-GB"/>
              </w:rPr>
            </w:pPr>
          </w:p>
        </w:tc>
      </w:tr>
    </w:tbl>
    <w:p w14:paraId="65DF4089">
      <w:pPr>
        <w:pStyle w:val="style0"/>
        <w:jc w:val="center"/>
        <w:rPr>
          <w:rFonts w:ascii="Arial" w:cs="Arial" w:hAnsi="Arial"/>
          <w:lang w:val="en-GB"/>
        </w:rPr>
      </w:pPr>
      <w:r>
        <w:rPr>
          <w:rFonts w:ascii="Arial" w:cs="Arial" w:hAnsi="Arial"/>
          <w:lang w:val="en-GB"/>
        </w:rPr>
        <w:br w:type="page"/>
      </w:r>
    </w:p>
    <w:bookmarkStart w:id="1" w:name="_t43vf3kpk46r" w:colFirst="0" w:colLast="0"/>
    <w:bookmarkEnd w:id="1"/>
    <w:p w14:paraId="40BBC6A0">
      <w:pPr>
        <w:pStyle w:val="style0"/>
        <w:jc w:val="center"/>
        <w:rPr>
          <w:rFonts w:ascii="Arial" w:cs="Arial" w:hAnsi="Arial"/>
          <w:b/>
          <w:lang w:val="en-GB"/>
        </w:rPr>
      </w:pPr>
      <w:r>
        <w:rPr>
          <w:rFonts w:ascii="Arial" w:cs="Arial" w:hAnsi="Arial"/>
          <w:b/>
          <w:lang w:val="en-GB"/>
        </w:rPr>
        <w:t xml:space="preserve">AI Declaration </w:t>
      </w:r>
    </w:p>
    <w:tbl>
      <w:tblPr>
        <w:tblStyle w:val="style154"/>
        <w:tblW w:w="5000" w:type="pct"/>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ook w:val="04A0" w:firstRow="1" w:lastRow="0" w:firstColumn="1" w:lastColumn="0" w:noHBand="0" w:noVBand="1"/>
      </w:tblPr>
      <w:tblGrid>
        <w:gridCol w:w="2320"/>
        <w:gridCol w:w="5563"/>
        <w:gridCol w:w="1461"/>
      </w:tblGrid>
      <w:tr w14:paraId="3CD7ACFC">
        <w:trPr>
          <w:trHeight w:val="300" w:hRule="atLeast"/>
        </w:trPr>
        <w:tc>
          <w:tcPr>
            <w:tcW w:w="1241" w:type="pct"/>
            <w:tcBorders/>
            <w:shd w:val="clear" w:color="auto" w:fill="ffffff"/>
            <w:tcMar>
              <w:left w:w="105" w:type="dxa"/>
              <w:right w:w="105" w:type="dxa"/>
            </w:tcMar>
          </w:tcPr>
          <w:p w14:paraId="7EBFAF74">
            <w:pPr>
              <w:pStyle w:val="style0"/>
              <w:spacing w:lineRule="auto" w:line="360"/>
              <w:rPr>
                <w:rFonts w:ascii="Arial" w:cs="Arial" w:eastAsia="Calibri" w:hAnsi="Arial"/>
                <w:sz w:val="22"/>
                <w:szCs w:val="22"/>
              </w:rPr>
            </w:pPr>
            <w:r>
              <w:rPr>
                <w:rFonts w:ascii="Arial" w:cs="Arial" w:eastAsia="Calibri" w:hAnsi="Arial"/>
                <w:sz w:val="22"/>
                <w:szCs w:val="22"/>
              </w:rPr>
              <w:t>RESEARCH</w:t>
            </w:r>
          </w:p>
        </w:tc>
        <w:tc>
          <w:tcPr>
            <w:tcW w:w="2977" w:type="pct"/>
            <w:tcBorders/>
            <w:shd w:val="clear" w:color="auto" w:fill="ffffff"/>
            <w:tcMar>
              <w:left w:w="105" w:type="dxa"/>
              <w:right w:w="105" w:type="dxa"/>
            </w:tcMar>
          </w:tcPr>
          <w:p w14:paraId="1ABAF259">
            <w:pPr>
              <w:pStyle w:val="style0"/>
              <w:spacing w:lineRule="auto" w:line="360"/>
              <w:rPr>
                <w:rFonts w:ascii="Arial" w:cs="Arial" w:eastAsia="Calibri" w:hAnsi="Arial"/>
                <w:sz w:val="22"/>
                <w:szCs w:val="22"/>
              </w:rPr>
            </w:pPr>
            <w:r>
              <w:rPr>
                <w:rFonts w:ascii="Arial" w:cs="Arial" w:eastAsia="Calibri" w:hAnsi="Arial"/>
                <w:sz w:val="22"/>
                <w:szCs w:val="22"/>
              </w:rPr>
              <w:t>For this assessment, you can use Generative AI to support you in research and data analysis.  </w:t>
            </w:r>
          </w:p>
        </w:tc>
        <w:tc>
          <w:tcPr>
            <w:tcW w:w="782" w:type="pct"/>
            <w:tcBorders/>
            <w:shd w:val="clear" w:color="auto" w:fill="ffffff"/>
            <w:tcMar/>
          </w:tcPr>
          <w:p w14:paraId="10F007E4">
            <w:pPr>
              <w:pStyle w:val="style0"/>
              <w:spacing w:lineRule="auto" w:line="360"/>
              <w:rPr>
                <w:rFonts w:ascii="Arial" w:cs="Arial" w:eastAsia="Calibri" w:hAnsi="Arial"/>
                <w:sz w:val="22"/>
                <w:szCs w:val="22"/>
              </w:rPr>
            </w:pPr>
            <w:r>
              <w:rPr>
                <w:rFonts w:ascii="Arial" w:cs="Arial" w:eastAsia="Calibri" w:hAnsi="Arial"/>
                <w:sz w:val="22"/>
                <w:szCs w:val="22"/>
              </w:rPr>
              <w:t xml:space="preserve">Yes </w:t>
            </w:r>
            <w:r>
              <w:rPr>
                <w:rFonts w:ascii="Segoe UI Symbol" w:cs="Segoe UI Symbol" w:eastAsia="MS Gothic" w:hAnsi="Segoe UI Symbol"/>
                <w:sz w:val="22"/>
                <w:szCs w:val="22"/>
              </w:rPr>
              <w:t>☐</w:t>
            </w:r>
          </w:p>
          <w:p w14:paraId="636B7B36">
            <w:pPr>
              <w:pStyle w:val="style0"/>
              <w:spacing w:lineRule="auto" w:line="360"/>
              <w:rPr>
                <w:rFonts w:ascii="Arial" w:cs="Arial" w:eastAsia="Calibri" w:hAnsi="Arial"/>
                <w:sz w:val="22"/>
                <w:szCs w:val="22"/>
              </w:rPr>
            </w:pPr>
          </w:p>
          <w:p w14:paraId="2D62A81A">
            <w:pPr>
              <w:pStyle w:val="style0"/>
              <w:spacing w:lineRule="auto" w:line="360"/>
              <w:rPr>
                <w:rFonts w:ascii="Arial" w:cs="Arial" w:eastAsia="Calibri" w:hAnsi="Arial"/>
                <w:sz w:val="22"/>
                <w:szCs w:val="22"/>
              </w:rPr>
            </w:pPr>
            <w:r>
              <w:rPr>
                <w:rFonts w:ascii="Arial" w:cs="Arial" w:eastAsia="Calibri" w:hAnsi="Arial"/>
                <w:sz w:val="22"/>
                <w:szCs w:val="22"/>
              </w:rPr>
              <w:t xml:space="preserve">No  </w:t>
            </w:r>
            <w:r>
              <w:rPr>
                <w:rFonts w:ascii="Segoe UI Symbol" w:cs="Segoe UI Symbol" w:eastAsia="MS Gothic" w:hAnsi="Segoe UI Symbol"/>
                <w:sz w:val="22"/>
                <w:szCs w:val="22"/>
              </w:rPr>
              <w:t>☒</w:t>
            </w:r>
          </w:p>
        </w:tc>
      </w:tr>
      <w:tr w14:paraId="624A583C">
        <w:tblPrEx/>
        <w:trPr>
          <w:trHeight w:val="300" w:hRule="atLeast"/>
        </w:trPr>
        <w:tc>
          <w:tcPr>
            <w:tcW w:w="1241" w:type="pct"/>
            <w:tcBorders/>
            <w:shd w:val="clear" w:color="auto" w:fill="ffffff"/>
            <w:tcMar>
              <w:left w:w="105" w:type="dxa"/>
              <w:right w:w="105" w:type="dxa"/>
            </w:tcMar>
          </w:tcPr>
          <w:p w14:paraId="39141A96">
            <w:pPr>
              <w:pStyle w:val="style0"/>
              <w:spacing w:lineRule="auto" w:line="360"/>
              <w:rPr>
                <w:rFonts w:ascii="Arial" w:cs="Arial" w:eastAsia="Calibri" w:hAnsi="Arial"/>
                <w:sz w:val="22"/>
                <w:szCs w:val="22"/>
              </w:rPr>
            </w:pPr>
            <w:r>
              <w:rPr>
                <w:rFonts w:ascii="Arial" w:cs="Arial" w:eastAsia="Calibri" w:hAnsi="Arial"/>
                <w:sz w:val="22"/>
                <w:szCs w:val="22"/>
              </w:rPr>
              <w:t>STRUCTURE</w:t>
            </w:r>
          </w:p>
        </w:tc>
        <w:tc>
          <w:tcPr>
            <w:tcW w:w="2977" w:type="pct"/>
            <w:tcBorders/>
            <w:shd w:val="clear" w:color="auto" w:fill="ffffff"/>
            <w:tcMar>
              <w:left w:w="105" w:type="dxa"/>
              <w:right w:w="105" w:type="dxa"/>
            </w:tcMar>
          </w:tcPr>
          <w:p w14:paraId="534CBA91">
            <w:pPr>
              <w:pStyle w:val="style0"/>
              <w:spacing w:lineRule="auto" w:line="360"/>
              <w:rPr>
                <w:rFonts w:ascii="Arial" w:cs="Arial" w:eastAsia="Calibri" w:hAnsi="Arial"/>
                <w:sz w:val="22"/>
                <w:szCs w:val="22"/>
              </w:rPr>
            </w:pPr>
            <w:r>
              <w:rPr>
                <w:rFonts w:ascii="Arial" w:cs="Arial" w:eastAsia="Calibri" w:hAnsi="Arial"/>
                <w:sz w:val="22"/>
                <w:szCs w:val="22"/>
              </w:rPr>
              <w:t>For this assessment, you can use Generative AI to support you in structuring your submission, including creating a draft argument structure, identifying parts and headings, etc.</w:t>
            </w:r>
          </w:p>
        </w:tc>
        <w:tc>
          <w:tcPr>
            <w:tcW w:w="782" w:type="pct"/>
            <w:tcBorders/>
            <w:shd w:val="clear" w:color="auto" w:fill="ffffff"/>
            <w:tcMar/>
          </w:tcPr>
          <w:p w14:paraId="419E30DB">
            <w:pPr>
              <w:pStyle w:val="style0"/>
              <w:spacing w:lineRule="auto" w:line="360"/>
              <w:rPr>
                <w:rFonts w:ascii="Arial" w:cs="Arial" w:eastAsia="Calibri" w:hAnsi="Arial"/>
                <w:sz w:val="22"/>
                <w:szCs w:val="22"/>
              </w:rPr>
            </w:pPr>
            <w:r>
              <w:rPr>
                <w:rFonts w:ascii="Arial" w:cs="Arial" w:eastAsia="Calibri" w:hAnsi="Arial"/>
                <w:sz w:val="22"/>
                <w:szCs w:val="22"/>
              </w:rPr>
              <w:t xml:space="preserve">Yes </w:t>
            </w:r>
            <w:r>
              <w:rPr>
                <w:rFonts w:ascii="Segoe UI Symbol" w:cs="Segoe UI Symbol" w:eastAsia="MS Gothic" w:hAnsi="Segoe UI Symbol"/>
                <w:sz w:val="22"/>
                <w:szCs w:val="22"/>
              </w:rPr>
              <w:t>☐</w:t>
            </w:r>
          </w:p>
          <w:p w14:paraId="6CC515C7">
            <w:pPr>
              <w:pStyle w:val="style0"/>
              <w:spacing w:lineRule="auto" w:line="360"/>
              <w:rPr>
                <w:rFonts w:ascii="Arial" w:cs="Arial" w:eastAsia="Calibri" w:hAnsi="Arial"/>
                <w:sz w:val="22"/>
                <w:szCs w:val="22"/>
              </w:rPr>
            </w:pPr>
          </w:p>
          <w:p w14:paraId="5FE1536D">
            <w:pPr>
              <w:pStyle w:val="style0"/>
              <w:spacing w:lineRule="auto" w:line="360"/>
              <w:rPr>
                <w:rFonts w:ascii="Arial" w:cs="Arial" w:eastAsia="Calibri" w:hAnsi="Arial"/>
                <w:sz w:val="22"/>
                <w:szCs w:val="22"/>
              </w:rPr>
            </w:pPr>
            <w:r>
              <w:rPr>
                <w:rFonts w:ascii="Arial" w:cs="Arial" w:eastAsia="Calibri" w:hAnsi="Arial"/>
                <w:sz w:val="22"/>
                <w:szCs w:val="22"/>
              </w:rPr>
              <w:t xml:space="preserve">No  </w:t>
            </w:r>
            <w:r>
              <w:rPr>
                <w:rFonts w:ascii="Segoe UI Symbol" w:cs="Segoe UI Symbol" w:eastAsia="MS Gothic" w:hAnsi="Segoe UI Symbol"/>
                <w:sz w:val="22"/>
                <w:szCs w:val="22"/>
              </w:rPr>
              <w:t>☒</w:t>
            </w:r>
          </w:p>
        </w:tc>
      </w:tr>
      <w:tr w14:paraId="5D727D0A">
        <w:tblPrEx/>
        <w:trPr>
          <w:trHeight w:val="300" w:hRule="atLeast"/>
        </w:trPr>
        <w:tc>
          <w:tcPr>
            <w:tcW w:w="1241" w:type="pct"/>
            <w:tcBorders/>
            <w:shd w:val="clear" w:color="auto" w:fill="ffffff"/>
            <w:tcMar>
              <w:left w:w="105" w:type="dxa"/>
              <w:right w:w="105" w:type="dxa"/>
            </w:tcMar>
          </w:tcPr>
          <w:p w14:paraId="5927D541">
            <w:pPr>
              <w:pStyle w:val="style0"/>
              <w:spacing w:lineRule="auto" w:line="360"/>
              <w:rPr>
                <w:rFonts w:ascii="Arial" w:cs="Arial" w:eastAsia="Calibri" w:hAnsi="Arial"/>
                <w:sz w:val="22"/>
                <w:szCs w:val="22"/>
              </w:rPr>
            </w:pPr>
            <w:r>
              <w:rPr>
                <w:rFonts w:ascii="Arial" w:cs="Arial" w:eastAsia="Calibri" w:hAnsi="Arial"/>
                <w:sz w:val="22"/>
                <w:szCs w:val="22"/>
              </w:rPr>
              <w:t>PROOFREADING</w:t>
            </w:r>
          </w:p>
        </w:tc>
        <w:tc>
          <w:tcPr>
            <w:tcW w:w="2977" w:type="pct"/>
            <w:tcBorders/>
            <w:shd w:val="clear" w:color="auto" w:fill="ffffff"/>
            <w:tcMar>
              <w:left w:w="105" w:type="dxa"/>
              <w:right w:w="105" w:type="dxa"/>
            </w:tcMar>
          </w:tcPr>
          <w:p w14:paraId="682D082F">
            <w:pPr>
              <w:pStyle w:val="style0"/>
              <w:spacing w:lineRule="auto" w:line="360"/>
              <w:rPr>
                <w:rFonts w:ascii="Arial" w:cs="Arial" w:eastAsia="Calibri" w:hAnsi="Arial"/>
                <w:sz w:val="22"/>
                <w:szCs w:val="22"/>
              </w:rPr>
            </w:pPr>
            <w:r>
              <w:rPr>
                <w:rFonts w:ascii="Arial" w:cs="Arial" w:eastAsia="Calibri" w:hAnsi="Arial"/>
                <w:sz w:val="22"/>
                <w:szCs w:val="22"/>
              </w:rPr>
              <w:t>For this assessment, you can use Generative AI to check your own text/creation for grammatical and syntactical mistakes, including getting suggestions to rephrase your work.   </w:t>
            </w:r>
          </w:p>
        </w:tc>
        <w:tc>
          <w:tcPr>
            <w:tcW w:w="782" w:type="pct"/>
            <w:tcBorders/>
            <w:shd w:val="clear" w:color="auto" w:fill="ffffff"/>
            <w:tcMar/>
          </w:tcPr>
          <w:p w14:paraId="229FF0A8">
            <w:pPr>
              <w:pStyle w:val="style0"/>
              <w:spacing w:lineRule="auto" w:line="360"/>
              <w:rPr>
                <w:rFonts w:ascii="Arial" w:cs="Arial" w:eastAsia="Calibri" w:hAnsi="Arial"/>
                <w:sz w:val="22"/>
                <w:szCs w:val="22"/>
              </w:rPr>
            </w:pPr>
            <w:r>
              <w:rPr>
                <w:rFonts w:ascii="Arial" w:cs="Arial" w:eastAsia="Calibri" w:hAnsi="Arial"/>
                <w:sz w:val="22"/>
                <w:szCs w:val="22"/>
              </w:rPr>
              <w:t xml:space="preserve">Yes </w:t>
            </w:r>
            <w:r>
              <w:rPr>
                <w:rFonts w:ascii="Segoe UI Symbol" w:cs="Segoe UI Symbol" w:eastAsia="MS Gothic" w:hAnsi="Segoe UI Symbol"/>
                <w:sz w:val="22"/>
                <w:szCs w:val="22"/>
              </w:rPr>
              <w:t>☐</w:t>
            </w:r>
          </w:p>
          <w:p w14:paraId="6CE020FD">
            <w:pPr>
              <w:pStyle w:val="style0"/>
              <w:spacing w:lineRule="auto" w:line="360"/>
              <w:rPr>
                <w:rFonts w:ascii="Arial" w:cs="Arial" w:eastAsia="Calibri" w:hAnsi="Arial"/>
                <w:sz w:val="22"/>
                <w:szCs w:val="22"/>
              </w:rPr>
            </w:pPr>
          </w:p>
          <w:p w14:paraId="6D5E8072">
            <w:pPr>
              <w:pStyle w:val="style0"/>
              <w:spacing w:lineRule="auto" w:line="360"/>
              <w:rPr>
                <w:rFonts w:ascii="Arial" w:cs="Arial" w:eastAsia="Calibri" w:hAnsi="Arial"/>
                <w:sz w:val="22"/>
                <w:szCs w:val="22"/>
              </w:rPr>
            </w:pPr>
            <w:r>
              <w:rPr>
                <w:rFonts w:ascii="Arial" w:cs="Arial" w:eastAsia="Calibri" w:hAnsi="Arial"/>
                <w:sz w:val="22"/>
                <w:szCs w:val="22"/>
              </w:rPr>
              <w:t xml:space="preserve">No  </w:t>
            </w:r>
            <w:r>
              <w:rPr>
                <w:rFonts w:ascii="Segoe UI Symbol" w:cs="Segoe UI Symbol" w:eastAsia="MS Gothic" w:hAnsi="Segoe UI Symbol"/>
                <w:sz w:val="22"/>
                <w:szCs w:val="22"/>
              </w:rPr>
              <w:t>☒</w:t>
            </w:r>
          </w:p>
        </w:tc>
      </w:tr>
      <w:tr w14:paraId="1E7A14EC">
        <w:tblPrEx/>
        <w:trPr>
          <w:trHeight w:val="300" w:hRule="atLeast"/>
        </w:trPr>
        <w:tc>
          <w:tcPr>
            <w:tcW w:w="1241" w:type="pct"/>
            <w:tcBorders/>
            <w:shd w:val="clear" w:color="auto" w:fill="ffffff"/>
            <w:tcMar>
              <w:left w:w="105" w:type="dxa"/>
              <w:right w:w="105" w:type="dxa"/>
            </w:tcMar>
          </w:tcPr>
          <w:p w14:paraId="0C33CA91">
            <w:pPr>
              <w:pStyle w:val="style0"/>
              <w:spacing w:lineRule="auto" w:line="360"/>
              <w:rPr>
                <w:rFonts w:ascii="Arial" w:cs="Arial" w:eastAsia="Calibri" w:hAnsi="Arial"/>
                <w:sz w:val="22"/>
                <w:szCs w:val="22"/>
              </w:rPr>
            </w:pPr>
            <w:r>
              <w:rPr>
                <w:rFonts w:ascii="Arial" w:cs="Arial" w:eastAsia="Calibri" w:hAnsi="Arial"/>
                <w:sz w:val="22"/>
                <w:szCs w:val="22"/>
              </w:rPr>
              <w:t>WRITING</w:t>
            </w:r>
          </w:p>
        </w:tc>
        <w:tc>
          <w:tcPr>
            <w:tcW w:w="2977" w:type="pct"/>
            <w:tcBorders/>
            <w:shd w:val="clear" w:color="auto" w:fill="ffffff"/>
            <w:tcMar>
              <w:left w:w="105" w:type="dxa"/>
              <w:right w:w="105" w:type="dxa"/>
            </w:tcMar>
          </w:tcPr>
          <w:p w14:paraId="39EEDFAA">
            <w:pPr>
              <w:pStyle w:val="style0"/>
              <w:spacing w:lineRule="auto" w:line="360"/>
              <w:rPr>
                <w:rFonts w:ascii="Arial" w:cs="Arial" w:eastAsia="Calibri" w:hAnsi="Arial"/>
                <w:sz w:val="22"/>
                <w:szCs w:val="22"/>
              </w:rPr>
            </w:pPr>
            <w:r>
              <w:rPr>
                <w:rFonts w:ascii="Arial" w:cs="Arial" w:eastAsia="Calibri" w:hAnsi="Arial"/>
                <w:sz w:val="22"/>
                <w:szCs w:val="22"/>
              </w:rPr>
              <w:t>For this assessment, you can use Generative AI to create text for submission.</w:t>
            </w:r>
          </w:p>
        </w:tc>
        <w:tc>
          <w:tcPr>
            <w:tcW w:w="782" w:type="pct"/>
            <w:tcBorders/>
            <w:shd w:val="clear" w:color="auto" w:fill="ffffff"/>
            <w:tcMar/>
          </w:tcPr>
          <w:p w14:paraId="1C073F12">
            <w:pPr>
              <w:pStyle w:val="style0"/>
              <w:spacing w:lineRule="auto" w:line="360"/>
              <w:rPr>
                <w:rFonts w:ascii="Arial" w:cs="Arial" w:eastAsia="Calibri" w:hAnsi="Arial"/>
                <w:sz w:val="22"/>
                <w:szCs w:val="22"/>
              </w:rPr>
            </w:pPr>
            <w:r>
              <w:rPr>
                <w:rFonts w:ascii="Arial" w:cs="Arial" w:eastAsia="Calibri" w:hAnsi="Arial"/>
                <w:sz w:val="22"/>
                <w:szCs w:val="22"/>
              </w:rPr>
              <w:t xml:space="preserve">Yes </w:t>
            </w:r>
            <w:r>
              <w:rPr>
                <w:rFonts w:ascii="Segoe UI Symbol" w:cs="Segoe UI Symbol" w:eastAsia="MS Gothic" w:hAnsi="Segoe UI Symbol"/>
                <w:sz w:val="22"/>
                <w:szCs w:val="22"/>
              </w:rPr>
              <w:t>☐</w:t>
            </w:r>
          </w:p>
          <w:p w14:paraId="5D0B65DC">
            <w:pPr>
              <w:pStyle w:val="style0"/>
              <w:spacing w:lineRule="auto" w:line="360"/>
              <w:rPr>
                <w:rFonts w:ascii="Arial" w:cs="Arial" w:eastAsia="Calibri" w:hAnsi="Arial"/>
                <w:sz w:val="22"/>
                <w:szCs w:val="22"/>
              </w:rPr>
            </w:pPr>
          </w:p>
          <w:p w14:paraId="194F9E56">
            <w:pPr>
              <w:pStyle w:val="style0"/>
              <w:spacing w:lineRule="auto" w:line="360"/>
              <w:rPr>
                <w:rFonts w:ascii="Arial" w:cs="Arial" w:eastAsia="Calibri" w:hAnsi="Arial"/>
                <w:sz w:val="22"/>
                <w:szCs w:val="22"/>
              </w:rPr>
            </w:pPr>
            <w:r>
              <w:rPr>
                <w:rFonts w:ascii="Arial" w:cs="Arial" w:eastAsia="Calibri" w:hAnsi="Arial"/>
                <w:sz w:val="22"/>
                <w:szCs w:val="22"/>
              </w:rPr>
              <w:t xml:space="preserve">No  </w:t>
            </w:r>
            <w:r>
              <w:rPr>
                <w:rFonts w:ascii="Segoe UI Symbol" w:cs="Segoe UI Symbol" w:eastAsia="MS Gothic" w:hAnsi="Segoe UI Symbol"/>
                <w:sz w:val="22"/>
                <w:szCs w:val="22"/>
              </w:rPr>
              <w:t>☒</w:t>
            </w:r>
          </w:p>
        </w:tc>
      </w:tr>
      <w:tr w14:paraId="79D8A81A">
        <w:tblPrEx/>
        <w:trPr>
          <w:trHeight w:val="300" w:hRule="atLeast"/>
        </w:trPr>
        <w:tc>
          <w:tcPr>
            <w:tcW w:w="1241" w:type="pct"/>
            <w:tcBorders/>
            <w:shd w:val="clear" w:color="auto" w:fill="ffffff"/>
            <w:tcMar>
              <w:left w:w="105" w:type="dxa"/>
              <w:right w:w="105" w:type="dxa"/>
            </w:tcMar>
          </w:tcPr>
          <w:p w14:paraId="4C8166BE">
            <w:pPr>
              <w:pStyle w:val="style0"/>
              <w:spacing w:lineRule="auto" w:line="360"/>
              <w:rPr>
                <w:rFonts w:ascii="Arial" w:cs="Arial" w:eastAsia="Calibri" w:hAnsi="Arial"/>
                <w:sz w:val="22"/>
                <w:szCs w:val="22"/>
              </w:rPr>
            </w:pPr>
            <w:r>
              <w:rPr>
                <w:rFonts w:ascii="Arial" w:cs="Arial" w:eastAsia="Calibri" w:hAnsi="Arial"/>
                <w:sz w:val="22"/>
                <w:szCs w:val="22"/>
              </w:rPr>
              <w:t>CREATIVE</w:t>
            </w:r>
          </w:p>
        </w:tc>
        <w:tc>
          <w:tcPr>
            <w:tcW w:w="2977" w:type="pct"/>
            <w:tcBorders/>
            <w:shd w:val="clear" w:color="auto" w:fill="ffffff"/>
            <w:tcMar>
              <w:left w:w="105" w:type="dxa"/>
              <w:right w:w="105" w:type="dxa"/>
            </w:tcMar>
          </w:tcPr>
          <w:p w14:paraId="1B4F6C08">
            <w:pPr>
              <w:pStyle w:val="style0"/>
              <w:spacing w:lineRule="auto" w:line="360"/>
              <w:rPr>
                <w:rFonts w:ascii="Arial" w:cs="Arial" w:eastAsia="Calibri" w:hAnsi="Arial"/>
                <w:sz w:val="22"/>
                <w:szCs w:val="22"/>
              </w:rPr>
            </w:pPr>
            <w:r>
              <w:rPr>
                <w:rFonts w:ascii="Arial" w:cs="Arial" w:eastAsia="Calibri" w:hAnsi="Arial"/>
                <w:sz w:val="22"/>
                <w:szCs w:val="22"/>
              </w:rPr>
              <w:t>For this assessment, you can use Generative AI to create creative materials, such as images.</w:t>
            </w:r>
          </w:p>
        </w:tc>
        <w:tc>
          <w:tcPr>
            <w:tcW w:w="782" w:type="pct"/>
            <w:tcBorders/>
            <w:shd w:val="clear" w:color="auto" w:fill="ffffff"/>
            <w:tcMar/>
          </w:tcPr>
          <w:p w14:paraId="50F01CB0">
            <w:pPr>
              <w:pStyle w:val="style0"/>
              <w:spacing w:lineRule="auto" w:line="360"/>
              <w:rPr>
                <w:rFonts w:ascii="Arial" w:cs="Arial" w:eastAsia="Calibri" w:hAnsi="Arial"/>
                <w:sz w:val="22"/>
                <w:szCs w:val="22"/>
              </w:rPr>
            </w:pPr>
            <w:r>
              <w:rPr>
                <w:rFonts w:ascii="Arial" w:cs="Arial" w:eastAsia="Calibri" w:hAnsi="Arial"/>
                <w:sz w:val="22"/>
                <w:szCs w:val="22"/>
              </w:rPr>
              <w:t xml:space="preserve">Yes </w:t>
            </w:r>
            <w:r>
              <w:rPr>
                <w:rFonts w:ascii="Segoe UI Symbol" w:cs="Segoe UI Symbol" w:eastAsia="MS Gothic" w:hAnsi="Segoe UI Symbol"/>
                <w:sz w:val="22"/>
                <w:szCs w:val="22"/>
              </w:rPr>
              <w:t>☐</w:t>
            </w:r>
          </w:p>
          <w:p w14:paraId="2689651B">
            <w:pPr>
              <w:pStyle w:val="style0"/>
              <w:spacing w:lineRule="auto" w:line="360"/>
              <w:rPr>
                <w:rFonts w:ascii="Arial" w:cs="Arial" w:eastAsia="Calibri" w:hAnsi="Arial"/>
                <w:sz w:val="22"/>
                <w:szCs w:val="22"/>
              </w:rPr>
            </w:pPr>
          </w:p>
          <w:p w14:paraId="7FF87620">
            <w:pPr>
              <w:pStyle w:val="style0"/>
              <w:spacing w:lineRule="auto" w:line="360"/>
              <w:rPr>
                <w:rFonts w:ascii="Arial" w:cs="Arial" w:eastAsia="Calibri" w:hAnsi="Arial"/>
                <w:sz w:val="22"/>
                <w:szCs w:val="22"/>
              </w:rPr>
            </w:pPr>
            <w:r>
              <w:rPr>
                <w:rFonts w:ascii="Arial" w:cs="Arial" w:eastAsia="Calibri" w:hAnsi="Arial"/>
                <w:sz w:val="22"/>
                <w:szCs w:val="22"/>
              </w:rPr>
              <w:t xml:space="preserve">No  </w:t>
            </w:r>
            <w:r>
              <w:rPr>
                <w:rFonts w:ascii="Segoe UI Symbol" w:cs="Segoe UI Symbol" w:eastAsia="MS Gothic" w:hAnsi="Segoe UI Symbol"/>
                <w:sz w:val="22"/>
                <w:szCs w:val="22"/>
              </w:rPr>
              <w:t>☒</w:t>
            </w:r>
          </w:p>
        </w:tc>
      </w:tr>
      <w:tr w14:paraId="3EDF71C4">
        <w:tblPrEx/>
        <w:trPr>
          <w:trHeight w:val="300" w:hRule="atLeast"/>
        </w:trPr>
        <w:tc>
          <w:tcPr>
            <w:tcW w:w="1241" w:type="pct"/>
            <w:tcBorders/>
            <w:shd w:val="clear" w:color="auto" w:fill="ffffff"/>
            <w:tcMar>
              <w:left w:w="105" w:type="dxa"/>
              <w:right w:w="105" w:type="dxa"/>
            </w:tcMar>
          </w:tcPr>
          <w:p w14:paraId="07B5DEAA">
            <w:pPr>
              <w:pStyle w:val="style0"/>
              <w:spacing w:lineRule="auto" w:line="360"/>
              <w:rPr>
                <w:rFonts w:ascii="Arial" w:cs="Arial" w:hAnsi="Arial"/>
                <w:sz w:val="22"/>
                <w:szCs w:val="22"/>
              </w:rPr>
            </w:pPr>
            <w:r>
              <w:rPr>
                <w:rFonts w:ascii="Arial" w:cs="Arial" w:eastAsia="Calibri" w:hAnsi="Arial"/>
                <w:sz w:val="22"/>
                <w:szCs w:val="22"/>
              </w:rPr>
              <w:t>PROGRAMING</w:t>
            </w:r>
          </w:p>
        </w:tc>
        <w:tc>
          <w:tcPr>
            <w:tcW w:w="2977" w:type="pct"/>
            <w:tcBorders/>
            <w:shd w:val="clear" w:color="auto" w:fill="ffffff"/>
            <w:tcMar>
              <w:left w:w="105" w:type="dxa"/>
              <w:right w:w="105" w:type="dxa"/>
            </w:tcMar>
          </w:tcPr>
          <w:p w14:paraId="672BE4EA">
            <w:pPr>
              <w:pStyle w:val="style0"/>
              <w:spacing w:lineRule="auto" w:line="360"/>
              <w:rPr>
                <w:rFonts w:ascii="Arial" w:cs="Arial" w:eastAsia="Calibri" w:hAnsi="Arial"/>
                <w:sz w:val="22"/>
                <w:szCs w:val="22"/>
              </w:rPr>
            </w:pPr>
            <w:r>
              <w:rPr>
                <w:rFonts w:ascii="Arial" w:cs="Arial" w:eastAsia="Calibri" w:hAnsi="Arial"/>
                <w:sz w:val="22"/>
                <w:szCs w:val="22"/>
              </w:rPr>
              <w:t>For this assessment, you can use Generative AI to create and check code.</w:t>
            </w:r>
          </w:p>
        </w:tc>
        <w:tc>
          <w:tcPr>
            <w:tcW w:w="782" w:type="pct"/>
            <w:tcBorders/>
            <w:shd w:val="clear" w:color="auto" w:fill="ffffff"/>
            <w:tcMar/>
          </w:tcPr>
          <w:p w14:paraId="19F9D7F3">
            <w:pPr>
              <w:pStyle w:val="style0"/>
              <w:spacing w:lineRule="auto" w:line="360"/>
              <w:rPr>
                <w:rFonts w:ascii="Arial" w:cs="Arial" w:eastAsia="Calibri" w:hAnsi="Arial"/>
                <w:sz w:val="22"/>
                <w:szCs w:val="22"/>
              </w:rPr>
            </w:pPr>
            <w:r>
              <w:rPr>
                <w:rFonts w:ascii="Arial" w:cs="Arial" w:eastAsia="Calibri" w:hAnsi="Arial"/>
                <w:sz w:val="22"/>
                <w:szCs w:val="22"/>
              </w:rPr>
              <w:t xml:space="preserve">Yes </w:t>
            </w:r>
            <w:r>
              <w:rPr>
                <w:rFonts w:ascii="Segoe UI Symbol" w:cs="Segoe UI Symbol" w:eastAsia="MS Gothic" w:hAnsi="Segoe UI Symbol"/>
                <w:sz w:val="22"/>
                <w:szCs w:val="22"/>
              </w:rPr>
              <w:t>☐</w:t>
            </w:r>
          </w:p>
          <w:p w14:paraId="20DE512F">
            <w:pPr>
              <w:pStyle w:val="style0"/>
              <w:spacing w:lineRule="auto" w:line="360"/>
              <w:rPr>
                <w:rFonts w:ascii="Arial" w:cs="Arial" w:eastAsia="Calibri" w:hAnsi="Arial"/>
                <w:sz w:val="22"/>
                <w:szCs w:val="22"/>
              </w:rPr>
            </w:pPr>
          </w:p>
          <w:p w14:paraId="0BDD2BA1">
            <w:pPr>
              <w:pStyle w:val="style0"/>
              <w:spacing w:lineRule="auto" w:line="360"/>
              <w:rPr>
                <w:rFonts w:ascii="Arial" w:cs="Arial" w:eastAsia="Calibri" w:hAnsi="Arial"/>
                <w:sz w:val="22"/>
                <w:szCs w:val="22"/>
              </w:rPr>
            </w:pPr>
            <w:r>
              <w:rPr>
                <w:rFonts w:ascii="Arial" w:cs="Arial" w:eastAsia="Calibri" w:hAnsi="Arial"/>
                <w:sz w:val="22"/>
                <w:szCs w:val="22"/>
              </w:rPr>
              <w:t xml:space="preserve">No  </w:t>
            </w:r>
            <w:r>
              <w:rPr>
                <w:rFonts w:ascii="Segoe UI Symbol" w:cs="Segoe UI Symbol" w:eastAsia="MS Gothic" w:hAnsi="Segoe UI Symbol"/>
                <w:sz w:val="22"/>
                <w:szCs w:val="22"/>
              </w:rPr>
              <w:t>☒</w:t>
            </w:r>
          </w:p>
        </w:tc>
      </w:tr>
      <w:tr w14:paraId="74551572">
        <w:tblPrEx/>
        <w:trPr>
          <w:trHeight w:val="300" w:hRule="atLeast"/>
        </w:trPr>
        <w:tc>
          <w:tcPr>
            <w:tcW w:w="1241" w:type="pct"/>
            <w:tcBorders/>
            <w:shd w:val="clear" w:color="auto" w:fill="ffffff"/>
            <w:tcMar>
              <w:left w:w="105" w:type="dxa"/>
              <w:right w:w="105" w:type="dxa"/>
            </w:tcMar>
          </w:tcPr>
          <w:p w14:paraId="1D1C4179">
            <w:pPr>
              <w:pStyle w:val="style0"/>
              <w:spacing w:lineRule="auto" w:line="360"/>
              <w:rPr>
                <w:rFonts w:ascii="Arial" w:cs="Arial" w:eastAsia="Calibri" w:hAnsi="Arial"/>
                <w:sz w:val="22"/>
                <w:szCs w:val="22"/>
              </w:rPr>
            </w:pPr>
            <w:r>
              <w:rPr>
                <w:rFonts w:ascii="Arial" w:cs="Arial" w:eastAsia="Calibri" w:hAnsi="Arial"/>
                <w:sz w:val="22"/>
                <w:szCs w:val="22"/>
              </w:rPr>
              <w:t>NONE</w:t>
            </w:r>
          </w:p>
        </w:tc>
        <w:tc>
          <w:tcPr>
            <w:tcW w:w="2977" w:type="pct"/>
            <w:tcBorders/>
            <w:shd w:val="clear" w:color="auto" w:fill="ffffff"/>
            <w:tcMar>
              <w:left w:w="105" w:type="dxa"/>
              <w:right w:w="105" w:type="dxa"/>
            </w:tcMar>
          </w:tcPr>
          <w:p w14:paraId="60088D8E">
            <w:pPr>
              <w:pStyle w:val="style0"/>
              <w:spacing w:lineRule="auto" w:line="360"/>
              <w:rPr>
                <w:rFonts w:ascii="Arial" w:cs="Arial" w:eastAsia="Calibri" w:hAnsi="Arial"/>
                <w:sz w:val="22"/>
                <w:szCs w:val="22"/>
              </w:rPr>
            </w:pPr>
            <w:r>
              <w:rPr>
                <w:rFonts w:ascii="Arial" w:cs="Arial" w:eastAsia="Calibri" w:hAnsi="Arial"/>
                <w:sz w:val="22"/>
                <w:szCs w:val="22"/>
              </w:rPr>
              <w:t xml:space="preserve">For this assessment, you are not allowed to use </w:t>
            </w:r>
            <w:r>
              <w:rPr>
                <w:rFonts w:ascii="Arial" w:cs="Arial" w:eastAsia="Calibri" w:hAnsi="Arial"/>
                <w:b/>
                <w:bCs/>
                <w:sz w:val="22"/>
                <w:szCs w:val="22"/>
              </w:rPr>
              <w:t>any</w:t>
            </w:r>
            <w:r>
              <w:rPr>
                <w:rFonts w:ascii="Arial" w:cs="Arial" w:eastAsia="Calibri" w:hAnsi="Arial"/>
                <w:sz w:val="22"/>
                <w:szCs w:val="22"/>
              </w:rPr>
              <w:t xml:space="preserve"> type of Generative AI support. This includes research support, structure support, writing/proofreading support and creative support.</w:t>
            </w:r>
          </w:p>
        </w:tc>
        <w:tc>
          <w:tcPr>
            <w:tcW w:w="782" w:type="pct"/>
            <w:tcBorders/>
            <w:shd w:val="clear" w:color="auto" w:fill="ffffff"/>
            <w:tcMar/>
          </w:tcPr>
          <w:p w14:paraId="432B6F2E">
            <w:pPr>
              <w:pStyle w:val="style0"/>
              <w:spacing w:lineRule="auto" w:line="360"/>
              <w:rPr>
                <w:rFonts w:ascii="Arial" w:cs="Arial" w:eastAsia="Calibri" w:hAnsi="Arial"/>
                <w:sz w:val="22"/>
                <w:szCs w:val="22"/>
              </w:rPr>
            </w:pPr>
            <w:r>
              <w:rPr>
                <w:rFonts w:ascii="Segoe UI Symbol" w:cs="Segoe UI Symbol" w:eastAsia="MS Gothic" w:hAnsi="Segoe UI Symbol"/>
                <w:sz w:val="22"/>
                <w:szCs w:val="22"/>
              </w:rPr>
              <w:t>☐</w:t>
            </w:r>
          </w:p>
        </w:tc>
      </w:tr>
    </w:tbl>
    <w:p w14:paraId="5049C5B7">
      <w:pPr>
        <w:pStyle w:val="style0"/>
        <w:rPr>
          <w:rFonts w:ascii="Arial" w:cs="Arial" w:hAnsi="Arial"/>
          <w:b/>
          <w:lang w:val="en-GB"/>
        </w:rPr>
      </w:pPr>
      <w:r>
        <w:rPr>
          <w:rFonts w:ascii="Arial" w:cs="Arial" w:hAnsi="Arial"/>
          <w:b/>
          <w:bCs/>
          <w:color w:val="000000"/>
          <w:sz w:val="28"/>
          <w:szCs w:val="28"/>
          <w:lang w:val="en-GB"/>
        </w:rPr>
        <w:br w:type="page"/>
      </w:r>
    </w:p>
    <w:p w14:paraId="3932D0A7">
      <w:pPr>
        <w:pStyle w:val="style266"/>
        <w:jc w:val="center"/>
        <w:rPr>
          <w:rFonts w:ascii="Arial" w:cs="Arial" w:hAnsi="Arial"/>
          <w:b/>
          <w:color w:val="000000"/>
          <w:sz w:val="24"/>
        </w:rPr>
      </w:pPr>
      <w:r>
        <w:rPr>
          <w:rFonts w:ascii="Arial" w:cs="Arial" w:hAnsi="Arial"/>
          <w:b/>
          <w:color w:val="000000"/>
          <w:sz w:val="24"/>
        </w:rPr>
        <w:t>Table of Contents</w:t>
      </w:r>
    </w:p>
    <w:p w14:paraId="6D7B61F8">
      <w:pPr>
        <w:pStyle w:val="style19"/>
        <w:tabs>
          <w:tab w:val="right" w:leader="dot" w:pos="9350"/>
        </w:tabs>
        <w:rPr>
          <w:rFonts w:ascii="Arial" w:cs="Arial" w:eastAsia="宋体" w:hAnsi="Arial"/>
          <w:noProof/>
          <w:sz w:val="22"/>
          <w:szCs w:val="22"/>
          <w:lang w:val="en-GB"/>
        </w:rPr>
      </w:pPr>
      <w:r>
        <w:rPr>
          <w:rFonts w:ascii="Arial" w:cs="Arial" w:hAnsi="Arial"/>
        </w:rPr>
        <w:fldChar w:fldCharType="begin"/>
      </w:r>
      <w:r>
        <w:rPr>
          <w:rFonts w:ascii="Arial" w:cs="Arial" w:hAnsi="Arial"/>
        </w:rPr>
        <w:instrText xml:space="preserve"> TOC \o "1-3" \h \z \u </w:instrText>
      </w:r>
      <w:r>
        <w:rPr>
          <w:rFonts w:ascii="Arial" w:cs="Arial" w:hAnsi="Arial"/>
        </w:rPr>
        <w:fldChar w:fldCharType="separate"/>
      </w:r>
      <w:r>
        <w:rPr/>
        <w:fldChar w:fldCharType="begin"/>
      </w:r>
      <w:r>
        <w:instrText xml:space="preserve"> HYPERLINK \l "_Toc242284002" </w:instrText>
      </w:r>
      <w:r>
        <w:rPr/>
        <w:fldChar w:fldCharType="separate"/>
      </w:r>
      <w:r>
        <w:rPr>
          <w:rStyle w:val="style85"/>
          <w:rFonts w:ascii="Arial" w:cs="Arial" w:hAnsi="Arial"/>
          <w:noProof/>
          <w:lang w:val="en-GB"/>
        </w:rPr>
        <w:t>Introduction</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_Toc242284002 \h </w:instrText>
      </w:r>
      <w:r>
        <w:rPr>
          <w:rFonts w:ascii="Arial" w:cs="Arial" w:hAnsi="Arial"/>
          <w:noProof/>
          <w:webHidden/>
        </w:rPr>
        <w:fldChar w:fldCharType="separate"/>
      </w:r>
      <w:r>
        <w:rPr>
          <w:rFonts w:ascii="Arial" w:cs="Arial" w:hAnsi="Arial"/>
          <w:noProof/>
          <w:webHidden/>
        </w:rPr>
        <w:t>4</w:t>
      </w:r>
      <w:r>
        <w:rPr>
          <w:rFonts w:ascii="Arial" w:cs="Arial" w:hAnsi="Arial"/>
          <w:noProof/>
          <w:webHidden/>
        </w:rPr>
        <w:fldChar w:fldCharType="end"/>
      </w:r>
      <w:r>
        <w:rPr/>
        <w:fldChar w:fldCharType="end"/>
      </w:r>
    </w:p>
    <w:p w14:paraId="316A55FD">
      <w:pPr>
        <w:pStyle w:val="style19"/>
        <w:tabs>
          <w:tab w:val="right" w:leader="dot" w:pos="9350"/>
        </w:tabs>
        <w:rPr>
          <w:rFonts w:ascii="Arial" w:cs="Arial" w:eastAsia="宋体" w:hAnsi="Arial"/>
          <w:noProof/>
          <w:sz w:val="22"/>
          <w:szCs w:val="22"/>
          <w:lang w:val="en-GB"/>
        </w:rPr>
      </w:pPr>
      <w:r>
        <w:rPr/>
        <w:fldChar w:fldCharType="begin"/>
      </w:r>
      <w:r>
        <w:instrText xml:space="preserve"> HYPERLINK \l "_Toc242284003" </w:instrText>
      </w:r>
      <w:r>
        <w:rPr/>
        <w:fldChar w:fldCharType="separate"/>
      </w:r>
      <w:r>
        <w:rPr>
          <w:rStyle w:val="style85"/>
          <w:rFonts w:ascii="Arial" w:cs="Arial" w:hAnsi="Arial"/>
          <w:noProof/>
          <w:lang w:val="en-GB"/>
        </w:rPr>
        <w:t>Task A: Designing Innovative Working Practices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_Toc242284003 \h </w:instrText>
      </w:r>
      <w:r>
        <w:rPr>
          <w:rFonts w:ascii="Arial" w:cs="Arial" w:hAnsi="Arial"/>
          <w:noProof/>
          <w:webHidden/>
        </w:rPr>
        <w:fldChar w:fldCharType="separate"/>
      </w:r>
      <w:r>
        <w:rPr>
          <w:rFonts w:ascii="Arial" w:cs="Arial" w:hAnsi="Arial"/>
          <w:noProof/>
          <w:webHidden/>
        </w:rPr>
        <w:t>4</w:t>
      </w:r>
      <w:r>
        <w:rPr>
          <w:rFonts w:ascii="Arial" w:cs="Arial" w:hAnsi="Arial"/>
          <w:noProof/>
          <w:webHidden/>
        </w:rPr>
        <w:fldChar w:fldCharType="end"/>
      </w:r>
      <w:r>
        <w:rPr/>
        <w:fldChar w:fldCharType="end"/>
      </w:r>
    </w:p>
    <w:p w14:paraId="57719E28">
      <w:pPr>
        <w:pStyle w:val="style20"/>
        <w:tabs>
          <w:tab w:val="right" w:leader="dot" w:pos="9350"/>
        </w:tabs>
        <w:rPr>
          <w:rFonts w:ascii="Arial" w:cs="Arial" w:eastAsia="宋体" w:hAnsi="Arial"/>
          <w:noProof/>
          <w:sz w:val="22"/>
          <w:szCs w:val="22"/>
          <w:lang w:val="en-GB"/>
        </w:rPr>
      </w:pPr>
      <w:r>
        <w:rPr/>
        <w:fldChar w:fldCharType="begin"/>
      </w:r>
      <w:r>
        <w:instrText xml:space="preserve"> HYPERLINK \l "_Toc242284004" </w:instrText>
      </w:r>
      <w:r>
        <w:rPr/>
        <w:fldChar w:fldCharType="separate"/>
      </w:r>
      <w:r>
        <w:rPr>
          <w:rStyle w:val="style85"/>
          <w:rFonts w:ascii="Arial" w:cs="Arial" w:hAnsi="Arial"/>
          <w:noProof/>
          <w:lang w:val="en-GB"/>
        </w:rPr>
        <w:t>1.1 Critical Evaluation of traditional and contemporary work design</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_Toc242284004 \h </w:instrText>
      </w:r>
      <w:r>
        <w:rPr>
          <w:rFonts w:ascii="Arial" w:cs="Arial" w:hAnsi="Arial"/>
          <w:noProof/>
          <w:webHidden/>
        </w:rPr>
        <w:fldChar w:fldCharType="separate"/>
      </w:r>
      <w:r>
        <w:rPr>
          <w:rFonts w:ascii="Arial" w:cs="Arial" w:hAnsi="Arial"/>
          <w:noProof/>
          <w:webHidden/>
        </w:rPr>
        <w:t>4</w:t>
      </w:r>
      <w:r>
        <w:rPr>
          <w:rFonts w:ascii="Arial" w:cs="Arial" w:hAnsi="Arial"/>
          <w:noProof/>
          <w:webHidden/>
        </w:rPr>
        <w:fldChar w:fldCharType="end"/>
      </w:r>
      <w:r>
        <w:rPr/>
        <w:fldChar w:fldCharType="end"/>
      </w:r>
    </w:p>
    <w:p w14:paraId="3CCD36CE">
      <w:pPr>
        <w:pStyle w:val="style20"/>
        <w:tabs>
          <w:tab w:val="right" w:leader="dot" w:pos="9350"/>
        </w:tabs>
        <w:rPr>
          <w:rFonts w:ascii="Arial" w:cs="Arial" w:eastAsia="宋体" w:hAnsi="Arial"/>
          <w:noProof/>
          <w:sz w:val="22"/>
          <w:szCs w:val="22"/>
          <w:lang w:val="en-GB"/>
        </w:rPr>
      </w:pPr>
      <w:r>
        <w:rPr/>
        <w:fldChar w:fldCharType="begin"/>
      </w:r>
      <w:r>
        <w:instrText xml:space="preserve"> HYPERLINK \l "_Toc242284005" </w:instrText>
      </w:r>
      <w:r>
        <w:rPr/>
        <w:fldChar w:fldCharType="separate"/>
      </w:r>
      <w:r>
        <w:rPr>
          <w:rStyle w:val="style85"/>
          <w:rFonts w:ascii="Arial" w:cs="Arial" w:hAnsi="Arial"/>
          <w:noProof/>
          <w:lang w:val="en-GB"/>
        </w:rPr>
        <w:t>1.2 Recommended innovative working practices for NHSX</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_Toc242284005 \h </w:instrText>
      </w:r>
      <w:r>
        <w:rPr>
          <w:rFonts w:ascii="Arial" w:cs="Arial" w:hAnsi="Arial"/>
          <w:noProof/>
          <w:webHidden/>
        </w:rPr>
        <w:fldChar w:fldCharType="separate"/>
      </w:r>
      <w:r>
        <w:rPr>
          <w:rFonts w:ascii="Arial" w:cs="Arial" w:hAnsi="Arial"/>
          <w:noProof/>
          <w:webHidden/>
        </w:rPr>
        <w:t>6</w:t>
      </w:r>
      <w:r>
        <w:rPr>
          <w:rFonts w:ascii="Arial" w:cs="Arial" w:hAnsi="Arial"/>
          <w:noProof/>
          <w:webHidden/>
        </w:rPr>
        <w:fldChar w:fldCharType="end"/>
      </w:r>
      <w:r>
        <w:rPr/>
        <w:fldChar w:fldCharType="end"/>
      </w:r>
    </w:p>
    <w:p w14:paraId="27BC413F">
      <w:pPr>
        <w:pStyle w:val="style19"/>
        <w:tabs>
          <w:tab w:val="right" w:leader="dot" w:pos="9350"/>
        </w:tabs>
        <w:rPr>
          <w:rFonts w:ascii="Arial" w:cs="Arial" w:eastAsia="宋体" w:hAnsi="Arial"/>
          <w:noProof/>
          <w:sz w:val="22"/>
          <w:szCs w:val="22"/>
          <w:lang w:val="en-GB"/>
        </w:rPr>
      </w:pPr>
      <w:r>
        <w:rPr/>
        <w:fldChar w:fldCharType="begin"/>
      </w:r>
      <w:r>
        <w:instrText xml:space="preserve"> HYPERLINK \l "_Toc242284006" </w:instrText>
      </w:r>
      <w:r>
        <w:rPr/>
        <w:fldChar w:fldCharType="separate"/>
      </w:r>
      <w:r>
        <w:rPr>
          <w:rStyle w:val="style85"/>
          <w:rFonts w:ascii="Arial" w:cs="Arial" w:hAnsi="Arial"/>
          <w:noProof/>
          <w:lang w:val="en-GB"/>
        </w:rPr>
        <w:t>Task B: Breeding and Environment Where Talent May Grow</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_Toc242284006 \h </w:instrText>
      </w:r>
      <w:r>
        <w:rPr>
          <w:rFonts w:ascii="Arial" w:cs="Arial" w:hAnsi="Arial"/>
          <w:noProof/>
          <w:webHidden/>
        </w:rPr>
        <w:fldChar w:fldCharType="separate"/>
      </w:r>
      <w:r>
        <w:rPr>
          <w:rFonts w:ascii="Arial" w:cs="Arial" w:hAnsi="Arial"/>
          <w:noProof/>
          <w:webHidden/>
        </w:rPr>
        <w:t>7</w:t>
      </w:r>
      <w:r>
        <w:rPr>
          <w:rFonts w:ascii="Arial" w:cs="Arial" w:hAnsi="Arial"/>
          <w:noProof/>
          <w:webHidden/>
        </w:rPr>
        <w:fldChar w:fldCharType="end"/>
      </w:r>
      <w:r>
        <w:rPr/>
        <w:fldChar w:fldCharType="end"/>
      </w:r>
    </w:p>
    <w:p w14:paraId="7C1FE181">
      <w:pPr>
        <w:pStyle w:val="style20"/>
        <w:tabs>
          <w:tab w:val="right" w:leader="dot" w:pos="9350"/>
        </w:tabs>
        <w:rPr>
          <w:rFonts w:ascii="Arial" w:cs="Arial" w:eastAsia="宋体" w:hAnsi="Arial"/>
          <w:noProof/>
          <w:sz w:val="22"/>
          <w:szCs w:val="22"/>
          <w:lang w:val="en-GB"/>
        </w:rPr>
      </w:pPr>
      <w:r>
        <w:rPr/>
        <w:fldChar w:fldCharType="begin"/>
      </w:r>
      <w:r>
        <w:instrText xml:space="preserve"> HYPERLINK \l "_Toc242284007" </w:instrText>
      </w:r>
      <w:r>
        <w:rPr/>
        <w:fldChar w:fldCharType="separate"/>
      </w:r>
      <w:r>
        <w:rPr>
          <w:rStyle w:val="style85"/>
          <w:rFonts w:ascii="Arial" w:cs="Arial" w:hAnsi="Arial"/>
          <w:noProof/>
          <w:lang w:val="en-GB"/>
        </w:rPr>
        <w:t>2.1 Critical Evaluation: Creating an environment where talent flourishes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_Toc242284007 \h </w:instrText>
      </w:r>
      <w:r>
        <w:rPr>
          <w:rFonts w:ascii="Arial" w:cs="Arial" w:hAnsi="Arial"/>
          <w:noProof/>
          <w:webHidden/>
        </w:rPr>
        <w:fldChar w:fldCharType="separate"/>
      </w:r>
      <w:r>
        <w:rPr>
          <w:rFonts w:ascii="Arial" w:cs="Arial" w:hAnsi="Arial"/>
          <w:noProof/>
          <w:webHidden/>
        </w:rPr>
        <w:t>7</w:t>
      </w:r>
      <w:r>
        <w:rPr>
          <w:rFonts w:ascii="Arial" w:cs="Arial" w:hAnsi="Arial"/>
          <w:noProof/>
          <w:webHidden/>
        </w:rPr>
        <w:fldChar w:fldCharType="end"/>
      </w:r>
      <w:r>
        <w:rPr/>
        <w:fldChar w:fldCharType="end"/>
      </w:r>
    </w:p>
    <w:p w14:paraId="6E1B06F9">
      <w:pPr>
        <w:pStyle w:val="style20"/>
        <w:tabs>
          <w:tab w:val="right" w:leader="dot" w:pos="9350"/>
        </w:tabs>
        <w:rPr>
          <w:rFonts w:ascii="Arial" w:cs="Arial" w:eastAsia="宋体" w:hAnsi="Arial"/>
          <w:noProof/>
          <w:sz w:val="22"/>
          <w:szCs w:val="22"/>
          <w:lang w:val="en-GB"/>
        </w:rPr>
      </w:pPr>
      <w:r>
        <w:rPr/>
        <w:fldChar w:fldCharType="begin"/>
      </w:r>
      <w:r>
        <w:instrText xml:space="preserve"> HYPERLINK \l "_Toc242284008" </w:instrText>
      </w:r>
      <w:r>
        <w:rPr/>
        <w:fldChar w:fldCharType="separate"/>
      </w:r>
      <w:r>
        <w:rPr>
          <w:rStyle w:val="style85"/>
          <w:rFonts w:ascii="Arial" w:cs="Arial" w:hAnsi="Arial"/>
          <w:noProof/>
          <w:lang w:val="en-GB"/>
        </w:rPr>
        <w:t>2.2 Develop a comprehensive talent growth strategy for NexSpace Health Systems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_Toc242284008 \h </w:instrText>
      </w:r>
      <w:r>
        <w:rPr>
          <w:rFonts w:ascii="Arial" w:cs="Arial" w:hAnsi="Arial"/>
          <w:noProof/>
          <w:webHidden/>
        </w:rPr>
        <w:fldChar w:fldCharType="separate"/>
      </w:r>
      <w:r>
        <w:rPr>
          <w:rFonts w:ascii="Arial" w:cs="Arial" w:hAnsi="Arial"/>
          <w:noProof/>
          <w:webHidden/>
        </w:rPr>
        <w:t>8</w:t>
      </w:r>
      <w:r>
        <w:rPr>
          <w:rFonts w:ascii="Arial" w:cs="Arial" w:hAnsi="Arial"/>
          <w:noProof/>
          <w:webHidden/>
        </w:rPr>
        <w:fldChar w:fldCharType="end"/>
      </w:r>
      <w:r>
        <w:rPr/>
        <w:fldChar w:fldCharType="end"/>
      </w:r>
    </w:p>
    <w:p w14:paraId="1DE77B11">
      <w:pPr>
        <w:pStyle w:val="style19"/>
        <w:tabs>
          <w:tab w:val="right" w:leader="dot" w:pos="9350"/>
        </w:tabs>
        <w:rPr>
          <w:rFonts w:ascii="Arial" w:cs="Arial" w:eastAsia="宋体" w:hAnsi="Arial"/>
          <w:noProof/>
          <w:sz w:val="22"/>
          <w:szCs w:val="22"/>
          <w:lang w:val="en-GB"/>
        </w:rPr>
      </w:pPr>
      <w:r>
        <w:rPr/>
        <w:fldChar w:fldCharType="begin"/>
      </w:r>
      <w:r>
        <w:instrText xml:space="preserve"> HYPERLINK \l "_Toc242284009" </w:instrText>
      </w:r>
      <w:r>
        <w:rPr/>
        <w:fldChar w:fldCharType="separate"/>
      </w:r>
      <w:r>
        <w:rPr>
          <w:rStyle w:val="style85"/>
          <w:rFonts w:ascii="Arial" w:cs="Arial" w:hAnsi="Arial"/>
          <w:noProof/>
          <w:lang w:val="en-GB"/>
        </w:rPr>
        <w:t>Task C: Reflective Report</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_Toc242284009 \h </w:instrText>
      </w:r>
      <w:r>
        <w:rPr>
          <w:rFonts w:ascii="Arial" w:cs="Arial" w:hAnsi="Arial"/>
          <w:noProof/>
          <w:webHidden/>
        </w:rPr>
        <w:fldChar w:fldCharType="separate"/>
      </w:r>
      <w:r>
        <w:rPr>
          <w:rFonts w:ascii="Arial" w:cs="Arial" w:hAnsi="Arial"/>
          <w:noProof/>
          <w:webHidden/>
        </w:rPr>
        <w:t>11</w:t>
      </w:r>
      <w:r>
        <w:rPr>
          <w:rFonts w:ascii="Arial" w:cs="Arial" w:hAnsi="Arial"/>
          <w:noProof/>
          <w:webHidden/>
        </w:rPr>
        <w:fldChar w:fldCharType="end"/>
      </w:r>
      <w:r>
        <w:rPr/>
        <w:fldChar w:fldCharType="end"/>
      </w:r>
    </w:p>
    <w:p w14:paraId="5468F159">
      <w:pPr>
        <w:pStyle w:val="style20"/>
        <w:tabs>
          <w:tab w:val="right" w:leader="dot" w:pos="9350"/>
        </w:tabs>
        <w:rPr>
          <w:rFonts w:ascii="Arial" w:cs="Arial" w:eastAsia="宋体" w:hAnsi="Arial"/>
          <w:noProof/>
          <w:sz w:val="22"/>
          <w:szCs w:val="22"/>
          <w:lang w:val="en-GB"/>
        </w:rPr>
      </w:pPr>
      <w:r>
        <w:rPr/>
        <w:fldChar w:fldCharType="begin"/>
      </w:r>
      <w:r>
        <w:instrText xml:space="preserve"> HYPERLINK \l "_Toc242284010" </w:instrText>
      </w:r>
      <w:r>
        <w:rPr/>
        <w:fldChar w:fldCharType="separate"/>
      </w:r>
      <w:r>
        <w:rPr>
          <w:rStyle w:val="style85"/>
          <w:rFonts w:ascii="Arial" w:cs="Arial" w:hAnsi="Arial"/>
          <w:noProof/>
          <w:lang w:val="en-GB"/>
        </w:rPr>
        <w:t>3.1 AI as a Strategic Tool</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_Toc242284010 \h </w:instrText>
      </w:r>
      <w:r>
        <w:rPr>
          <w:rFonts w:ascii="Arial" w:cs="Arial" w:hAnsi="Arial"/>
          <w:noProof/>
          <w:webHidden/>
        </w:rPr>
        <w:fldChar w:fldCharType="separate"/>
      </w:r>
      <w:r>
        <w:rPr>
          <w:rFonts w:ascii="Arial" w:cs="Arial" w:hAnsi="Arial"/>
          <w:noProof/>
          <w:webHidden/>
        </w:rPr>
        <w:t>11</w:t>
      </w:r>
      <w:r>
        <w:rPr>
          <w:rFonts w:ascii="Arial" w:cs="Arial" w:hAnsi="Arial"/>
          <w:noProof/>
          <w:webHidden/>
        </w:rPr>
        <w:fldChar w:fldCharType="end"/>
      </w:r>
      <w:r>
        <w:rPr/>
        <w:fldChar w:fldCharType="end"/>
      </w:r>
    </w:p>
    <w:p w14:paraId="58FFC9AF">
      <w:pPr>
        <w:pStyle w:val="style20"/>
        <w:tabs>
          <w:tab w:val="right" w:leader="dot" w:pos="9350"/>
        </w:tabs>
        <w:rPr>
          <w:rFonts w:ascii="Arial" w:cs="Arial" w:eastAsia="宋体" w:hAnsi="Arial"/>
          <w:noProof/>
          <w:sz w:val="22"/>
          <w:szCs w:val="22"/>
          <w:lang w:val="en-GB"/>
        </w:rPr>
      </w:pPr>
      <w:r>
        <w:rPr/>
        <w:fldChar w:fldCharType="begin"/>
      </w:r>
      <w:r>
        <w:instrText xml:space="preserve"> HYPERLINK \l "_Toc242284011" </w:instrText>
      </w:r>
      <w:r>
        <w:rPr/>
        <w:fldChar w:fldCharType="separate"/>
      </w:r>
      <w:r>
        <w:rPr>
          <w:rStyle w:val="style85"/>
          <w:rFonts w:ascii="Arial" w:cs="Arial" w:hAnsi="Arial"/>
          <w:noProof/>
          <w:lang w:val="en-GB"/>
        </w:rPr>
        <w:t>3.2 Reflective Analysis of my AI use</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_Toc242284011 \h </w:instrText>
      </w:r>
      <w:r>
        <w:rPr>
          <w:rFonts w:ascii="Arial" w:cs="Arial" w:hAnsi="Arial"/>
          <w:noProof/>
          <w:webHidden/>
        </w:rPr>
        <w:fldChar w:fldCharType="separate"/>
      </w:r>
      <w:r>
        <w:rPr>
          <w:rFonts w:ascii="Arial" w:cs="Arial" w:hAnsi="Arial"/>
          <w:noProof/>
          <w:webHidden/>
        </w:rPr>
        <w:t>12</w:t>
      </w:r>
      <w:r>
        <w:rPr>
          <w:rFonts w:ascii="Arial" w:cs="Arial" w:hAnsi="Arial"/>
          <w:noProof/>
          <w:webHidden/>
        </w:rPr>
        <w:fldChar w:fldCharType="end"/>
      </w:r>
      <w:r>
        <w:rPr/>
        <w:fldChar w:fldCharType="end"/>
      </w:r>
    </w:p>
    <w:p w14:paraId="67E91D0F">
      <w:pPr>
        <w:pStyle w:val="style20"/>
        <w:tabs>
          <w:tab w:val="right" w:leader="dot" w:pos="9350"/>
        </w:tabs>
        <w:rPr>
          <w:rFonts w:ascii="Arial" w:cs="Arial" w:eastAsia="宋体" w:hAnsi="Arial"/>
          <w:noProof/>
          <w:sz w:val="22"/>
          <w:szCs w:val="22"/>
          <w:lang w:val="en-GB"/>
        </w:rPr>
      </w:pPr>
      <w:r>
        <w:rPr/>
        <w:fldChar w:fldCharType="begin"/>
      </w:r>
      <w:r>
        <w:instrText xml:space="preserve"> HYPERLINK \l "_Toc242284012" </w:instrText>
      </w:r>
      <w:r>
        <w:rPr/>
        <w:fldChar w:fldCharType="separate"/>
      </w:r>
      <w:r>
        <w:rPr>
          <w:rStyle w:val="style85"/>
          <w:rFonts w:ascii="Arial" w:cs="Arial" w:hAnsi="Arial"/>
          <w:noProof/>
          <w:lang w:val="en-GB"/>
        </w:rPr>
        <w:t>3.3 Personal Action Plan</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_Toc242284012 \h </w:instrText>
      </w:r>
      <w:r>
        <w:rPr>
          <w:rFonts w:ascii="Arial" w:cs="Arial" w:hAnsi="Arial"/>
          <w:noProof/>
          <w:webHidden/>
        </w:rPr>
        <w:fldChar w:fldCharType="separate"/>
      </w:r>
      <w:r>
        <w:rPr>
          <w:rFonts w:ascii="Arial" w:cs="Arial" w:hAnsi="Arial"/>
          <w:noProof/>
          <w:webHidden/>
        </w:rPr>
        <w:t>12</w:t>
      </w:r>
      <w:r>
        <w:rPr>
          <w:rFonts w:ascii="Arial" w:cs="Arial" w:hAnsi="Arial"/>
          <w:noProof/>
          <w:webHidden/>
        </w:rPr>
        <w:fldChar w:fldCharType="end"/>
      </w:r>
      <w:r>
        <w:rPr/>
        <w:fldChar w:fldCharType="end"/>
      </w:r>
    </w:p>
    <w:p w14:paraId="750CA429">
      <w:pPr>
        <w:pStyle w:val="style19"/>
        <w:tabs>
          <w:tab w:val="right" w:leader="dot" w:pos="9350"/>
        </w:tabs>
        <w:rPr>
          <w:rFonts w:ascii="Arial" w:cs="Arial" w:eastAsia="宋体" w:hAnsi="Arial"/>
          <w:noProof/>
          <w:sz w:val="22"/>
          <w:szCs w:val="22"/>
          <w:lang w:val="en-GB"/>
        </w:rPr>
      </w:pPr>
      <w:r>
        <w:rPr/>
        <w:fldChar w:fldCharType="begin"/>
      </w:r>
      <w:r>
        <w:instrText xml:space="preserve"> HYPERLINK \l "_Toc242284013" </w:instrText>
      </w:r>
      <w:r>
        <w:rPr/>
        <w:fldChar w:fldCharType="separate"/>
      </w:r>
      <w:r>
        <w:rPr>
          <w:rStyle w:val="style85"/>
          <w:rFonts w:ascii="Arial" w:cs="Arial" w:hAnsi="Arial"/>
          <w:noProof/>
          <w:lang w:val="en-GB"/>
        </w:rPr>
        <w:t>Conclusion</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_Toc242284013 \h </w:instrText>
      </w:r>
      <w:r>
        <w:rPr>
          <w:rFonts w:ascii="Arial" w:cs="Arial" w:hAnsi="Arial"/>
          <w:noProof/>
          <w:webHidden/>
        </w:rPr>
        <w:fldChar w:fldCharType="separate"/>
      </w:r>
      <w:r>
        <w:rPr>
          <w:rFonts w:ascii="Arial" w:cs="Arial" w:hAnsi="Arial"/>
          <w:noProof/>
          <w:webHidden/>
        </w:rPr>
        <w:t>13</w:t>
      </w:r>
      <w:r>
        <w:rPr>
          <w:rFonts w:ascii="Arial" w:cs="Arial" w:hAnsi="Arial"/>
          <w:noProof/>
          <w:webHidden/>
        </w:rPr>
        <w:fldChar w:fldCharType="end"/>
      </w:r>
      <w:r>
        <w:rPr/>
        <w:fldChar w:fldCharType="end"/>
      </w:r>
    </w:p>
    <w:p w14:paraId="01029F53">
      <w:pPr>
        <w:pStyle w:val="style19"/>
        <w:tabs>
          <w:tab w:val="right" w:leader="dot" w:pos="9350"/>
        </w:tabs>
        <w:rPr>
          <w:rFonts w:ascii="Arial" w:cs="Arial" w:eastAsia="宋体" w:hAnsi="Arial"/>
          <w:noProof/>
          <w:sz w:val="22"/>
          <w:szCs w:val="22"/>
          <w:lang w:val="en-GB"/>
        </w:rPr>
      </w:pPr>
      <w:r>
        <w:rPr/>
        <w:fldChar w:fldCharType="begin"/>
      </w:r>
      <w:r>
        <w:instrText xml:space="preserve"> HYPERLINK \l "_Toc242284014" </w:instrText>
      </w:r>
      <w:r>
        <w:rPr/>
        <w:fldChar w:fldCharType="separate"/>
      </w:r>
      <w:r>
        <w:rPr>
          <w:rStyle w:val="style85"/>
          <w:rFonts w:ascii="Arial" w:cs="Arial" w:hAnsi="Arial"/>
          <w:noProof/>
          <w:lang w:val="en-GB"/>
        </w:rPr>
        <w:t>References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_Toc242284014 \h </w:instrText>
      </w:r>
      <w:r>
        <w:rPr>
          <w:rFonts w:ascii="Arial" w:cs="Arial" w:hAnsi="Arial"/>
          <w:noProof/>
          <w:webHidden/>
        </w:rPr>
        <w:fldChar w:fldCharType="separate"/>
      </w:r>
      <w:r>
        <w:rPr>
          <w:rFonts w:ascii="Arial" w:cs="Arial" w:hAnsi="Arial"/>
          <w:noProof/>
          <w:webHidden/>
        </w:rPr>
        <w:t>14</w:t>
      </w:r>
      <w:r>
        <w:rPr>
          <w:rFonts w:ascii="Arial" w:cs="Arial" w:hAnsi="Arial"/>
          <w:noProof/>
          <w:webHidden/>
        </w:rPr>
        <w:fldChar w:fldCharType="end"/>
      </w:r>
      <w:r>
        <w:rPr/>
        <w:fldChar w:fldCharType="end"/>
      </w:r>
    </w:p>
    <w:p w14:paraId="5CA6F251">
      <w:pPr>
        <w:pStyle w:val="style0"/>
        <w:rPr>
          <w:rFonts w:ascii="Arial" w:cs="Arial" w:hAnsi="Arial"/>
        </w:rPr>
      </w:pPr>
      <w:r>
        <w:rPr>
          <w:rFonts w:ascii="Arial" w:cs="Arial" w:hAnsi="Arial"/>
          <w:b/>
          <w:bCs/>
          <w:noProof/>
        </w:rPr>
        <w:fldChar w:fldCharType="end"/>
      </w:r>
    </w:p>
    <w:p w14:paraId="0BAAEBFD">
      <w:pPr>
        <w:pStyle w:val="style157"/>
        <w:rPr>
          <w:rFonts w:ascii="Arial" w:cs="Arial" w:hAnsi="Arial"/>
          <w:lang w:val="en-GB"/>
        </w:rPr>
      </w:pPr>
      <w:r>
        <w:rPr>
          <w:rFonts w:ascii="Arial" w:cs="Arial" w:hAnsi="Arial"/>
          <w:lang w:val="en-GB"/>
        </w:rPr>
        <w:br w:type="page"/>
      </w:r>
    </w:p>
    <w:bookmarkStart w:id="2" w:name="_j90t7vrc5z2s" w:colFirst="0" w:colLast="0"/>
    <w:bookmarkStart w:id="3" w:name="_Toc242284002"/>
    <w:bookmarkEnd w:id="2"/>
    <w:p w14:paraId="5DBDDB48">
      <w:pPr>
        <w:pStyle w:val="style0"/>
        <w:rPr>
          <w:rFonts w:ascii="Arial" w:cs="Arial" w:hAnsi="Arial"/>
          <w:b/>
          <w:bCs/>
          <w:color w:val="000000"/>
          <w:sz w:val="28"/>
          <w:szCs w:val="28"/>
          <w:lang w:val="en-GB"/>
        </w:rPr>
      </w:pPr>
      <w:r>
        <w:rPr>
          <w:rFonts w:ascii="Arial" w:cs="Arial" w:hAnsi="Arial"/>
          <w:b/>
          <w:lang w:val="en-GB"/>
        </w:rPr>
        <w:t>Topic: Innovating New Working Practices and Breeding an Environment Where Talent May Grow</w:t>
      </w:r>
    </w:p>
    <w:p w14:paraId="372C10B1">
      <w:pPr>
        <w:pStyle w:val="style1"/>
        <w:rPr>
          <w:rFonts w:ascii="Arial" w:cs="Arial" w:hAnsi="Arial"/>
          <w:color w:val="000000"/>
          <w:lang w:val="en-GB"/>
        </w:rPr>
      </w:pPr>
      <w:r>
        <w:rPr>
          <w:rFonts w:ascii="Arial" w:cs="Arial" w:hAnsi="Arial"/>
          <w:color w:val="000000"/>
          <w:lang w:val="en-GB"/>
        </w:rPr>
        <w:t>Introduction</w:t>
      </w:r>
      <w:bookmarkEnd w:id="3"/>
      <w:r>
        <w:rPr>
          <w:rFonts w:ascii="Arial" w:cs="Arial" w:hAnsi="Arial"/>
          <w:color w:val="000000"/>
          <w:lang w:val="en-GB"/>
        </w:rPr>
        <w:t xml:space="preserve"> </w:t>
      </w:r>
    </w:p>
    <w:p w14:paraId="30893097">
      <w:pPr>
        <w:pStyle w:val="style0"/>
        <w:rPr>
          <w:rFonts w:ascii="Arial" w:cs="Arial" w:hAnsi="Arial"/>
          <w:color w:val="000000"/>
          <w:lang w:val="en-GB"/>
        </w:rPr>
      </w:pPr>
      <w:r>
        <w:rPr>
          <w:rFonts w:ascii="Arial" w:cs="Arial" w:hAnsi="Arial"/>
          <w:color w:val="000000"/>
          <w:lang w:val="en-GB"/>
        </w:rPr>
        <w:t>NexSpace</w:t>
      </w:r>
      <w:r>
        <w:rPr>
          <w:rFonts w:ascii="Arial" w:cs="Arial" w:hAnsi="Arial"/>
          <w:color w:val="000000"/>
          <w:lang w:val="en-GB"/>
        </w:rPr>
        <w:t xml:space="preserve"> Health Systems (NHSX) is a healthcare technology organisation that employs approximately 600 workers to develop AI-enabled digital health platforms, clinical decision-making technologies </w:t>
      </w:r>
      <w:r>
        <w:rPr>
          <w:rFonts w:ascii="Arial" w:cs="Arial" w:hAnsi="Arial"/>
          <w:color w:val="000000"/>
          <w:lang w:val="en-GB"/>
        </w:rPr>
        <w:t xml:space="preserve">and patient monitoring systems </w:t>
      </w:r>
      <w:r>
        <w:rPr>
          <w:rFonts w:ascii="Arial" w:cs="Arial" w:hAnsi="Arial"/>
          <w:color w:val="000000"/>
          <w:lang w:val="en-GB"/>
        </w:rPr>
        <w:t>across India, the UK and the U</w:t>
      </w:r>
      <w:r>
        <w:rPr>
          <w:rFonts w:ascii="Arial" w:cs="Arial" w:hAnsi="Arial"/>
          <w:color w:val="000000"/>
          <w:lang w:val="en-GB"/>
        </w:rPr>
        <w:t>AE.</w:t>
      </w:r>
      <w:r>
        <w:rPr>
          <w:rFonts w:ascii="Arial" w:cs="Arial" w:hAnsi="Arial"/>
          <w:color w:val="000000"/>
          <w:lang w:val="en-GB"/>
        </w:rPr>
        <w:t xml:space="preserve"> However, it is facing several strategic workforce challenges due to internal expansion and increased investment in AI. </w:t>
      </w:r>
      <w:r>
        <w:rPr>
          <w:rFonts w:ascii="Arial" w:cs="Arial" w:hAnsi="Arial"/>
          <w:color w:val="000000"/>
          <w:lang w:val="en-GB"/>
        </w:rPr>
        <w:t xml:space="preserve">It </w:t>
      </w:r>
      <w:r>
        <w:rPr>
          <w:rFonts w:ascii="Arial" w:cs="Arial" w:hAnsi="Arial"/>
          <w:color w:val="000000"/>
          <w:lang w:val="en-GB"/>
        </w:rPr>
        <w:t>has followed traditional h</w:t>
      </w:r>
      <w:r>
        <w:rPr>
          <w:rFonts w:ascii="Arial" w:cs="Arial" w:hAnsi="Arial"/>
          <w:color w:val="000000"/>
          <w:lang w:val="en-GB"/>
        </w:rPr>
        <w:t xml:space="preserve">ierarchical working practices, which </w:t>
      </w:r>
      <w:r>
        <w:rPr>
          <w:rFonts w:ascii="Arial" w:cs="Arial" w:hAnsi="Arial"/>
          <w:color w:val="000000"/>
          <w:lang w:val="en-GB"/>
        </w:rPr>
        <w:t xml:space="preserve">is potentially misaligned with a business where competitive advantage depends upon collaboration, innovation and rapid knowledge exchange. </w:t>
      </w:r>
      <w:r>
        <w:rPr>
          <w:rFonts w:ascii="Arial" w:cs="Arial" w:hAnsi="Arial"/>
          <w:color w:val="000000"/>
          <w:lang w:val="en-GB"/>
        </w:rPr>
        <w:t>T</w:t>
      </w:r>
      <w:r>
        <w:rPr>
          <w:rFonts w:ascii="Arial" w:cs="Arial" w:hAnsi="Arial"/>
          <w:color w:val="000000"/>
          <w:lang w:val="en-GB"/>
        </w:rPr>
        <w:t xml:space="preserve">he report aims to design innovative working practices that perfectly align with NHSX's current workplace culture. Additionally, it will suggest an environment for NHSX where talent may grow. Lastly, the report will contain reflective reports to reflect on own capability development as a future HRM. </w:t>
      </w:r>
    </w:p>
    <w:bookmarkStart w:id="4" w:name="_lus1s32kc51w" w:colFirst="0" w:colLast="0"/>
    <w:bookmarkStart w:id="5" w:name="_Toc242284003"/>
    <w:bookmarkEnd w:id="4"/>
    <w:p w14:paraId="1A19E5FA">
      <w:pPr>
        <w:pStyle w:val="style1"/>
        <w:rPr>
          <w:rFonts w:ascii="Arial" w:cs="Arial" w:hAnsi="Arial"/>
          <w:color w:val="000000"/>
          <w:lang w:val="en-GB"/>
        </w:rPr>
      </w:pPr>
      <w:r>
        <w:rPr>
          <w:rFonts w:ascii="Arial" w:cs="Arial" w:hAnsi="Arial"/>
          <w:color w:val="000000"/>
          <w:lang w:val="en-GB"/>
        </w:rPr>
        <w:t>Task A: Designing Innovative Working Practices</w:t>
      </w:r>
      <w:bookmarkEnd w:id="5"/>
      <w:r>
        <w:rPr>
          <w:rFonts w:ascii="Arial" w:cs="Arial" w:hAnsi="Arial"/>
          <w:color w:val="000000"/>
          <w:lang w:val="en-GB"/>
        </w:rPr>
        <w:t xml:space="preserve"> </w:t>
      </w:r>
    </w:p>
    <w:bookmarkStart w:id="6" w:name="_k0xlp06cbacp" w:colFirst="0" w:colLast="0"/>
    <w:bookmarkStart w:id="7" w:name="_Toc242284004"/>
    <w:bookmarkEnd w:id="6"/>
    <w:p w14:paraId="6E98687B">
      <w:pPr>
        <w:pStyle w:val="style2"/>
        <w:rPr>
          <w:rFonts w:cs="Arial"/>
          <w:color w:val="000000"/>
          <w:lang w:val="en-GB"/>
        </w:rPr>
      </w:pPr>
      <w:r>
        <w:rPr>
          <w:rFonts w:cs="Arial"/>
          <w:color w:val="000000"/>
          <w:lang w:val="en-GB"/>
        </w:rPr>
        <w:t>1.1 Critical Evaluation of traditional and contemporary work design</w:t>
      </w:r>
      <w:bookmarkEnd w:id="7"/>
      <w:r>
        <w:rPr>
          <w:rFonts w:cs="Arial"/>
          <w:color w:val="000000"/>
          <w:lang w:val="en-GB"/>
        </w:rPr>
        <w:t xml:space="preserve"> </w:t>
      </w:r>
    </w:p>
    <w:p w14:paraId="67ED2D85">
      <w:pPr>
        <w:pStyle w:val="style0"/>
        <w:rPr>
          <w:rFonts w:ascii="Arial" w:cs="Arial" w:hAnsi="Arial"/>
          <w:color w:val="000000"/>
          <w:lang w:val="en-GB"/>
        </w:rPr>
      </w:pPr>
      <w:r>
        <w:rPr>
          <w:rFonts w:ascii="Arial" w:cs="Arial" w:hAnsi="Arial"/>
          <w:color w:val="000000"/>
          <w:lang w:val="en-GB"/>
        </w:rPr>
        <w:t xml:space="preserve">NHSX follows traditional </w:t>
      </w:r>
      <w:r>
        <w:rPr>
          <w:rFonts w:ascii="Arial" w:cs="Arial" w:hAnsi="Arial"/>
          <w:color w:val="000000"/>
          <w:lang w:val="en-GB"/>
        </w:rPr>
        <w:t>Taylorist</w:t>
      </w:r>
      <w:r>
        <w:rPr>
          <w:rFonts w:ascii="Arial" w:cs="Arial" w:hAnsi="Arial"/>
          <w:color w:val="000000"/>
          <w:lang w:val="en-GB"/>
        </w:rPr>
        <w:t xml:space="preserve"> approaches (Scientific Management Theory), which prioritises task specialisation, managerial control and stand</w:t>
      </w:r>
      <w:r>
        <w:rPr>
          <w:rFonts w:ascii="Arial" w:cs="Arial" w:hAnsi="Arial"/>
          <w:color w:val="000000"/>
          <w:lang w:val="en-GB"/>
        </w:rPr>
        <w:t xml:space="preserve">ardisation (Karn et al., 2026), which </w:t>
      </w:r>
      <w:r>
        <w:rPr>
          <w:rFonts w:ascii="Arial" w:cs="Arial" w:hAnsi="Arial"/>
          <w:color w:val="000000"/>
          <w:lang w:val="en-GB"/>
        </w:rPr>
        <w:t xml:space="preserve">is effective for consistent and accountability; </w:t>
      </w:r>
      <w:r>
        <w:rPr>
          <w:rFonts w:ascii="Arial" w:cs="Arial" w:hAnsi="Arial"/>
          <w:color w:val="000000"/>
          <w:lang w:val="en-GB"/>
        </w:rPr>
        <w:t>however,</w:t>
      </w:r>
      <w:r>
        <w:rPr>
          <w:rFonts w:ascii="Arial" w:cs="Arial" w:hAnsi="Arial"/>
          <w:color w:val="000000"/>
          <w:lang w:val="en-GB"/>
        </w:rPr>
        <w:t xml:space="preserve"> its effectiveness becomes constrained when employees must solve ambiguous problems, respond rapidly to technological change and iterate multidisciplinary knowledge. The NHSX's therefore, slowed their decision making, struggle to balance employee well-being, inadequate learning opportunities and limited experimentation, which suggest that excessive hierarchy has become a strategic constraint rather than simply an operational preference, which can be solved through applying High-Performance Work System (HPWS). It will allow NHSX to drive a shift in work design from narrow routine tasks to broader, multi-skills roles, which is effective in addressing inadequate learning-related issues and allowing employees to share knowledge to embrace creativity and experimentation </w:t>
      </w:r>
      <w:r>
        <w:rPr>
          <w:rFonts w:ascii="Arial" w:cs="Arial" w:hAnsi="Arial"/>
          <w:color w:val="000000"/>
          <w:lang w:val="en-GB"/>
        </w:rPr>
        <w:t>(</w:t>
      </w:r>
      <w:r>
        <w:rPr>
          <w:rFonts w:ascii="Arial" w:cs="Arial" w:hAnsi="Arial"/>
          <w:color w:val="000000"/>
          <w:lang w:val="en-GB"/>
        </w:rPr>
        <w:t>Balabanova</w:t>
      </w:r>
      <w:r>
        <w:rPr>
          <w:rFonts w:ascii="Arial" w:cs="Arial" w:hAnsi="Arial"/>
          <w:color w:val="000000"/>
          <w:lang w:val="en-GB"/>
        </w:rPr>
        <w:t xml:space="preserve"> et al., 2026). Additionally, it will allow team-based problem solving while reducing stagnant supervisor control and translate into self-ma</w:t>
      </w:r>
      <w:r>
        <w:rPr>
          <w:rFonts w:ascii="Arial" w:cs="Arial" w:hAnsi="Arial"/>
          <w:color w:val="000000"/>
          <w:lang w:val="en-GB"/>
        </w:rPr>
        <w:t xml:space="preserve">nagement and employee autonomy, which </w:t>
      </w:r>
      <w:r>
        <w:rPr>
          <w:rFonts w:ascii="Arial" w:cs="Arial" w:hAnsi="Arial"/>
          <w:color w:val="000000"/>
          <w:lang w:val="en-GB"/>
        </w:rPr>
        <w:t>will upgrade skill</w:t>
      </w:r>
      <w:r>
        <w:rPr>
          <w:rFonts w:ascii="Arial" w:cs="Arial" w:hAnsi="Arial"/>
          <w:color w:val="000000"/>
          <w:lang w:val="en-GB"/>
        </w:rPr>
        <w:t xml:space="preserve">s and knowledge sharing. </w:t>
      </w:r>
    </w:p>
    <w:p w14:paraId="10F82475">
      <w:pPr>
        <w:pStyle w:val="style0"/>
        <w:rPr>
          <w:rFonts w:ascii="Arial" w:cs="Arial" w:hAnsi="Arial"/>
          <w:color w:val="000000"/>
          <w:lang w:val="en-GB"/>
        </w:rPr>
      </w:pPr>
      <w:r>
        <w:rPr>
          <w:rFonts w:ascii="Arial" w:cs="Arial" w:hAnsi="Arial"/>
          <w:color w:val="000000"/>
          <w:lang w:val="en-GB"/>
        </w:rPr>
        <w:t>Centralised</w:t>
      </w:r>
      <w:r>
        <w:rPr>
          <w:rFonts w:ascii="Arial" w:cs="Arial" w:hAnsi="Arial"/>
          <w:color w:val="000000"/>
          <w:lang w:val="en-GB"/>
        </w:rPr>
        <w:t xml:space="preserve"> decision-making can slow responses, restrict employee autonomy and reduce opportunities for experimentation in NHSX. Whereas an agile working culture is also useful for NHSX to replace rigid annual planning with iterative experimentation, knowledge sharing among cross-functional teams, and enable continuous feedback from HRM. Kucharska (2026) </w:t>
      </w:r>
      <w:r>
        <w:rPr>
          <w:rFonts w:ascii="Arial" w:cs="Arial" w:hAnsi="Arial"/>
          <w:color w:val="000000"/>
          <w:lang w:val="en-GB"/>
        </w:rPr>
        <w:t xml:space="preserve">stated </w:t>
      </w:r>
      <w:r>
        <w:rPr>
          <w:rFonts w:ascii="Arial" w:cs="Arial" w:hAnsi="Arial"/>
          <w:color w:val="000000"/>
          <w:lang w:val="en-GB"/>
        </w:rPr>
        <w:t xml:space="preserve">that an agile workplace culture encourages employees to constantly respond to rapid change, which can solve NHSX’s issue related to </w:t>
      </w:r>
      <w:r>
        <w:rPr>
          <w:rFonts w:ascii="Arial" w:cs="Arial" w:hAnsi="Arial"/>
          <w:color w:val="000000"/>
          <w:lang w:val="en-GB"/>
        </w:rPr>
        <w:t xml:space="preserve">slow-decision making and innovation. </w:t>
      </w:r>
      <w:r>
        <w:rPr>
          <w:rFonts w:ascii="Arial" w:cs="Arial" w:hAnsi="Arial"/>
          <w:color w:val="000000"/>
          <w:lang w:val="en-GB"/>
        </w:rPr>
        <w:t xml:space="preserve">This is relevant to the company because it allows employees to independently make decisions, learn new skills and adapt cultures instead of waiting for hierarchical approval. Nevertheless, Agile can also create coordination issues if autonomy is introduced without clear accountability. Therefore, the strongest approach is not to replace hierarchy with complete decentralisation; however, NHSX should establish bounded autonomy, where teams have the authority over operational decisions while strategic governance remains centralised.  </w:t>
      </w:r>
    </w:p>
    <w:p w14:paraId="1A9B4784">
      <w:pPr>
        <w:pStyle w:val="style0"/>
        <w:rPr>
          <w:rFonts w:ascii="Arial" w:cs="Arial" w:hAnsi="Arial"/>
          <w:color w:val="000000"/>
          <w:lang w:val="en-GB"/>
        </w:rPr>
      </w:pPr>
      <w:r>
        <w:rPr>
          <w:rFonts w:ascii="Arial" w:cs="Arial" w:hAnsi="Arial"/>
          <w:color w:val="000000"/>
          <w:lang w:val="en-GB"/>
        </w:rPr>
        <w:t>NHSX's traditional hierarchical working culture creates several constraints for organisational performance</w:t>
      </w:r>
      <w:r>
        <w:rPr>
          <w:rFonts w:ascii="Arial" w:cs="Arial" w:hAnsi="Arial"/>
          <w:color w:val="000000"/>
          <w:lang w:val="en-GB"/>
        </w:rPr>
        <w:t xml:space="preserve">, </w:t>
      </w:r>
      <w:r>
        <w:rPr>
          <w:rFonts w:ascii="Arial" w:cs="Arial" w:hAnsi="Arial"/>
          <w:color w:val="000000"/>
          <w:lang w:val="en-GB"/>
        </w:rPr>
        <w:t>which restricts employees from developing their digital literacy to collaborate with digital technologies to improve organisational performance. Whereas</w:t>
      </w:r>
      <w:r>
        <w:rPr>
          <w:rFonts w:ascii="Arial" w:cs="Arial" w:hAnsi="Arial"/>
          <w:color w:val="000000"/>
          <w:lang w:val="en-GB"/>
        </w:rPr>
        <w:t>,</w:t>
      </w:r>
      <w:r>
        <w:rPr>
          <w:rFonts w:ascii="Arial" w:cs="Arial" w:hAnsi="Arial"/>
          <w:color w:val="000000"/>
          <w:lang w:val="en-GB"/>
        </w:rPr>
        <w:t xml:space="preserve"> Sociotechnical Systems Theory (STS) unveils that better work performance highly depends on the joint optimisation of both human (social) and technical subsystems (</w:t>
      </w:r>
      <w:r>
        <w:rPr>
          <w:rFonts w:ascii="Arial" w:cs="Arial" w:hAnsi="Arial"/>
          <w:color w:val="000000"/>
          <w:lang w:val="en-GB"/>
        </w:rPr>
        <w:t>Özbilgin</w:t>
      </w:r>
      <w:r>
        <w:rPr>
          <w:rFonts w:ascii="Arial" w:cs="Arial" w:hAnsi="Arial"/>
          <w:color w:val="000000"/>
          <w:lang w:val="en-GB"/>
        </w:rPr>
        <w:t xml:space="preserve"> et al., 2026), which is relevant to NHSX because AI and digital health technologies cannot delive</w:t>
      </w:r>
      <w:r>
        <w:rPr>
          <w:rFonts w:ascii="Arial" w:cs="Arial" w:hAnsi="Arial"/>
          <w:color w:val="000000"/>
          <w:lang w:val="en-GB"/>
        </w:rPr>
        <w:t xml:space="preserve">r value independently. </w:t>
      </w:r>
      <w:r>
        <w:rPr>
          <w:rFonts w:ascii="Arial" w:cs="Arial" w:hAnsi="Arial"/>
          <w:color w:val="000000"/>
          <w:lang w:val="en-GB"/>
        </w:rPr>
        <w:t>Nevertheless, it over-relies on joining optimisation of social and technical systems, while overlooking employees' high performance expectations and balancing their wellbeing, which is a concurrent issue of NHSX. Whereas the</w:t>
      </w:r>
      <w:r>
        <w:rPr>
          <w:rFonts w:ascii="Arial" w:cs="Arial" w:hAnsi="Arial"/>
          <w:color w:val="000000"/>
          <w:lang w:val="en-GB"/>
        </w:rPr>
        <w:t xml:space="preserve"> </w:t>
      </w:r>
      <w:r>
        <w:rPr>
          <w:rFonts w:ascii="Arial" w:cs="Arial" w:hAnsi="Arial"/>
          <w:color w:val="000000"/>
          <w:lang w:val="en-GB"/>
        </w:rPr>
        <w:t>HIWS provides a stronger fit with NHSX's specific challenges, such as weakened collaboration with cross-cultural teams, slowed decision-making, limited career growth opportunities, inadequate employee wellbeing support and limite</w:t>
      </w:r>
      <w:r>
        <w:rPr>
          <w:rFonts w:ascii="Arial" w:cs="Arial" w:hAnsi="Arial"/>
          <w:color w:val="000000"/>
          <w:lang w:val="en-GB"/>
        </w:rPr>
        <w:t xml:space="preserve">d opportunities for creativity. </w:t>
      </w:r>
      <w:r>
        <w:rPr>
          <w:rFonts w:ascii="Arial" w:cs="Arial" w:hAnsi="Arial"/>
          <w:color w:val="000000"/>
          <w:lang w:val="en-GB"/>
        </w:rPr>
        <w:t xml:space="preserve"> Luo and Yao (2026), </w:t>
      </w:r>
      <w:r>
        <w:rPr>
          <w:rFonts w:ascii="Arial" w:cs="Arial" w:hAnsi="Arial"/>
          <w:color w:val="000000"/>
          <w:lang w:val="en-GB"/>
        </w:rPr>
        <w:t xml:space="preserve">stated that </w:t>
      </w:r>
      <w:r>
        <w:rPr>
          <w:rFonts w:ascii="Arial" w:cs="Arial" w:hAnsi="Arial"/>
          <w:color w:val="000000"/>
          <w:lang w:val="en-GB"/>
        </w:rPr>
        <w:t>HIWS emphasises power, information, rewards and knowledge sharing, which allows employees greater involvement in dec</w:t>
      </w:r>
      <w:r>
        <w:rPr>
          <w:rFonts w:ascii="Arial" w:cs="Arial" w:hAnsi="Arial"/>
          <w:color w:val="000000"/>
          <w:lang w:val="en-GB"/>
        </w:rPr>
        <w:t>isions</w:t>
      </w:r>
      <w:r>
        <w:rPr>
          <w:rFonts w:ascii="Arial" w:cs="Arial" w:hAnsi="Arial"/>
          <w:color w:val="000000"/>
          <w:lang w:val="en-GB"/>
        </w:rPr>
        <w:t xml:space="preserve">; therefore, NHSX should reject both rigid hierarchy and </w:t>
      </w:r>
      <w:r>
        <w:rPr>
          <w:rFonts w:ascii="Arial" w:cs="Arial" w:hAnsi="Arial"/>
          <w:color w:val="000000"/>
          <w:lang w:val="en-GB"/>
        </w:rPr>
        <w:t xml:space="preserve">unstructured flexibility. The most appropriate mode is an integrated "HIWS and Agile structure" where technology, autonomy, and collaboration are deliberately designed around organisational objectives. </w:t>
      </w:r>
    </w:p>
    <w:bookmarkStart w:id="8" w:name="_pakc4p2k6u2a" w:colFirst="0" w:colLast="0"/>
    <w:bookmarkStart w:id="9" w:name="_Toc242284005"/>
    <w:bookmarkEnd w:id="8"/>
    <w:p w14:paraId="52135078">
      <w:pPr>
        <w:pStyle w:val="style2"/>
        <w:rPr>
          <w:rFonts w:cs="Arial"/>
          <w:color w:val="000000"/>
          <w:lang w:val="en-GB"/>
        </w:rPr>
      </w:pPr>
      <w:r>
        <w:rPr>
          <w:rFonts w:cs="Arial"/>
          <w:color w:val="000000"/>
          <w:lang w:val="en-GB"/>
        </w:rPr>
        <w:t>1.2 Recommended innovative working practices for NHSX</w:t>
      </w:r>
      <w:bookmarkEnd w:id="9"/>
      <w:r>
        <w:rPr>
          <w:rFonts w:cs="Arial"/>
          <w:color w:val="000000"/>
          <w:lang w:val="en-GB"/>
        </w:rPr>
        <w:t xml:space="preserve"> </w:t>
      </w:r>
    </w:p>
    <w:p w14:paraId="4A02EA4E">
      <w:pPr>
        <w:pStyle w:val="style0"/>
        <w:rPr>
          <w:rFonts w:ascii="Arial" w:cs="Arial" w:hAnsi="Arial"/>
          <w:color w:val="000000"/>
          <w:lang w:val="en-GB"/>
        </w:rPr>
      </w:pPr>
      <w:r>
        <w:rPr>
          <w:rFonts w:ascii="Arial" w:cs="Arial" w:hAnsi="Arial"/>
          <w:color w:val="000000"/>
          <w:lang w:val="en-GB"/>
        </w:rPr>
        <w:t xml:space="preserve">Considering the challenges of traditional working culture, it is important to incorporate innovative working practices for NHSX, which will also mitigate strategic workforce challenges faced by the company. </w:t>
      </w:r>
    </w:p>
    <w:p w14:paraId="6CE37C96">
      <w:pPr>
        <w:pStyle w:val="style0"/>
        <w:rPr>
          <w:rFonts w:ascii="Arial" w:cs="Arial" w:hAnsi="Arial"/>
          <w:b/>
          <w:bCs/>
          <w:i/>
          <w:iCs/>
          <w:color w:val="000000"/>
          <w:lang w:val="en-GB"/>
        </w:rPr>
      </w:pPr>
      <w:r>
        <w:rPr>
          <w:rFonts w:ascii="Arial" w:cs="Arial" w:hAnsi="Arial"/>
          <w:b/>
          <w:bCs/>
          <w:i/>
          <w:iCs/>
          <w:color w:val="000000"/>
          <w:lang w:val="en-GB"/>
        </w:rPr>
        <w:t xml:space="preserve">Cross-Functional Collaboration through Agile Working </w:t>
      </w:r>
    </w:p>
    <w:p w14:paraId="6E2F86EB">
      <w:pPr>
        <w:pStyle w:val="style0"/>
        <w:rPr>
          <w:rFonts w:ascii="Arial" w:cs="Arial" w:hAnsi="Arial"/>
          <w:color w:val="000000"/>
          <w:lang w:val="en-GB"/>
        </w:rPr>
      </w:pPr>
      <w:r>
        <w:rPr>
          <w:rFonts w:ascii="Arial" w:cs="Arial" w:hAnsi="Arial"/>
          <w:color w:val="000000"/>
          <w:lang w:val="en-GB"/>
        </w:rPr>
        <w:t xml:space="preserve">NHSX should establish a cross-functional Agile team to smoothly run </w:t>
      </w:r>
      <w:r>
        <w:rPr>
          <w:rFonts w:ascii="Arial" w:cs="Arial" w:hAnsi="Arial"/>
          <w:color w:val="000000"/>
          <w:lang w:val="en-GB"/>
        </w:rPr>
        <w:t>a proper operation</w:t>
      </w:r>
      <w:r>
        <w:rPr>
          <w:rFonts w:ascii="Arial" w:cs="Arial" w:hAnsi="Arial"/>
          <w:color w:val="000000"/>
          <w:lang w:val="en-GB"/>
        </w:rPr>
        <w:t xml:space="preserve"> by sharing knowledge between distinct departments, including software/AI specialists, data specialists, clinical experts and user representatives, to boost creativity. This approach would directly address the current problem of slow hierarchical decision-making and slower creativity because expertise would be located closer to the operational decisions instead of getting approval of the hierarchy, which also improve indecent decision-making ability of employees and boost creativity. Collaborative working among different teams within an operation helps in improving creativity (Plattfaut et al. 2026), for instance marketing team of NHSX share understanding market demand and share their knowledge with the product design team to produce demanding products to satisfy consumer demand, gain competitive edge and boost organisational performance. </w:t>
      </w:r>
    </w:p>
    <w:p w14:paraId="3057CC19">
      <w:pPr>
        <w:pStyle w:val="style0"/>
        <w:rPr>
          <w:rFonts w:ascii="Arial" w:cs="Arial" w:hAnsi="Arial"/>
          <w:b/>
          <w:bCs/>
          <w:i/>
          <w:iCs/>
          <w:color w:val="000000"/>
          <w:lang w:val="en-GB"/>
        </w:rPr>
      </w:pPr>
      <w:r>
        <w:rPr>
          <w:rFonts w:ascii="Arial" w:cs="Arial" w:hAnsi="Arial"/>
          <w:b/>
          <w:bCs/>
          <w:i/>
          <w:iCs/>
          <w:color w:val="000000"/>
          <w:lang w:val="en-GB"/>
        </w:rPr>
        <w:t xml:space="preserve">Employee autonomy through HIWS </w:t>
      </w:r>
    </w:p>
    <w:p w14:paraId="333DB61F">
      <w:pPr>
        <w:pStyle w:val="style0"/>
        <w:rPr>
          <w:rFonts w:ascii="Arial" w:cs="Arial" w:hAnsi="Arial"/>
          <w:color w:val="000000"/>
          <w:lang w:val="en-GB"/>
        </w:rPr>
      </w:pPr>
      <w:r>
        <w:rPr>
          <w:rFonts w:ascii="Arial" w:cs="Arial" w:hAnsi="Arial"/>
          <w:color w:val="000000"/>
          <w:lang w:val="en-GB"/>
        </w:rPr>
        <w:t xml:space="preserve">NHXS should introduce greater employee participation through giving authority to employees to decide how to organise its project tasks, choose appropriate methods for solving technical problems, propose and test new ideas and share knowledge and feedback directly with other functional teams. </w:t>
      </w:r>
      <w:r>
        <w:rPr>
          <w:rFonts w:ascii="Arial" w:cs="Arial" w:hAnsi="Arial"/>
          <w:color w:val="000000"/>
          <w:lang w:val="en-GB"/>
        </w:rPr>
        <w:t xml:space="preserve">The </w:t>
      </w:r>
      <w:r>
        <w:rPr>
          <w:rFonts w:ascii="Arial" w:cs="Arial" w:hAnsi="Arial"/>
          <w:color w:val="000000"/>
          <w:lang w:val="en-GB"/>
        </w:rPr>
        <w:t xml:space="preserve">greater participation allows employees closest to operational problems to contribute knowledge that senior managers may not possess (Rezaei et al., 2026). Nevertheless, autonomy without accountability can produce inconsistency and wrong decisions. Therefore, bounded autonomy is best for NHSX to improve organisational performance by maintaining creativity and accountability for smooth function across international teams. </w:t>
      </w:r>
    </w:p>
    <w:p w14:paraId="61809156">
      <w:pPr>
        <w:pStyle w:val="style0"/>
        <w:rPr>
          <w:rFonts w:ascii="Arial" w:cs="Arial" w:hAnsi="Arial"/>
          <w:b/>
          <w:bCs/>
          <w:i/>
          <w:iCs/>
          <w:color w:val="000000"/>
          <w:lang w:val="en-GB"/>
        </w:rPr>
      </w:pPr>
      <w:r>
        <w:rPr>
          <w:rFonts w:ascii="Arial" w:cs="Arial" w:hAnsi="Arial"/>
          <w:b/>
          <w:bCs/>
          <w:i/>
          <w:iCs/>
          <w:color w:val="000000"/>
          <w:lang w:val="en-GB"/>
        </w:rPr>
        <w:t xml:space="preserve">Digital Collaboration technologies  </w:t>
      </w:r>
    </w:p>
    <w:p w14:paraId="1C54746C">
      <w:pPr>
        <w:pStyle w:val="style0"/>
        <w:rPr>
          <w:rFonts w:ascii="Arial" w:cs="Arial" w:hAnsi="Arial"/>
          <w:color w:val="000000"/>
          <w:lang w:val="en-GB"/>
        </w:rPr>
      </w:pPr>
      <w:r>
        <w:rPr>
          <w:rFonts w:ascii="Arial" w:cs="Arial" w:hAnsi="Arial"/>
          <w:color w:val="000000"/>
          <w:lang w:val="en-GB"/>
        </w:rPr>
        <w:t xml:space="preserve">As the company is operating globally, proper communication and collaboration is important through the digital tools including </w:t>
      </w:r>
      <w:r>
        <w:rPr>
          <w:rFonts w:ascii="Arial" w:cs="Arial" w:hAnsi="Arial"/>
          <w:color w:val="000000"/>
          <w:lang w:val="en-GB"/>
        </w:rPr>
        <w:t>microsoft</w:t>
      </w:r>
      <w:r>
        <w:rPr>
          <w:rFonts w:ascii="Arial" w:cs="Arial" w:hAnsi="Arial"/>
          <w:color w:val="000000"/>
          <w:lang w:val="en-GB"/>
        </w:rPr>
        <w:t xml:space="preserve"> teams for meeting, </w:t>
      </w:r>
      <w:r>
        <w:rPr>
          <w:rFonts w:ascii="Arial" w:cs="Arial" w:hAnsi="Arial"/>
          <w:color w:val="000000"/>
          <w:lang w:val="en-GB"/>
        </w:rPr>
        <w:t>sharepoint</w:t>
      </w:r>
      <w:r>
        <w:rPr>
          <w:rFonts w:ascii="Arial" w:cs="Arial" w:hAnsi="Arial"/>
          <w:color w:val="000000"/>
          <w:lang w:val="en-GB"/>
        </w:rPr>
        <w:t xml:space="preserve"> for shared documents, planner or project tools for task allocation and project visibility and digital whiteboard for collaborative brainstorming. Through the lens of Sociotechnical Systems Theory (STS), before implementation, the company should clearly communicate with managers and employees </w:t>
      </w:r>
      <w:r>
        <w:rPr>
          <w:rFonts w:ascii="Arial" w:cs="Arial" w:hAnsi="Arial"/>
          <w:color w:val="000000"/>
          <w:lang w:val="en-GB"/>
        </w:rPr>
        <w:t>regarding</w:t>
      </w:r>
      <w:r>
        <w:rPr>
          <w:rFonts w:ascii="Arial" w:cs="Arial" w:hAnsi="Arial"/>
          <w:color w:val="000000"/>
          <w:lang w:val="en-GB"/>
        </w:rPr>
        <w:t xml:space="preserve"> rules </w:t>
      </w:r>
      <w:r>
        <w:rPr>
          <w:rFonts w:ascii="Arial" w:cs="Arial" w:hAnsi="Arial"/>
          <w:color w:val="000000"/>
          <w:lang w:val="en-GB"/>
        </w:rPr>
        <w:t xml:space="preserve">and properly train them to access these technologies to avoid resistance while ensuring recorded and accessible group discussions for employees. This record system is important because different countries such as the UK, India and the UAE have different working hours and time zones. It will be beneficial for each country's employees to learn digital literacy and successfully participate in digital collaboration technologies from different countries. </w:t>
      </w:r>
      <w:r>
        <w:rPr>
          <w:rFonts w:ascii="Arial" w:cs="Arial" w:hAnsi="Arial"/>
          <w:color w:val="000000"/>
          <w:lang w:val="en-GB"/>
        </w:rPr>
        <w:t>It will enhance organisational performance through digital and human collaboration.</w:t>
      </w:r>
    </w:p>
    <w:p w14:paraId="6F032774">
      <w:pPr>
        <w:pStyle w:val="style0"/>
        <w:rPr>
          <w:rFonts w:ascii="Arial" w:cs="Arial" w:hAnsi="Arial"/>
          <w:b/>
          <w:bCs/>
          <w:i/>
          <w:iCs/>
          <w:color w:val="000000"/>
          <w:lang w:val="en-GB"/>
        </w:rPr>
      </w:pPr>
      <w:r>
        <w:rPr>
          <w:rFonts w:ascii="Arial" w:cs="Arial" w:hAnsi="Arial"/>
          <w:b/>
          <w:bCs/>
          <w:i/>
          <w:iCs/>
          <w:color w:val="000000"/>
          <w:lang w:val="en-GB"/>
        </w:rPr>
        <w:t xml:space="preserve">Hybrid and Flexible working culture through HPWS </w:t>
      </w:r>
    </w:p>
    <w:p w14:paraId="670D6D46">
      <w:pPr>
        <w:pStyle w:val="style0"/>
        <w:rPr>
          <w:rFonts w:ascii="Arial" w:cs="Arial" w:hAnsi="Arial"/>
          <w:color w:val="000000"/>
          <w:lang w:val="en-GB"/>
        </w:rPr>
      </w:pPr>
      <w:r>
        <w:rPr>
          <w:rFonts w:ascii="Arial" w:cs="Arial" w:hAnsi="Arial"/>
          <w:color w:val="000000"/>
          <w:lang w:val="en-GB"/>
        </w:rPr>
        <w:t xml:space="preserve">NHSX should address weakened collaboration by redesigning how employees communicate, coordinate and share knowledge across different locations instead of simply allowing employees to work remotely. Nevertheless, flexibility alone may fragment knowledge sharing and weaken coordination; therefore, NHSX should combine hybrid working with multi-tasking teams, digital collaboration and learning opportunities, which can enhance innovation, solve employee retention issues and enhance productivity. For instance, AI </w:t>
      </w:r>
      <w:r>
        <w:rPr>
          <w:rFonts w:ascii="Arial" w:cs="Arial" w:hAnsi="Arial"/>
          <w:color w:val="000000"/>
          <w:lang w:val="en-GB"/>
        </w:rPr>
        <w:t>specialist’s</w:t>
      </w:r>
      <w:r>
        <w:rPr>
          <w:rFonts w:ascii="Arial" w:cs="Arial" w:hAnsi="Arial"/>
          <w:color w:val="000000"/>
          <w:lang w:val="en-GB"/>
        </w:rPr>
        <w:t xml:space="preserve"> </w:t>
      </w:r>
      <w:r>
        <w:rPr>
          <w:rFonts w:ascii="Arial" w:cs="Arial" w:hAnsi="Arial"/>
          <w:color w:val="000000"/>
          <w:lang w:val="en-GB"/>
        </w:rPr>
        <w:t xml:space="preserve">clinicians and product teams </w:t>
      </w:r>
      <w:r>
        <w:rPr>
          <w:rFonts w:ascii="Arial" w:cs="Arial" w:hAnsi="Arial"/>
          <w:color w:val="000000"/>
          <w:lang w:val="en-GB"/>
        </w:rPr>
        <w:t xml:space="preserve">could use digital platforms for </w:t>
      </w:r>
      <w:r>
        <w:rPr>
          <w:rFonts w:ascii="Arial" w:cs="Arial" w:hAnsi="Arial"/>
          <w:color w:val="000000"/>
          <w:lang w:val="en-GB"/>
        </w:rPr>
        <w:t>constant</w:t>
      </w:r>
      <w:r>
        <w:rPr>
          <w:rFonts w:ascii="Arial" w:cs="Arial" w:hAnsi="Arial"/>
          <w:color w:val="000000"/>
          <w:lang w:val="en-GB"/>
        </w:rPr>
        <w:t xml:space="preserve"> project communication while scheduling regular </w:t>
      </w:r>
      <w:r>
        <w:rPr>
          <w:rFonts w:ascii="Arial" w:cs="Arial" w:hAnsi="Arial"/>
          <w:color w:val="000000"/>
          <w:lang w:val="en-GB"/>
        </w:rPr>
        <w:t xml:space="preserve">virtual </w:t>
      </w:r>
      <w:r>
        <w:rPr>
          <w:rFonts w:ascii="Arial" w:cs="Arial" w:hAnsi="Arial"/>
          <w:color w:val="000000"/>
          <w:lang w:val="en-GB"/>
        </w:rPr>
        <w:t xml:space="preserve">meetings for solving </w:t>
      </w:r>
      <w:r>
        <w:rPr>
          <w:rFonts w:ascii="Arial" w:cs="Arial" w:hAnsi="Arial"/>
          <w:color w:val="000000"/>
          <w:lang w:val="en-GB"/>
        </w:rPr>
        <w:t xml:space="preserve">complex problem </w:t>
      </w:r>
      <w:r>
        <w:rPr>
          <w:rFonts w:ascii="Arial" w:cs="Arial" w:hAnsi="Arial"/>
          <w:color w:val="000000"/>
          <w:lang w:val="en-GB"/>
        </w:rPr>
        <w:t xml:space="preserve">and decision-making, which </w:t>
      </w:r>
      <w:r>
        <w:rPr>
          <w:rFonts w:ascii="Arial" w:cs="Arial" w:hAnsi="Arial"/>
          <w:color w:val="000000"/>
          <w:lang w:val="en-GB"/>
        </w:rPr>
        <w:t xml:space="preserve">could enhance </w:t>
      </w:r>
      <w:r>
        <w:rPr>
          <w:rFonts w:ascii="Arial" w:cs="Arial" w:hAnsi="Arial"/>
          <w:color w:val="000000"/>
          <w:lang w:val="en-GB"/>
        </w:rPr>
        <w:t xml:space="preserve">company’s  performance by faster decision-making, </w:t>
      </w:r>
      <w:r>
        <w:rPr>
          <w:rFonts w:ascii="Arial" w:cs="Arial" w:hAnsi="Arial"/>
          <w:color w:val="000000"/>
          <w:lang w:val="en-GB"/>
        </w:rPr>
        <w:t xml:space="preserve">better knowledge sharing, and higher productivity among employees. </w:t>
      </w:r>
    </w:p>
    <w:bookmarkStart w:id="10" w:name="_oxiud2so1o2z" w:colFirst="0" w:colLast="0"/>
    <w:bookmarkStart w:id="11" w:name="_Toc242284006"/>
    <w:bookmarkEnd w:id="10"/>
    <w:p w14:paraId="0925F212">
      <w:pPr>
        <w:pStyle w:val="style1"/>
        <w:rPr>
          <w:rFonts w:ascii="Arial" w:cs="Arial" w:hAnsi="Arial"/>
          <w:color w:val="000000"/>
          <w:lang w:val="en-GB"/>
        </w:rPr>
      </w:pPr>
      <w:r>
        <w:rPr>
          <w:rFonts w:ascii="Arial" w:cs="Arial" w:hAnsi="Arial"/>
          <w:color w:val="000000"/>
          <w:lang w:val="en-GB"/>
        </w:rPr>
        <w:t>Task B: Breeding and Environment Where Talent May Grow</w:t>
      </w:r>
      <w:bookmarkEnd w:id="11"/>
    </w:p>
    <w:bookmarkStart w:id="12" w:name="_Toc242284007"/>
    <w:p w14:paraId="0FC455A3">
      <w:pPr>
        <w:pStyle w:val="style2"/>
        <w:rPr>
          <w:rFonts w:cs="Arial"/>
          <w:lang w:val="en-GB"/>
        </w:rPr>
      </w:pPr>
      <w:r>
        <w:rPr>
          <w:rFonts w:cs="Arial"/>
          <w:lang w:val="en-GB"/>
        </w:rPr>
        <w:t xml:space="preserve">2.1 </w:t>
      </w:r>
      <w:r>
        <w:rPr>
          <w:rFonts w:cs="Arial"/>
          <w:lang w:val="en-GB"/>
        </w:rPr>
        <w:t>Critical Evaluation: Creating an environment where talent flourishes</w:t>
      </w:r>
      <w:bookmarkEnd w:id="12"/>
      <w:r>
        <w:rPr>
          <w:rFonts w:cs="Arial"/>
          <w:lang w:val="en-GB"/>
        </w:rPr>
        <w:t xml:space="preserve"> </w:t>
      </w:r>
    </w:p>
    <w:p w14:paraId="7A16116C">
      <w:pPr>
        <w:pStyle w:val="style0"/>
        <w:rPr>
          <w:rFonts w:ascii="Arial" w:cs="Arial" w:hAnsi="Arial"/>
          <w:color w:val="000000"/>
          <w:lang w:val="en-GB"/>
        </w:rPr>
      </w:pPr>
      <w:r>
        <w:rPr>
          <w:rFonts w:ascii="Arial" w:cs="Arial" w:hAnsi="Arial"/>
          <w:color w:val="000000"/>
          <w:lang w:val="en-GB"/>
        </w:rPr>
        <w:t xml:space="preserve">NHSX's loss of high-performing employees indicates that its talent problem is not simply a shortage of training but a weakness in the wider talent ecosystem. AI and digital health capabilities are constantly evolving, so technology-intensive organisations such as NHSX </w:t>
      </w:r>
      <w:r>
        <w:rPr>
          <w:rFonts w:ascii="Arial" w:cs="Arial" w:hAnsi="Arial"/>
          <w:color w:val="000000"/>
          <w:lang w:val="en-GB"/>
        </w:rPr>
        <w:t xml:space="preserve">cannot depend on existing employee knowledge; rather, they provide constant training for employees to continuously learn new skills and cope with changing market demands through a growth mindset and a learning organisation. For instance, Microsoft cultivates a learning culture through "Viva Learning" to encourage its employees to learn from experimentation, mistakes and colleagues, while explicitly promoting a growth-mindset philosophy in which employees continuously develop capabilities (Kellington, 2022), which improves employee engagement and retention. Therefore, NHSX should embed a learning culture within everyday work through experimentation and cross-functional projects to boost growth mindset among talented employees and retain them for the long term. </w:t>
      </w:r>
    </w:p>
    <w:p w14:paraId="3BA759D1">
      <w:pPr>
        <w:pStyle w:val="style0"/>
        <w:rPr>
          <w:rFonts w:ascii="Arial" w:cs="Arial" w:hAnsi="Arial"/>
          <w:color w:val="000000"/>
          <w:lang w:val="en-GB"/>
        </w:rPr>
      </w:pPr>
      <w:r>
        <w:rPr>
          <w:rFonts w:ascii="Arial" w:cs="Arial" w:hAnsi="Arial"/>
          <w:color w:val="000000"/>
          <w:lang w:val="en-GB"/>
        </w:rPr>
        <w:t xml:space="preserve">NHSX is facing high voluntary turnover and rising recruitment costs due to a lack of opportunity for creativity and experimentation, which can be solved through embedding self-determination theory. This SDT not only </w:t>
      </w:r>
      <w:r>
        <w:rPr>
          <w:rFonts w:ascii="Arial" w:cs="Arial" w:hAnsi="Arial"/>
          <w:color w:val="000000"/>
          <w:lang w:val="en-GB"/>
        </w:rPr>
        <w:t>motivates employees</w:t>
      </w:r>
      <w:r>
        <w:rPr>
          <w:rFonts w:ascii="Arial" w:cs="Arial" w:hAnsi="Arial"/>
          <w:color w:val="000000"/>
          <w:lang w:val="en-GB"/>
        </w:rPr>
        <w:t xml:space="preserve"> through external rewards such as money and </w:t>
      </w:r>
      <w:r>
        <w:rPr>
          <w:rFonts w:ascii="Arial" w:cs="Arial" w:hAnsi="Arial"/>
          <w:color w:val="000000"/>
          <w:lang w:val="en-GB"/>
        </w:rPr>
        <w:t>praise rather</w:t>
      </w:r>
      <w:r>
        <w:rPr>
          <w:rFonts w:ascii="Arial" w:cs="Arial" w:hAnsi="Arial"/>
          <w:color w:val="000000"/>
          <w:lang w:val="en-GB"/>
        </w:rPr>
        <w:t xml:space="preserve"> they should be motivated through internal rewards such as learning, growth and success (</w:t>
      </w:r>
      <w:r>
        <w:rPr>
          <w:rFonts w:ascii="Arial" w:cs="Arial" w:hAnsi="Arial"/>
          <w:color w:val="000000"/>
          <w:lang w:val="en-GB"/>
        </w:rPr>
        <w:t>Ayabe</w:t>
      </w:r>
      <w:r>
        <w:rPr>
          <w:rFonts w:ascii="Arial" w:cs="Arial" w:hAnsi="Arial"/>
          <w:color w:val="000000"/>
          <w:lang w:val="en-GB"/>
        </w:rPr>
        <w:t xml:space="preserve"> et al., 2025). For instance, Google also motivates its employees through learning, growth and success to create Google News (employee-driven innovation), which has become famous and classified as successful employee-driven innovation (</w:t>
      </w:r>
      <w:r>
        <w:rPr>
          <w:rFonts w:ascii="Arial" w:cs="Arial" w:hAnsi="Arial"/>
          <w:color w:val="000000"/>
          <w:lang w:val="en-GB"/>
        </w:rPr>
        <w:t>Skonord</w:t>
      </w:r>
      <w:r>
        <w:rPr>
          <w:rFonts w:ascii="Arial" w:cs="Arial" w:hAnsi="Arial"/>
          <w:color w:val="000000"/>
          <w:lang w:val="en-GB"/>
        </w:rPr>
        <w:t xml:space="preserve">, 2024). </w:t>
      </w:r>
      <w:r>
        <w:rPr>
          <w:rFonts w:ascii="Arial" w:cs="Arial" w:hAnsi="Arial"/>
          <w:color w:val="000000"/>
          <w:lang w:val="en-GB"/>
        </w:rPr>
        <w:t>T</w:t>
      </w:r>
      <w:r>
        <w:rPr>
          <w:rFonts w:ascii="Arial" w:cs="Arial" w:hAnsi="Arial"/>
          <w:color w:val="000000"/>
          <w:lang w:val="en-GB"/>
        </w:rPr>
        <w:t xml:space="preserve">he company should provide its employees greater influence over how work is performed, opportunities to develop expertise and stronger connections across its UK, India and UAE operations. Whereas Iyer et al. (2026) argued that Employee Experience (EX) strategy should be embedded by the company to treat employees as a strategic asset instead of just a cost by managing the complete employee journey from recruitment, onboarding to work design, learning, performance, recognition and career progression. For instance, Atlassian provides huge flexibility for its employees where they work, while the company deliberately combines distributed working with asynchronous communication and periodic in-person team gatherings (Atlassian, 2026). 92% of its employees say it is an important reason they stay (Atlassian, 2026). Therefore, the NHSX should use the EX strategy to motivate employees to work within the organisation for the long term. </w:t>
      </w:r>
    </w:p>
    <w:p w14:paraId="1E2D6AE3">
      <w:pPr>
        <w:pStyle w:val="style0"/>
        <w:rPr>
          <w:rFonts w:ascii="Arial" w:cs="Arial" w:hAnsi="Arial"/>
          <w:color w:val="000000"/>
          <w:lang w:val="en-GB"/>
        </w:rPr>
      </w:pPr>
      <w:r>
        <w:rPr>
          <w:rFonts w:ascii="Arial" w:cs="Arial" w:hAnsi="Arial"/>
          <w:color w:val="000000"/>
          <w:lang w:val="en-GB"/>
        </w:rPr>
        <w:t xml:space="preserve">Therefore, one single theory implementation is not sufficient to </w:t>
      </w:r>
      <w:r>
        <w:rPr>
          <w:rFonts w:ascii="Arial" w:cs="Arial" w:hAnsi="Arial"/>
          <w:color w:val="000000"/>
          <w:lang w:val="en-GB"/>
        </w:rPr>
        <w:t>build proper</w:t>
      </w:r>
      <w:r>
        <w:rPr>
          <w:rFonts w:ascii="Arial" w:cs="Arial" w:hAnsi="Arial"/>
          <w:color w:val="000000"/>
          <w:lang w:val="en-GB"/>
        </w:rPr>
        <w:t xml:space="preserve"> talent ecosystem rather it can be achieved </w:t>
      </w:r>
      <w:r>
        <w:rPr>
          <w:rFonts w:ascii="Arial" w:cs="Arial" w:hAnsi="Arial"/>
          <w:color w:val="000000"/>
          <w:lang w:val="en-GB"/>
        </w:rPr>
        <w:t>through combining</w:t>
      </w:r>
      <w:r>
        <w:rPr>
          <w:rFonts w:ascii="Arial" w:cs="Arial" w:hAnsi="Arial"/>
          <w:color w:val="000000"/>
          <w:lang w:val="en-GB"/>
        </w:rPr>
        <w:t xml:space="preserve"> different theories including SDT, </w:t>
      </w:r>
      <w:r>
        <w:rPr>
          <w:rFonts w:ascii="Arial" w:cs="Arial" w:hAnsi="Arial"/>
          <w:color w:val="000000"/>
          <w:lang w:val="en-GB"/>
        </w:rPr>
        <w:t xml:space="preserve">EX, learning and growth mindset approach to get benefits including increased employee morale, productivity and innovative mindset. </w:t>
      </w:r>
    </w:p>
    <w:bookmarkStart w:id="13" w:name="_Toc242284008"/>
    <w:p w14:paraId="4F6A56A3">
      <w:pPr>
        <w:pStyle w:val="style2"/>
        <w:rPr>
          <w:rFonts w:cs="Arial"/>
          <w:lang w:val="en-GB"/>
        </w:rPr>
      </w:pPr>
      <w:r>
        <w:rPr>
          <w:rFonts w:cs="Arial"/>
          <w:lang w:val="en-GB"/>
        </w:rPr>
        <w:t xml:space="preserve">2.2 </w:t>
      </w:r>
      <w:r>
        <w:rPr>
          <w:rFonts w:cs="Arial"/>
          <w:lang w:val="en-GB"/>
        </w:rPr>
        <w:t xml:space="preserve">Develop a comprehensive talent growth strategy for </w:t>
      </w:r>
      <w:r>
        <w:rPr>
          <w:rFonts w:cs="Arial"/>
          <w:lang w:val="en-GB"/>
        </w:rPr>
        <w:t>NexSpace</w:t>
      </w:r>
      <w:r>
        <w:rPr>
          <w:rFonts w:cs="Arial"/>
          <w:lang w:val="en-GB"/>
        </w:rPr>
        <w:t xml:space="preserve"> Health Systems</w:t>
      </w:r>
      <w:bookmarkEnd w:id="13"/>
      <w:r>
        <w:rPr>
          <w:rFonts w:cs="Arial"/>
          <w:lang w:val="en-GB"/>
        </w:rPr>
        <w:t xml:space="preserve"> </w:t>
      </w:r>
    </w:p>
    <w:p w14:paraId="3D8A92B1">
      <w:pPr>
        <w:pStyle w:val="style0"/>
        <w:rPr>
          <w:rFonts w:ascii="Arial" w:cs="Arial" w:hAnsi="Arial"/>
          <w:b/>
          <w:bCs/>
          <w:i/>
          <w:iCs/>
          <w:color w:val="000000"/>
          <w:lang w:val="en-GB"/>
        </w:rPr>
      </w:pPr>
      <w:r>
        <w:rPr>
          <w:rFonts w:ascii="Arial" w:cs="Arial" w:hAnsi="Arial"/>
          <w:b/>
          <w:bCs/>
          <w:i/>
          <w:iCs/>
          <w:color w:val="000000"/>
          <w:lang w:val="en-GB"/>
        </w:rPr>
        <w:t xml:space="preserve">Introduce the proposed talent ecosystem </w:t>
      </w:r>
    </w:p>
    <w:p w14:paraId="082A6439">
      <w:pPr>
        <w:pStyle w:val="style0"/>
        <w:rPr>
          <w:rFonts w:ascii="Arial" w:cs="Arial" w:hAnsi="Arial"/>
          <w:color w:val="000000"/>
          <w:lang w:val="en-GB"/>
        </w:rPr>
      </w:pPr>
      <w:r>
        <w:rPr>
          <w:rFonts w:ascii="Arial" w:cs="Arial" w:hAnsi="Arial"/>
          <w:color w:val="000000"/>
          <w:lang w:val="en-GB"/>
        </w:rPr>
        <w:t xml:space="preserve">The company should introduce an integrated Talent Growth Ecosystem, which consists of continuous learning, internal mobility, career development, employee autonomy, performance management and wellbeing. </w:t>
      </w:r>
    </w:p>
    <w:p w14:paraId="5D53A2F7">
      <w:pPr>
        <w:pStyle w:val="style0"/>
        <w:rPr>
          <w:rFonts w:ascii="Arial" w:cs="Arial" w:hAnsi="Arial"/>
          <w:b/>
          <w:bCs/>
          <w:i/>
          <w:iCs/>
          <w:color w:val="000000"/>
          <w:lang w:val="en-GB"/>
        </w:rPr>
      </w:pPr>
      <w:r>
        <w:rPr>
          <w:rFonts w:ascii="Arial" w:cs="Arial" w:hAnsi="Arial"/>
          <w:b/>
          <w:bCs/>
          <w:i/>
          <w:iCs/>
          <w:color w:val="000000"/>
          <w:lang w:val="en-GB"/>
        </w:rPr>
        <w:t xml:space="preserve">Strategy 1: Continuous learning and AI capability development </w:t>
      </w:r>
    </w:p>
    <w:p w14:paraId="6C9FC9C6">
      <w:pPr>
        <w:pStyle w:val="style0"/>
        <w:rPr>
          <w:rFonts w:ascii="Arial" w:cs="Arial" w:hAnsi="Arial"/>
          <w:color w:val="000000"/>
          <w:lang w:val="en-GB"/>
        </w:rPr>
      </w:pPr>
      <w:r>
        <w:rPr>
          <w:rFonts w:ascii="Arial" w:cs="Arial" w:hAnsi="Arial"/>
          <w:color w:val="000000"/>
          <w:lang w:val="en-GB"/>
        </w:rPr>
        <w:t xml:space="preserve">Rapid development of AI technologies has created opportunities for organisations to educate employees regarding digital skills and knowledge through continuous capability development training and experimentation (Chiekezie et al. 2024), which also needs to be followed by the NHSX to address gaps related to limited opportunity for creativity and slowed innovation. However, continuous learning can increase training costs, workload and employee resistance, while rapidly changing AI technologies can make skills quickly outdated. Hence, NHSX can mitigate these challenges through regular and targeted training, practical AI projects and continuous skill assessment to ensure learning remains updated and relevant without disrupting employees' existing responsibilities. </w:t>
      </w:r>
    </w:p>
    <w:p w14:paraId="490CAE49">
      <w:pPr>
        <w:pStyle w:val="style0"/>
        <w:rPr>
          <w:rFonts w:ascii="Arial" w:cs="Arial" w:hAnsi="Arial"/>
          <w:b/>
          <w:bCs/>
          <w:i/>
          <w:iCs/>
          <w:color w:val="000000"/>
          <w:lang w:val="en-GB"/>
        </w:rPr>
      </w:pPr>
      <w:r>
        <w:rPr>
          <w:rFonts w:ascii="Arial" w:cs="Arial" w:hAnsi="Arial"/>
          <w:b/>
          <w:bCs/>
          <w:i/>
          <w:iCs/>
          <w:color w:val="000000"/>
          <w:lang w:val="en-GB"/>
        </w:rPr>
        <w:t xml:space="preserve">Strategy 2: Individual career pathways and internal mobility </w:t>
      </w:r>
    </w:p>
    <w:p w14:paraId="0686FC04">
      <w:pPr>
        <w:pStyle w:val="style0"/>
        <w:rPr>
          <w:rFonts w:ascii="Arial" w:cs="Arial" w:hAnsi="Arial"/>
          <w:color w:val="000000"/>
          <w:lang w:val="en-GB"/>
        </w:rPr>
      </w:pPr>
      <w:r>
        <w:rPr>
          <w:rFonts w:ascii="Arial" w:cs="Arial" w:hAnsi="Arial"/>
          <w:color w:val="000000"/>
          <w:lang w:val="en-GB"/>
        </w:rPr>
        <w:t xml:space="preserve">Due to limited career growth in the NHSX, high-performing employees are leaving; hence, the company should embed an "Individual Development Plan (IDP)" for every high-performing employee to retain them for the long term. Employees could have: </w:t>
      </w:r>
    </w:p>
    <w:p w14:paraId="037EE299">
      <w:pPr>
        <w:pStyle w:val="style0"/>
        <w:rPr>
          <w:rFonts w:ascii="Arial" w:cs="Arial" w:hAnsi="Arial"/>
          <w:color w:val="000000"/>
          <w:lang w:val="en-GB"/>
        </w:rPr>
      </w:pPr>
      <w:r>
        <w:rPr>
          <w:rFonts w:ascii="Arial" w:cs="Arial" w:hAnsi="Arial"/>
          <w:noProof/>
          <w:color w:val="000000"/>
          <w:lang w:val="en-GB"/>
        </w:rPr>
        <w:drawing>
          <wp:inline distL="0" distT="0" distB="0" distR="0">
            <wp:extent cx="5943600" cy="3013710"/>
            <wp:effectExtent l="0" t="0" r="0" b="0"/>
            <wp:docPr id="102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0" t="0" r="0" b="0"/>
                    <a:stretch/>
                  </pic:blipFill>
                  <pic:spPr>
                    <a:xfrm rot="0">
                      <a:off x="0" y="0"/>
                      <a:ext cx="5943600" cy="3013710"/>
                    </a:xfrm>
                    <a:prstGeom prst="rect"/>
                  </pic:spPr>
                </pic:pic>
              </a:graphicData>
            </a:graphic>
          </wp:inline>
        </w:drawing>
      </w:r>
    </w:p>
    <w:p w14:paraId="35C7C373">
      <w:pPr>
        <w:pStyle w:val="style0"/>
        <w:jc w:val="center"/>
        <w:rPr>
          <w:rFonts w:ascii="Arial" w:cs="Arial" w:hAnsi="Arial"/>
          <w:b/>
          <w:bCs/>
          <w:iCs/>
          <w:color w:val="000000"/>
          <w:lang w:val="en-GB"/>
        </w:rPr>
      </w:pPr>
      <w:r>
        <w:rPr>
          <w:rFonts w:ascii="Arial" w:cs="Arial" w:hAnsi="Arial"/>
          <w:b/>
          <w:color w:val="000000"/>
          <w:lang w:val="en-GB"/>
        </w:rPr>
        <w:t xml:space="preserve">Table </w:t>
      </w:r>
      <w:r>
        <w:rPr>
          <w:rFonts w:ascii="Arial" w:cs="Arial" w:hAnsi="Arial"/>
          <w:b/>
          <w:color w:val="000000"/>
          <w:lang w:val="en-GB"/>
        </w:rPr>
        <w:t xml:space="preserve">1: </w:t>
      </w:r>
      <w:r>
        <w:rPr>
          <w:rFonts w:ascii="Arial" w:cs="Arial" w:hAnsi="Arial"/>
          <w:b/>
          <w:bCs/>
          <w:iCs/>
          <w:color w:val="000000"/>
          <w:lang w:val="en-GB"/>
        </w:rPr>
        <w:t>Individual career pathways and internal mobility</w:t>
      </w:r>
    </w:p>
    <w:p w14:paraId="4BA1F1A3">
      <w:pPr>
        <w:pStyle w:val="style0"/>
        <w:jc w:val="center"/>
        <w:rPr>
          <w:rFonts w:ascii="Arial" w:cs="Arial" w:hAnsi="Arial"/>
          <w:color w:val="000000"/>
          <w:lang w:val="en-GB"/>
        </w:rPr>
      </w:pPr>
      <w:r>
        <w:rPr>
          <w:rFonts w:ascii="Arial" w:cs="Arial" w:hAnsi="Arial"/>
          <w:color w:val="000000"/>
          <w:lang w:val="en-GB"/>
        </w:rPr>
        <w:t>(Source: Self-Developed)</w:t>
      </w:r>
    </w:p>
    <w:p w14:paraId="1EBFD268">
      <w:pPr>
        <w:pStyle w:val="style0"/>
        <w:rPr>
          <w:rFonts w:ascii="Arial" w:cs="Arial" w:hAnsi="Arial"/>
          <w:color w:val="000000"/>
          <w:lang w:val="en-GB"/>
        </w:rPr>
      </w:pPr>
      <w:r>
        <w:rPr>
          <w:rFonts w:ascii="Arial" w:cs="Arial" w:hAnsi="Arial"/>
          <w:color w:val="000000"/>
          <w:lang w:val="en-GB"/>
        </w:rPr>
        <w:t xml:space="preserve">Through the lens of Growth Mindset and learning organisation </w:t>
      </w:r>
      <w:r>
        <w:rPr>
          <w:rFonts w:ascii="Arial" w:cs="Arial" w:hAnsi="Arial"/>
          <w:color w:val="000000"/>
          <w:lang w:val="en-GB"/>
        </w:rPr>
        <w:t>IDP is important to identify skill gaps and improve required future skills through training (</w:t>
      </w:r>
      <w:r>
        <w:rPr>
          <w:rFonts w:ascii="Arial" w:cs="Arial" w:hAnsi="Arial"/>
          <w:color w:val="000000"/>
          <w:lang w:val="en-GB"/>
        </w:rPr>
        <w:t>Pourkarimi</w:t>
      </w:r>
      <w:r>
        <w:rPr>
          <w:rFonts w:ascii="Arial" w:cs="Arial" w:hAnsi="Arial"/>
          <w:color w:val="000000"/>
          <w:lang w:val="en-GB"/>
        </w:rPr>
        <w:t xml:space="preserve">, 2025). This initiative could improve knowledge sharing, long-term talent retention and career development; however, implementation might face limited </w:t>
      </w:r>
      <w:r>
        <w:rPr>
          <w:rFonts w:ascii="Arial" w:cs="Arial" w:hAnsi="Arial"/>
          <w:color w:val="000000"/>
          <w:lang w:val="en-GB"/>
        </w:rPr>
        <w:t>budgets, unequal</w:t>
      </w:r>
      <w:r>
        <w:rPr>
          <w:rFonts w:ascii="Arial" w:cs="Arial" w:hAnsi="Arial"/>
          <w:color w:val="000000"/>
          <w:lang w:val="en-GB"/>
        </w:rPr>
        <w:t xml:space="preserve"> access to development opportunities and increased managerial workload. This can be solved by prioritised regular progress reviews and founding transparent career criteria to ensure IDPs provide genuine career progression.  </w:t>
      </w:r>
    </w:p>
    <w:p w14:paraId="3FF7B19A">
      <w:pPr>
        <w:pStyle w:val="style0"/>
        <w:rPr>
          <w:rFonts w:ascii="Arial" w:cs="Arial" w:hAnsi="Arial"/>
          <w:b/>
          <w:bCs/>
          <w:i/>
          <w:iCs/>
          <w:color w:val="000000"/>
          <w:lang w:val="en-GB"/>
        </w:rPr>
      </w:pPr>
      <w:r>
        <w:rPr>
          <w:rFonts w:ascii="Arial" w:cs="Arial" w:hAnsi="Arial"/>
          <w:b/>
          <w:bCs/>
          <w:i/>
          <w:iCs/>
          <w:color w:val="000000"/>
          <w:lang w:val="en-GB"/>
        </w:rPr>
        <w:t xml:space="preserve">Strategy 3: Global Mentoring and knowledge-sharing network </w:t>
      </w:r>
    </w:p>
    <w:p w14:paraId="1C654846">
      <w:pPr>
        <w:pStyle w:val="style0"/>
        <w:rPr>
          <w:rFonts w:ascii="Arial" w:cs="Arial" w:hAnsi="Arial"/>
          <w:color w:val="000000"/>
          <w:lang w:val="en-GB"/>
        </w:rPr>
      </w:pPr>
      <w:r>
        <w:rPr>
          <w:rFonts w:ascii="Arial" w:cs="Arial" w:hAnsi="Arial"/>
          <w:color w:val="000000"/>
          <w:lang w:val="en-GB"/>
        </w:rPr>
        <w:t>T</w:t>
      </w:r>
      <w:r>
        <w:rPr>
          <w:rFonts w:ascii="Arial" w:cs="Arial" w:hAnsi="Arial"/>
          <w:color w:val="000000"/>
          <w:lang w:val="en-GB"/>
        </w:rPr>
        <w:t xml:space="preserve">he company faces poor knowledge sharing and collaboration across international teams across the UK, India, and UAE, which can be directly addressed through implementing "NHSX Global Talent Mentoring Network".  In this network, senior employees will act as mentors and high-potential employees will act as mentees. Mentors will transfer tactical knowledge, develop leadership capabilities, support career progression, connect geographically dispersed employees, minimise knowledge silos among mentees in </w:t>
      </w:r>
      <w:r>
        <w:rPr>
          <w:rFonts w:ascii="Arial" w:cs="Arial" w:hAnsi="Arial"/>
          <w:color w:val="000000"/>
          <w:lang w:val="en-GB"/>
        </w:rPr>
        <w:t>India, UK</w:t>
      </w:r>
      <w:r>
        <w:rPr>
          <w:rFonts w:ascii="Arial" w:cs="Arial" w:hAnsi="Arial"/>
          <w:color w:val="000000"/>
          <w:lang w:val="en-GB"/>
        </w:rPr>
        <w:t xml:space="preserve"> and UAE, which </w:t>
      </w:r>
      <w:r>
        <w:rPr>
          <w:rFonts w:ascii="Arial" w:cs="Arial" w:hAnsi="Arial"/>
          <w:color w:val="000000"/>
          <w:lang w:val="en-GB"/>
        </w:rPr>
        <w:t>will address</w:t>
      </w:r>
      <w:r>
        <w:rPr>
          <w:rFonts w:ascii="Arial" w:cs="Arial" w:hAnsi="Arial"/>
          <w:color w:val="000000"/>
          <w:lang w:val="en-GB"/>
        </w:rPr>
        <w:t xml:space="preserve"> knowledge sharing and collaboration issues in cross-country cultures. However, cultural barriers, time-zone differences and mentor workload </w:t>
      </w:r>
      <w:r>
        <w:rPr>
          <w:rFonts w:ascii="Arial" w:cs="Arial" w:hAnsi="Arial"/>
          <w:color w:val="000000"/>
          <w:lang w:val="en-GB"/>
        </w:rPr>
        <w:t xml:space="preserve">can limit participation, which can be mitigated through cross-cultural training, structured mentoring schedules and clear mentoring objectives. </w:t>
      </w:r>
    </w:p>
    <w:p w14:paraId="74926B69">
      <w:pPr>
        <w:pStyle w:val="style0"/>
        <w:rPr>
          <w:rFonts w:ascii="Arial" w:cs="Arial" w:hAnsi="Arial"/>
          <w:b/>
          <w:bCs/>
          <w:i/>
          <w:iCs/>
          <w:color w:val="000000"/>
          <w:lang w:val="en-GB"/>
        </w:rPr>
      </w:pPr>
      <w:r>
        <w:rPr>
          <w:rFonts w:ascii="Arial" w:cs="Arial" w:hAnsi="Arial"/>
          <w:b/>
          <w:bCs/>
          <w:i/>
          <w:iCs/>
          <w:color w:val="000000"/>
          <w:lang w:val="en-GB"/>
        </w:rPr>
        <w:t xml:space="preserve">Strategy 4: High-potential talent and internal innovation </w:t>
      </w:r>
    </w:p>
    <w:p w14:paraId="302F8E03">
      <w:pPr>
        <w:pStyle w:val="style0"/>
        <w:rPr>
          <w:rFonts w:ascii="Arial" w:cs="Arial" w:hAnsi="Arial"/>
          <w:color w:val="000000"/>
          <w:lang w:val="en-GB"/>
        </w:rPr>
      </w:pPr>
      <w:r>
        <w:rPr>
          <w:rFonts w:ascii="Arial" w:cs="Arial" w:hAnsi="Arial"/>
          <w:color w:val="000000"/>
          <w:lang w:val="en-GB"/>
        </w:rPr>
        <w:t xml:space="preserve">NHSX should create a "Talent Innovation Programme" for its high-potential employees to enable them to generate innovative ideas while setting clear strategic boundaries with leadership sponsorship to ensure controlled experimentation. </w:t>
      </w:r>
      <w:r>
        <w:rPr>
          <w:rFonts w:ascii="Arial" w:cs="Arial" w:hAnsi="Arial"/>
          <w:color w:val="000000"/>
          <w:lang w:val="en-GB"/>
        </w:rPr>
        <w:t>Through the lens of SDT t</w:t>
      </w:r>
      <w:r>
        <w:rPr>
          <w:rFonts w:ascii="Arial" w:cs="Arial" w:hAnsi="Arial"/>
          <w:color w:val="000000"/>
          <w:lang w:val="en-GB"/>
        </w:rPr>
        <w:t xml:space="preserve">his initiative will directly address employee complaints about limited opportunities for experimentation and creativity while maintaining bounded autonomy. During this program, employees could receive a defined percentage of working time for developing and testing improved ideas related to digital health, AI, patient monitoring and internal processes. However, limited resources and employee resistance to change may increase costs and disrupt successful implementation, which can be solved through small-scale pilot tests, clear evaluation criteria and regular leadership required to ensure innovation remains controlled. </w:t>
      </w:r>
    </w:p>
    <w:p w14:paraId="2B67CE1A">
      <w:pPr>
        <w:pStyle w:val="style0"/>
        <w:rPr>
          <w:rFonts w:ascii="Arial" w:cs="Arial" w:hAnsi="Arial"/>
          <w:b/>
          <w:bCs/>
          <w:i/>
          <w:iCs/>
          <w:color w:val="000000"/>
          <w:lang w:val="en-GB"/>
        </w:rPr>
      </w:pPr>
      <w:r>
        <w:rPr>
          <w:rFonts w:ascii="Arial" w:cs="Arial" w:hAnsi="Arial"/>
          <w:b/>
          <w:bCs/>
          <w:i/>
          <w:iCs/>
          <w:color w:val="000000"/>
          <w:lang w:val="en-GB"/>
        </w:rPr>
        <w:t xml:space="preserve">Strategy 5: Performance, recognition and wellbeing  </w:t>
      </w:r>
    </w:p>
    <w:p w14:paraId="485A7A16">
      <w:pPr>
        <w:pStyle w:val="style0"/>
        <w:rPr>
          <w:rFonts w:ascii="Arial" w:cs="Arial" w:hAnsi="Arial"/>
          <w:color w:val="000000"/>
          <w:lang w:val="en-GB"/>
        </w:rPr>
      </w:pPr>
      <w:r>
        <w:rPr>
          <w:rFonts w:ascii="Arial" w:cs="Arial" w:hAnsi="Arial"/>
          <w:color w:val="000000"/>
          <w:lang w:val="en-GB"/>
        </w:rPr>
        <w:t xml:space="preserve">Managers struggle to balance employee wellbeing and performance; hence the company is required to revise the performance system. During this process, </w:t>
      </w:r>
      <w:r>
        <w:rPr>
          <w:rFonts w:ascii="Arial" w:cs="Arial" w:hAnsi="Arial"/>
          <w:color w:val="000000"/>
          <w:lang w:val="en-GB"/>
        </w:rPr>
        <w:t xml:space="preserve">by embedding Employee Experience (EX) strategy </w:t>
      </w:r>
      <w:r>
        <w:rPr>
          <w:rFonts w:ascii="Arial" w:cs="Arial" w:hAnsi="Arial"/>
          <w:color w:val="000000"/>
          <w:lang w:val="en-GB"/>
        </w:rPr>
        <w:t>managers should implement quarterly development conversations, which are important to clearly communicate quarterly development regarding performance, learning, career aspirations, workload, wellbeing and future skills to balance employee wellbeing (</w:t>
      </w:r>
      <w:r>
        <w:rPr>
          <w:rFonts w:ascii="Arial" w:cs="Arial" w:hAnsi="Arial"/>
          <w:color w:val="000000"/>
          <w:lang w:val="en-GB"/>
        </w:rPr>
        <w:t>Routray</w:t>
      </w:r>
      <w:r>
        <w:rPr>
          <w:rFonts w:ascii="Arial" w:cs="Arial" w:hAnsi="Arial"/>
          <w:color w:val="000000"/>
          <w:lang w:val="en-GB"/>
        </w:rPr>
        <w:t xml:space="preserve">, Choudhary, and Sinha, 2025). </w:t>
      </w:r>
      <w:r>
        <w:rPr>
          <w:rFonts w:ascii="Arial" w:cs="Arial" w:hAnsi="Arial"/>
          <w:color w:val="000000"/>
          <w:lang w:val="en-GB"/>
        </w:rPr>
        <w:t>Apart from that</w:t>
      </w:r>
      <w:r>
        <w:rPr>
          <w:rFonts w:ascii="Arial" w:cs="Arial" w:hAnsi="Arial"/>
          <w:color w:val="000000"/>
          <w:lang w:val="en-GB"/>
        </w:rPr>
        <w:t xml:space="preserve">, the company will provide quarterly recognition </w:t>
      </w:r>
      <w:r>
        <w:rPr>
          <w:rFonts w:ascii="Arial" w:cs="Arial" w:hAnsi="Arial"/>
          <w:color w:val="000000"/>
          <w:lang w:val="en-GB"/>
        </w:rPr>
        <w:t xml:space="preserve">among its employees for </w:t>
      </w:r>
      <w:r>
        <w:rPr>
          <w:rFonts w:ascii="Arial" w:cs="Arial" w:hAnsi="Arial"/>
          <w:color w:val="000000"/>
          <w:lang w:val="en-GB"/>
        </w:rPr>
        <w:t xml:space="preserve">knowledge sharing, </w:t>
      </w:r>
      <w:r>
        <w:rPr>
          <w:rFonts w:ascii="Arial" w:cs="Arial" w:hAnsi="Arial"/>
          <w:color w:val="000000"/>
          <w:lang w:val="en-GB"/>
        </w:rPr>
        <w:t xml:space="preserve">embrace </w:t>
      </w:r>
      <w:r>
        <w:rPr>
          <w:rFonts w:ascii="Arial" w:cs="Arial" w:hAnsi="Arial"/>
          <w:color w:val="000000"/>
          <w:lang w:val="en-GB"/>
        </w:rPr>
        <w:t xml:space="preserve">innovation, </w:t>
      </w:r>
      <w:r>
        <w:rPr>
          <w:rFonts w:ascii="Arial" w:cs="Arial" w:hAnsi="Arial"/>
          <w:color w:val="000000"/>
          <w:lang w:val="en-GB"/>
        </w:rPr>
        <w:t xml:space="preserve">learning achievements and collaboration to improve employees' performance. However, frequent reviews may increase managerial workload, and inconsistent recognition may create perceptions of unfairness. </w:t>
      </w:r>
      <w:r>
        <w:rPr>
          <w:rFonts w:ascii="Arial" w:cs="Arial" w:hAnsi="Arial"/>
          <w:color w:val="000000"/>
          <w:lang w:val="en-GB"/>
        </w:rPr>
        <w:t>It can be mitigated by the company through</w:t>
      </w:r>
      <w:r>
        <w:rPr>
          <w:rFonts w:ascii="Arial" w:cs="Arial" w:hAnsi="Arial"/>
          <w:color w:val="000000"/>
          <w:lang w:val="en-GB"/>
        </w:rPr>
        <w:t xml:space="preserve"> manager training </w:t>
      </w:r>
      <w:r>
        <w:rPr>
          <w:rFonts w:ascii="Arial" w:cs="Arial" w:hAnsi="Arial"/>
          <w:color w:val="000000"/>
          <w:lang w:val="en-GB"/>
        </w:rPr>
        <w:t>process, standardised</w:t>
      </w:r>
      <w:r>
        <w:rPr>
          <w:rFonts w:ascii="Arial" w:cs="Arial" w:hAnsi="Arial"/>
          <w:color w:val="000000"/>
          <w:lang w:val="en-GB"/>
        </w:rPr>
        <w:t xml:space="preserve"> review criteria and transparent recognition </w:t>
      </w:r>
      <w:r>
        <w:rPr>
          <w:rFonts w:ascii="Arial" w:cs="Arial" w:hAnsi="Arial"/>
          <w:color w:val="000000"/>
          <w:lang w:val="en-GB"/>
        </w:rPr>
        <w:t>process</w:t>
      </w:r>
      <w:r>
        <w:rPr>
          <w:rFonts w:ascii="Arial" w:cs="Arial" w:hAnsi="Arial"/>
          <w:color w:val="000000"/>
          <w:lang w:val="en-GB"/>
        </w:rPr>
        <w:t xml:space="preserve"> for ensuring performance </w:t>
      </w:r>
      <w:r>
        <w:rPr>
          <w:rFonts w:ascii="Arial" w:cs="Arial" w:hAnsi="Arial"/>
          <w:color w:val="000000"/>
          <w:lang w:val="en-GB"/>
        </w:rPr>
        <w:t>management</w:t>
      </w:r>
      <w:r>
        <w:rPr>
          <w:rFonts w:ascii="Arial" w:cs="Arial" w:hAnsi="Arial"/>
          <w:color w:val="000000"/>
          <w:lang w:val="en-GB"/>
        </w:rPr>
        <w:t xml:space="preserve"> remains fair while maintaining a balanced pressure on employees.  </w:t>
      </w:r>
    </w:p>
    <w:p w14:paraId="520A7223">
      <w:pPr>
        <w:pStyle w:val="style0"/>
        <w:rPr>
          <w:rFonts w:ascii="Arial" w:cs="Arial" w:hAnsi="Arial"/>
          <w:color w:val="000000"/>
          <w:lang w:val="en-GB"/>
        </w:rPr>
      </w:pPr>
      <w:r>
        <w:rPr>
          <w:rFonts w:ascii="Arial" w:cs="Arial" w:hAnsi="Arial"/>
          <w:noProof/>
          <w:color w:val="000000"/>
          <w:lang w:val="en-GB"/>
        </w:rPr>
        <w:drawing>
          <wp:inline distL="0" distT="0" distB="0" distR="0">
            <wp:extent cx="5943600" cy="3155315"/>
            <wp:effectExtent l="0" t="0" r="0" b="6985"/>
            <wp:docPr id="1028" name="Picture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3"/>
                    <pic:cNvPicPr/>
                  </pic:nvPicPr>
                  <pic:blipFill>
                    <a:blip r:embed="rId4" cstate="print"/>
                    <a:srcRect l="0" t="0" r="0" b="0"/>
                    <a:stretch/>
                  </pic:blipFill>
                  <pic:spPr>
                    <a:xfrm rot="0">
                      <a:off x="0" y="0"/>
                      <a:ext cx="5943600" cy="3155315"/>
                    </a:xfrm>
                    <a:prstGeom prst="rect"/>
                  </pic:spPr>
                </pic:pic>
              </a:graphicData>
            </a:graphic>
          </wp:inline>
        </w:drawing>
      </w:r>
    </w:p>
    <w:p w14:paraId="75C981E0">
      <w:pPr>
        <w:pStyle w:val="style0"/>
        <w:jc w:val="center"/>
        <w:rPr>
          <w:rFonts w:ascii="Arial" w:cs="Arial" w:hAnsi="Arial"/>
          <w:b/>
          <w:bCs/>
          <w:color w:val="000000"/>
          <w:lang w:val="en-GB"/>
        </w:rPr>
      </w:pPr>
      <w:r>
        <w:rPr>
          <w:rFonts w:ascii="Arial" w:cs="Arial" w:hAnsi="Arial"/>
          <w:b/>
          <w:bCs/>
          <w:color w:val="000000"/>
          <w:lang w:val="en-GB"/>
        </w:rPr>
        <w:t>Table</w:t>
      </w:r>
      <w:r>
        <w:rPr>
          <w:rFonts w:ascii="Arial" w:cs="Arial" w:hAnsi="Arial"/>
          <w:b/>
          <w:bCs/>
          <w:color w:val="000000"/>
          <w:lang w:val="en-GB"/>
        </w:rPr>
        <w:t xml:space="preserve"> 2</w:t>
      </w:r>
      <w:r>
        <w:rPr>
          <w:rFonts w:ascii="Arial" w:cs="Arial" w:hAnsi="Arial"/>
          <w:b/>
          <w:bCs/>
          <w:color w:val="000000"/>
          <w:lang w:val="en-GB"/>
        </w:rPr>
        <w:t>: Implementation table</w:t>
      </w:r>
    </w:p>
    <w:p w14:paraId="4E88746C">
      <w:pPr>
        <w:pStyle w:val="style0"/>
        <w:jc w:val="center"/>
        <w:rPr>
          <w:rFonts w:ascii="Arial" w:cs="Arial" w:hAnsi="Arial"/>
          <w:color w:val="000000"/>
          <w:lang w:val="en-GB"/>
        </w:rPr>
      </w:pPr>
      <w:r>
        <w:rPr>
          <w:rFonts w:ascii="Arial" w:cs="Arial" w:hAnsi="Arial"/>
          <w:color w:val="000000"/>
          <w:lang w:val="en-GB"/>
        </w:rPr>
        <w:t>(Source: Self-Developed)</w:t>
      </w:r>
    </w:p>
    <w:bookmarkStart w:id="14" w:name="_plrcyo6j7osw" w:colFirst="0" w:colLast="0"/>
    <w:bookmarkStart w:id="15" w:name="_Toc242284009"/>
    <w:bookmarkEnd w:id="14"/>
    <w:p w14:paraId="63E72B6C">
      <w:pPr>
        <w:pStyle w:val="style1"/>
        <w:rPr>
          <w:rFonts w:ascii="Arial" w:cs="Arial" w:hAnsi="Arial"/>
          <w:color w:val="000000"/>
          <w:lang w:val="en-GB"/>
        </w:rPr>
      </w:pPr>
      <w:r>
        <w:rPr>
          <w:rFonts w:ascii="Arial" w:cs="Arial" w:hAnsi="Arial"/>
          <w:color w:val="000000"/>
          <w:lang w:val="en-GB"/>
        </w:rPr>
        <w:t>Task C: Reflective Report</w:t>
      </w:r>
      <w:bookmarkEnd w:id="15"/>
    </w:p>
    <w:bookmarkStart w:id="16" w:name="_Toc242284010"/>
    <w:p w14:paraId="3679C66C">
      <w:pPr>
        <w:pStyle w:val="style2"/>
        <w:rPr>
          <w:rFonts w:cs="Arial"/>
          <w:lang w:val="en-GB"/>
        </w:rPr>
      </w:pPr>
      <w:r>
        <w:rPr>
          <w:rFonts w:cs="Arial"/>
          <w:lang w:val="en-GB"/>
        </w:rPr>
        <w:t xml:space="preserve">3.1 </w:t>
      </w:r>
      <w:r>
        <w:rPr>
          <w:rFonts w:cs="Arial"/>
          <w:lang w:val="en-GB"/>
        </w:rPr>
        <w:t>AI as a Strategic Tool</w:t>
      </w:r>
      <w:bookmarkEnd w:id="16"/>
      <w:r>
        <w:rPr>
          <w:rFonts w:cs="Arial"/>
          <w:lang w:val="en-GB"/>
        </w:rPr>
        <w:t xml:space="preserve"> </w:t>
      </w:r>
    </w:p>
    <w:p w14:paraId="78BDDE32">
      <w:pPr>
        <w:pStyle w:val="style0"/>
        <w:rPr>
          <w:rFonts w:ascii="Arial" w:cs="Arial" w:hAnsi="Arial"/>
          <w:color w:val="000000"/>
          <w:lang w:val="en-GB"/>
        </w:rPr>
      </w:pPr>
      <w:r>
        <w:rPr>
          <w:rFonts w:ascii="Arial" w:cs="Arial" w:hAnsi="Arial"/>
          <w:color w:val="000000"/>
          <w:lang w:val="en-GB"/>
        </w:rPr>
        <w:t xml:space="preserve">As a future Human Resource Management (HRM) professional, </w:t>
      </w:r>
      <w:r>
        <w:rPr>
          <w:rFonts w:ascii="Arial" w:cs="Arial" w:hAnsi="Arial"/>
          <w:color w:val="000000"/>
          <w:lang w:val="en-GB"/>
        </w:rPr>
        <w:t xml:space="preserve">I prioritise </w:t>
      </w:r>
      <w:r>
        <w:rPr>
          <w:rFonts w:ascii="Arial" w:cs="Arial" w:hAnsi="Arial"/>
          <w:color w:val="000000"/>
          <w:lang w:val="en-GB"/>
        </w:rPr>
        <w:t xml:space="preserve">AI as a valuable strategic tool </w:t>
      </w:r>
      <w:r>
        <w:rPr>
          <w:rFonts w:ascii="Arial" w:cs="Arial" w:hAnsi="Arial"/>
          <w:color w:val="000000"/>
          <w:lang w:val="en-GB"/>
        </w:rPr>
        <w:t xml:space="preserve">for analysing </w:t>
      </w:r>
      <w:r>
        <w:rPr>
          <w:rFonts w:ascii="Arial" w:cs="Arial" w:hAnsi="Arial"/>
          <w:color w:val="000000"/>
          <w:lang w:val="en-GB"/>
        </w:rPr>
        <w:t>workforce data</w:t>
      </w:r>
      <w:r>
        <w:rPr>
          <w:rFonts w:ascii="Arial" w:cs="Arial" w:hAnsi="Arial"/>
          <w:color w:val="000000"/>
          <w:lang w:val="en-GB"/>
        </w:rPr>
        <w:t xml:space="preserve"> (large)</w:t>
      </w:r>
      <w:r>
        <w:rPr>
          <w:rFonts w:ascii="Arial" w:cs="Arial" w:hAnsi="Arial"/>
          <w:color w:val="000000"/>
          <w:lang w:val="en-GB"/>
        </w:rPr>
        <w:t xml:space="preserve">, </w:t>
      </w:r>
      <w:r>
        <w:rPr>
          <w:rFonts w:ascii="Arial" w:cs="Arial" w:hAnsi="Arial"/>
          <w:color w:val="000000"/>
          <w:lang w:val="en-GB"/>
        </w:rPr>
        <w:t xml:space="preserve">supporting activities and </w:t>
      </w:r>
      <w:r>
        <w:rPr>
          <w:rFonts w:ascii="Arial" w:cs="Arial" w:hAnsi="Arial"/>
          <w:color w:val="000000"/>
          <w:lang w:val="en-GB"/>
        </w:rPr>
        <w:t xml:space="preserve">identifying </w:t>
      </w:r>
      <w:r>
        <w:rPr>
          <w:rFonts w:ascii="Arial" w:cs="Arial" w:hAnsi="Arial"/>
          <w:color w:val="000000"/>
          <w:lang w:val="en-GB"/>
        </w:rPr>
        <w:t xml:space="preserve">working patterns, such as </w:t>
      </w:r>
      <w:r>
        <w:rPr>
          <w:rFonts w:ascii="Arial" w:cs="Arial" w:hAnsi="Arial"/>
          <w:color w:val="000000"/>
          <w:lang w:val="en-GB"/>
        </w:rPr>
        <w:t xml:space="preserve">recruitment, </w:t>
      </w:r>
      <w:r>
        <w:rPr>
          <w:rFonts w:ascii="Arial" w:cs="Arial" w:hAnsi="Arial"/>
          <w:color w:val="000000"/>
          <w:lang w:val="en-GB"/>
        </w:rPr>
        <w:t xml:space="preserve">workforce planning, </w:t>
      </w:r>
      <w:r>
        <w:rPr>
          <w:rFonts w:ascii="Arial" w:cs="Arial" w:hAnsi="Arial"/>
          <w:color w:val="000000"/>
          <w:lang w:val="en-GB"/>
        </w:rPr>
        <w:t>talent management</w:t>
      </w:r>
      <w:r>
        <w:rPr>
          <w:rFonts w:ascii="Arial" w:cs="Arial" w:hAnsi="Arial"/>
          <w:color w:val="000000"/>
          <w:lang w:val="en-GB"/>
        </w:rPr>
        <w:t xml:space="preserve"> and employee engagement</w:t>
      </w:r>
      <w:r>
        <w:rPr>
          <w:rFonts w:ascii="Arial" w:cs="Arial" w:hAnsi="Arial"/>
          <w:color w:val="000000"/>
          <w:lang w:val="en-GB"/>
        </w:rPr>
        <w:t xml:space="preserve">. </w:t>
      </w:r>
      <w:r>
        <w:rPr>
          <w:rFonts w:ascii="Arial" w:cs="Arial" w:hAnsi="Arial"/>
          <w:color w:val="000000"/>
          <w:lang w:val="en-GB"/>
        </w:rPr>
        <w:t xml:space="preserve">For </w:t>
      </w:r>
      <w:r>
        <w:rPr>
          <w:rFonts w:ascii="Arial" w:cs="Arial" w:hAnsi="Arial"/>
          <w:color w:val="000000"/>
          <w:lang w:val="en-GB"/>
        </w:rPr>
        <w:t xml:space="preserve">example, AI is important to </w:t>
      </w:r>
      <w:r>
        <w:rPr>
          <w:rFonts w:ascii="Arial" w:cs="Arial" w:hAnsi="Arial"/>
          <w:color w:val="000000"/>
          <w:lang w:val="en-GB"/>
        </w:rPr>
        <w:t xml:space="preserve">analyse current </w:t>
      </w:r>
      <w:r>
        <w:rPr>
          <w:rFonts w:ascii="Arial" w:cs="Arial" w:hAnsi="Arial"/>
          <w:color w:val="000000"/>
          <w:lang w:val="en-GB"/>
        </w:rPr>
        <w:t>employee</w:t>
      </w:r>
      <w:r>
        <w:rPr>
          <w:rFonts w:ascii="Arial" w:cs="Arial" w:hAnsi="Arial"/>
          <w:color w:val="000000"/>
          <w:lang w:val="en-GB"/>
        </w:rPr>
        <w:t xml:space="preserve">s' data </w:t>
      </w:r>
      <w:r>
        <w:rPr>
          <w:rFonts w:ascii="Arial" w:cs="Arial" w:hAnsi="Arial"/>
          <w:color w:val="000000"/>
          <w:lang w:val="en-GB"/>
        </w:rPr>
        <w:t>for identifying skills</w:t>
      </w:r>
      <w:r>
        <w:rPr>
          <w:rFonts w:ascii="Arial" w:cs="Arial" w:hAnsi="Arial"/>
          <w:color w:val="000000"/>
          <w:lang w:val="en-GB"/>
        </w:rPr>
        <w:t xml:space="preserve"> gaps and </w:t>
      </w:r>
      <w:r>
        <w:rPr>
          <w:rFonts w:ascii="Arial" w:cs="Arial" w:hAnsi="Arial"/>
          <w:color w:val="000000"/>
          <w:lang w:val="en-GB"/>
        </w:rPr>
        <w:t>forecast</w:t>
      </w:r>
      <w:r>
        <w:rPr>
          <w:rFonts w:ascii="Arial" w:cs="Arial" w:hAnsi="Arial"/>
          <w:color w:val="000000"/>
          <w:lang w:val="en-GB"/>
        </w:rPr>
        <w:t xml:space="preserve"> </w:t>
      </w:r>
      <w:r>
        <w:rPr>
          <w:rFonts w:ascii="Arial" w:cs="Arial" w:hAnsi="Arial"/>
          <w:color w:val="000000"/>
          <w:lang w:val="en-GB"/>
        </w:rPr>
        <w:t>important future skills</w:t>
      </w:r>
      <w:r>
        <w:rPr>
          <w:rFonts w:ascii="Arial" w:cs="Arial" w:hAnsi="Arial"/>
          <w:color w:val="000000"/>
          <w:lang w:val="en-GB"/>
        </w:rPr>
        <w:t xml:space="preserve">, which helps </w:t>
      </w:r>
      <w:r>
        <w:rPr>
          <w:rFonts w:ascii="Arial" w:cs="Arial" w:hAnsi="Arial"/>
          <w:color w:val="000000"/>
          <w:lang w:val="en-GB"/>
        </w:rPr>
        <w:t>to make</w:t>
      </w:r>
      <w:r>
        <w:rPr>
          <w:rFonts w:ascii="Arial" w:cs="Arial" w:hAnsi="Arial"/>
          <w:color w:val="000000"/>
          <w:lang w:val="en-GB"/>
        </w:rPr>
        <w:t xml:space="preserve"> </w:t>
      </w:r>
      <w:r>
        <w:rPr>
          <w:rFonts w:ascii="Arial" w:cs="Arial" w:hAnsi="Arial"/>
          <w:color w:val="000000"/>
          <w:lang w:val="en-GB"/>
        </w:rPr>
        <w:t xml:space="preserve">more evidence-based decisions as an HR professional. </w:t>
      </w:r>
      <w:r>
        <w:rPr>
          <w:rFonts w:ascii="Arial" w:cs="Arial" w:hAnsi="Arial"/>
          <w:color w:val="000000"/>
          <w:lang w:val="en-GB"/>
        </w:rPr>
        <w:t>Nevertheless,</w:t>
      </w:r>
      <w:r>
        <w:rPr>
          <w:rFonts w:ascii="Arial" w:cs="Arial" w:hAnsi="Arial"/>
          <w:color w:val="000000"/>
          <w:lang w:val="en-GB"/>
        </w:rPr>
        <w:t xml:space="preserve"> AI </w:t>
      </w:r>
      <w:r>
        <w:rPr>
          <w:rFonts w:ascii="Arial" w:cs="Arial" w:hAnsi="Arial"/>
          <w:color w:val="000000"/>
          <w:lang w:val="en-GB"/>
        </w:rPr>
        <w:t xml:space="preserve">might present </w:t>
      </w:r>
      <w:r>
        <w:rPr>
          <w:rFonts w:ascii="Arial" w:cs="Arial" w:hAnsi="Arial"/>
          <w:color w:val="000000"/>
          <w:lang w:val="en-GB"/>
        </w:rPr>
        <w:t xml:space="preserve">algorithmic bias, </w:t>
      </w:r>
      <w:r>
        <w:rPr>
          <w:rFonts w:ascii="Arial" w:cs="Arial" w:hAnsi="Arial"/>
          <w:color w:val="000000"/>
          <w:lang w:val="en-GB"/>
        </w:rPr>
        <w:t>inappropriate</w:t>
      </w:r>
      <w:r>
        <w:rPr>
          <w:rFonts w:ascii="Arial" w:cs="Arial" w:hAnsi="Arial"/>
          <w:color w:val="000000"/>
          <w:lang w:val="en-GB"/>
        </w:rPr>
        <w:t xml:space="preserve"> </w:t>
      </w:r>
      <w:r>
        <w:rPr>
          <w:rFonts w:ascii="Arial" w:cs="Arial" w:hAnsi="Arial"/>
          <w:color w:val="000000"/>
          <w:lang w:val="en-GB"/>
        </w:rPr>
        <w:t xml:space="preserve">outputs and </w:t>
      </w:r>
      <w:r>
        <w:rPr>
          <w:rFonts w:ascii="Arial" w:cs="Arial" w:hAnsi="Arial"/>
          <w:color w:val="000000"/>
          <w:lang w:val="en-GB"/>
        </w:rPr>
        <w:t xml:space="preserve">raise </w:t>
      </w:r>
      <w:r>
        <w:rPr>
          <w:rFonts w:ascii="Arial" w:cs="Arial" w:hAnsi="Arial"/>
          <w:color w:val="000000"/>
          <w:lang w:val="en-GB"/>
        </w:rPr>
        <w:t xml:space="preserve">privacy concerns, which highlights the importance of human judgement instead of over-reliance on automated recommendations (Alabi, 2025). </w:t>
      </w:r>
      <w:r>
        <w:rPr>
          <w:rFonts w:ascii="Arial" w:cs="Arial" w:hAnsi="Arial"/>
          <w:color w:val="000000"/>
          <w:lang w:val="en-GB"/>
        </w:rPr>
        <w:t xml:space="preserve">Therefore, I </w:t>
      </w:r>
      <w:r>
        <w:rPr>
          <w:rFonts w:ascii="Arial" w:cs="Arial" w:hAnsi="Arial"/>
          <w:color w:val="000000"/>
          <w:lang w:val="en-GB"/>
        </w:rPr>
        <w:t>believed</w:t>
      </w:r>
      <w:r>
        <w:rPr>
          <w:rFonts w:ascii="Arial" w:cs="Arial" w:hAnsi="Arial"/>
          <w:color w:val="000000"/>
          <w:lang w:val="en-GB"/>
        </w:rPr>
        <w:t xml:space="preserve"> that only AI cannot </w:t>
      </w:r>
      <w:r>
        <w:rPr>
          <w:rFonts w:ascii="Arial" w:cs="Arial" w:hAnsi="Arial"/>
          <w:color w:val="000000"/>
          <w:lang w:val="en-GB"/>
        </w:rPr>
        <w:t>generate appropriate</w:t>
      </w:r>
      <w:r>
        <w:rPr>
          <w:rFonts w:ascii="Arial" w:cs="Arial" w:hAnsi="Arial"/>
          <w:color w:val="000000"/>
          <w:lang w:val="en-GB"/>
        </w:rPr>
        <w:t xml:space="preserve"> data without human judgements, where mainly AI-human </w:t>
      </w:r>
      <w:r>
        <w:rPr>
          <w:rFonts w:ascii="Arial" w:cs="Arial" w:hAnsi="Arial"/>
          <w:color w:val="000000"/>
          <w:lang w:val="en-GB"/>
        </w:rPr>
        <w:t>collaboration</w:t>
      </w:r>
      <w:r>
        <w:rPr>
          <w:rFonts w:ascii="Arial" w:cs="Arial" w:hAnsi="Arial"/>
          <w:color w:val="000000"/>
          <w:lang w:val="en-GB"/>
        </w:rPr>
        <w:t xml:space="preserve"> is necessary to create value and </w:t>
      </w:r>
      <w:r>
        <w:rPr>
          <w:rFonts w:ascii="Arial" w:cs="Arial" w:hAnsi="Arial"/>
          <w:color w:val="000000"/>
          <w:lang w:val="en-GB"/>
        </w:rPr>
        <w:t>prioritise</w:t>
      </w:r>
      <w:r>
        <w:rPr>
          <w:rFonts w:ascii="Arial" w:cs="Arial" w:hAnsi="Arial"/>
          <w:color w:val="000000"/>
          <w:lang w:val="en-GB"/>
        </w:rPr>
        <w:t xml:space="preserve"> ethical </w:t>
      </w:r>
      <w:r>
        <w:rPr>
          <w:rFonts w:ascii="Arial" w:cs="Arial" w:hAnsi="Arial"/>
          <w:color w:val="000000"/>
          <w:lang w:val="en-GB"/>
        </w:rPr>
        <w:t>responsibility</w:t>
      </w:r>
      <w:r>
        <w:rPr>
          <w:rFonts w:ascii="Arial" w:cs="Arial" w:hAnsi="Arial"/>
          <w:color w:val="000000"/>
          <w:lang w:val="en-GB"/>
        </w:rPr>
        <w:t xml:space="preserve">. </w:t>
      </w:r>
    </w:p>
    <w:bookmarkStart w:id="17" w:name="_Toc242284011"/>
    <w:p w14:paraId="27021083">
      <w:pPr>
        <w:pStyle w:val="style2"/>
        <w:rPr>
          <w:rFonts w:cs="Arial"/>
          <w:lang w:val="en-GB"/>
        </w:rPr>
      </w:pPr>
      <w:r>
        <w:rPr>
          <w:rFonts w:cs="Arial"/>
          <w:lang w:val="en-GB"/>
        </w:rPr>
        <w:t xml:space="preserve">3.2 </w:t>
      </w:r>
      <w:r>
        <w:rPr>
          <w:rFonts w:cs="Arial"/>
          <w:lang w:val="en-GB"/>
        </w:rPr>
        <w:t>Reflective Analysis of my AI use</w:t>
      </w:r>
      <w:bookmarkEnd w:id="17"/>
      <w:r>
        <w:rPr>
          <w:rFonts w:cs="Arial"/>
          <w:lang w:val="en-GB"/>
        </w:rPr>
        <w:t xml:space="preserve"> </w:t>
      </w:r>
    </w:p>
    <w:p w14:paraId="15403E3F">
      <w:pPr>
        <w:pStyle w:val="style0"/>
        <w:rPr>
          <w:rFonts w:ascii="Arial" w:cs="Arial" w:hAnsi="Arial"/>
          <w:color w:val="000000"/>
          <w:lang w:val="en-GB"/>
        </w:rPr>
      </w:pPr>
      <w:r>
        <w:rPr>
          <w:rFonts w:ascii="Arial" w:cs="Arial" w:hAnsi="Arial"/>
          <w:color w:val="000000"/>
          <w:lang w:val="en-GB"/>
        </w:rPr>
        <w:t xml:space="preserve">To become a successful HR professional, I practised AI in different areas; for instance, I used AI </w:t>
      </w:r>
      <w:r>
        <w:rPr>
          <w:rFonts w:ascii="Arial" w:cs="Arial" w:hAnsi="Arial"/>
          <w:color w:val="000000"/>
          <w:lang w:val="en-GB"/>
        </w:rPr>
        <w:t xml:space="preserve">for </w:t>
      </w:r>
      <w:r>
        <w:rPr>
          <w:rFonts w:ascii="Arial" w:cs="Arial" w:hAnsi="Arial"/>
          <w:color w:val="000000"/>
          <w:lang w:val="en-GB"/>
        </w:rPr>
        <w:t>screen</w:t>
      </w:r>
      <w:r>
        <w:rPr>
          <w:rFonts w:ascii="Arial" w:cs="Arial" w:hAnsi="Arial"/>
          <w:color w:val="000000"/>
          <w:lang w:val="en-GB"/>
        </w:rPr>
        <w:t xml:space="preserve">ing and </w:t>
      </w:r>
      <w:r>
        <w:rPr>
          <w:rFonts w:ascii="Arial" w:cs="Arial" w:hAnsi="Arial"/>
          <w:color w:val="000000"/>
          <w:lang w:val="en-GB"/>
        </w:rPr>
        <w:t>organising</w:t>
      </w:r>
      <w:r>
        <w:rPr>
          <w:rFonts w:ascii="Arial" w:cs="Arial" w:hAnsi="Arial"/>
          <w:color w:val="000000"/>
          <w:lang w:val="en-GB"/>
        </w:rPr>
        <w:t xml:space="preserve"> CV information </w:t>
      </w:r>
      <w:r>
        <w:rPr>
          <w:rFonts w:ascii="Arial" w:cs="Arial" w:hAnsi="Arial"/>
          <w:color w:val="000000"/>
          <w:lang w:val="en-GB"/>
        </w:rPr>
        <w:t>as per the</w:t>
      </w:r>
      <w:r>
        <w:rPr>
          <w:rFonts w:ascii="Arial" w:cs="Arial" w:hAnsi="Arial"/>
          <w:color w:val="000000"/>
          <w:lang w:val="en-GB"/>
        </w:rPr>
        <w:t xml:space="preserve"> job requirements, which </w:t>
      </w:r>
      <w:r>
        <w:rPr>
          <w:rFonts w:ascii="Arial" w:cs="Arial" w:hAnsi="Arial"/>
          <w:color w:val="000000"/>
          <w:lang w:val="en-GB"/>
        </w:rPr>
        <w:t xml:space="preserve">has enhanced </w:t>
      </w:r>
      <w:r>
        <w:rPr>
          <w:rFonts w:ascii="Arial" w:cs="Arial" w:hAnsi="Arial"/>
          <w:color w:val="000000"/>
          <w:lang w:val="en-GB"/>
        </w:rPr>
        <w:t xml:space="preserve">my </w:t>
      </w:r>
      <w:r>
        <w:rPr>
          <w:rFonts w:ascii="Arial" w:cs="Arial" w:hAnsi="Arial"/>
          <w:color w:val="000000"/>
          <w:lang w:val="en-GB"/>
        </w:rPr>
        <w:t xml:space="preserve">skills </w:t>
      </w:r>
      <w:r>
        <w:rPr>
          <w:rFonts w:ascii="Arial" w:cs="Arial" w:hAnsi="Arial"/>
          <w:color w:val="000000"/>
          <w:lang w:val="en-GB"/>
        </w:rPr>
        <w:t>in identifying</w:t>
      </w:r>
      <w:r>
        <w:rPr>
          <w:rFonts w:ascii="Arial" w:cs="Arial" w:hAnsi="Arial"/>
          <w:color w:val="000000"/>
          <w:lang w:val="en-GB"/>
        </w:rPr>
        <w:t xml:space="preserve"> relevant skills. However, I </w:t>
      </w:r>
      <w:r>
        <w:rPr>
          <w:rFonts w:ascii="Arial" w:cs="Arial" w:hAnsi="Arial"/>
          <w:color w:val="000000"/>
          <w:lang w:val="en-GB"/>
        </w:rPr>
        <w:t xml:space="preserve">gathered knowledge </w:t>
      </w:r>
      <w:r>
        <w:rPr>
          <w:rFonts w:ascii="Arial" w:cs="Arial" w:hAnsi="Arial"/>
          <w:color w:val="000000"/>
          <w:lang w:val="en-GB"/>
        </w:rPr>
        <w:t xml:space="preserve">somewhere </w:t>
      </w:r>
      <w:r>
        <w:rPr>
          <w:rFonts w:ascii="Arial" w:cs="Arial" w:hAnsi="Arial"/>
          <w:color w:val="000000"/>
          <w:lang w:val="en-GB"/>
        </w:rPr>
        <w:t xml:space="preserve">that </w:t>
      </w:r>
      <w:r>
        <w:rPr>
          <w:rFonts w:ascii="Arial" w:cs="Arial" w:hAnsi="Arial"/>
          <w:color w:val="000000"/>
          <w:lang w:val="en-GB"/>
        </w:rPr>
        <w:t>Al can</w:t>
      </w:r>
      <w:r>
        <w:rPr>
          <w:rFonts w:ascii="Arial" w:cs="Arial" w:hAnsi="Arial"/>
          <w:color w:val="000000"/>
          <w:lang w:val="en-GB"/>
        </w:rPr>
        <w:t xml:space="preserve"> </w:t>
      </w:r>
      <w:r>
        <w:rPr>
          <w:rFonts w:ascii="Arial" w:cs="Arial" w:hAnsi="Arial"/>
          <w:color w:val="000000"/>
          <w:lang w:val="en-GB"/>
        </w:rPr>
        <w:t xml:space="preserve">generate </w:t>
      </w:r>
      <w:r>
        <w:rPr>
          <w:rFonts w:ascii="Arial" w:cs="Arial" w:hAnsi="Arial"/>
          <w:color w:val="000000"/>
          <w:lang w:val="en-GB"/>
        </w:rPr>
        <w:t xml:space="preserve">inauthentic answers; hence, the final decision required human judgement. </w:t>
      </w:r>
      <w:r>
        <w:rPr>
          <w:rFonts w:ascii="Arial" w:cs="Arial" w:hAnsi="Arial"/>
          <w:color w:val="000000"/>
          <w:lang w:val="en-GB"/>
        </w:rPr>
        <w:t xml:space="preserve">After that, </w:t>
      </w:r>
      <w:r>
        <w:rPr>
          <w:rFonts w:ascii="Arial" w:cs="Arial" w:hAnsi="Arial"/>
          <w:color w:val="000000"/>
          <w:lang w:val="en-GB"/>
        </w:rPr>
        <w:t xml:space="preserve">I </w:t>
      </w:r>
      <w:r>
        <w:rPr>
          <w:rFonts w:ascii="Arial" w:cs="Arial" w:hAnsi="Arial"/>
          <w:color w:val="000000"/>
          <w:lang w:val="en-GB"/>
        </w:rPr>
        <w:t>practiced AI</w:t>
      </w:r>
      <w:r>
        <w:rPr>
          <w:rFonts w:ascii="Arial" w:cs="Arial" w:hAnsi="Arial"/>
          <w:color w:val="000000"/>
          <w:lang w:val="en-GB"/>
        </w:rPr>
        <w:t xml:space="preserve"> to prepare onboarding </w:t>
      </w:r>
      <w:r>
        <w:rPr>
          <w:rFonts w:ascii="Arial" w:cs="Arial" w:hAnsi="Arial"/>
          <w:color w:val="000000"/>
          <w:lang w:val="en-GB"/>
        </w:rPr>
        <w:t>materials and FAQs for employee,</w:t>
      </w:r>
      <w:r>
        <w:rPr>
          <w:rFonts w:ascii="Arial" w:cs="Arial" w:hAnsi="Arial"/>
          <w:color w:val="000000"/>
          <w:lang w:val="en-GB"/>
        </w:rPr>
        <w:t xml:space="preserve"> which has </w:t>
      </w:r>
      <w:r>
        <w:rPr>
          <w:rFonts w:ascii="Arial" w:cs="Arial" w:hAnsi="Arial"/>
          <w:color w:val="000000"/>
          <w:lang w:val="en-GB"/>
        </w:rPr>
        <w:t>allowed me</w:t>
      </w:r>
      <w:r>
        <w:rPr>
          <w:rFonts w:ascii="Arial" w:cs="Arial" w:hAnsi="Arial"/>
          <w:color w:val="000000"/>
          <w:lang w:val="en-GB"/>
        </w:rPr>
        <w:t xml:space="preserve"> to clearly </w:t>
      </w:r>
      <w:r>
        <w:rPr>
          <w:rFonts w:ascii="Arial" w:cs="Arial" w:hAnsi="Arial"/>
          <w:color w:val="000000"/>
          <w:lang w:val="en-GB"/>
        </w:rPr>
        <w:t>convey organisational</w:t>
      </w:r>
      <w:r>
        <w:rPr>
          <w:rFonts w:ascii="Arial" w:cs="Arial" w:hAnsi="Arial"/>
          <w:color w:val="000000"/>
          <w:lang w:val="en-GB"/>
        </w:rPr>
        <w:t xml:space="preserve"> policies and convey </w:t>
      </w:r>
      <w:r>
        <w:rPr>
          <w:rFonts w:ascii="Arial" w:cs="Arial" w:hAnsi="Arial"/>
          <w:color w:val="000000"/>
          <w:lang w:val="en-GB"/>
        </w:rPr>
        <w:t>employee’s roles</w:t>
      </w:r>
      <w:r>
        <w:rPr>
          <w:rFonts w:ascii="Arial" w:cs="Arial" w:hAnsi="Arial"/>
          <w:color w:val="000000"/>
          <w:lang w:val="en-GB"/>
        </w:rPr>
        <w:t xml:space="preserve"> and responsibilities. However, I find it difficult to handle sensitive employee issues solely through AI, which can be solved through AI-human collaboration</w:t>
      </w:r>
      <w:r>
        <w:rPr>
          <w:rFonts w:ascii="Arial" w:cs="Arial" w:hAnsi="Arial"/>
          <w:color w:val="000000"/>
          <w:lang w:val="en-GB"/>
        </w:rPr>
        <w:t xml:space="preserve">. Lastly, </w:t>
      </w:r>
      <w:r>
        <w:rPr>
          <w:rFonts w:ascii="Arial" w:cs="Arial" w:hAnsi="Arial"/>
          <w:color w:val="000000"/>
          <w:lang w:val="en-GB"/>
        </w:rPr>
        <w:t xml:space="preserve">AI </w:t>
      </w:r>
      <w:r>
        <w:rPr>
          <w:rFonts w:ascii="Arial" w:cs="Arial" w:hAnsi="Arial"/>
          <w:color w:val="000000"/>
          <w:lang w:val="en-GB"/>
        </w:rPr>
        <w:t xml:space="preserve">has been used </w:t>
      </w:r>
      <w:r>
        <w:rPr>
          <w:rFonts w:ascii="Arial" w:cs="Arial" w:hAnsi="Arial"/>
          <w:color w:val="000000"/>
          <w:lang w:val="en-GB"/>
        </w:rPr>
        <w:t xml:space="preserve">for </w:t>
      </w:r>
      <w:r>
        <w:rPr>
          <w:rFonts w:ascii="Arial" w:cs="Arial" w:hAnsi="Arial"/>
          <w:color w:val="000000"/>
          <w:lang w:val="en-GB"/>
        </w:rPr>
        <w:t>producing</w:t>
      </w:r>
      <w:r>
        <w:rPr>
          <w:rFonts w:ascii="Arial" w:cs="Arial" w:hAnsi="Arial"/>
          <w:color w:val="000000"/>
          <w:lang w:val="en-GB"/>
        </w:rPr>
        <w:t xml:space="preserve"> ideas </w:t>
      </w:r>
      <w:r>
        <w:rPr>
          <w:rFonts w:ascii="Arial" w:cs="Arial" w:hAnsi="Arial"/>
          <w:color w:val="000000"/>
          <w:lang w:val="en-GB"/>
        </w:rPr>
        <w:t xml:space="preserve">related </w:t>
      </w:r>
      <w:r>
        <w:rPr>
          <w:rFonts w:ascii="Arial" w:cs="Arial" w:hAnsi="Arial"/>
          <w:color w:val="000000"/>
          <w:lang w:val="en-GB"/>
        </w:rPr>
        <w:t>to employee</w:t>
      </w:r>
      <w:r>
        <w:rPr>
          <w:rFonts w:ascii="Arial" w:cs="Arial" w:hAnsi="Arial"/>
          <w:color w:val="000000"/>
          <w:lang w:val="en-GB"/>
        </w:rPr>
        <w:t xml:space="preserve"> engagement activities, including recognition initiatives. </w:t>
      </w:r>
      <w:r>
        <w:rPr>
          <w:rFonts w:ascii="Arial" w:cs="Arial" w:hAnsi="Arial"/>
          <w:color w:val="000000"/>
          <w:lang w:val="en-GB"/>
        </w:rPr>
        <w:t xml:space="preserve">Even </w:t>
      </w:r>
      <w:r>
        <w:rPr>
          <w:rFonts w:ascii="Arial" w:cs="Arial" w:hAnsi="Arial"/>
          <w:color w:val="000000"/>
          <w:lang w:val="en-GB"/>
        </w:rPr>
        <w:t>though, this</w:t>
      </w:r>
      <w:r>
        <w:rPr>
          <w:rFonts w:ascii="Arial" w:cs="Arial" w:hAnsi="Arial"/>
          <w:color w:val="000000"/>
          <w:lang w:val="en-GB"/>
        </w:rPr>
        <w:t xml:space="preserve"> improved my creative thinking </w:t>
      </w:r>
      <w:r>
        <w:rPr>
          <w:rFonts w:ascii="Arial" w:cs="Arial" w:hAnsi="Arial"/>
          <w:color w:val="000000"/>
          <w:lang w:val="en-GB"/>
        </w:rPr>
        <w:t>abilities</w:t>
      </w:r>
      <w:r>
        <w:rPr>
          <w:rFonts w:ascii="Arial" w:cs="Arial" w:hAnsi="Arial"/>
          <w:color w:val="000000"/>
          <w:lang w:val="en-GB"/>
        </w:rPr>
        <w:t xml:space="preserve">; however, </w:t>
      </w:r>
      <w:r>
        <w:rPr>
          <w:rFonts w:ascii="Arial" w:cs="Arial" w:hAnsi="Arial"/>
          <w:color w:val="000000"/>
          <w:lang w:val="en-GB"/>
        </w:rPr>
        <w:t xml:space="preserve">some suggestions </w:t>
      </w:r>
      <w:r>
        <w:rPr>
          <w:rFonts w:ascii="Arial" w:cs="Arial" w:hAnsi="Arial"/>
          <w:color w:val="000000"/>
          <w:lang w:val="en-GB"/>
        </w:rPr>
        <w:t xml:space="preserve">I think </w:t>
      </w:r>
      <w:r>
        <w:rPr>
          <w:rFonts w:ascii="Arial" w:cs="Arial" w:hAnsi="Arial"/>
          <w:color w:val="000000"/>
          <w:lang w:val="en-GB"/>
        </w:rPr>
        <w:t>extremely generic</w:t>
      </w:r>
      <w:r>
        <w:rPr>
          <w:rFonts w:ascii="Arial" w:cs="Arial" w:hAnsi="Arial"/>
          <w:color w:val="000000"/>
          <w:lang w:val="en-GB"/>
        </w:rPr>
        <w:t xml:space="preserve"> </w:t>
      </w:r>
      <w:r>
        <w:rPr>
          <w:rFonts w:ascii="Arial" w:cs="Arial" w:hAnsi="Arial"/>
          <w:color w:val="000000"/>
          <w:lang w:val="en-GB"/>
        </w:rPr>
        <w:t xml:space="preserve">and unrealistic, </w:t>
      </w:r>
      <w:r>
        <w:rPr>
          <w:rFonts w:ascii="Arial" w:cs="Arial" w:hAnsi="Arial"/>
          <w:color w:val="000000"/>
          <w:lang w:val="en-GB"/>
        </w:rPr>
        <w:t>where compulsory</w:t>
      </w:r>
      <w:r>
        <w:rPr>
          <w:rFonts w:ascii="Arial" w:cs="Arial" w:hAnsi="Arial"/>
          <w:color w:val="000000"/>
          <w:lang w:val="en-GB"/>
        </w:rPr>
        <w:t xml:space="preserve"> human judgment. Hence, this overall experience has taught me that AI could improve digital literacy, analytical thinking and problem-solving ability; however, it required professional HR judgement. </w:t>
      </w:r>
    </w:p>
    <w:bookmarkStart w:id="18" w:name="_Toc242284012"/>
    <w:p w14:paraId="5CA0A365">
      <w:pPr>
        <w:pStyle w:val="style2"/>
        <w:rPr>
          <w:rFonts w:cs="Arial"/>
          <w:lang w:val="en-GB"/>
        </w:rPr>
      </w:pPr>
      <w:r>
        <w:rPr>
          <w:rFonts w:cs="Arial"/>
          <w:lang w:val="en-GB"/>
        </w:rPr>
        <w:t xml:space="preserve">3.3 </w:t>
      </w:r>
      <w:r>
        <w:rPr>
          <w:rFonts w:cs="Arial"/>
          <w:lang w:val="en-GB"/>
        </w:rPr>
        <w:t>Personal Action Plan</w:t>
      </w:r>
      <w:bookmarkEnd w:id="18"/>
      <w:r>
        <w:rPr>
          <w:rFonts w:cs="Arial"/>
          <w:lang w:val="en-GB"/>
        </w:rPr>
        <w:t xml:space="preserve"> </w:t>
      </w:r>
    </w:p>
    <w:p w14:paraId="19A92F7D">
      <w:pPr>
        <w:pStyle w:val="style0"/>
        <w:rPr>
          <w:rFonts w:ascii="Arial" w:cs="Arial" w:hAnsi="Arial"/>
          <w:color w:val="000000"/>
          <w:lang w:val="en-GB"/>
        </w:rPr>
      </w:pPr>
      <w:r>
        <w:rPr>
          <w:rFonts w:ascii="Arial" w:cs="Arial" w:hAnsi="Arial"/>
          <w:color w:val="000000"/>
          <w:lang w:val="en-GB"/>
        </w:rPr>
        <w:t xml:space="preserve">My future development plan </w:t>
      </w:r>
      <w:r>
        <w:rPr>
          <w:rFonts w:ascii="Arial" w:cs="Arial" w:hAnsi="Arial"/>
          <w:color w:val="000000"/>
          <w:lang w:val="en-GB"/>
        </w:rPr>
        <w:t xml:space="preserve">will be focus on </w:t>
      </w:r>
      <w:r>
        <w:rPr>
          <w:rFonts w:ascii="Arial" w:cs="Arial" w:hAnsi="Arial"/>
          <w:color w:val="000000"/>
          <w:lang w:val="en-GB"/>
        </w:rPr>
        <w:t>becoming an AI-literate and strate</w:t>
      </w:r>
      <w:r>
        <w:rPr>
          <w:rFonts w:ascii="Arial" w:cs="Arial" w:hAnsi="Arial"/>
          <w:color w:val="000000"/>
          <w:lang w:val="en-GB"/>
        </w:rPr>
        <w:t>gically capable HR professional.  Thus,</w:t>
      </w:r>
      <w:r>
        <w:rPr>
          <w:rFonts w:ascii="Arial" w:cs="Arial" w:hAnsi="Arial"/>
          <w:color w:val="000000"/>
          <w:lang w:val="en-GB"/>
        </w:rPr>
        <w:t xml:space="preserve"> I will improve my data-analytics skills through AI-related courses such as IBM and Coursera, </w:t>
      </w:r>
      <w:r>
        <w:rPr>
          <w:rFonts w:ascii="Arial" w:cs="Arial" w:hAnsi="Arial"/>
          <w:color w:val="000000"/>
          <w:lang w:val="en-GB"/>
        </w:rPr>
        <w:t>thereafter,</w:t>
      </w:r>
      <w:r>
        <w:rPr>
          <w:rFonts w:ascii="Arial" w:cs="Arial" w:hAnsi="Arial"/>
          <w:color w:val="000000"/>
          <w:lang w:val="en-GB"/>
        </w:rPr>
        <w:t xml:space="preserve"> I will </w:t>
      </w:r>
      <w:r>
        <w:rPr>
          <w:rFonts w:ascii="Arial" w:cs="Arial" w:hAnsi="Arial"/>
          <w:color w:val="000000"/>
          <w:lang w:val="en-GB"/>
        </w:rPr>
        <w:t>improve</w:t>
      </w:r>
      <w:r>
        <w:rPr>
          <w:rFonts w:ascii="Arial" w:cs="Arial" w:hAnsi="Arial"/>
          <w:color w:val="000000"/>
          <w:lang w:val="en-GB"/>
        </w:rPr>
        <w:t xml:space="preserve"> my critical thinking ability by evaluating AI recommendations with my own judgeme</w:t>
      </w:r>
      <w:r>
        <w:rPr>
          <w:rFonts w:ascii="Arial" w:cs="Arial" w:hAnsi="Arial"/>
          <w:color w:val="000000"/>
          <w:lang w:val="en-GB"/>
        </w:rPr>
        <w:t xml:space="preserve">nt to generate accurate results. </w:t>
      </w:r>
      <w:r>
        <w:rPr>
          <w:rFonts w:ascii="Arial" w:cs="Arial" w:hAnsi="Arial"/>
          <w:color w:val="000000"/>
          <w:lang w:val="en-GB"/>
        </w:rPr>
        <w:t xml:space="preserve">Most importantly, I will enhance my </w:t>
      </w:r>
      <w:r>
        <w:rPr>
          <w:rFonts w:ascii="Arial" w:cs="Arial" w:hAnsi="Arial"/>
          <w:color w:val="000000"/>
          <w:lang w:val="en-GB"/>
        </w:rPr>
        <w:t xml:space="preserve">internal HR skills including leadership, </w:t>
      </w:r>
      <w:r>
        <w:rPr>
          <w:rFonts w:ascii="Arial" w:cs="Arial" w:hAnsi="Arial"/>
          <w:color w:val="000000"/>
          <w:lang w:val="en-GB"/>
        </w:rPr>
        <w:t xml:space="preserve">communication and interpersonal HR skills because HR professionals require </w:t>
      </w:r>
      <w:r>
        <w:rPr>
          <w:rFonts w:ascii="Arial" w:cs="Arial" w:hAnsi="Arial"/>
          <w:color w:val="000000"/>
          <w:lang w:val="en-GB"/>
        </w:rPr>
        <w:t xml:space="preserve">providing human </w:t>
      </w:r>
      <w:r>
        <w:rPr>
          <w:rFonts w:ascii="Arial" w:cs="Arial" w:hAnsi="Arial"/>
          <w:color w:val="000000"/>
          <w:lang w:val="en-GB"/>
        </w:rPr>
        <w:t>empathy</w:t>
      </w:r>
      <w:r>
        <w:rPr>
          <w:rFonts w:ascii="Arial" w:cs="Arial" w:hAnsi="Arial"/>
          <w:color w:val="000000"/>
          <w:lang w:val="en-GB"/>
        </w:rPr>
        <w:t xml:space="preserve"> and relationship-building</w:t>
      </w:r>
      <w:r>
        <w:rPr>
          <w:rFonts w:ascii="Arial" w:cs="Arial" w:hAnsi="Arial"/>
          <w:color w:val="000000"/>
          <w:lang w:val="en-GB"/>
        </w:rPr>
        <w:t xml:space="preserve">, which cannot be fully replicated by AI. My goal is therefore to become an HR professional who </w:t>
      </w:r>
      <w:r>
        <w:rPr>
          <w:rFonts w:ascii="Arial" w:cs="Arial" w:hAnsi="Arial"/>
          <w:color w:val="000000"/>
          <w:lang w:val="en-GB"/>
        </w:rPr>
        <w:t>is efficient</w:t>
      </w:r>
      <w:r>
        <w:rPr>
          <w:rFonts w:ascii="Arial" w:cs="Arial" w:hAnsi="Arial"/>
          <w:color w:val="000000"/>
          <w:lang w:val="en-GB"/>
        </w:rPr>
        <w:t xml:space="preserve"> to combine digital </w:t>
      </w:r>
      <w:r>
        <w:rPr>
          <w:rFonts w:ascii="Arial" w:cs="Arial" w:hAnsi="Arial"/>
          <w:color w:val="000000"/>
          <w:lang w:val="en-GB"/>
        </w:rPr>
        <w:t>literacy</w:t>
      </w:r>
      <w:r>
        <w:rPr>
          <w:rFonts w:ascii="Arial" w:cs="Arial" w:hAnsi="Arial"/>
          <w:color w:val="000000"/>
          <w:lang w:val="en-GB"/>
        </w:rPr>
        <w:t xml:space="preserve">, </w:t>
      </w:r>
      <w:r>
        <w:rPr>
          <w:rFonts w:ascii="Arial" w:cs="Arial" w:hAnsi="Arial"/>
          <w:color w:val="000000"/>
          <w:lang w:val="en-GB"/>
        </w:rPr>
        <w:t xml:space="preserve">analytical thinking, </w:t>
      </w:r>
      <w:r>
        <w:rPr>
          <w:rFonts w:ascii="Arial" w:cs="Arial" w:hAnsi="Arial"/>
          <w:color w:val="000000"/>
          <w:lang w:val="en-GB"/>
        </w:rPr>
        <w:t xml:space="preserve">human-centred leadership and ethical awareness to remain employable in an increasingly technology-driven workplace. </w:t>
      </w:r>
    </w:p>
    <w:bookmarkStart w:id="19" w:name="_is4kl3j54p10" w:colFirst="0" w:colLast="0"/>
    <w:bookmarkStart w:id="20" w:name="_Toc242284013"/>
    <w:bookmarkEnd w:id="19"/>
    <w:p w14:paraId="0A8F8111">
      <w:pPr>
        <w:pStyle w:val="style1"/>
        <w:rPr>
          <w:rFonts w:ascii="Arial" w:cs="Arial" w:hAnsi="Arial"/>
          <w:color w:val="000000"/>
          <w:lang w:val="en-GB"/>
        </w:rPr>
      </w:pPr>
      <w:r>
        <w:rPr>
          <w:rFonts w:ascii="Arial" w:cs="Arial" w:hAnsi="Arial"/>
          <w:color w:val="000000"/>
          <w:lang w:val="en-GB"/>
        </w:rPr>
        <w:t>Conclusion</w:t>
      </w:r>
      <w:bookmarkEnd w:id="20"/>
    </w:p>
    <w:p w14:paraId="3E57148F">
      <w:pPr>
        <w:pStyle w:val="style0"/>
        <w:rPr>
          <w:rFonts w:ascii="Arial" w:cs="Arial" w:hAnsi="Arial"/>
          <w:color w:val="000000"/>
          <w:lang w:val="en-GB"/>
        </w:rPr>
      </w:pPr>
      <w:r>
        <w:rPr>
          <w:rFonts w:ascii="Arial" w:cs="Arial" w:hAnsi="Arial"/>
          <w:color w:val="000000"/>
          <w:lang w:val="en-GB"/>
        </w:rPr>
        <w:t>In conclusion, N</w:t>
      </w:r>
      <w:r>
        <w:rPr>
          <w:rFonts w:ascii="Arial" w:cs="Arial" w:hAnsi="Arial"/>
          <w:color w:val="000000"/>
          <w:lang w:val="en-GB"/>
        </w:rPr>
        <w:t xml:space="preserve">HSX’s faced multiple employees </w:t>
      </w:r>
      <w:r>
        <w:rPr>
          <w:rFonts w:ascii="Arial" w:cs="Arial" w:hAnsi="Arial"/>
          <w:color w:val="000000"/>
          <w:lang w:val="en-GB"/>
        </w:rPr>
        <w:t>regarding issues across its global operations due to thei</w:t>
      </w:r>
      <w:r>
        <w:rPr>
          <w:rFonts w:ascii="Arial" w:cs="Arial" w:hAnsi="Arial"/>
          <w:color w:val="000000"/>
          <w:lang w:val="en-GB"/>
        </w:rPr>
        <w:t xml:space="preserve">r </w:t>
      </w:r>
      <w:r>
        <w:rPr>
          <w:rFonts w:ascii="Arial" w:cs="Arial" w:hAnsi="Arial"/>
          <w:color w:val="000000"/>
          <w:lang w:val="en-GB"/>
        </w:rPr>
        <w:t xml:space="preserve">traditional </w:t>
      </w:r>
      <w:r>
        <w:rPr>
          <w:rFonts w:ascii="Arial" w:cs="Arial" w:hAnsi="Arial"/>
          <w:color w:val="000000"/>
          <w:lang w:val="en-GB"/>
        </w:rPr>
        <w:t xml:space="preserve">hierarchical workplace culture. This issues increased </w:t>
      </w:r>
      <w:r>
        <w:rPr>
          <w:rFonts w:ascii="Arial" w:cs="Arial" w:hAnsi="Arial"/>
          <w:color w:val="000000"/>
          <w:lang w:val="en-GB"/>
        </w:rPr>
        <w:t>needs of designing contemporary innovative working practices including HPWS, HIWS, Agile working and Sociotechnical Systems theory, which</w:t>
      </w:r>
      <w:r>
        <w:rPr>
          <w:rFonts w:ascii="Arial" w:cs="Arial" w:hAnsi="Arial"/>
          <w:color w:val="000000"/>
          <w:lang w:val="en-GB"/>
        </w:rPr>
        <w:t xml:space="preserve"> improve creativity, </w:t>
      </w:r>
      <w:r>
        <w:rPr>
          <w:rFonts w:ascii="Arial" w:cs="Arial" w:hAnsi="Arial"/>
          <w:color w:val="000000"/>
          <w:lang w:val="en-GB"/>
        </w:rPr>
        <w:t xml:space="preserve">team-based problem solving and encourage knowledge sharing. However, </w:t>
      </w:r>
      <w:r>
        <w:rPr>
          <w:rFonts w:ascii="Arial" w:cs="Arial" w:hAnsi="Arial"/>
          <w:color w:val="000000"/>
          <w:lang w:val="en-GB"/>
        </w:rPr>
        <w:t>alone</w:t>
      </w:r>
      <w:r>
        <w:rPr>
          <w:rFonts w:ascii="Arial" w:cs="Arial" w:hAnsi="Arial"/>
          <w:color w:val="000000"/>
          <w:lang w:val="en-GB"/>
        </w:rPr>
        <w:t xml:space="preserve"> technology cannot alone </w:t>
      </w:r>
      <w:r>
        <w:rPr>
          <w:rFonts w:ascii="Arial" w:cs="Arial" w:hAnsi="Arial"/>
          <w:color w:val="000000"/>
          <w:lang w:val="en-GB"/>
        </w:rPr>
        <w:t xml:space="preserve">address </w:t>
      </w:r>
      <w:r>
        <w:rPr>
          <w:rFonts w:ascii="Arial" w:cs="Arial" w:hAnsi="Arial"/>
          <w:color w:val="000000"/>
          <w:lang w:val="en-GB"/>
        </w:rPr>
        <w:t xml:space="preserve">NHSX’s workforce challenges, </w:t>
      </w:r>
      <w:r>
        <w:rPr>
          <w:rFonts w:ascii="Arial" w:cs="Arial" w:hAnsi="Arial"/>
          <w:color w:val="000000"/>
          <w:lang w:val="en-GB"/>
        </w:rPr>
        <w:t xml:space="preserve">because there is required effective implementation, </w:t>
      </w:r>
      <w:r>
        <w:rPr>
          <w:rFonts w:ascii="Arial" w:cs="Arial" w:hAnsi="Arial"/>
          <w:color w:val="000000"/>
          <w:lang w:val="en-GB"/>
        </w:rPr>
        <w:t>clear acco</w:t>
      </w:r>
      <w:r>
        <w:rPr>
          <w:rFonts w:ascii="Arial" w:cs="Arial" w:hAnsi="Arial"/>
          <w:color w:val="000000"/>
          <w:lang w:val="en-GB"/>
        </w:rPr>
        <w:t xml:space="preserve">untability, continuous learning. </w:t>
      </w:r>
      <w:r>
        <w:rPr>
          <w:rFonts w:ascii="Arial" w:cs="Arial" w:hAnsi="Arial"/>
          <w:color w:val="000000"/>
          <w:lang w:val="en-GB"/>
        </w:rPr>
        <w:t xml:space="preserve">The proper talent ecosystem, such as AI capability development, global mentoring, and career pathways, can strengthen retention and future readiness. </w:t>
      </w:r>
    </w:p>
    <w:bookmarkStart w:id="21" w:name="_e3fmzjm52y07" w:colFirst="0" w:colLast="0"/>
    <w:bookmarkEnd w:id="21"/>
    <w:p w14:paraId="2DBC924F">
      <w:pPr>
        <w:pStyle w:val="style0"/>
        <w:rPr>
          <w:rFonts w:ascii="Arial" w:cs="Arial" w:hAnsi="Arial"/>
          <w:b/>
          <w:bCs/>
          <w:sz w:val="28"/>
          <w:szCs w:val="28"/>
          <w:lang w:val="en-GB"/>
        </w:rPr>
      </w:pPr>
      <w:r>
        <w:rPr>
          <w:rFonts w:ascii="Arial" w:cs="Arial" w:hAnsi="Arial"/>
          <w:lang w:val="en-GB"/>
        </w:rPr>
        <w:br w:type="page"/>
      </w:r>
    </w:p>
    <w:bookmarkStart w:id="22" w:name="_Toc242284014"/>
    <w:p w14:paraId="3645AACE">
      <w:pPr>
        <w:pStyle w:val="style1"/>
        <w:rPr>
          <w:rFonts w:ascii="Arial" w:cs="Arial" w:hAnsi="Arial"/>
          <w:lang w:val="en-GB"/>
        </w:rPr>
      </w:pPr>
      <w:r>
        <w:rPr>
          <w:rFonts w:ascii="Arial" w:cs="Arial" w:hAnsi="Arial"/>
          <w:lang w:val="en-GB"/>
        </w:rPr>
        <w:t>References</w:t>
      </w:r>
      <w:bookmarkEnd w:id="22"/>
      <w:r>
        <w:rPr>
          <w:rFonts w:ascii="Arial" w:cs="Arial" w:hAnsi="Arial"/>
          <w:lang w:val="en-GB"/>
        </w:rPr>
        <w:t xml:space="preserve"> </w:t>
      </w:r>
    </w:p>
    <w:p w14:paraId="29B66CF7">
      <w:pPr>
        <w:pStyle w:val="style0"/>
        <w:rPr>
          <w:rFonts w:ascii="Arial" w:cs="Arial" w:hAnsi="Arial"/>
          <w:lang w:val="en-GB"/>
        </w:rPr>
      </w:pPr>
      <w:r>
        <w:rPr>
          <w:rFonts w:ascii="Arial" w:cs="Arial" w:hAnsi="Arial"/>
          <w:lang w:val="en-GB"/>
        </w:rPr>
        <w:t>Alabi, M. (2025) Ethical Challenges in AI: Addressing Bias, Privacy, and Accountability.</w:t>
      </w:r>
    </w:p>
    <w:p w14:paraId="567F082F">
      <w:pPr>
        <w:pStyle w:val="style0"/>
        <w:rPr>
          <w:rFonts w:ascii="Arial" w:cs="Arial" w:hAnsi="Arial"/>
          <w:lang w:val="en-GB"/>
        </w:rPr>
      </w:pPr>
      <w:r>
        <w:rPr>
          <w:rFonts w:ascii="Arial" w:cs="Arial" w:hAnsi="Arial"/>
          <w:lang w:val="en-GB"/>
        </w:rPr>
        <w:t xml:space="preserve">Atlassian (2026) </w:t>
      </w:r>
      <w:r>
        <w:rPr>
          <w:rFonts w:ascii="Arial" w:cs="Arial" w:hAnsi="Arial"/>
          <w:i/>
          <w:iCs/>
          <w:lang w:val="en-GB"/>
        </w:rPr>
        <w:t xml:space="preserve">Benefits and perks. </w:t>
      </w:r>
      <w:r>
        <w:rPr>
          <w:rFonts w:ascii="Arial" w:cs="Arial" w:hAnsi="Arial"/>
          <w:lang w:val="en-GB"/>
        </w:rPr>
        <w:t xml:space="preserve">Available at: </w:t>
      </w:r>
      <w:r>
        <w:rPr/>
        <w:fldChar w:fldCharType="begin"/>
      </w:r>
      <w:r>
        <w:instrText xml:space="preserve"> HYPERLINK "https://www.atlassian.com/company/careers/resources/perk-and-benefits/global/india" </w:instrText>
      </w:r>
      <w:r>
        <w:rPr/>
        <w:fldChar w:fldCharType="separate"/>
      </w:r>
      <w:r>
        <w:rPr>
          <w:rFonts w:ascii="Arial" w:cs="Arial" w:hAnsi="Arial"/>
          <w:color w:val="1155cc"/>
          <w:u w:val="single"/>
          <w:lang w:val="en-GB"/>
        </w:rPr>
        <w:t>https://www.atlassian.com/company/careers/resources/perk-and-benefits/global/india</w:t>
      </w:r>
      <w:r>
        <w:rPr/>
        <w:fldChar w:fldCharType="end"/>
      </w:r>
      <w:r>
        <w:rPr>
          <w:rFonts w:ascii="Arial" w:cs="Arial" w:hAnsi="Arial"/>
          <w:lang w:val="en-GB"/>
        </w:rPr>
        <w:t xml:space="preserve"> (Accessed: 03 October 2026) </w:t>
      </w:r>
    </w:p>
    <w:p w14:paraId="6269E5B6">
      <w:pPr>
        <w:pStyle w:val="style0"/>
        <w:rPr>
          <w:rFonts w:ascii="Arial" w:cs="Arial" w:hAnsi="Arial"/>
          <w:lang w:val="en-GB"/>
        </w:rPr>
      </w:pPr>
      <w:r>
        <w:rPr>
          <w:rFonts w:ascii="Arial" w:cs="Arial" w:hAnsi="Arial"/>
          <w:lang w:val="en-GB"/>
        </w:rPr>
        <w:t>Ayabe</w:t>
      </w:r>
      <w:r>
        <w:rPr>
          <w:rFonts w:ascii="Arial" w:cs="Arial" w:hAnsi="Arial"/>
          <w:lang w:val="en-GB"/>
        </w:rPr>
        <w:t xml:space="preserve">, H., Koike, T., Yoshioka, A., </w:t>
      </w:r>
      <w:r>
        <w:rPr>
          <w:rFonts w:ascii="Arial" w:cs="Arial" w:hAnsi="Arial"/>
          <w:lang w:val="en-GB"/>
        </w:rPr>
        <w:t>Izuno</w:t>
      </w:r>
      <w:r>
        <w:rPr>
          <w:rFonts w:ascii="Arial" w:cs="Arial" w:hAnsi="Arial"/>
          <w:lang w:val="en-GB"/>
        </w:rPr>
        <w:t xml:space="preserve">, S., Ogasawara, K., </w:t>
      </w:r>
      <w:r>
        <w:rPr>
          <w:rFonts w:ascii="Arial" w:cs="Arial" w:hAnsi="Arial"/>
          <w:lang w:val="en-GB"/>
        </w:rPr>
        <w:t>Tsuchimoto</w:t>
      </w:r>
      <w:r>
        <w:rPr>
          <w:rFonts w:ascii="Arial" w:cs="Arial" w:hAnsi="Arial"/>
          <w:lang w:val="en-GB"/>
        </w:rPr>
        <w:t xml:space="preserve">, S. and </w:t>
      </w:r>
      <w:r>
        <w:rPr>
          <w:rFonts w:ascii="Arial" w:cs="Arial" w:hAnsi="Arial"/>
          <w:lang w:val="en-GB"/>
        </w:rPr>
        <w:t>Sadato</w:t>
      </w:r>
      <w:r>
        <w:rPr>
          <w:rFonts w:ascii="Arial" w:cs="Arial" w:hAnsi="Arial"/>
          <w:lang w:val="en-GB"/>
        </w:rPr>
        <w:t xml:space="preserve">, N., (2025) Beyond the undermining effect: Extrinsic rewards preserve neural intrinsic reward. </w:t>
      </w:r>
      <w:r>
        <w:rPr>
          <w:rFonts w:ascii="Arial" w:cs="Arial" w:hAnsi="Arial"/>
          <w:i/>
          <w:iCs/>
          <w:lang w:val="en-GB"/>
        </w:rPr>
        <w:t xml:space="preserve">Behavioural Brain Research, </w:t>
      </w:r>
      <w:r>
        <w:rPr>
          <w:rFonts w:ascii="Arial" w:cs="Arial" w:hAnsi="Arial"/>
          <w:lang w:val="en-GB"/>
        </w:rPr>
        <w:t xml:space="preserve">p.115996.  </w:t>
      </w:r>
    </w:p>
    <w:p w14:paraId="139E73E0">
      <w:pPr>
        <w:pStyle w:val="style0"/>
        <w:rPr>
          <w:rFonts w:ascii="Arial" w:cs="Arial" w:hAnsi="Arial"/>
          <w:lang w:val="en-GB"/>
        </w:rPr>
      </w:pPr>
      <w:r>
        <w:rPr>
          <w:rFonts w:ascii="Arial" w:cs="Arial" w:hAnsi="Arial"/>
          <w:lang w:val="en-GB"/>
        </w:rPr>
        <w:t>Balabanova</w:t>
      </w:r>
      <w:r>
        <w:rPr>
          <w:rFonts w:ascii="Arial" w:cs="Arial" w:hAnsi="Arial"/>
          <w:lang w:val="en-GB"/>
        </w:rPr>
        <w:t xml:space="preserve">, E., Koveshnikov, A. and </w:t>
      </w:r>
      <w:r>
        <w:rPr>
          <w:rFonts w:ascii="Arial" w:cs="Arial" w:hAnsi="Arial"/>
          <w:lang w:val="en-GB"/>
        </w:rPr>
        <w:t>Ehrnrooth</w:t>
      </w:r>
      <w:r>
        <w:rPr>
          <w:rFonts w:ascii="Arial" w:cs="Arial" w:hAnsi="Arial"/>
          <w:lang w:val="en-GB"/>
        </w:rPr>
        <w:t>, M. (2026) Beyond mutual gains and conflicting outcomes: a functional ambivalence perspective on high-performance work systems.</w:t>
      </w:r>
      <w:r>
        <w:rPr>
          <w:rFonts w:ascii="Arial" w:cs="Arial" w:hAnsi="Arial"/>
          <w:i/>
          <w:iCs/>
          <w:lang w:val="en-GB"/>
        </w:rPr>
        <w:t xml:space="preserve"> Employee Relations: The International Journal,</w:t>
      </w:r>
      <w:r>
        <w:rPr>
          <w:rFonts w:ascii="Arial" w:cs="Arial" w:hAnsi="Arial"/>
          <w:lang w:val="en-GB"/>
        </w:rPr>
        <w:t xml:space="preserve"> 48(9), pp.272-297. Available at: </w:t>
      </w:r>
      <w:r>
        <w:rPr/>
        <w:fldChar w:fldCharType="begin"/>
      </w:r>
      <w:r>
        <w:instrText xml:space="preserve"> HYPERLINK "https://doi.org/10.1108/ER-09-2025-0748" </w:instrText>
      </w:r>
      <w:r>
        <w:rPr/>
        <w:fldChar w:fldCharType="separate"/>
      </w:r>
      <w:r>
        <w:rPr>
          <w:rFonts w:ascii="Arial" w:cs="Arial" w:hAnsi="Arial"/>
          <w:color w:val="1155cc"/>
          <w:u w:val="single"/>
          <w:lang w:val="en-GB"/>
        </w:rPr>
        <w:t>https://doi.org/10.1108/ER-09-2025-0748</w:t>
      </w:r>
      <w:r>
        <w:rPr/>
        <w:fldChar w:fldCharType="end"/>
      </w:r>
      <w:r>
        <w:rPr>
          <w:rFonts w:ascii="Arial" w:cs="Arial" w:hAnsi="Arial"/>
          <w:lang w:val="en-GB"/>
        </w:rPr>
        <w:t xml:space="preserve"> (Accessed: 03 October 2026) </w:t>
      </w:r>
    </w:p>
    <w:p w14:paraId="40D01C69">
      <w:pPr>
        <w:pStyle w:val="style0"/>
        <w:rPr>
          <w:rFonts w:ascii="Arial" w:cs="Arial" w:hAnsi="Arial"/>
          <w:lang w:val="en-GB"/>
        </w:rPr>
      </w:pPr>
      <w:r>
        <w:rPr>
          <w:rFonts w:ascii="Arial" w:cs="Arial" w:hAnsi="Arial"/>
          <w:lang w:val="en-GB"/>
        </w:rPr>
        <w:t xml:space="preserve">Chiekezie, N.R., </w:t>
      </w:r>
      <w:r>
        <w:rPr>
          <w:rFonts w:ascii="Arial" w:cs="Arial" w:hAnsi="Arial"/>
          <w:lang w:val="en-GB"/>
        </w:rPr>
        <w:t>Obiki-Osafiele</w:t>
      </w:r>
      <w:r>
        <w:rPr>
          <w:rFonts w:ascii="Arial" w:cs="Arial" w:hAnsi="Arial"/>
          <w:lang w:val="en-GB"/>
        </w:rPr>
        <w:t xml:space="preserve">, A.N. and Agu, E.E. (2024). Preparing the workforce for AI technologies through training and professional development for future readiness. </w:t>
      </w:r>
      <w:r>
        <w:rPr>
          <w:rFonts w:ascii="Arial" w:cs="Arial" w:hAnsi="Arial"/>
          <w:i/>
          <w:iCs/>
          <w:lang w:val="en-GB"/>
        </w:rPr>
        <w:t xml:space="preserve">World Journal of Engineering and Technology Research, </w:t>
      </w:r>
      <w:r>
        <w:rPr>
          <w:rFonts w:ascii="Arial" w:cs="Arial" w:hAnsi="Arial"/>
          <w:lang w:val="en-GB"/>
        </w:rPr>
        <w:t xml:space="preserve">3(1), pp.001-018.  Available at: </w:t>
      </w:r>
      <w:r>
        <w:rPr/>
        <w:fldChar w:fldCharType="begin"/>
      </w:r>
      <w:r>
        <w:instrText xml:space="preserve"> HYPERLINK "https://doi.org/10.53346/wjetr.2024.3.1.0050" </w:instrText>
      </w:r>
      <w:r>
        <w:rPr/>
        <w:fldChar w:fldCharType="separate"/>
      </w:r>
      <w:r>
        <w:rPr>
          <w:rFonts w:ascii="Arial" w:cs="Arial" w:hAnsi="Arial"/>
          <w:color w:val="1155cc"/>
          <w:u w:val="single"/>
          <w:lang w:val="en-GB"/>
        </w:rPr>
        <w:t>https://doi.org/10.53346/wjetr.2024.3.1.0050</w:t>
      </w:r>
      <w:r>
        <w:rPr/>
        <w:fldChar w:fldCharType="end"/>
      </w:r>
      <w:r>
        <w:rPr>
          <w:rFonts w:ascii="Arial" w:cs="Arial" w:hAnsi="Arial"/>
          <w:lang w:val="en-GB"/>
        </w:rPr>
        <w:t xml:space="preserve"> (Accessed: 03 October 2026) </w:t>
      </w:r>
    </w:p>
    <w:p w14:paraId="0ADEBF4A">
      <w:pPr>
        <w:pStyle w:val="style0"/>
        <w:rPr>
          <w:rFonts w:ascii="Arial" w:cs="Arial" w:hAnsi="Arial"/>
          <w:lang w:val="en-GB"/>
        </w:rPr>
      </w:pPr>
      <w:r>
        <w:rPr>
          <w:rFonts w:ascii="Arial" w:cs="Arial" w:hAnsi="Arial"/>
          <w:lang w:val="en-GB"/>
        </w:rPr>
        <w:t xml:space="preserve">Iyer, R., Malik, A., </w:t>
      </w:r>
      <w:r>
        <w:rPr>
          <w:rFonts w:ascii="Arial" w:cs="Arial" w:hAnsi="Arial"/>
          <w:lang w:val="en-GB"/>
        </w:rPr>
        <w:t>Thite</w:t>
      </w:r>
      <w:r>
        <w:rPr>
          <w:rFonts w:ascii="Arial" w:cs="Arial" w:hAnsi="Arial"/>
          <w:lang w:val="en-GB"/>
        </w:rPr>
        <w:t xml:space="preserve">, M. and De, S. (2026) Revisiting the Service-Profit Chain: A Conceptual Integration of Employee Experience and Engagement for the Contemporary Workforce. </w:t>
      </w:r>
      <w:r>
        <w:rPr>
          <w:rFonts w:ascii="Arial" w:cs="Arial" w:hAnsi="Arial"/>
          <w:i/>
          <w:iCs/>
          <w:lang w:val="en-GB"/>
        </w:rPr>
        <w:t>Australasian Marketing Journal,</w:t>
      </w:r>
      <w:r>
        <w:rPr>
          <w:rFonts w:ascii="Arial" w:cs="Arial" w:hAnsi="Arial"/>
          <w:lang w:val="en-GB"/>
        </w:rPr>
        <w:t xml:space="preserve"> p.14413582261442610. Available at: </w:t>
      </w:r>
      <w:r>
        <w:rPr/>
        <w:fldChar w:fldCharType="begin"/>
      </w:r>
      <w:r>
        <w:instrText xml:space="preserve"> HYPERLINK "https://doi.org/10.1177/14413582261442610" </w:instrText>
      </w:r>
      <w:r>
        <w:rPr/>
        <w:fldChar w:fldCharType="separate"/>
      </w:r>
      <w:r>
        <w:rPr>
          <w:rFonts w:ascii="Arial" w:cs="Arial" w:hAnsi="Arial"/>
          <w:color w:val="1155cc"/>
          <w:u w:val="single"/>
          <w:lang w:val="en-GB"/>
        </w:rPr>
        <w:t>https://doi.org/10.1177/14413582261442610</w:t>
      </w:r>
      <w:r>
        <w:rPr/>
        <w:fldChar w:fldCharType="end"/>
      </w:r>
      <w:r>
        <w:rPr>
          <w:rFonts w:ascii="Arial" w:cs="Arial" w:hAnsi="Arial"/>
          <w:lang w:val="en-GB"/>
        </w:rPr>
        <w:t xml:space="preserve"> (Accessed: 03 October 2026) </w:t>
      </w:r>
    </w:p>
    <w:p w14:paraId="1E5D36E0">
      <w:pPr>
        <w:pStyle w:val="style0"/>
        <w:rPr>
          <w:rFonts w:ascii="Arial" w:cs="Arial" w:hAnsi="Arial"/>
          <w:lang w:val="en-GB"/>
        </w:rPr>
      </w:pPr>
      <w:r>
        <w:rPr>
          <w:rFonts w:ascii="Arial" w:cs="Arial" w:hAnsi="Arial"/>
          <w:lang w:val="en-GB"/>
        </w:rPr>
        <w:t xml:space="preserve">Karn, D.K., Mishra, A.K. and Dhakal, J.K. (2026) Assessing the application of Taylor’s scientific management in contemporary Nepalese business practice. </w:t>
      </w:r>
      <w:r>
        <w:rPr>
          <w:rFonts w:ascii="Arial" w:cs="Arial" w:hAnsi="Arial"/>
          <w:i/>
          <w:iCs/>
          <w:lang w:val="en-GB"/>
        </w:rPr>
        <w:t xml:space="preserve">Journal of Advanced Research in HR and </w:t>
      </w:r>
      <w:r>
        <w:rPr>
          <w:rFonts w:ascii="Arial" w:cs="Arial" w:hAnsi="Arial"/>
          <w:i/>
          <w:iCs/>
          <w:lang w:val="en-GB"/>
        </w:rPr>
        <w:t>Organizationa</w:t>
      </w:r>
      <w:r>
        <w:rPr>
          <w:rFonts w:ascii="Arial" w:cs="Arial" w:hAnsi="Arial"/>
          <w:i/>
          <w:iCs/>
          <w:lang w:val="en-GB"/>
        </w:rPr>
        <w:t xml:space="preserve"> l Management, </w:t>
      </w:r>
      <w:r>
        <w:rPr>
          <w:rFonts w:ascii="Arial" w:cs="Arial" w:hAnsi="Arial"/>
          <w:lang w:val="en-GB"/>
        </w:rPr>
        <w:t xml:space="preserve">13(1), pp.1-7.  Available at: </w:t>
      </w:r>
      <w:r>
        <w:rPr/>
        <w:fldChar w:fldCharType="begin"/>
      </w:r>
      <w:r>
        <w:instrText xml:space="preserve"> HYPERLINK "https://doi.org/10.24321/2454.3268.202601" </w:instrText>
      </w:r>
      <w:r>
        <w:rPr/>
        <w:fldChar w:fldCharType="separate"/>
      </w:r>
      <w:r>
        <w:rPr>
          <w:rFonts w:ascii="Arial" w:cs="Arial" w:hAnsi="Arial"/>
          <w:color w:val="1155cc"/>
          <w:u w:val="single"/>
          <w:lang w:val="en-GB"/>
        </w:rPr>
        <w:t>https://doi.org/10.24321/2454.3268.202601</w:t>
      </w:r>
      <w:r>
        <w:rPr/>
        <w:fldChar w:fldCharType="end"/>
      </w:r>
      <w:r>
        <w:rPr>
          <w:rFonts w:ascii="Arial" w:cs="Arial" w:hAnsi="Arial"/>
          <w:lang w:val="en-GB"/>
        </w:rPr>
        <w:t xml:space="preserve"> (Accessed: 03 October 2026) </w:t>
      </w:r>
    </w:p>
    <w:p w14:paraId="790F03AB">
      <w:pPr>
        <w:pStyle w:val="style0"/>
        <w:rPr>
          <w:rFonts w:ascii="Arial" w:cs="Arial" w:hAnsi="Arial"/>
          <w:lang w:val="en-GB"/>
        </w:rPr>
      </w:pPr>
      <w:r>
        <w:rPr>
          <w:rFonts w:ascii="Arial" w:cs="Arial" w:hAnsi="Arial"/>
          <w:lang w:val="en-GB"/>
        </w:rPr>
        <w:t xml:space="preserve">Kellington, J. (2022) </w:t>
      </w:r>
      <w:r>
        <w:rPr>
          <w:rFonts w:ascii="Arial" w:cs="Arial" w:hAnsi="Arial"/>
          <w:i/>
          <w:iCs/>
          <w:lang w:val="en-GB"/>
        </w:rPr>
        <w:t xml:space="preserve">Cultivating a culture of learning at Microsoft with Viva Learning. </w:t>
      </w:r>
      <w:r>
        <w:rPr>
          <w:rFonts w:ascii="Arial" w:cs="Arial" w:hAnsi="Arial"/>
          <w:lang w:val="en-GB"/>
        </w:rPr>
        <w:t xml:space="preserve">Available at: </w:t>
      </w:r>
      <w:r>
        <w:rPr/>
        <w:fldChar w:fldCharType="begin"/>
      </w:r>
      <w:r>
        <w:instrText xml:space="preserve"> HYPERLINK "https://www.microsoft.com/insidetrack/blog/fostering-a-culture-of-learning-at-microsoft-with-viva-learning" </w:instrText>
      </w:r>
      <w:r>
        <w:rPr/>
        <w:fldChar w:fldCharType="separate"/>
      </w:r>
      <w:r>
        <w:rPr>
          <w:rFonts w:ascii="Arial" w:cs="Arial" w:hAnsi="Arial"/>
          <w:color w:val="1155cc"/>
          <w:u w:val="single"/>
          <w:lang w:val="en-GB"/>
        </w:rPr>
        <w:t>https://www.microsoft.com/insidetrack/blog/fostering-a-culture-of-learning-at-microsoft-with-viva-learning</w:t>
      </w:r>
      <w:r>
        <w:rPr/>
        <w:fldChar w:fldCharType="end"/>
      </w:r>
      <w:r>
        <w:rPr>
          <w:rFonts w:ascii="Arial" w:cs="Arial" w:hAnsi="Arial"/>
          <w:lang w:val="en-GB"/>
        </w:rPr>
        <w:t xml:space="preserve"> (Accessed: 03 October 2026) </w:t>
      </w:r>
    </w:p>
    <w:p w14:paraId="500C9E39">
      <w:pPr>
        <w:pStyle w:val="style0"/>
        <w:rPr>
          <w:rFonts w:ascii="Arial" w:cs="Arial" w:hAnsi="Arial"/>
          <w:lang w:val="en-GB"/>
        </w:rPr>
      </w:pPr>
      <w:r>
        <w:rPr>
          <w:rFonts w:ascii="Arial" w:cs="Arial" w:hAnsi="Arial"/>
          <w:lang w:val="en-GB"/>
        </w:rPr>
        <w:t xml:space="preserve">Kucharska, W. (2026) How do the internal dynamics of agile and non-agile mindset employees, influenced by agile culture, impact organizational change management?. </w:t>
      </w:r>
      <w:r>
        <w:rPr>
          <w:rFonts w:ascii="Arial" w:cs="Arial" w:hAnsi="Arial"/>
          <w:i/>
          <w:iCs/>
          <w:lang w:val="en-GB"/>
        </w:rPr>
        <w:t xml:space="preserve">Journal of Organizational Change Management, </w:t>
      </w:r>
      <w:r>
        <w:rPr>
          <w:rFonts w:ascii="Arial" w:cs="Arial" w:hAnsi="Arial"/>
          <w:lang w:val="en-GB"/>
        </w:rPr>
        <w:t xml:space="preserve">39(8), pp.216-232.  Available at: </w:t>
      </w:r>
      <w:r>
        <w:rPr/>
        <w:fldChar w:fldCharType="begin"/>
      </w:r>
      <w:r>
        <w:instrText xml:space="preserve"> HYPERLINK "https://doi.org/10.1108/JOCM-12-2025-1093" </w:instrText>
      </w:r>
      <w:r>
        <w:rPr/>
        <w:fldChar w:fldCharType="separate"/>
      </w:r>
      <w:r>
        <w:rPr>
          <w:rFonts w:ascii="Arial" w:cs="Arial" w:hAnsi="Arial"/>
          <w:color w:val="1155cc"/>
          <w:u w:val="single"/>
          <w:lang w:val="en-GB"/>
        </w:rPr>
        <w:t>https://doi.org/10.1108/JOCM-12-2025-1093</w:t>
      </w:r>
      <w:r>
        <w:rPr/>
        <w:fldChar w:fldCharType="end"/>
      </w:r>
      <w:r>
        <w:rPr>
          <w:rFonts w:ascii="Arial" w:cs="Arial" w:hAnsi="Arial"/>
          <w:lang w:val="en-GB"/>
        </w:rPr>
        <w:t xml:space="preserve"> (Accessed: 03 October 2026) </w:t>
      </w:r>
    </w:p>
    <w:p w14:paraId="0F1EC827">
      <w:pPr>
        <w:pStyle w:val="style0"/>
        <w:rPr>
          <w:rFonts w:ascii="Arial" w:cs="Arial" w:hAnsi="Arial"/>
          <w:lang w:val="en-GB"/>
        </w:rPr>
      </w:pPr>
      <w:r>
        <w:rPr>
          <w:rFonts w:ascii="Arial" w:cs="Arial" w:hAnsi="Arial"/>
          <w:lang w:val="en-GB"/>
        </w:rPr>
        <w:t xml:space="preserve">Luo, H. and Yao, Z. (2026) Linking high-involvement work systems to employee voice </w:t>
      </w:r>
      <w:r>
        <w:rPr>
          <w:rFonts w:ascii="Arial" w:cs="Arial" w:hAnsi="Arial"/>
          <w:lang w:val="en-GB"/>
        </w:rPr>
        <w:t>behavior</w:t>
      </w:r>
      <w:r>
        <w:rPr>
          <w:rFonts w:ascii="Arial" w:cs="Arial" w:hAnsi="Arial"/>
          <w:lang w:val="en-GB"/>
        </w:rPr>
        <w:t xml:space="preserve">: The mediating role of ambidextrous learning and the moderating role of digital leadership. </w:t>
      </w:r>
      <w:r>
        <w:rPr>
          <w:rFonts w:ascii="Arial" w:cs="Arial" w:hAnsi="Arial"/>
          <w:i/>
          <w:iCs/>
          <w:lang w:val="en-GB"/>
        </w:rPr>
        <w:t xml:space="preserve">Acta </w:t>
      </w:r>
      <w:r>
        <w:rPr>
          <w:rFonts w:ascii="Arial" w:cs="Arial" w:hAnsi="Arial"/>
          <w:i/>
          <w:iCs/>
          <w:lang w:val="en-GB"/>
        </w:rPr>
        <w:t>Psychologica</w:t>
      </w:r>
      <w:r>
        <w:rPr>
          <w:rFonts w:ascii="Arial" w:cs="Arial" w:hAnsi="Arial"/>
          <w:lang w:val="en-GB"/>
        </w:rPr>
        <w:t xml:space="preserve">, 265, p.106755.  Available at: </w:t>
      </w:r>
      <w:r>
        <w:rPr/>
        <w:fldChar w:fldCharType="begin"/>
      </w:r>
      <w:r>
        <w:instrText xml:space="preserve"> HYPERLINK "https://doi.org/10.1016/j.actpsy.2026.106755" </w:instrText>
      </w:r>
      <w:r>
        <w:rPr/>
        <w:fldChar w:fldCharType="separate"/>
      </w:r>
      <w:r>
        <w:rPr>
          <w:rFonts w:ascii="Arial" w:cs="Arial" w:hAnsi="Arial"/>
          <w:color w:val="1155cc"/>
          <w:u w:val="single"/>
          <w:lang w:val="en-GB"/>
        </w:rPr>
        <w:t>https://doi.org/10.1016/j.actpsy.2026.106755</w:t>
      </w:r>
      <w:r>
        <w:rPr/>
        <w:fldChar w:fldCharType="end"/>
      </w:r>
      <w:r>
        <w:rPr>
          <w:rFonts w:ascii="Arial" w:cs="Arial" w:hAnsi="Arial"/>
          <w:lang w:val="en-GB"/>
        </w:rPr>
        <w:t xml:space="preserve"> (Accessed: 03 October 2026) </w:t>
      </w:r>
    </w:p>
    <w:p w14:paraId="2AF132AC">
      <w:pPr>
        <w:pStyle w:val="style0"/>
        <w:rPr>
          <w:rFonts w:ascii="Arial" w:cs="Arial" w:hAnsi="Arial"/>
          <w:lang w:val="en-GB"/>
        </w:rPr>
      </w:pPr>
      <w:r>
        <w:rPr>
          <w:rFonts w:ascii="Arial" w:cs="Arial" w:hAnsi="Arial"/>
          <w:lang w:val="en-GB"/>
        </w:rPr>
        <w:t>Özbilgin</w:t>
      </w:r>
      <w:r>
        <w:rPr>
          <w:rFonts w:ascii="Arial" w:cs="Arial" w:hAnsi="Arial"/>
          <w:lang w:val="en-GB"/>
        </w:rPr>
        <w:t>, M.F., Erbil, C., Tekeste, M. and Gundogdu, N. (2026) HR</w:t>
      </w:r>
      <w:r>
        <w:rPr>
          <w:rFonts w:ascii="Cambria Math" w:cs="Cambria Math" w:hAnsi="Cambria Math"/>
          <w:lang w:val="en-GB"/>
        </w:rPr>
        <w:t>‐</w:t>
      </w:r>
      <w:r>
        <w:rPr>
          <w:rFonts w:ascii="Arial" w:cs="Arial" w:hAnsi="Arial"/>
          <w:lang w:val="en-GB"/>
        </w:rPr>
        <w:t>led co</w:t>
      </w:r>
      <w:r>
        <w:rPr>
          <w:rFonts w:ascii="Cambria Math" w:cs="Cambria Math" w:hAnsi="Cambria Math"/>
          <w:lang w:val="en-GB"/>
        </w:rPr>
        <w:t>‐</w:t>
      </w:r>
      <w:r>
        <w:rPr>
          <w:rFonts w:ascii="Arial" w:cs="Arial" w:hAnsi="Arial"/>
          <w:lang w:val="en-GB"/>
        </w:rPr>
        <w:t xml:space="preserve">design for </w:t>
      </w:r>
      <w:r>
        <w:rPr>
          <w:rFonts w:ascii="Arial" w:cs="Arial" w:hAnsi="Arial"/>
          <w:lang w:val="en-GB"/>
        </w:rPr>
        <w:t>neuroinclusion</w:t>
      </w:r>
      <w:r>
        <w:rPr>
          <w:rFonts w:ascii="Arial" w:cs="Arial" w:hAnsi="Arial"/>
          <w:lang w:val="en-GB"/>
        </w:rPr>
        <w:t xml:space="preserve">: A critical pragmatist and sociotechnical systems approach to transforming </w:t>
      </w:r>
      <w:r>
        <w:rPr>
          <w:rFonts w:ascii="Arial" w:cs="Arial" w:hAnsi="Arial"/>
          <w:lang w:val="en-GB"/>
        </w:rPr>
        <w:t>neuronormative</w:t>
      </w:r>
      <w:r>
        <w:rPr>
          <w:rFonts w:ascii="Arial" w:cs="Arial" w:hAnsi="Arial"/>
          <w:lang w:val="en-GB"/>
        </w:rPr>
        <w:t xml:space="preserve"> organisations. </w:t>
      </w:r>
      <w:r>
        <w:rPr>
          <w:rFonts w:ascii="Arial" w:cs="Arial" w:hAnsi="Arial"/>
          <w:i/>
          <w:iCs/>
          <w:lang w:val="en-GB"/>
        </w:rPr>
        <w:t>Human Resource Management Journal,</w:t>
      </w:r>
      <w:r>
        <w:rPr>
          <w:rFonts w:ascii="Arial" w:cs="Arial" w:hAnsi="Arial"/>
          <w:lang w:val="en-GB"/>
        </w:rPr>
        <w:t xml:space="preserve"> 36(2), pp.192-204.  Available at: </w:t>
      </w:r>
      <w:r>
        <w:rPr/>
        <w:fldChar w:fldCharType="begin"/>
      </w:r>
      <w:r>
        <w:instrText xml:space="preserve"> HYPERLINK "https://doi.org/10.1111/1748-8583.70018" </w:instrText>
      </w:r>
      <w:r>
        <w:rPr/>
        <w:fldChar w:fldCharType="separate"/>
      </w:r>
      <w:r>
        <w:rPr>
          <w:rFonts w:ascii="Arial" w:cs="Arial" w:hAnsi="Arial"/>
          <w:color w:val="1155cc"/>
          <w:u w:val="single"/>
          <w:lang w:val="en-GB"/>
        </w:rPr>
        <w:t>https://doi.org/10.1111/1748-8583.70018</w:t>
      </w:r>
      <w:r>
        <w:rPr/>
        <w:fldChar w:fldCharType="end"/>
      </w:r>
      <w:r>
        <w:rPr>
          <w:rFonts w:ascii="Arial" w:cs="Arial" w:hAnsi="Arial"/>
          <w:lang w:val="en-GB"/>
        </w:rPr>
        <w:t xml:space="preserve"> (Accessed: 03 October 2026) </w:t>
      </w:r>
    </w:p>
    <w:p w14:paraId="0231B44C">
      <w:pPr>
        <w:pStyle w:val="style0"/>
        <w:rPr>
          <w:rFonts w:ascii="Arial" w:cs="Arial" w:hAnsi="Arial"/>
          <w:lang w:val="en-GB"/>
        </w:rPr>
      </w:pPr>
      <w:r>
        <w:rPr>
          <w:rFonts w:ascii="Arial" w:cs="Arial" w:hAnsi="Arial"/>
          <w:lang w:val="en-GB"/>
        </w:rPr>
        <w:t xml:space="preserve">Plattfaut, R., </w:t>
      </w:r>
      <w:r>
        <w:rPr>
          <w:rFonts w:ascii="Arial" w:cs="Arial" w:hAnsi="Arial"/>
          <w:lang w:val="en-GB"/>
        </w:rPr>
        <w:t>Vollenberg</w:t>
      </w:r>
      <w:r>
        <w:rPr>
          <w:rFonts w:ascii="Arial" w:cs="Arial" w:hAnsi="Arial"/>
          <w:lang w:val="en-GB"/>
        </w:rPr>
        <w:t xml:space="preserve">, C., Ergün, A. and Rieger, R. (2026) Citizen development as boundary spanning in the agile-digital transformation: the case of a German healthcare insurance organization. Gruppe. </w:t>
      </w:r>
      <w:r>
        <w:rPr>
          <w:rFonts w:ascii="Arial" w:cs="Arial" w:hAnsi="Arial"/>
          <w:lang w:val="en-GB"/>
        </w:rPr>
        <w:t>Interaktion</w:t>
      </w:r>
      <w:r>
        <w:rPr>
          <w:rFonts w:ascii="Arial" w:cs="Arial" w:hAnsi="Arial"/>
          <w:lang w:val="en-GB"/>
        </w:rPr>
        <w:t xml:space="preserve">. </w:t>
      </w:r>
      <w:r>
        <w:rPr>
          <w:rFonts w:ascii="Arial" w:cs="Arial" w:hAnsi="Arial"/>
          <w:i/>
          <w:iCs/>
          <w:lang w:val="en-GB"/>
        </w:rPr>
        <w:t xml:space="preserve">Organisation. </w:t>
      </w:r>
      <w:r>
        <w:rPr>
          <w:rFonts w:ascii="Arial" w:cs="Arial" w:hAnsi="Arial"/>
          <w:i/>
          <w:iCs/>
          <w:lang w:val="en-GB"/>
        </w:rPr>
        <w:t>Zeitschrift</w:t>
      </w:r>
      <w:r>
        <w:rPr>
          <w:rFonts w:ascii="Arial" w:cs="Arial" w:hAnsi="Arial"/>
          <w:i/>
          <w:iCs/>
          <w:lang w:val="en-GB"/>
        </w:rPr>
        <w:t xml:space="preserve"> für </w:t>
      </w:r>
      <w:r>
        <w:rPr>
          <w:rFonts w:ascii="Arial" w:cs="Arial" w:hAnsi="Arial"/>
          <w:i/>
          <w:iCs/>
          <w:lang w:val="en-GB"/>
        </w:rPr>
        <w:t>Angewandte</w:t>
      </w:r>
      <w:r>
        <w:rPr>
          <w:rFonts w:ascii="Arial" w:cs="Arial" w:hAnsi="Arial"/>
          <w:i/>
          <w:iCs/>
          <w:lang w:val="en-GB"/>
        </w:rPr>
        <w:t xml:space="preserve"> </w:t>
      </w:r>
      <w:r>
        <w:rPr>
          <w:rFonts w:ascii="Arial" w:cs="Arial" w:hAnsi="Arial"/>
          <w:i/>
          <w:iCs/>
          <w:lang w:val="en-GB"/>
        </w:rPr>
        <w:t>Organisationspsychologie</w:t>
      </w:r>
      <w:r>
        <w:rPr>
          <w:rFonts w:ascii="Arial" w:cs="Arial" w:hAnsi="Arial"/>
          <w:i/>
          <w:iCs/>
          <w:lang w:val="en-GB"/>
        </w:rPr>
        <w:t xml:space="preserve"> </w:t>
      </w:r>
      <w:r>
        <w:rPr>
          <w:rFonts w:ascii="Arial" w:cs="Arial" w:hAnsi="Arial"/>
          <w:lang w:val="en-GB"/>
        </w:rPr>
        <w:t xml:space="preserve">(GIO), pp.1-15. Available at: </w:t>
      </w:r>
      <w:r>
        <w:rPr/>
        <w:fldChar w:fldCharType="begin"/>
      </w:r>
      <w:r>
        <w:instrText xml:space="preserve"> HYPERLINK "https://doi.org/10.1007/s11612-026-00895-8" </w:instrText>
      </w:r>
      <w:r>
        <w:rPr/>
        <w:fldChar w:fldCharType="separate"/>
      </w:r>
      <w:r>
        <w:rPr>
          <w:rFonts w:ascii="Arial" w:cs="Arial" w:hAnsi="Arial"/>
          <w:color w:val="1155cc"/>
          <w:u w:val="single"/>
          <w:lang w:val="en-GB"/>
        </w:rPr>
        <w:t>https://doi.org/10.1007/s11612-026-00895-8</w:t>
      </w:r>
      <w:r>
        <w:rPr/>
        <w:fldChar w:fldCharType="end"/>
      </w:r>
      <w:r>
        <w:rPr>
          <w:rFonts w:ascii="Arial" w:cs="Arial" w:hAnsi="Arial"/>
          <w:lang w:val="en-GB"/>
        </w:rPr>
        <w:t xml:space="preserve"> (Accessed: 03 October 2026) </w:t>
      </w:r>
    </w:p>
    <w:p w14:paraId="47DE89D9">
      <w:pPr>
        <w:pStyle w:val="style0"/>
        <w:rPr>
          <w:rFonts w:ascii="Arial" w:cs="Arial" w:hAnsi="Arial"/>
          <w:lang w:val="en-GB"/>
        </w:rPr>
      </w:pPr>
      <w:r>
        <w:rPr>
          <w:rFonts w:ascii="Arial" w:cs="Arial" w:hAnsi="Arial"/>
          <w:lang w:val="en-GB"/>
        </w:rPr>
        <w:t xml:space="preserve">Pourkarimi, J. (2025) Leadership competencies in turbulent environments. In </w:t>
      </w:r>
      <w:r>
        <w:rPr>
          <w:rFonts w:ascii="Arial" w:cs="Arial" w:hAnsi="Arial"/>
          <w:i/>
          <w:iCs/>
          <w:lang w:val="en-GB"/>
        </w:rPr>
        <w:t>Leadership Studies in the Turbulent Business Ecosystem.</w:t>
      </w:r>
      <w:r>
        <w:rPr>
          <w:rFonts w:ascii="Arial" w:cs="Arial" w:hAnsi="Arial"/>
          <w:lang w:val="en-GB"/>
        </w:rPr>
        <w:t xml:space="preserve"> </w:t>
      </w:r>
      <w:r>
        <w:rPr>
          <w:rFonts w:ascii="Arial" w:cs="Arial" w:hAnsi="Arial"/>
          <w:lang w:val="en-GB"/>
        </w:rPr>
        <w:t>IntechOpen</w:t>
      </w:r>
      <w:r>
        <w:rPr>
          <w:rFonts w:ascii="Arial" w:cs="Arial" w:hAnsi="Arial"/>
          <w:lang w:val="en-GB"/>
        </w:rPr>
        <w:t xml:space="preserve">. Available at: </w:t>
      </w:r>
      <w:r>
        <w:rPr/>
        <w:fldChar w:fldCharType="begin"/>
      </w:r>
      <w:r>
        <w:instrText xml:space="preserve"> HYPERLINK "https://doi.org/10.13140/RG.2.2.13802.99527" </w:instrText>
      </w:r>
      <w:r>
        <w:rPr/>
        <w:fldChar w:fldCharType="separate"/>
      </w:r>
      <w:r>
        <w:rPr>
          <w:rFonts w:ascii="Arial" w:cs="Arial" w:hAnsi="Arial"/>
          <w:color w:val="1155cc"/>
          <w:u w:val="single"/>
          <w:lang w:val="en-GB"/>
        </w:rPr>
        <w:t>https://doi.org/10.13140/RG.2.2.13802.99527</w:t>
      </w:r>
      <w:r>
        <w:rPr/>
        <w:fldChar w:fldCharType="end"/>
      </w:r>
      <w:r>
        <w:rPr>
          <w:rFonts w:ascii="Arial" w:cs="Arial" w:hAnsi="Arial"/>
          <w:lang w:val="en-GB"/>
        </w:rPr>
        <w:t xml:space="preserve"> (Accessed: 03 October 2026) </w:t>
      </w:r>
    </w:p>
    <w:p w14:paraId="3F5B1331">
      <w:pPr>
        <w:pStyle w:val="style0"/>
        <w:rPr>
          <w:rFonts w:ascii="Arial" w:cs="Arial" w:hAnsi="Arial"/>
          <w:lang w:val="en-GB"/>
        </w:rPr>
      </w:pPr>
      <w:r>
        <w:rPr>
          <w:rFonts w:ascii="Arial" w:cs="Arial" w:hAnsi="Arial"/>
          <w:lang w:val="en-GB"/>
        </w:rPr>
        <w:t xml:space="preserve">Rezaei, M., Magni, D., Alfiero, S. and Heydari, E. (2026) Workplace participation and learning behaviour: Does organisational democracy make a difference to knowledge acquisition?. </w:t>
      </w:r>
      <w:r>
        <w:rPr>
          <w:rFonts w:ascii="Arial" w:cs="Arial" w:hAnsi="Arial"/>
          <w:i/>
          <w:iCs/>
          <w:lang w:val="en-GB"/>
        </w:rPr>
        <w:t xml:space="preserve">Review of Managerial Science, </w:t>
      </w:r>
      <w:r>
        <w:rPr>
          <w:rFonts w:ascii="Arial" w:cs="Arial" w:hAnsi="Arial"/>
          <w:lang w:val="en-GB"/>
        </w:rPr>
        <w:t xml:space="preserve">pp.1-28. Available at: </w:t>
      </w:r>
      <w:r>
        <w:rPr/>
        <w:fldChar w:fldCharType="begin"/>
      </w:r>
      <w:r>
        <w:instrText xml:space="preserve"> HYPERLINK "https://doi.org/10.1007/s11846-026-00987-1" </w:instrText>
      </w:r>
      <w:r>
        <w:rPr/>
        <w:fldChar w:fldCharType="separate"/>
      </w:r>
      <w:r>
        <w:rPr>
          <w:rFonts w:ascii="Arial" w:cs="Arial" w:hAnsi="Arial"/>
          <w:color w:val="1155cc"/>
          <w:u w:val="single"/>
          <w:lang w:val="en-GB"/>
        </w:rPr>
        <w:t>https://doi.org/10.1007/s11846-026-00987-1</w:t>
      </w:r>
      <w:r>
        <w:rPr/>
        <w:fldChar w:fldCharType="end"/>
      </w:r>
      <w:r>
        <w:rPr>
          <w:rFonts w:ascii="Arial" w:cs="Arial" w:hAnsi="Arial"/>
          <w:lang w:val="en-GB"/>
        </w:rPr>
        <w:t xml:space="preserve"> (Accessed: 03 October 2026) </w:t>
      </w:r>
    </w:p>
    <w:p w14:paraId="23FC029D">
      <w:pPr>
        <w:pStyle w:val="style0"/>
        <w:rPr>
          <w:rFonts w:ascii="Arial" w:cs="Arial" w:hAnsi="Arial"/>
          <w:lang w:val="en-GB"/>
        </w:rPr>
      </w:pPr>
      <w:r>
        <w:rPr>
          <w:rFonts w:ascii="Arial" w:cs="Arial" w:hAnsi="Arial"/>
          <w:lang w:val="en-GB"/>
        </w:rPr>
        <w:t>Routray</w:t>
      </w:r>
      <w:r>
        <w:rPr>
          <w:rFonts w:ascii="Arial" w:cs="Arial" w:hAnsi="Arial"/>
          <w:lang w:val="en-GB"/>
        </w:rPr>
        <w:t>, R., Choudhary, P. and Sinha, V. (2025). Intelligent technology and enhanced well-being: can artificial intelligence mitigate digital overload?</w:t>
      </w:r>
      <w:r>
        <w:rPr>
          <w:rFonts w:ascii="Arial" w:cs="Arial" w:hAnsi="Arial"/>
          <w:i/>
          <w:iCs/>
          <w:lang w:val="en-GB"/>
        </w:rPr>
        <w:t xml:space="preserve">. Future Business Journal, </w:t>
      </w:r>
      <w:r>
        <w:rPr>
          <w:rFonts w:ascii="Arial" w:cs="Arial" w:hAnsi="Arial"/>
          <w:lang w:val="en-GB"/>
        </w:rPr>
        <w:t xml:space="preserve">11(1), p.268. Available at:  </w:t>
      </w:r>
      <w:r>
        <w:rPr/>
        <w:fldChar w:fldCharType="begin"/>
      </w:r>
      <w:r>
        <w:instrText xml:space="preserve"> HYPERLINK "https://doi.org/10.1186/s43093-025-00691-8" </w:instrText>
      </w:r>
      <w:r>
        <w:rPr/>
        <w:fldChar w:fldCharType="separate"/>
      </w:r>
      <w:r>
        <w:rPr>
          <w:rFonts w:ascii="Arial" w:cs="Arial" w:hAnsi="Arial"/>
          <w:color w:val="1155cc"/>
          <w:u w:val="single"/>
          <w:lang w:val="en-GB"/>
        </w:rPr>
        <w:t>https://doi.org/10.1186/s43093-025-00691-8</w:t>
      </w:r>
      <w:r>
        <w:rPr/>
        <w:fldChar w:fldCharType="end"/>
      </w:r>
      <w:r>
        <w:rPr>
          <w:rFonts w:ascii="Arial" w:cs="Arial" w:hAnsi="Arial"/>
          <w:lang w:val="en-GB"/>
        </w:rPr>
        <w:t xml:space="preserve"> (Accessed: 03 October 2026) </w:t>
      </w:r>
    </w:p>
    <w:p w14:paraId="15FD0346">
      <w:pPr>
        <w:pStyle w:val="style0"/>
        <w:rPr>
          <w:rFonts w:ascii="Arial" w:cs="Arial" w:hAnsi="Arial"/>
          <w:lang w:val="en-GB"/>
        </w:rPr>
      </w:pPr>
      <w:r>
        <w:rPr>
          <w:rFonts w:ascii="Arial" w:cs="Arial" w:hAnsi="Arial"/>
          <w:lang w:val="en-GB"/>
        </w:rPr>
        <w:t>Skonord</w:t>
      </w:r>
      <w:r>
        <w:rPr>
          <w:rFonts w:ascii="Arial" w:cs="Arial" w:hAnsi="Arial"/>
          <w:lang w:val="en-GB"/>
        </w:rPr>
        <w:t xml:space="preserve">,  C. (2024) </w:t>
      </w:r>
      <w:r>
        <w:rPr>
          <w:rFonts w:ascii="Arial" w:cs="Arial" w:hAnsi="Arial"/>
          <w:i/>
          <w:iCs/>
          <w:lang w:val="en-GB"/>
        </w:rPr>
        <w:t xml:space="preserve">Challenges 20% Time Encountered As Google Scaled and Went Public. </w:t>
      </w:r>
      <w:r>
        <w:rPr>
          <w:rFonts w:ascii="Arial" w:cs="Arial" w:hAnsi="Arial"/>
          <w:lang w:val="en-GB"/>
        </w:rPr>
        <w:t xml:space="preserve">Available at: </w:t>
      </w:r>
      <w:r>
        <w:rPr/>
        <w:fldChar w:fldCharType="begin"/>
      </w:r>
      <w:r>
        <w:instrText xml:space="preserve"> HYPERLINK "https://ideawake.com/googles-20-time-program-a-massive-success-and-a-cautionary-tale/" </w:instrText>
      </w:r>
      <w:r>
        <w:rPr/>
        <w:fldChar w:fldCharType="separate"/>
      </w:r>
      <w:r>
        <w:rPr>
          <w:rFonts w:ascii="Arial" w:cs="Arial" w:hAnsi="Arial"/>
          <w:color w:val="1155cc"/>
          <w:u w:val="single"/>
          <w:lang w:val="en-GB"/>
        </w:rPr>
        <w:t>https://ideawake.com/googles-20-time-program-a-massive-success-and-a-cautionary-tale/</w:t>
      </w:r>
      <w:r>
        <w:rPr/>
        <w:fldChar w:fldCharType="end"/>
      </w:r>
      <w:r>
        <w:rPr>
          <w:rFonts w:ascii="Arial" w:cs="Arial" w:hAnsi="Arial"/>
          <w:lang w:val="en-GB"/>
        </w:rPr>
        <w:t xml:space="preserve">  (Accessed: 03 October 2026) </w:t>
      </w:r>
    </w:p>
    <w:p w14:paraId="26735DC9">
      <w:pPr>
        <w:pStyle w:val="style0"/>
        <w:rPr>
          <w:rFonts w:ascii="Arial" w:cs="Arial" w:hAnsi="Arial"/>
          <w:highlight w:val="yellow"/>
          <w:lang w:val="en-GB"/>
        </w:rPr>
      </w:pPr>
    </w:p>
    <w:p w14:paraId="32E1BB31">
      <w:pPr>
        <w:pStyle w:val="style0"/>
        <w:rPr>
          <w:rFonts w:ascii="Arial" w:cs="Arial" w:hAnsi="Arial"/>
          <w:highlight w:val="yellow"/>
          <w:lang w:val="en-GB"/>
        </w:rPr>
      </w:pPr>
    </w:p>
    <w:p w14:paraId="18D7121B">
      <w:pPr>
        <w:pStyle w:val="style0"/>
        <w:rPr>
          <w:rFonts w:ascii="Arial" w:cs="Arial" w:hAnsi="Arial"/>
          <w:lang w:val="en-GB"/>
        </w:rPr>
      </w:pPr>
    </w:p>
    <w:sectPr>
      <w:headerReference w:type="even" r:id="rId5"/>
      <w:headerReference w:type="default" r:id="rId6"/>
      <w:footerReference w:type="even" r:id="rId7"/>
      <w:footerReference w:type="default" r:id="rId8"/>
      <w:headerReference w:type="first" r:id="rId9"/>
      <w:pgSz w:w="12240" w:h="15840"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E0002EFF" w:usb1="C000785B" w:usb2="00000009" w:usb3="00000000" w:csb0="000001FF" w:csb1="00000000"/>
  </w:font>
  <w:font w:name="Arial">
    <w:altName w:val="Arial"/>
    <w:panose1 w:val="020b0604020000020204"/>
    <w:charset w:val="00"/>
    <w:family w:val="swiss"/>
    <w:pitch w:val="variable"/>
    <w:sig w:usb0="E0002EFF" w:usb1="C000785B" w:usb2="00000009" w:usb3="00000000" w:csb0="000001FF" w:csb1="00000000"/>
  </w:font>
  <w:font w:name="Segoe UI">
    <w:altName w:val="Segoe UI"/>
    <w:panose1 w:val="020b0502040000020203"/>
    <w:charset w:val="00"/>
    <w:family w:val="swiss"/>
    <w:pitch w:val="variable"/>
    <w:sig w:usb0="E4002EFF" w:usb1="C000E47F" w:usb2="00000009" w:usb3="00000000" w:csb0="000001FF" w:csb1="00000000"/>
  </w:font>
  <w:font w:name="Calibri">
    <w:altName w:val="Calibri"/>
    <w:panose1 w:val="020f0502020000030204"/>
    <w:charset w:val="00"/>
    <w:family w:val="swiss"/>
    <w:pitch w:val="variable"/>
    <w:sig w:usb0="E4002EFF" w:usb1="C200247B" w:usb2="00000009" w:usb3="00000000" w:csb0="000001FF" w:csb1="00000000"/>
  </w:font>
  <w:font w:name="Segoe UI Symbol">
    <w:altName w:val="Segoe UI Symbol"/>
    <w:panose1 w:val="020b0502040000020203"/>
    <w:charset w:val="00"/>
    <w:family w:val="swiss"/>
    <w:pitch w:val="variable"/>
    <w:sig w:usb0="800001E3" w:usb1="1200FFEF" w:usb2="00040000" w:usb3="00000000" w:csb0="00000001" w:csb1="00000000"/>
  </w:font>
  <w:font w:name="MS Gothic">
    <w:altName w:val="ＭＳ ゴシック"/>
    <w:panose1 w:val="020b0609070000080204"/>
    <w:charset w:val="80"/>
    <w:family w:val="modern"/>
    <w:pitch w:val="fixed"/>
    <w:sig w:usb0="E00002FF" w:usb1="6AC7FDFB" w:usb2="08000012" w:usb3="00000000" w:csb0="0002009F" w:csb1="00000000"/>
  </w:font>
  <w:font w:name="Cambria Math">
    <w:altName w:val="Cambria Math"/>
    <w:panose1 w:val="02040503050000030204"/>
    <w:charset w:val="00"/>
    <w:family w:val="roman"/>
    <w:pitch w:val="variable"/>
    <w:sig w:usb0="E00006FF" w:usb1="420024FF" w:usb2="02000000" w:usb3="00000000" w:csb0="0000019F" w:csb1="00000000"/>
  </w:font>
  <w:font w:name="Cambria">
    <w:altName w:val="Cambria"/>
    <w:panose1 w:val="02040503050000030204"/>
    <w:charset w:val="00"/>
    <w:family w:val="roman"/>
    <w:pitch w:val="variable"/>
    <w:sig w:usb0="E00006FF" w:usb1="420024FF" w:usb2="02000000" w:usb3="00000000" w:csb0="0000019F" w:csb1="00000000"/>
  </w:font>
</w:fonts>
</file>

<file path=word/footer3.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0D494D39">
    <w:pPr>
      <w:pStyle w:val="style32"/>
      <w:rPr/>
    </w:pPr>
  </w:p>
</w:ftr>
</file>

<file path=word/footer4.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1931EE91">
    <w:pPr>
      <w:pStyle w:val="style32"/>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607D750D">
    <w:pPr>
      <w:pStyle w:val="style31"/>
      <w:rPr/>
    </w:pPr>
  </w:p>
</w:hdr>
</file>

<file path=word/header2.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5052EBF9">
    <w:pPr>
      <w:pStyle w:val="style31"/>
      <w:rPr/>
    </w:pPr>
  </w:p>
</w:hdr>
</file>

<file path=word/header5.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4BE645EA">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removePersonalInformation/>
  <w:removeDateAndTime/>
  <w:embedTrueTypeFonts/>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Times New Roman" w:hAnsi="Times New Roman"/>
        <w:sz w:val="24"/>
        <w:szCs w:val="24"/>
        <w:lang w:bidi="ar-SA" w:eastAsia="en-GB"/>
      </w:rPr>
    </w:rPrDefault>
    <w:pPrDefault>
      <w:pPr>
        <w:spacing w:lineRule="auto" w:line="360"/>
        <w:jc w:val="both"/>
      </w:pPr>
    </w:pPrDefault>
  </w:docDefaults>
  <w:style w:type="paragraph" w:default="1" w:styleId="style0">
    <w:name w:val="Normal"/>
    <w:next w:val="style0"/>
    <w:pPr/>
  </w:style>
  <w:style w:type="paragraph" w:styleId="style1">
    <w:name w:val="heading 1"/>
    <w:basedOn w:val="style0"/>
    <w:next w:val="style0"/>
    <w:pPr>
      <w:keepNext/>
      <w:keepLines/>
      <w:spacing w:before="400" w:after="120"/>
      <w:outlineLvl w:val="0"/>
    </w:pPr>
    <w:rPr>
      <w:b/>
      <w:bCs/>
      <w:szCs w:val="28"/>
    </w:rPr>
  </w:style>
  <w:style w:type="paragraph" w:styleId="style2">
    <w:name w:val="heading 2"/>
    <w:basedOn w:val="style0"/>
    <w:next w:val="style0"/>
    <w:pPr>
      <w:keepNext/>
      <w:keepLines/>
      <w:spacing w:before="360" w:after="120"/>
      <w:outlineLvl w:val="1"/>
    </w:pPr>
    <w:rPr>
      <w:rFonts w:ascii="Arial" w:hAnsi="Arial"/>
      <w:b/>
      <w:bCs/>
      <w:szCs w:val="26"/>
    </w:rPr>
  </w:style>
  <w:style w:type="paragraph" w:styleId="style3">
    <w:name w:val="heading 3"/>
    <w:basedOn w:val="style0"/>
    <w:next w:val="style0"/>
    <w:pPr>
      <w:keepNext/>
      <w:keepLines/>
      <w:spacing w:before="320" w:after="80"/>
      <w:outlineLvl w:val="2"/>
    </w:pPr>
    <w:rPr>
      <w:color w:val="434343"/>
      <w:sz w:val="28"/>
      <w:szCs w:val="28"/>
    </w:rPr>
  </w:style>
  <w:style w:type="paragraph" w:styleId="style4">
    <w:name w:val="heading 4"/>
    <w:basedOn w:val="style0"/>
    <w:next w:val="style0"/>
    <w:pPr>
      <w:keepNext/>
      <w:keepLines/>
      <w:spacing w:before="280" w:after="80"/>
      <w:outlineLvl w:val="3"/>
    </w:pPr>
    <w:rPr>
      <w:color w:val="666666"/>
    </w:rPr>
  </w:style>
  <w:style w:type="paragraph" w:styleId="style5">
    <w:name w:val="heading 5"/>
    <w:basedOn w:val="style0"/>
    <w:next w:val="style0"/>
    <w:pPr>
      <w:keepNext/>
      <w:keepLines/>
      <w:spacing w:before="240" w:after="80"/>
      <w:outlineLvl w:val="4"/>
    </w:pPr>
    <w:rPr>
      <w:color w:val="666666"/>
      <w:sz w:val="22"/>
      <w:szCs w:val="22"/>
    </w:rPr>
  </w:style>
  <w:style w:type="paragraph" w:styleId="style6">
    <w:name w:val="heading 6"/>
    <w:basedOn w:val="style0"/>
    <w:next w:val="style0"/>
    <w:pPr>
      <w:keepNext/>
      <w:keepLines/>
      <w:spacing w:before="240" w:after="80"/>
      <w:outlineLvl w:val="5"/>
    </w:pPr>
    <w:rPr>
      <w:i/>
      <w:iCs/>
      <w:color w:val="666666"/>
      <w:sz w:val="22"/>
      <w:szCs w:val="22"/>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customStyle="1" w:styleId="style4097">
    <w:name w:val="TableNormal"/>
    <w:next w:val="style4097"/>
    <w:pPr/>
    <w:rPr/>
    <w:tblPr>
      <w:tblCellMar>
        <w:top w:w="100" w:type="dxa"/>
        <w:left w:w="100" w:type="dxa"/>
        <w:bottom w:w="100" w:type="dxa"/>
        <w:right w:w="100" w:type="dxa"/>
      </w:tblCellMar>
    </w:tblPr>
    <w:tcPr>
      <w:tcBorders/>
    </w:tcPr>
  </w:style>
  <w:style w:type="paragraph" w:styleId="style62">
    <w:name w:val="Title"/>
    <w:basedOn w:val="style0"/>
    <w:next w:val="style0"/>
    <w:pPr>
      <w:keepNext/>
      <w:keepLines/>
      <w:spacing w:after="60"/>
    </w:pPr>
    <w:rPr>
      <w:b/>
      <w:bCs/>
      <w:sz w:val="32"/>
      <w:szCs w:val="32"/>
    </w:rPr>
  </w:style>
  <w:style w:type="paragraph" w:styleId="style74">
    <w:name w:val="Subtitle"/>
    <w:basedOn w:val="style0"/>
    <w:next w:val="style0"/>
    <w:pPr>
      <w:keepNext/>
      <w:keepLines/>
      <w:spacing w:after="320"/>
    </w:pPr>
    <w:rPr>
      <w:rFonts w:ascii="Arial" w:cs="Arial" w:eastAsia="Arial" w:hAnsi="Arial"/>
      <w:color w:val="666666"/>
      <w:sz w:val="30"/>
      <w:szCs w:val="30"/>
    </w:rPr>
  </w:style>
  <w:style w:type="table" w:customStyle="1" w:styleId="style4098">
    <w:name w:val="a"/>
    <w:basedOn w:val="style4097"/>
    <w:next w:val="style4098"/>
    <w:pPr/>
    <w:rPr/>
    <w:tblPr>
      <w:tblStyleRowBandSize w:val="1"/>
      <w:tblStyleColBandSize w:val="1"/>
    </w:tblPr>
    <w:tcPr>
      <w:tcBorders/>
    </w:tcPr>
  </w:style>
  <w:style w:type="table" w:customStyle="1" w:styleId="style4099">
    <w:name w:val="a0"/>
    <w:basedOn w:val="style4097"/>
    <w:next w:val="style4099"/>
    <w:pPr/>
    <w:rPr/>
    <w:tblPr>
      <w:tblStyleRowBandSize w:val="1"/>
      <w:tblStyleColBandSize w:val="1"/>
    </w:tblPr>
    <w:tcPr>
      <w:tcBorders/>
    </w:tcPr>
  </w:style>
  <w:style w:type="table" w:customStyle="1" w:styleId="style4100">
    <w:name w:val="a1"/>
    <w:basedOn w:val="style4097"/>
    <w:next w:val="style4100"/>
    <w:pPr/>
    <w:rPr/>
    <w:tblPr>
      <w:tblStyleRowBandSize w:val="1"/>
      <w:tblStyleColBandSize w:val="1"/>
    </w:tblPr>
    <w:tcPr>
      <w:tcBorders/>
    </w:tcPr>
  </w:style>
  <w:style w:type="paragraph" w:styleId="style30">
    <w:name w:val="annotation text"/>
    <w:basedOn w:val="style0"/>
    <w:next w:val="style30"/>
    <w:link w:val="style4101"/>
    <w:uiPriority w:val="99"/>
    <w:pPr>
      <w:spacing w:lineRule="auto" w:line="240"/>
    </w:pPr>
    <w:rPr>
      <w:sz w:val="20"/>
      <w:szCs w:val="20"/>
    </w:rPr>
  </w:style>
  <w:style w:type="character" w:customStyle="1" w:styleId="style4101">
    <w:name w:val="Comment Text Char"/>
    <w:basedOn w:val="style65"/>
    <w:next w:val="style4101"/>
    <w:link w:val="style30"/>
    <w:uiPriority w:val="99"/>
    <w:rPr>
      <w:sz w:val="20"/>
      <w:szCs w:val="20"/>
    </w:rPr>
  </w:style>
  <w:style w:type="character" w:styleId="style39">
    <w:name w:val="annotation reference"/>
    <w:basedOn w:val="style65"/>
    <w:next w:val="style39"/>
    <w:uiPriority w:val="99"/>
    <w:rPr>
      <w:sz w:val="16"/>
      <w:szCs w:val="16"/>
    </w:rPr>
  </w:style>
  <w:style w:type="paragraph" w:styleId="style153">
    <w:name w:val="Balloon Text"/>
    <w:basedOn w:val="style0"/>
    <w:next w:val="style153"/>
    <w:link w:val="style4102"/>
    <w:uiPriority w:val="99"/>
    <w:pPr>
      <w:spacing w:lineRule="auto" w:line="240"/>
    </w:pPr>
    <w:rPr>
      <w:rFonts w:ascii="Segoe UI" w:cs="Segoe UI" w:hAnsi="Segoe UI"/>
      <w:sz w:val="18"/>
      <w:szCs w:val="18"/>
    </w:rPr>
  </w:style>
  <w:style w:type="character" w:customStyle="1" w:styleId="style4102">
    <w:name w:val="Balloon Text Char"/>
    <w:basedOn w:val="style65"/>
    <w:next w:val="style4102"/>
    <w:link w:val="style153"/>
    <w:uiPriority w:val="99"/>
    <w:rPr>
      <w:rFonts w:ascii="Segoe UI" w:cs="Segoe UI" w:hAnsi="Segoe UI"/>
      <w:sz w:val="18"/>
      <w:szCs w:val="18"/>
    </w:rPr>
  </w:style>
  <w:style w:type="paragraph" w:styleId="style157">
    <w:name w:val="No Spacing"/>
    <w:next w:val="style157"/>
    <w:qFormat/>
    <w:uiPriority w:val="1"/>
    <w:pPr>
      <w:spacing w:lineRule="auto" w:line="240"/>
    </w:pPr>
    <w:rPr/>
  </w:style>
  <w:style w:type="paragraph" w:styleId="style266">
    <w:name w:val="TOC Heading"/>
    <w:basedOn w:val="style1"/>
    <w:next w:val="style0"/>
    <w:qFormat/>
    <w:uiPriority w:val="39"/>
    <w:pPr>
      <w:spacing w:before="240" w:after="0" w:lineRule="auto" w:line="259"/>
      <w:jc w:val="left"/>
      <w:outlineLvl w:val="9"/>
    </w:pPr>
    <w:rPr>
      <w:rFonts w:ascii="Calibri" w:cs="宋体" w:eastAsia="宋体" w:hAnsi="Calibri"/>
      <w:b w:val="false"/>
      <w:bCs w:val="false"/>
      <w:color w:val="365f91"/>
      <w:sz w:val="32"/>
      <w:szCs w:val="32"/>
      <w:lang w:val="en-US" w:eastAsia="en-US"/>
    </w:rPr>
  </w:style>
  <w:style w:type="paragraph" w:styleId="style20">
    <w:name w:val="toc 2"/>
    <w:basedOn w:val="style0"/>
    <w:next w:val="style0"/>
    <w:uiPriority w:val="39"/>
    <w:pPr>
      <w:spacing w:after="100"/>
      <w:ind w:left="240"/>
    </w:pPr>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000ff"/>
      <w:u w:val="single"/>
    </w:rPr>
  </w:style>
  <w:style w:type="paragraph" w:styleId="style31">
    <w:name w:val="header"/>
    <w:basedOn w:val="style0"/>
    <w:next w:val="style31"/>
    <w:link w:val="style4103"/>
    <w:uiPriority w:val="99"/>
    <w:pPr>
      <w:tabs>
        <w:tab w:val="center" w:leader="none" w:pos="4513"/>
        <w:tab w:val="right" w:leader="none" w:pos="9026"/>
      </w:tabs>
      <w:spacing w:lineRule="auto" w:line="240"/>
    </w:pPr>
    <w:rPr/>
  </w:style>
  <w:style w:type="character" w:customStyle="1" w:styleId="style4103">
    <w:name w:val="Header Char_63b513d3-2dc8-4300-a092-8849d79a3959"/>
    <w:basedOn w:val="style65"/>
    <w:next w:val="style4103"/>
    <w:link w:val="style31"/>
    <w:uiPriority w:val="99"/>
  </w:style>
  <w:style w:type="paragraph" w:styleId="style32">
    <w:name w:val="footer"/>
    <w:basedOn w:val="style0"/>
    <w:next w:val="style32"/>
    <w:link w:val="style4104"/>
    <w:uiPriority w:val="99"/>
    <w:pPr>
      <w:tabs>
        <w:tab w:val="center" w:leader="none" w:pos="4513"/>
        <w:tab w:val="right" w:leader="none" w:pos="9026"/>
      </w:tabs>
      <w:spacing w:lineRule="auto" w:line="240"/>
    </w:pPr>
    <w:rPr/>
  </w:style>
  <w:style w:type="character" w:customStyle="1" w:styleId="style4104">
    <w:name w:val="Footer Char_07e4d9bc-95d8-4de6-a1ae-57f93da92b49"/>
    <w:basedOn w:val="style65"/>
    <w:next w:val="style4104"/>
    <w:link w:val="style32"/>
    <w:uiPriority w:val="99"/>
  </w:style>
  <w:style w:type="table" w:styleId="style154">
    <w:name w:val="Table Grid"/>
    <w:basedOn w:val="style105"/>
    <w:next w:val="style154"/>
    <w:uiPriority w:val="39"/>
    <w:pPr>
      <w:spacing w:lineRule="auto" w:line="240"/>
      <w:jc w:val="left"/>
    </w:pPr>
    <w:rPr>
      <w:sz w:val="20"/>
      <w:szCs w:val="20"/>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s>
</file>

<file path=word/_rels/document.xml.rels><?xml version="1.0" encoding="UTF-8"?>
<Relationships xmlns="http://schemas.openxmlformats.org/package/2006/relationships"><Relationship Id="rId11" Type="http://schemas.openxmlformats.org/officeDocument/2006/relationships/fontTable" Target="fontTable.xml"/><Relationship Id="rId10" Type="http://schemas.openxmlformats.org/officeDocument/2006/relationships/styles" Target="styles.xml"/><Relationship Id="rId13" Type="http://schemas.openxmlformats.org/officeDocument/2006/relationships/theme" Target="theme/theme1.xml"/><Relationship Id="rId12" Type="http://schemas.openxmlformats.org/officeDocument/2006/relationships/settings" Target="settings.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header" Target="header5.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3.xml"/><Relationship Id="rId8"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3528</Words>
  <Pages>16</Pages>
  <Characters>23430</Characters>
  <Application>WPS Office</Application>
  <DocSecurity>0</DocSecurity>
  <Paragraphs>172</Paragraphs>
  <ScaleCrop>false</ScaleCrop>
  <LinksUpToDate>false</LinksUpToDate>
  <CharactersWithSpaces>26940</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2026-10-07T11:18:00Z</dcterms:created>
  <dc:creator>WPS Office</dc:creator>
  <lastModifiedBy>T803D</lastModifiedBy>
  <dcterms:modified xsi:type="dcterms:W3CDTF">2026-10-14T11:45:51Z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9d3b4e91b8db4af692e212ab60e60429</vt:lpwstr>
  </property>
</Properties>
</file>