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after="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spacing w:after="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3">
      <w:pPr>
        <w:jc w:val="center"/>
        <w:rPr>
          <w:rFonts w:ascii="Arial" w:cs="Arial" w:eastAsia="Arial" w:hAnsi="Arial"/>
        </w:rPr>
      </w:pPr>
      <w:r w:rsidDel="00000000" w:rsidR="00000000" w:rsidRPr="00000000">
        <w:rPr>
          <w:rFonts w:ascii="Arial" w:cs="Arial" w:eastAsia="Arial" w:hAnsi="Arial"/>
        </w:rPr>
        <w:drawing>
          <wp:inline distB="114300" distT="114300" distL="114300" distR="114300">
            <wp:extent cx="3918712" cy="1877425"/>
            <wp:effectExtent b="0" l="0" r="0" t="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918712" cy="1877425"/>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widowControl w:val="0"/>
        <w:spacing w:after="0" w:line="360" w:lineRule="auto"/>
        <w:jc w:val="cente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05">
      <w:pPr>
        <w:widowControl w:val="0"/>
        <w:spacing w:after="0" w:line="36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Assessment Title: Assessment component - </w:t>
      </w:r>
    </w:p>
    <w:p w:rsidR="00000000" w:rsidDel="00000000" w:rsidP="00000000" w:rsidRDefault="00000000" w:rsidRPr="00000000" w14:paraId="00000006">
      <w:pPr>
        <w:widowControl w:val="0"/>
        <w:spacing w:after="0" w:line="36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Individual report</w:t>
      </w:r>
    </w:p>
    <w:p w:rsidR="00000000" w:rsidDel="00000000" w:rsidP="00000000" w:rsidRDefault="00000000" w:rsidRPr="00000000" w14:paraId="00000007">
      <w:pPr>
        <w:widowControl w:val="0"/>
        <w:spacing w:after="0" w:line="36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Student Name: Mahabub Islam</w:t>
      </w:r>
    </w:p>
    <w:p w:rsidR="00000000" w:rsidDel="00000000" w:rsidP="00000000" w:rsidRDefault="00000000" w:rsidRPr="00000000" w14:paraId="00000008">
      <w:pPr>
        <w:widowControl w:val="0"/>
        <w:spacing w:after="0" w:line="36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Student ID: 2407067</w:t>
      </w:r>
    </w:p>
    <w:p w:rsidR="00000000" w:rsidDel="00000000" w:rsidP="00000000" w:rsidRDefault="00000000" w:rsidRPr="00000000" w14:paraId="00000009">
      <w:pPr>
        <w:widowControl w:val="0"/>
        <w:spacing w:after="0" w:line="36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Module Name &amp; Code: Strategic Management (LCMB7003)</w:t>
      </w:r>
    </w:p>
    <w:p w:rsidR="00000000" w:rsidDel="00000000" w:rsidP="00000000" w:rsidRDefault="00000000" w:rsidRPr="00000000" w14:paraId="0000000A">
      <w:pPr>
        <w:widowControl w:val="0"/>
        <w:spacing w:after="0" w:line="36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Lecturer: Ejike Udeogu</w:t>
      </w:r>
    </w:p>
    <w:p w:rsidR="00000000" w:rsidDel="00000000" w:rsidP="00000000" w:rsidRDefault="00000000" w:rsidRPr="00000000" w14:paraId="0000000B">
      <w:pPr>
        <w:widowControl w:val="0"/>
        <w:spacing w:after="0" w:line="360" w:lineRule="auto"/>
        <w:jc w:val="center"/>
        <w:rPr>
          <w:rFonts w:ascii="Arial" w:cs="Arial" w:eastAsia="Arial" w:hAnsi="Arial"/>
          <w:b w:val="1"/>
          <w:bCs w:val="1"/>
          <w:sz w:val="28"/>
          <w:szCs w:val="28"/>
        </w:rPr>
      </w:pPr>
      <w:bookmarkStart w:colFirst="0" w:colLast="0" w:name="_afhcd7shcicj" w:id="0"/>
      <w:bookmarkEnd w:id="0"/>
      <w:r w:rsidDel="00000000" w:rsidR="00000000" w:rsidRPr="00000000">
        <w:rPr>
          <w:rFonts w:ascii="Arial" w:cs="Arial" w:eastAsia="Arial" w:hAnsi="Arial"/>
          <w:b w:val="1"/>
          <w:bCs w:val="1"/>
          <w:sz w:val="28"/>
          <w:szCs w:val="28"/>
          <w:rtl w:val="0"/>
        </w:rPr>
        <w:t xml:space="preserve">Word Count: 5500</w:t>
      </w:r>
    </w:p>
    <w:p w:rsidR="00000000" w:rsidDel="00000000" w:rsidP="00000000" w:rsidRDefault="00000000" w:rsidRPr="00000000" w14:paraId="0000000C">
      <w:pPr>
        <w:widowControl w:val="0"/>
        <w:spacing w:after="0" w:line="360" w:lineRule="auto"/>
        <w:jc w:val="cente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0D">
      <w:pPr>
        <w:widowControl w:val="0"/>
        <w:spacing w:after="0" w:line="360" w:lineRule="auto"/>
        <w:jc w:val="cente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0E">
      <w:pPr>
        <w:widowControl w:val="0"/>
        <w:spacing w:after="0" w:line="36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F">
      <w:pPr>
        <w:widowControl w:val="0"/>
        <w:spacing w:after="0" w:line="360" w:lineRule="auto"/>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10">
      <w:pPr>
        <w:widowControl w:val="0"/>
        <w:spacing w:after="0" w:line="360" w:lineRule="auto"/>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11">
      <w:pPr>
        <w:widowControl w:val="0"/>
        <w:spacing w:after="0" w:line="360" w:lineRule="auto"/>
        <w:jc w:val="cente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12">
      <w:pPr>
        <w:widowControl w:val="0"/>
        <w:spacing w:after="0" w:line="360" w:lineRule="auto"/>
        <w:jc w:val="cente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13">
      <w:pPr>
        <w:widowControl w:val="0"/>
        <w:spacing w:after="0" w:line="360" w:lineRule="auto"/>
        <w:jc w:val="cente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14">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15">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16">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Arial" w:cs="Arial" w:eastAsia="Arial" w:hAnsi="Arial"/>
          <w:b w:val="0"/>
          <w:bCs w:val="0"/>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Contents</w:t>
      </w:r>
      <w:r w:rsidDel="00000000" w:rsidR="00000000" w:rsidRPr="00000000">
        <w:rPr>
          <w:rtl w:val="0"/>
        </w:rPr>
      </w:r>
    </w:p>
    <w:sdt>
      <w:sdtPr>
        <w:id w:val="-1700583768"/>
        <w:docPartObj>
          <w:docPartGallery w:val="Table of Contents"/>
          <w:docPartUnique w:val="1"/>
        </w:docPartObj>
      </w:sdtPr>
      <w:sdtContent>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pnkaw5tywpqz">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 Organisational Context and Overview</w:t>
              <w:tab/>
              <w:t xml:space="preserve">1</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1cjum0whfdi">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 External and Internal Environment Analysis.</w:t>
              <w:tab/>
              <w:t xml:space="preserve">2</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5gqogyp9o9cl">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 External Environment</w:t>
              <w:tab/>
              <w:t xml:space="preserve">2</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4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u2gsm57rkrhn">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2.1.1 PESTLE Analysis</w:t>
              <w:tab/>
              <w:t xml:space="preserve">2</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4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qusxudwzmu4e">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2.1.2 Critical Success Factors (CSFs)</w:t>
              <w:tab/>
              <w:t xml:space="preserve">6</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u5451c5qkafh">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2.2 Internal Environment Analysis</w:t>
              <w:tab/>
              <w:t xml:space="preserve">7</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4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xlckzrqm1w7b">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2.2.1 Key Resources</w:t>
              <w:tab/>
              <w:t xml:space="preserve">7</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4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iotxpcg54atx">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2.2.2 VRIO Analysis and Competitive Advantage.</w:t>
              <w:tab/>
              <w:t xml:space="preserve">7</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4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1qexnrc9qha">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2.2.3 Connecting VRIO and Long-term Competitive Advantage.</w:t>
              <w:tab/>
              <w:t xml:space="preserve">8</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o40fic4ok6vi">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 CSR &amp; Sustainability Objectives</w:t>
              <w:tab/>
              <w:t xml:space="preserve">9</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bb8ni4he32eb">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 Balanced Scorecard: A Balanced Performance View.</w:t>
              <w:tab/>
              <w:t xml:space="preserve">11</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80f3jimplqz0">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4.1 Financial Perspective</w:t>
              <w:tab/>
              <w:t xml:space="preserve">11</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nzz89ndtjjzb">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4.2 Customer Perspective</w:t>
              <w:tab/>
              <w:t xml:space="preserve">12</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8yvthojs708o">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4.3 Internal Process Perspective.</w:t>
              <w:tab/>
              <w:t xml:space="preserve">12</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8pskdyxanw1a">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4.4 Learning Perspective/Growth Perspective.</w:t>
              <w:tab/>
              <w:t xml:space="preserve">12</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28hza13nqob3">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4.5 Strategic Integration and Alignment.</w:t>
              <w:tab/>
              <w:t xml:space="preserve">13</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udk95zypcczv">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 Strategic Choices &amp; Implementation</w:t>
              <w:tab/>
              <w:t xml:space="preserve">13</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xrpl4gwwrljq">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5.1 Business-Level Strategy</w:t>
              <w:tab/>
              <w:t xml:space="preserve">13</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qt01jwq0l1ji">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5.2 Corporate-Level Strategy</w:t>
              <w:tab/>
              <w:t xml:space="preserve">14</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7jkb6by7j58y">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5.3 Change Management and Implementation.</w:t>
              <w:tab/>
              <w:t xml:space="preserve">14</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r7ngrhoowoe">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 Strategic Reviewing and Advice.</w:t>
              <w:tab/>
              <w:t xml:space="preserve">15</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te3vlair18i">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6.1 Strategic Evaluation</w:t>
              <w:tab/>
              <w:t xml:space="preserve">16</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4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jkabge4xh9gt">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6.1.1 SWOT Analysis</w:t>
              <w:tab/>
              <w:t xml:space="preserve">16</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65dqnpk0dwl">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6.1.2 Ansoff Matrix Analysis</w:t>
              <w:tab/>
              <w:t xml:space="preserve">17</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x7ecf1akuo2j">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6.2 Strategic Recommendations</w:t>
              <w:tab/>
              <w:t xml:space="preserve">17</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5dd813mk5tae">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Section 2: Reflective Account</w:t>
              <w:tab/>
              <w:t xml:space="preserve">19</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8o6vbrha9sw4">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 Description – Research Approach</w:t>
              <w:tab/>
              <w:t xml:space="preserve">19</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pmdij1qy5jbd">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 Feelings – Challenges Faced</w:t>
              <w:tab/>
              <w:t xml:space="preserve">19</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nnpk6hyuq4pc">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 Assessment- Strengths and Weaknesses.</w:t>
              <w:tab/>
              <w:t xml:space="preserve">20</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onu60vv5dlvj">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 Analysis – Theory vs Practice</w:t>
              <w:tab/>
              <w:t xml:space="preserve">21</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2rty9df7r5g4">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 Conclusion -Learning Outcomes.</w:t>
              <w:tab/>
              <w:t xml:space="preserve">22</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xsuwzm4cdof3">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 Future Improvement Plan of Action.</w:t>
              <w:tab/>
              <w:t xml:space="preserve">22</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otx99iz1nu1b">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References</w:t>
              <w:tab/>
              <w:t xml:space="preserve">24</w:t>
            </w:r>
          </w:hyperlink>
          <w:r w:rsidDel="00000000" w:rsidR="00000000" w:rsidRPr="00000000">
            <w:rPr>
              <w:rtl w:val="0"/>
            </w:rPr>
          </w:r>
        </w:p>
        <w:p w:rsidR="00000000" w:rsidDel="00000000" w:rsidP="00000000" w:rsidRDefault="00000000" w:rsidRPr="00000000" w14:paraId="00000039">
          <w:pPr>
            <w:jc w:val="both"/>
            <w:rPr>
              <w:rFonts w:ascii="Arial" w:cs="Arial" w:eastAsia="Arial" w:hAnsi="Arial"/>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A">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B">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List of Table</w:t>
      </w:r>
    </w:p>
    <w:sdt>
      <w:sdtPr>
        <w:id w:val="-1597019966"/>
        <w:docPartObj>
          <w:docPartGallery w:val="Table of Contents"/>
          <w:docPartUnique w:val="1"/>
        </w:docPartObj>
      </w:sdtPr>
      <w:sdtContent>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41ou1htheex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Table 1: Summary of Political, Economic, Social, Technological, Environmental, and Legal Factors</w:t>
            </w:r>
          </w:hyperlink>
          <w:hyperlink w:anchor="_41ou1htheex1">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2</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ogklxgsn7dg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Table 2-VRIO Analysis</w:t>
            </w:r>
          </w:hyperlink>
          <w:hyperlink w:anchor="_ogklxgsn7dgg">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n6lic6hqusfs">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Table 3-A Balanced Performance View</w:t>
            </w:r>
          </w:hyperlink>
          <w:hyperlink w:anchor="_n6lic6hqusfs">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11</w:t>
            </w:r>
          </w:hyperlink>
          <w:r w:rsidDel="00000000" w:rsidR="00000000" w:rsidRPr="00000000">
            <w:rPr>
              <w:rtl w:val="0"/>
            </w:rPr>
          </w:r>
        </w:p>
        <w:p w:rsidR="00000000" w:rsidDel="00000000" w:rsidP="00000000" w:rsidRDefault="00000000" w:rsidRPr="00000000" w14:paraId="0000003F">
          <w:pPr>
            <w:rPr>
              <w:rFonts w:ascii="Arial" w:cs="Arial" w:eastAsia="Arial" w:hAnsi="Arial"/>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0">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List of Figure</w:t>
      </w:r>
    </w:p>
    <w:sdt>
      <w:sdtPr>
        <w:id w:val="827458614"/>
        <w:docPartObj>
          <w:docPartGallery w:val="Table of Contents"/>
          <w:docPartUnique w:val="1"/>
        </w:docPartObj>
      </w:sdtPr>
      <w:sdtContent>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9292l2v8plz8">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Figure 1: Critical Success Factors Driving Amazon’s Growth</w:t>
            </w:r>
          </w:hyperlink>
          <w:hyperlink w:anchor="_9292l2v8plz8">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ndukeh7xi0vz">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Figure 2-Synergy in Motion: AWS powers logistics, which fuels customer data insights, building brand trust that reinforces the AWS ecosystem</w:t>
            </w:r>
          </w:hyperlink>
          <w:hyperlink w:anchor="_ndukeh7xi0vz">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9fviwtx3erc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Figure 3Trends in Sustainability: From 2021 to 2025, carbon emissions steadily decline while renewable energy investments rise</w:t>
            </w:r>
          </w:hyperlink>
          <w:hyperlink w:anchor="_9fviwtx3erca">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8hgo882mf13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Figure 4-SWOT Analysis</w:t>
            </w:r>
          </w:hyperlink>
          <w:hyperlink w:anchor="_8hgo882mf13t">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16</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5">
      <w:pPr>
        <w:pStyle w:val="Heading1"/>
        <w:rPr/>
      </w:pPr>
      <w:bookmarkStart w:colFirst="0" w:colLast="0" w:name="_pnkaw5tywpqz" w:id="1"/>
      <w:bookmarkEnd w:id="1"/>
      <w:r w:rsidDel="00000000" w:rsidR="00000000" w:rsidRPr="00000000">
        <w:rPr>
          <w:rtl w:val="0"/>
        </w:rPr>
        <w:t xml:space="preserve">1. Organisational Context and Overview</w:t>
      </w:r>
    </w:p>
    <w:p w:rsidR="00000000" w:rsidDel="00000000" w:rsidP="00000000" w:rsidRDefault="00000000" w:rsidRPr="00000000" w14:paraId="00000046">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Amazon is a large and powerful multinational company in the world that deals with e-commerce, cloud computing, digital content, logistics, and services based on artificial intelligence and enabled services. Amazon is a platform-based organisation whose business portfolio is highly diversified and has grown to become a global platform since its establishment in 1994 as an online bookstore by Jeff Bezos. It has been changing through its unremitting innovation, massive investment on technology, and high customer oriented strategic orientation.</w:t>
      </w:r>
      <w:r w:rsidDel="00000000" w:rsidR="00000000" w:rsidRPr="00000000">
        <w:rPr>
          <w:rFonts w:ascii="Arial" w:cs="Arial" w:eastAsia="Arial" w:hAnsi="Arial"/>
          <w:sz w:val="24"/>
          <w:szCs w:val="24"/>
        </w:rPr>
        <w:drawing>
          <wp:anchor allowOverlap="1" behindDoc="0" distB="0" distT="0" distL="114300" distR="114300" hidden="0" layoutInCell="1" locked="0" relativeHeight="0" simplePos="0">
            <wp:simplePos x="0" y="0"/>
            <wp:positionH relativeFrom="margin">
              <wp:align>right</wp:align>
            </wp:positionH>
            <wp:positionV relativeFrom="margin">
              <wp:align>center</wp:align>
            </wp:positionV>
            <wp:extent cx="2457450" cy="1638300"/>
            <wp:effectExtent b="0" l="0" r="0" t="0"/>
            <wp:wrapSquare wrapText="bothSides" distB="0" distT="0" distL="114300" distR="114300"/>
            <wp:docPr id="1"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2457450" cy="1638300"/>
                    </a:xfrm>
                    <a:prstGeom prst="rect"/>
                    <a:ln/>
                  </pic:spPr>
                </pic:pic>
              </a:graphicData>
            </a:graphic>
          </wp:anchor>
        </w:drawing>
      </w:r>
      <w:r w:rsidDel="00000000" w:rsidR="00000000" w:rsidRPr="00000000">
        <w:rPr>
          <w:rtl w:val="0"/>
        </w:rPr>
      </w:r>
    </w:p>
    <w:p w:rsidR="00000000" w:rsidDel="00000000" w:rsidP="00000000" w:rsidRDefault="00000000" w:rsidRPr="00000000" w14:paraId="0000004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mission is the goal of Amazon to become the most customer-centric company on the Earth, which supports the strategic priorities of low prices, enormous product assortment, and quick and effective delivery. This is backed by a business model that incorporates various revenue sources, including third-party marketplace commission, subscription like Amazon Prime, cloud-computing services under Amazon Web Services (AWS), advertisement and its own proprietary digital products. The platform ecosystem offers network effects to the company, as more customers and sellers consolidate the position of Amazon as a competitive player (Johnson et al., 2022).</w:t>
      </w:r>
    </w:p>
    <w:p w:rsidR="00000000" w:rsidDel="00000000" w:rsidP="00000000" w:rsidRDefault="00000000" w:rsidRPr="00000000" w14:paraId="00000048">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environment of the industry Amazon has to operate is defined by severe rivalry, a swift advancement of technologies, and a high degree of regulatory attention. Amazon has to compete with other companies in the global e-commerce industry like Walmart and Alibaba and in cloud computing industry, it has to compete with Microsoft Azure and Google Cloud. Nonetheless, Amazon dominates a number of major markets, especially, in the online retail logistics and cloud infrastructure services, where AWS retains a revenue and capability leadership in the market (Statista, 2024).</w:t>
      </w:r>
    </w:p>
    <w:p w:rsidR="00000000" w:rsidDel="00000000" w:rsidP="00000000" w:rsidRDefault="00000000" w:rsidRPr="00000000" w14:paraId="0000004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economies of scale, hi-tech data analytics and large physical and digital infrastructure forms the core of the market position of Amazon. The sophisticated algorithms and automation, coupled with its extensive fulfilment network around the world, allow it to be cost effective and differentiate its services at the same time. Nevertheless, the company is also struggling with strategic issues such as declining retail margins, rising labour expenses, and rising regulatory and antitrust demands on larger markets, such as the United States and the European Union (Khan et al., 2023).</w:t>
      </w:r>
    </w:p>
    <w:p w:rsidR="00000000" w:rsidDel="00000000" w:rsidP="00000000" w:rsidRDefault="00000000" w:rsidRPr="00000000" w14:paraId="0000004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Over the last couple of years, Amazon has put an increased focus on sustainability and corporate responsibility within the strategic discourse. Efforts like the Climate Pledge and the adoption of renewable energy are not just ethical resolutions, but also long-term value-generating practices that can boost the legitimacy and strength in the fluctuate global markets (Eccles et al., 2022). </w:t>
      </w:r>
    </w:p>
    <w:p w:rsidR="00000000" w:rsidDel="00000000" w:rsidP="00000000" w:rsidRDefault="00000000" w:rsidRPr="00000000" w14:paraId="0000004B">
      <w:pPr>
        <w:spacing w:after="240" w:before="240" w:line="360" w:lineRule="auto"/>
        <w:ind w:left="0" w:right="60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While Amazon’s business model has driven rapid growth, its reliance on scale and low margins in retail creates long-term profitability pressures, indicating potential strategic vulnerability.</w:t>
      </w:r>
    </w:p>
    <w:p w:rsidR="00000000" w:rsidDel="00000000" w:rsidP="00000000" w:rsidRDefault="00000000" w:rsidRPr="00000000" w14:paraId="0000004C">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D">
      <w:pPr>
        <w:pStyle w:val="Heading1"/>
        <w:rPr/>
      </w:pPr>
      <w:bookmarkStart w:colFirst="0" w:colLast="0" w:name="_1cjum0whfdi" w:id="2"/>
      <w:bookmarkEnd w:id="2"/>
      <w:r w:rsidDel="00000000" w:rsidR="00000000" w:rsidRPr="00000000">
        <w:rPr>
          <w:rtl w:val="0"/>
        </w:rPr>
        <w:t xml:space="preserve">2. External and Internal Environment Analysis.</w:t>
      </w:r>
    </w:p>
    <w:p w:rsidR="00000000" w:rsidDel="00000000" w:rsidP="00000000" w:rsidRDefault="00000000" w:rsidRPr="00000000" w14:paraId="0000004E">
      <w:pPr>
        <w:pStyle w:val="Heading2"/>
        <w:rPr/>
      </w:pPr>
      <w:bookmarkStart w:colFirst="0" w:colLast="0" w:name="_5gqogyp9o9cl" w:id="3"/>
      <w:bookmarkEnd w:id="3"/>
      <w:r w:rsidDel="00000000" w:rsidR="00000000" w:rsidRPr="00000000">
        <w:rPr>
          <w:rtl w:val="0"/>
        </w:rPr>
        <w:t xml:space="preserve">2.1 External Environment </w:t>
      </w:r>
    </w:p>
    <w:p w:rsidR="00000000" w:rsidDel="00000000" w:rsidP="00000000" w:rsidRDefault="00000000" w:rsidRPr="00000000" w14:paraId="0000004F">
      <w:pPr>
        <w:pStyle w:val="Heading3"/>
        <w:rPr/>
      </w:pPr>
      <w:bookmarkStart w:colFirst="0" w:colLast="0" w:name="_u2gsm57rkrhn" w:id="4"/>
      <w:bookmarkEnd w:id="4"/>
      <w:r w:rsidDel="00000000" w:rsidR="00000000" w:rsidRPr="00000000">
        <w:rPr>
          <w:rtl w:val="0"/>
        </w:rPr>
        <w:t xml:space="preserve">2.1.1 PESTLE Analysis</w:t>
      </w:r>
    </w:p>
    <w:p w:rsidR="00000000" w:rsidDel="00000000" w:rsidP="00000000" w:rsidRDefault="00000000" w:rsidRPr="00000000" w14:paraId="00000050">
      <w:pPr>
        <w:keepNext w:val="1"/>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b w:val="0"/>
          <w:bCs w:val="0"/>
          <w:i w:val="1"/>
          <w:iCs w:val="1"/>
          <w:smallCaps w:val="0"/>
          <w:strike w:val="0"/>
          <w:color w:val="44546a"/>
          <w:sz w:val="20"/>
          <w:szCs w:val="20"/>
          <w:u w:val="none"/>
          <w:shd w:fill="auto" w:val="clear"/>
          <w:vertAlign w:val="baseline"/>
        </w:rPr>
      </w:pPr>
      <w:bookmarkStart w:colFirst="0" w:colLast="0" w:name="_41ou1htheex1" w:id="5"/>
      <w:bookmarkEnd w:id="5"/>
      <w:r w:rsidDel="00000000" w:rsidR="00000000" w:rsidRPr="00000000">
        <w:rPr>
          <w:rFonts w:ascii="Arial" w:cs="Arial" w:eastAsia="Arial" w:hAnsi="Arial"/>
          <w:b w:val="0"/>
          <w:bCs w:val="0"/>
          <w:i w:val="1"/>
          <w:iCs w:val="1"/>
          <w:smallCaps w:val="0"/>
          <w:strike w:val="0"/>
          <w:color w:val="44546a"/>
          <w:sz w:val="20"/>
          <w:szCs w:val="20"/>
          <w:u w:val="none"/>
          <w:shd w:fill="auto" w:val="clear"/>
          <w:vertAlign w:val="baseline"/>
          <w:rtl w:val="0"/>
        </w:rPr>
        <w:t xml:space="preserve">Table 1: Summary of Political, Economic, Social, Technological, Environmental, and Legal Factors</w:t>
      </w:r>
    </w:p>
    <w:tbl>
      <w:tblPr>
        <w:tblStyle w:val="Table1"/>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16"/>
        <w:gridCol w:w="3117"/>
        <w:gridCol w:w="3117"/>
        <w:tblGridChange w:id="0">
          <w:tblGrid>
            <w:gridCol w:w="3116"/>
            <w:gridCol w:w="3117"/>
            <w:gridCol w:w="3117"/>
          </w:tblGrid>
        </w:tblGridChange>
      </w:tblGrid>
      <w:tr>
        <w:trPr>
          <w:cantSplit w:val="0"/>
          <w:tblHeader w:val="0"/>
        </w:trPr>
        <w:tc>
          <w:tcPr/>
          <w:p w:rsidR="00000000" w:rsidDel="00000000" w:rsidP="00000000" w:rsidRDefault="00000000" w:rsidRPr="00000000" w14:paraId="0000005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Factor</w:t>
            </w:r>
          </w:p>
        </w:tc>
        <w:tc>
          <w:tcPr/>
          <w:p w:rsidR="00000000" w:rsidDel="00000000" w:rsidP="00000000" w:rsidRDefault="00000000" w:rsidRPr="00000000" w14:paraId="0000005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Key Points</w:t>
            </w:r>
          </w:p>
        </w:tc>
        <w:tc>
          <w:tcPr/>
          <w:p w:rsidR="00000000" w:rsidDel="00000000" w:rsidP="00000000" w:rsidRDefault="00000000" w:rsidRPr="00000000" w14:paraId="0000005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Strategic Implications</w:t>
            </w:r>
          </w:p>
        </w:tc>
      </w:tr>
      <w:tr>
        <w:trPr>
          <w:cantSplit w:val="0"/>
          <w:tblHeader w:val="0"/>
        </w:trPr>
        <w:tc>
          <w:tcPr/>
          <w:p w:rsidR="00000000" w:rsidDel="00000000" w:rsidP="00000000" w:rsidRDefault="00000000" w:rsidRPr="00000000" w14:paraId="00000054">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Political</w:t>
            </w:r>
          </w:p>
        </w:tc>
        <w:tc>
          <w:tcPr/>
          <w:p w:rsidR="00000000" w:rsidDel="00000000" w:rsidP="00000000" w:rsidRDefault="00000000" w:rsidRPr="00000000" w14:paraId="0000005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Trade agreements, regulatory policies, government stability</w:t>
            </w:r>
          </w:p>
        </w:tc>
        <w:tc>
          <w:tcPr/>
          <w:p w:rsidR="00000000" w:rsidDel="00000000" w:rsidP="00000000" w:rsidRDefault="00000000" w:rsidRPr="00000000" w14:paraId="00000056">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Shapes market entry, compliance costs, and long-term investment confidence</w:t>
            </w:r>
          </w:p>
        </w:tc>
      </w:tr>
      <w:tr>
        <w:trPr>
          <w:cantSplit w:val="0"/>
          <w:tblHeader w:val="0"/>
        </w:trPr>
        <w:tc>
          <w:tcPr/>
          <w:p w:rsidR="00000000" w:rsidDel="00000000" w:rsidP="00000000" w:rsidRDefault="00000000" w:rsidRPr="00000000" w14:paraId="0000005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Economic</w:t>
            </w:r>
          </w:p>
        </w:tc>
        <w:tc>
          <w:tcPr/>
          <w:p w:rsidR="00000000" w:rsidDel="00000000" w:rsidP="00000000" w:rsidRDefault="00000000" w:rsidRPr="00000000" w14:paraId="00000058">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Inflation, GDP growth, consumer spending power</w:t>
            </w:r>
          </w:p>
        </w:tc>
        <w:tc>
          <w:tcPr/>
          <w:p w:rsidR="00000000" w:rsidDel="00000000" w:rsidP="00000000" w:rsidRDefault="00000000" w:rsidRPr="00000000" w14:paraId="0000005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Influences pricing strategies, demand forecasting, and expansion opportunities</w:t>
            </w:r>
          </w:p>
        </w:tc>
      </w:tr>
      <w:tr>
        <w:trPr>
          <w:cantSplit w:val="0"/>
          <w:tblHeader w:val="0"/>
        </w:trPr>
        <w:tc>
          <w:tcPr/>
          <w:p w:rsidR="00000000" w:rsidDel="00000000" w:rsidP="00000000" w:rsidRDefault="00000000" w:rsidRPr="00000000" w14:paraId="0000005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Social</w:t>
            </w:r>
          </w:p>
        </w:tc>
        <w:tc>
          <w:tcPr/>
          <w:p w:rsidR="00000000" w:rsidDel="00000000" w:rsidP="00000000" w:rsidRDefault="00000000" w:rsidRPr="00000000" w14:paraId="0000005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Demographics, lifestyle changes, health consciousness</w:t>
            </w:r>
          </w:p>
        </w:tc>
        <w:tc>
          <w:tcPr/>
          <w:p w:rsidR="00000000" w:rsidDel="00000000" w:rsidP="00000000" w:rsidRDefault="00000000" w:rsidRPr="00000000" w14:paraId="0000005C">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Drives product adaptation, marketing focus, and customer engagement</w:t>
            </w:r>
          </w:p>
        </w:tc>
      </w:tr>
      <w:tr>
        <w:trPr>
          <w:cantSplit w:val="0"/>
          <w:tblHeader w:val="0"/>
        </w:trPr>
        <w:tc>
          <w:tcPr/>
          <w:p w:rsidR="00000000" w:rsidDel="00000000" w:rsidP="00000000" w:rsidRDefault="00000000" w:rsidRPr="00000000" w14:paraId="0000005D">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Technological</w:t>
            </w:r>
          </w:p>
        </w:tc>
        <w:tc>
          <w:tcPr/>
          <w:p w:rsidR="00000000" w:rsidDel="00000000" w:rsidP="00000000" w:rsidRDefault="00000000" w:rsidRPr="00000000" w14:paraId="0000005E">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Digital innovation, automation, AI adoption</w:t>
            </w:r>
          </w:p>
        </w:tc>
        <w:tc>
          <w:tcPr/>
          <w:p w:rsidR="00000000" w:rsidDel="00000000" w:rsidP="00000000" w:rsidRDefault="00000000" w:rsidRPr="00000000" w14:paraId="0000005F">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Impacts efficiency, online retail growth, and competitive advantage</w:t>
            </w:r>
          </w:p>
        </w:tc>
      </w:tr>
      <w:tr>
        <w:trPr>
          <w:cantSplit w:val="0"/>
          <w:tblHeader w:val="0"/>
        </w:trPr>
        <w:tc>
          <w:tcPr/>
          <w:p w:rsidR="00000000" w:rsidDel="00000000" w:rsidP="00000000" w:rsidRDefault="00000000" w:rsidRPr="00000000" w14:paraId="00000060">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Environmental</w:t>
            </w:r>
          </w:p>
        </w:tc>
        <w:tc>
          <w:tcPr/>
          <w:p w:rsidR="00000000" w:rsidDel="00000000" w:rsidP="00000000" w:rsidRDefault="00000000" w:rsidRPr="00000000" w14:paraId="0000006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Climate change, sustainability initiatives, carbon reduction targets</w:t>
            </w:r>
          </w:p>
        </w:tc>
        <w:tc>
          <w:tcPr/>
          <w:p w:rsidR="00000000" w:rsidDel="00000000" w:rsidP="00000000" w:rsidRDefault="00000000" w:rsidRPr="00000000" w14:paraId="0000006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Necessitates eco-friendly operations, packaging reform, and renewable energy investment</w:t>
            </w:r>
          </w:p>
        </w:tc>
      </w:tr>
      <w:tr>
        <w:trPr>
          <w:cantSplit w:val="0"/>
          <w:tblHeader w:val="0"/>
        </w:trPr>
        <w:tc>
          <w:tcPr/>
          <w:p w:rsidR="00000000" w:rsidDel="00000000" w:rsidP="00000000" w:rsidRDefault="00000000" w:rsidRPr="00000000" w14:paraId="0000006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Legal</w:t>
            </w:r>
          </w:p>
        </w:tc>
        <w:tc>
          <w:tcPr/>
          <w:p w:rsidR="00000000" w:rsidDel="00000000" w:rsidP="00000000" w:rsidRDefault="00000000" w:rsidRPr="00000000" w14:paraId="00000064">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Employment law, competition regulations, food safety standards</w:t>
            </w:r>
          </w:p>
        </w:tc>
        <w:tc>
          <w:tcPr/>
          <w:p w:rsidR="00000000" w:rsidDel="00000000" w:rsidP="00000000" w:rsidRDefault="00000000" w:rsidRPr="00000000" w14:paraId="0000006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Determines compliance requirements and operational flexibility</w:t>
            </w:r>
          </w:p>
        </w:tc>
      </w:tr>
    </w:tbl>
    <w:p w:rsidR="00000000" w:rsidDel="00000000" w:rsidP="00000000" w:rsidRDefault="00000000" w:rsidRPr="00000000" w14:paraId="00000066">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Amazon has very dynamic macro-environmental forces that form its strategic environment. Since Amazon is a global company with multiple industries, external influences play a significant role in its strategic choices, risky position, and future competitiveness.</w:t>
      </w:r>
    </w:p>
    <w:p w:rsidR="00000000" w:rsidDel="00000000" w:rsidP="00000000" w:rsidRDefault="00000000" w:rsidRPr="00000000" w14:paraId="00000068">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Political Factors</w:t>
      </w:r>
    </w:p>
    <w:p w:rsidR="00000000" w:rsidDel="00000000" w:rsidP="00000000" w:rsidRDefault="00000000" w:rsidRPr="00000000" w14:paraId="0000006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One of the largest external pressures of Amazon is political and regulatory scrutiny. The policy makers in the United States and the European Union have increased antitrust enquiries to scrutinize the issue of market dominance, unfair competition, and the manner in which they treat the third-party sellers. The regulatory authorities are showing growing concern over the dual nature of Amazon as a marketplace operator and marketplace competitor, claiming that such a setup could be distortive to competition (Khan, 2021). </w:t>
      </w:r>
    </w:p>
    <w:p w:rsidR="00000000" w:rsidDel="00000000" w:rsidP="00000000" w:rsidRDefault="00000000" w:rsidRPr="00000000" w14:paraId="0000006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Cross-border rules and trade tariffs also influence the global operations of Amazon. Being a global retailer and a cloud service provider, Amazon is vulnerable to geopolitics issues, supply chain risks, and trade protectionist policies. These will affect sourcing decisions, pricing policies and regional investment priorities especially in emerging markets where the regulatory regimes continue to be unpredictable (McKinsey, 2023).</w:t>
      </w:r>
    </w:p>
    <w:p w:rsidR="00000000" w:rsidDel="00000000" w:rsidP="00000000" w:rsidRDefault="00000000" w:rsidRPr="00000000" w14:paraId="0000006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However, increasing regulatory scrutiny may limit Amazon’s strategic flexibility, suggesting that compliance could become a constraint rather than a support for future growth.</w:t>
      </w:r>
    </w:p>
    <w:p w:rsidR="00000000" w:rsidDel="00000000" w:rsidP="00000000" w:rsidRDefault="00000000" w:rsidRPr="00000000" w14:paraId="0000006C">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Economic Factors</w:t>
      </w:r>
    </w:p>
    <w:p w:rsidR="00000000" w:rsidDel="00000000" w:rsidP="00000000" w:rsidRDefault="00000000" w:rsidRPr="00000000" w14:paraId="0000006D">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Economic situations in the world have a significant impact on the performance and strategies of Amazon. Constant inflation in the major markets has lowered the purchasing power of consumers especially those consuming discretionary goods and this has a direct impact on e-commerce demand. Meanwhile, the escalating fuel, energy and labour prices have added weight on the already marginal retail margins of Amazon (Deloitte, 2024). This has promoted a higher level of strategic focus of more lucrative markets like Amazon Web Services (AWS) and online advertising.</w:t>
      </w:r>
    </w:p>
    <w:p w:rsidR="00000000" w:rsidDel="00000000" w:rsidP="00000000" w:rsidRDefault="00000000" w:rsidRPr="00000000" w14:paraId="0000006E">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volatility of currency also makes the international business of Amazon more difficult. As revenues are earned in various regions, fluctuation in the exchange rates can be of great effect in financial reporting and profits. As a result, to balance the performance in the international markets, Amazon needs to implement advanced financial risk management and prices (PwC, 2022).</w:t>
      </w:r>
    </w:p>
    <w:p w:rsidR="00000000" w:rsidDel="00000000" w:rsidP="00000000" w:rsidRDefault="00000000" w:rsidRPr="00000000" w14:paraId="0000006F">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However, increasing regulatory scrutiny may limit Amazon’s strategic flexibility, suggesting that compliance could become a constraint rather than a support for future growth.</w:t>
      </w:r>
    </w:p>
    <w:p w:rsidR="00000000" w:rsidDel="00000000" w:rsidP="00000000" w:rsidRDefault="00000000" w:rsidRPr="00000000" w14:paraId="00000070">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Social Factors</w:t>
      </w:r>
    </w:p>
    <w:p w:rsidR="00000000" w:rsidDel="00000000" w:rsidP="00000000" w:rsidRDefault="00000000" w:rsidRPr="00000000" w14:paraId="0000007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shift in consumer expectations is one of the key social drivers of Amazon strategy. Customers are also demanding to be served faster, have digitally smooth experiences and personalised services. Same-day and next-day delivery are another consequence of these shifting expectations as Amazon continues to invest in the strategy, which strengthens its customer-centric value proposition (HBR, 2023).</w:t>
      </w:r>
    </w:p>
    <w:p w:rsidR="00000000" w:rsidDel="00000000" w:rsidP="00000000" w:rsidRDefault="00000000" w:rsidRPr="00000000" w14:paraId="0000007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Nevertheless, an increased attention to ethical sourcing and labour poses reputational and operational risks. The issues surrounding warehouse conditions of work and the welfare of the workers and the attempts at unionisation have not gone without media and public attention. Human resource strategies and cost base Consumer social pressure, employee social pressure and advocacy group pressure have pushed Amazon to enhance its workplace safety measures and wage schemes, which has led to pressure on its human resource policies and cost base (ILO, 2022).</w:t>
      </w:r>
    </w:p>
    <w:p w:rsidR="00000000" w:rsidDel="00000000" w:rsidP="00000000" w:rsidRDefault="00000000" w:rsidRPr="00000000" w14:paraId="00000073">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Technological Factors</w:t>
      </w:r>
    </w:p>
    <w:p w:rsidR="00000000" w:rsidDel="00000000" w:rsidP="00000000" w:rsidRDefault="00000000" w:rsidRPr="00000000" w14:paraId="00000074">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One of the fundamental enablers of competitive advantage of Amazon is technological development. The fast growth of machine learning, automation, robotics, and cloud computing has enabled Amazon to increase its efficiency of operations, better customer demand forecasts, and personalise customer experiences. Specifically, AWS puts Amazon at the centre of global digital infrastructure which serves not only its internal system but also millions of external clients (Statista, 2024).</w:t>
      </w:r>
    </w:p>
    <w:p w:rsidR="00000000" w:rsidDel="00000000" w:rsidP="00000000" w:rsidRDefault="00000000" w:rsidRPr="00000000" w14:paraId="0000007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However, greater use of digital technologies places Amazon at risk of cybersecurity. Cyberattacks, system outages and data breaches may damage customer confidence and interfere with business. Consequently, the cybersecurity expenditure and digital resilience have become strategic objectives integrated into the long-term strategy of Amazon (Accenture, 2023).</w:t>
      </w:r>
    </w:p>
    <w:p w:rsidR="00000000" w:rsidDel="00000000" w:rsidP="00000000" w:rsidRDefault="00000000" w:rsidRPr="00000000" w14:paraId="00000076">
      <w:pPr>
        <w:spacing w:after="240" w:before="240" w:line="360" w:lineRule="auto"/>
        <w:ind w:left="0" w:right="60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indicates that Amazon’s cost leadership strategy may face pressure in inflationary environments, potentially reducing its competitive advantage.</w:t>
      </w:r>
    </w:p>
    <w:p w:rsidR="00000000" w:rsidDel="00000000" w:rsidP="00000000" w:rsidRDefault="00000000" w:rsidRPr="00000000" w14:paraId="00000077">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8">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Legal Factors</w:t>
      </w:r>
    </w:p>
    <w:p w:rsidR="00000000" w:rsidDel="00000000" w:rsidP="00000000" w:rsidRDefault="00000000" w:rsidRPr="00000000" w14:paraId="0000007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One of the external constraints that are vital to Amazon especially in regards to data protection and employment law is legal compliance. Laws like the General Data Protection Regulation (GDPR) demand very stringent conditions that are to be followed when processing customer information. Non-conformity may lead to significant financial fines and reputational losses, and Amazon must consider implementing powerful data governance solutions within its strategic framework (European Commission, 2022).</w:t>
      </w:r>
    </w:p>
    <w:p w:rsidR="00000000" w:rsidDel="00000000" w:rsidP="00000000" w:rsidRDefault="00000000" w:rsidRPr="00000000" w14:paraId="0000007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Other factors that put pressure on Amazon cost structure and labour management practices are employment law requirements, such as minimum wage laws, regulations on worker classification and health and safety requirements. The legal issues on employee rights and unionisation activities have grown, and it is necessary to implement the strategies to sustain the operation flow and the legitimacy of the employer (OECD, 2023).</w:t>
      </w:r>
    </w:p>
    <w:p w:rsidR="00000000" w:rsidDel="00000000" w:rsidP="00000000" w:rsidRDefault="00000000" w:rsidRPr="00000000" w14:paraId="0000007B">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Environmental Factors</w:t>
      </w:r>
    </w:p>
    <w:p w:rsidR="00000000" w:rsidDel="00000000" w:rsidP="00000000" w:rsidRDefault="00000000" w:rsidRPr="00000000" w14:paraId="0000007C">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Sustainability of the environment has emerged as a strategic choice of Amazon. Its large scale logistics and fulfilment business leads to a high amount of carbon emissions thus exposing the company to the pressure of regulators, investors, and consumers who are aware of environmental concerns. Amazon in turn has pledged to decarbonisation in the long run by investing in renewable energy, electric delivery vehicles, and using sustainable packaging solutions (Eccles et al., 2022).</w:t>
      </w:r>
    </w:p>
    <w:p w:rsidR="00000000" w:rsidDel="00000000" w:rsidP="00000000" w:rsidRDefault="00000000" w:rsidRPr="00000000" w14:paraId="0000007D">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pressures of the environment do not only impact the corporate social responsibility agenda of Amazon but also affect operation efficiency as well as cost management in the long run. </w:t>
      </w:r>
    </w:p>
    <w:p w:rsidR="00000000" w:rsidDel="00000000" w:rsidP="00000000" w:rsidRDefault="00000000" w:rsidRPr="00000000" w14:paraId="0000007E">
      <w:pPr>
        <w:pStyle w:val="Heading3"/>
        <w:rPr/>
      </w:pPr>
      <w:bookmarkStart w:colFirst="0" w:colLast="0" w:name="_qusxudwzmu4e" w:id="6"/>
      <w:bookmarkEnd w:id="6"/>
      <w:r w:rsidDel="00000000" w:rsidR="00000000" w:rsidRPr="00000000">
        <w:rPr>
          <w:rtl w:val="0"/>
        </w:rPr>
        <w:t xml:space="preserve">2.1.2 Critical Success Factors (CSFs) </w:t>
      </w:r>
    </w:p>
    <w:p w:rsidR="00000000" w:rsidDel="00000000" w:rsidP="00000000" w:rsidRDefault="00000000" w:rsidRPr="00000000" w14:paraId="0000007F">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key success factors in the effective competition of Amazon in this multifaceted external setting are based on a number of success factors. Its focus is on the efficiency of logistics since fast and efficient delivery is the key to customer satisfaction and retention. High data analytics ensures efficiency in inventory management, personalisation in recommendations, and decision-making. Long-term relationships can be maintained only with the help of customer trust established on the basis of reliability, transparency, and the quality of service provided. Lastly, the technological innovation that never stops enables Amazon to respond swiftly to the market shifts and keep their top position in various industries (Johnson et al., 2022).</w:t>
      </w:r>
    </w:p>
    <w:p w:rsidR="00000000" w:rsidDel="00000000" w:rsidP="00000000" w:rsidRDefault="00000000" w:rsidRPr="00000000" w14:paraId="00000080">
      <w:pPr>
        <w:keepNext w:val="1"/>
        <w:spacing w:line="360" w:lineRule="auto"/>
        <w:jc w:val="center"/>
        <w:rPr/>
      </w:pPr>
      <w:r w:rsidDel="00000000" w:rsidR="00000000" w:rsidRPr="00000000">
        <w:rPr>
          <w:rFonts w:ascii="Arial" w:cs="Arial" w:eastAsia="Arial" w:hAnsi="Arial"/>
          <w:sz w:val="24"/>
          <w:szCs w:val="24"/>
        </w:rPr>
        <w:drawing>
          <wp:inline distB="0" distT="0" distL="0" distR="0">
            <wp:extent cx="2562225" cy="2562225"/>
            <wp:effectExtent b="0" l="0" r="0" t="0"/>
            <wp:docPr id="3"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2562225" cy="2562225"/>
                    </a:xfrm>
                    <a:prstGeom prst="rect"/>
                    <a:ln/>
                  </pic:spPr>
                </pic:pic>
              </a:graphicData>
            </a:graphic>
          </wp:inline>
        </w:drawing>
      </w: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1"/>
          <w:iCs w:val="1"/>
          <w:smallCaps w:val="0"/>
          <w:strike w:val="0"/>
          <w:color w:val="44546a"/>
          <w:sz w:val="28"/>
          <w:szCs w:val="28"/>
          <w:u w:val="none"/>
          <w:shd w:fill="auto" w:val="clear"/>
          <w:vertAlign w:val="baseline"/>
        </w:rPr>
      </w:pPr>
      <w:bookmarkStart w:colFirst="0" w:colLast="0" w:name="_9292l2v8plz8" w:id="7"/>
      <w:bookmarkEnd w:id="7"/>
      <w:r w:rsidDel="00000000" w:rsidR="00000000" w:rsidRPr="00000000">
        <w:rPr>
          <w:rFonts w:ascii="Arial" w:cs="Arial" w:eastAsia="Arial" w:hAnsi="Arial"/>
          <w:b w:val="0"/>
          <w:bCs w:val="0"/>
          <w:i w:val="1"/>
          <w:iCs w:val="1"/>
          <w:smallCaps w:val="0"/>
          <w:strike w:val="0"/>
          <w:color w:val="44546a"/>
          <w:sz w:val="20"/>
          <w:szCs w:val="20"/>
          <w:u w:val="none"/>
          <w:shd w:fill="auto" w:val="clear"/>
          <w:vertAlign w:val="baseline"/>
          <w:rtl w:val="0"/>
        </w:rPr>
        <w:t xml:space="preserve">Figure 1: Critical Success Factors Driving Amazon’s Growth</w:t>
      </w:r>
      <w:r w:rsidDel="00000000" w:rsidR="00000000" w:rsidRPr="00000000">
        <w:rPr>
          <w:rtl w:val="0"/>
        </w:rPr>
      </w:r>
    </w:p>
    <w:p w:rsidR="00000000" w:rsidDel="00000000" w:rsidP="00000000" w:rsidRDefault="00000000" w:rsidRPr="00000000" w14:paraId="00000082">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Strategic Challenges</w:t>
      </w:r>
    </w:p>
    <w:p w:rsidR="00000000" w:rsidDel="00000000" w:rsidP="00000000" w:rsidRDefault="00000000" w:rsidRPr="00000000" w14:paraId="0000008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There are a number of unrelenting strategic challenges in Amazon. The political pressure of regulations endangers the ability to be flexible and can limit the growth opportunities in the future. Increasing operational expenses especially in logistic and labour burden the profitability. The reputational and operational risks associated with labour relations are constant, whereas the growing sustainability demands are based on massive capital expenditures and organisational transformation. Those obstacles are important to counter the long-term competitive advantage.</w:t>
      </w:r>
    </w:p>
    <w:p w:rsidR="00000000" w:rsidDel="00000000" w:rsidP="00000000" w:rsidRDefault="00000000" w:rsidRPr="00000000" w14:paraId="00000084">
      <w:pPr>
        <w:pStyle w:val="Heading2"/>
        <w:rPr/>
      </w:pPr>
      <w:bookmarkStart w:colFirst="0" w:colLast="0" w:name="_u5451c5qkafh" w:id="8"/>
      <w:bookmarkEnd w:id="8"/>
      <w:r w:rsidDel="00000000" w:rsidR="00000000" w:rsidRPr="00000000">
        <w:rPr>
          <w:rtl w:val="0"/>
        </w:rPr>
        <w:t xml:space="preserve">2.2 Internal Environment Analysis</w:t>
      </w:r>
    </w:p>
    <w:p w:rsidR="00000000" w:rsidDel="00000000" w:rsidP="00000000" w:rsidRDefault="00000000" w:rsidRPr="00000000" w14:paraId="0000008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internal environment of Amazon is marked by a combination of tangible and intangible resources in a unique way that collectively help it to position competitively.</w:t>
      </w:r>
    </w:p>
    <w:p w:rsidR="00000000" w:rsidDel="00000000" w:rsidP="00000000" w:rsidRDefault="00000000" w:rsidRPr="00000000" w14:paraId="00000086">
      <w:pPr>
        <w:pStyle w:val="Heading3"/>
        <w:rPr/>
      </w:pPr>
      <w:bookmarkStart w:colFirst="0" w:colLast="0" w:name="_xlckzrqm1w7b" w:id="9"/>
      <w:bookmarkEnd w:id="9"/>
      <w:r w:rsidDel="00000000" w:rsidR="00000000" w:rsidRPr="00000000">
        <w:rPr>
          <w:rtl w:val="0"/>
        </w:rPr>
        <w:t xml:space="preserve">2.2.1 Key Resources</w:t>
      </w:r>
    </w:p>
    <w:p w:rsidR="00000000" w:rsidDel="00000000" w:rsidP="00000000" w:rsidRDefault="00000000" w:rsidRPr="00000000" w14:paraId="0000008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Physical assets are the extensive international fulfilment system of Amazon, the advanced logistics platform, and extensive data centres that underpin the AWS. These resources allow quick fulfilment of orders, scalability, and reliability of services in the international markets.</w:t>
      </w:r>
    </w:p>
    <w:p w:rsidR="00000000" w:rsidDel="00000000" w:rsidP="00000000" w:rsidRDefault="00000000" w:rsidRPr="00000000" w14:paraId="00000088">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Intangible resources are as well of importance. The ease and trustworthiness of the Amazon brand makes customers become more loyal, whereas large amounts of customer data allow gaining extensive knowledge of consumer behaviour. Recommendation systems, pricing optimisation, and efficiency in supply chains are all based on proprietary algorithms, and they are the core of the data-driven strategy Amazon uses (Porter and Heppelmann, 2021).</w:t>
      </w:r>
    </w:p>
    <w:p w:rsidR="00000000" w:rsidDel="00000000" w:rsidP="00000000" w:rsidRDefault="00000000" w:rsidRPr="00000000" w14:paraId="00000089">
      <w:pPr>
        <w:pStyle w:val="Heading3"/>
        <w:rPr/>
      </w:pPr>
      <w:bookmarkStart w:colFirst="0" w:colLast="0" w:name="_iotxpcg54atx" w:id="10"/>
      <w:bookmarkEnd w:id="10"/>
      <w:r w:rsidDel="00000000" w:rsidR="00000000" w:rsidRPr="00000000">
        <w:rPr>
          <w:rtl w:val="0"/>
        </w:rPr>
        <w:t xml:space="preserve">2.2.2 VRIO Analysis and Competitive Advantage.</w:t>
      </w:r>
    </w:p>
    <w:p w:rsidR="00000000" w:rsidDel="00000000" w:rsidP="00000000" w:rsidRDefault="00000000" w:rsidRPr="00000000" w14:paraId="0000008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VRIO framework has given a systematic analysis of the strategic resources of Amazon. The value of AWS infrastructure is high, it is hard to copy, it is rare and it is well organised providing a sustained competitive advantage by making Amazon a global leader in cloud computing. The logistics network Amazon has is a resource, and it is not easy to replicate, and some of the competitor networks with considerable capital can partially replicate it, which makes Amazon have a strong, but not entirely sustained advantage.</w:t>
      </w:r>
    </w:p>
    <w:p w:rsidR="00000000" w:rsidDel="00000000" w:rsidP="00000000" w:rsidRDefault="00000000" w:rsidRPr="00000000" w14:paraId="0000008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information about the customers is a valuable and non-replicable asset when paired with analytical skills of Amazon and will create long-standing competitive advantage due to high rates of personalisation and decision-making. </w:t>
      </w:r>
    </w:p>
    <w:p w:rsidR="00000000" w:rsidDel="00000000" w:rsidP="00000000" w:rsidRDefault="00000000" w:rsidRPr="00000000" w14:paraId="0000008C">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use of the VRIO framework gives an understanding of the role of the internal resources in Amazon in maintaining a competitive advantage.</w:t>
      </w:r>
    </w:p>
    <w:p w:rsidR="00000000" w:rsidDel="00000000" w:rsidP="00000000" w:rsidRDefault="00000000" w:rsidRPr="00000000" w14:paraId="0000008D">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E">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F">
      <w:pPr>
        <w:keepNext w:val="1"/>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b w:val="0"/>
          <w:bCs w:val="0"/>
          <w:i w:val="1"/>
          <w:iCs w:val="1"/>
          <w:smallCaps w:val="0"/>
          <w:strike w:val="0"/>
          <w:color w:val="44546a"/>
          <w:sz w:val="20"/>
          <w:szCs w:val="20"/>
          <w:u w:val="none"/>
          <w:shd w:fill="auto" w:val="clear"/>
          <w:vertAlign w:val="baseline"/>
        </w:rPr>
      </w:pPr>
      <w:bookmarkStart w:colFirst="0" w:colLast="0" w:name="_ogklxgsn7dgg" w:id="11"/>
      <w:bookmarkEnd w:id="11"/>
      <w:r w:rsidDel="00000000" w:rsidR="00000000" w:rsidRPr="00000000">
        <w:rPr>
          <w:rFonts w:ascii="Arial" w:cs="Arial" w:eastAsia="Arial" w:hAnsi="Arial"/>
          <w:b w:val="0"/>
          <w:bCs w:val="0"/>
          <w:i w:val="1"/>
          <w:iCs w:val="1"/>
          <w:smallCaps w:val="0"/>
          <w:strike w:val="0"/>
          <w:color w:val="44546a"/>
          <w:sz w:val="20"/>
          <w:szCs w:val="20"/>
          <w:u w:val="none"/>
          <w:shd w:fill="auto" w:val="clear"/>
          <w:vertAlign w:val="baseline"/>
          <w:rtl w:val="0"/>
        </w:rPr>
        <w:t xml:space="preserve">Table 2-VRIO Analysis</w:t>
      </w:r>
    </w:p>
    <w:tbl>
      <w:tblPr>
        <w:tblStyle w:val="Table2"/>
        <w:tblW w:w="9350.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17"/>
        <w:gridCol w:w="1539"/>
        <w:gridCol w:w="1541"/>
        <w:gridCol w:w="1547"/>
        <w:gridCol w:w="1551"/>
        <w:gridCol w:w="1555"/>
        <w:tblGridChange w:id="0">
          <w:tblGrid>
            <w:gridCol w:w="1617"/>
            <w:gridCol w:w="1539"/>
            <w:gridCol w:w="1541"/>
            <w:gridCol w:w="1547"/>
            <w:gridCol w:w="1551"/>
            <w:gridCol w:w="1555"/>
          </w:tblGrid>
        </w:tblGridChange>
      </w:tblGrid>
      <w:tr>
        <w:trPr>
          <w:cantSplit w:val="0"/>
          <w:tblHeader w:val="0"/>
        </w:trPr>
        <w:tc>
          <w:tcPr/>
          <w:p w:rsidR="00000000" w:rsidDel="00000000" w:rsidP="00000000" w:rsidRDefault="00000000" w:rsidRPr="00000000" w14:paraId="00000090">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Resource</w:t>
            </w:r>
          </w:p>
        </w:tc>
        <w:tc>
          <w:tcPr/>
          <w:p w:rsidR="00000000" w:rsidDel="00000000" w:rsidP="00000000" w:rsidRDefault="00000000" w:rsidRPr="00000000" w14:paraId="00000091">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Valuable</w:t>
            </w:r>
          </w:p>
        </w:tc>
        <w:tc>
          <w:tcPr/>
          <w:p w:rsidR="00000000" w:rsidDel="00000000" w:rsidP="00000000" w:rsidRDefault="00000000" w:rsidRPr="00000000" w14:paraId="00000092">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Rare</w:t>
            </w:r>
          </w:p>
        </w:tc>
        <w:tc>
          <w:tcPr/>
          <w:p w:rsidR="00000000" w:rsidDel="00000000" w:rsidP="00000000" w:rsidRDefault="00000000" w:rsidRPr="00000000" w14:paraId="00000093">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Inimitable</w:t>
            </w:r>
          </w:p>
        </w:tc>
        <w:tc>
          <w:tcPr/>
          <w:p w:rsidR="00000000" w:rsidDel="00000000" w:rsidP="00000000" w:rsidRDefault="00000000" w:rsidRPr="00000000" w14:paraId="00000094">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Organised</w:t>
            </w:r>
          </w:p>
        </w:tc>
        <w:tc>
          <w:tcPr/>
          <w:p w:rsidR="00000000" w:rsidDel="00000000" w:rsidP="00000000" w:rsidRDefault="00000000" w:rsidRPr="00000000" w14:paraId="00000095">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Outcome</w:t>
            </w:r>
          </w:p>
        </w:tc>
      </w:tr>
      <w:tr>
        <w:trPr>
          <w:cantSplit w:val="0"/>
          <w:tblHeader w:val="0"/>
        </w:trPr>
        <w:tc>
          <w:tcPr/>
          <w:p w:rsidR="00000000" w:rsidDel="00000000" w:rsidP="00000000" w:rsidRDefault="00000000" w:rsidRPr="00000000" w14:paraId="00000096">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AWS infrastructure</w:t>
            </w:r>
          </w:p>
        </w:tc>
        <w:tc>
          <w:tcPr/>
          <w:p w:rsidR="00000000" w:rsidDel="00000000" w:rsidP="00000000" w:rsidRDefault="00000000" w:rsidRPr="00000000" w14:paraId="00000097">
            <w:pPr>
              <w:spacing w:line="360" w:lineRule="auto"/>
              <w:jc w:val="both"/>
              <w:rPr>
                <w:rFonts w:ascii="Arial" w:cs="Arial" w:eastAsia="Arial" w:hAnsi="Arial"/>
                <w:sz w:val="24"/>
                <w:szCs w:val="24"/>
              </w:rPr>
            </w:pPr>
            <w:r w:rsidDel="00000000" w:rsidR="00000000" w:rsidRPr="00000000">
              <w:rPr>
                <w:rFonts w:ascii="Arial Unicode MS" w:cs="Arial Unicode MS" w:eastAsia="Arial Unicode MS" w:hAnsi="Arial Unicode MS"/>
                <w:sz w:val="24"/>
                <w:szCs w:val="24"/>
                <w:rtl w:val="0"/>
              </w:rPr>
              <w:t xml:space="preserve">✔</w:t>
            </w:r>
            <w:r w:rsidDel="00000000" w:rsidR="00000000" w:rsidRPr="00000000">
              <w:rPr>
                <w:rtl w:val="0"/>
              </w:rPr>
            </w:r>
          </w:p>
        </w:tc>
        <w:tc>
          <w:tcPr/>
          <w:p w:rsidR="00000000" w:rsidDel="00000000" w:rsidP="00000000" w:rsidRDefault="00000000" w:rsidRPr="00000000" w14:paraId="00000098">
            <w:pPr>
              <w:spacing w:line="360" w:lineRule="auto"/>
              <w:jc w:val="both"/>
              <w:rPr>
                <w:rFonts w:ascii="Arial" w:cs="Arial" w:eastAsia="Arial" w:hAnsi="Arial"/>
                <w:sz w:val="24"/>
                <w:szCs w:val="24"/>
              </w:rPr>
            </w:pPr>
            <w:r w:rsidDel="00000000" w:rsidR="00000000" w:rsidRPr="00000000">
              <w:rPr>
                <w:rFonts w:ascii="Arial Unicode MS" w:cs="Arial Unicode MS" w:eastAsia="Arial Unicode MS" w:hAnsi="Arial Unicode MS"/>
                <w:sz w:val="24"/>
                <w:szCs w:val="24"/>
                <w:rtl w:val="0"/>
              </w:rPr>
              <w:t xml:space="preserve">✔</w:t>
            </w:r>
            <w:r w:rsidDel="00000000" w:rsidR="00000000" w:rsidRPr="00000000">
              <w:rPr>
                <w:rtl w:val="0"/>
              </w:rPr>
            </w:r>
          </w:p>
        </w:tc>
        <w:tc>
          <w:tcPr/>
          <w:p w:rsidR="00000000" w:rsidDel="00000000" w:rsidP="00000000" w:rsidRDefault="00000000" w:rsidRPr="00000000" w14:paraId="00000099">
            <w:pPr>
              <w:spacing w:line="360" w:lineRule="auto"/>
              <w:jc w:val="both"/>
              <w:rPr>
                <w:rFonts w:ascii="Arial" w:cs="Arial" w:eastAsia="Arial" w:hAnsi="Arial"/>
                <w:sz w:val="24"/>
                <w:szCs w:val="24"/>
              </w:rPr>
            </w:pPr>
            <w:r w:rsidDel="00000000" w:rsidR="00000000" w:rsidRPr="00000000">
              <w:rPr>
                <w:rFonts w:ascii="Arial Unicode MS" w:cs="Arial Unicode MS" w:eastAsia="Arial Unicode MS" w:hAnsi="Arial Unicode MS"/>
                <w:sz w:val="24"/>
                <w:szCs w:val="24"/>
                <w:rtl w:val="0"/>
              </w:rPr>
              <w:t xml:space="preserve">✔</w:t>
            </w:r>
            <w:r w:rsidDel="00000000" w:rsidR="00000000" w:rsidRPr="00000000">
              <w:rPr>
                <w:rtl w:val="0"/>
              </w:rPr>
            </w:r>
          </w:p>
        </w:tc>
        <w:tc>
          <w:tcPr/>
          <w:p w:rsidR="00000000" w:rsidDel="00000000" w:rsidP="00000000" w:rsidRDefault="00000000" w:rsidRPr="00000000" w14:paraId="0000009A">
            <w:pPr>
              <w:spacing w:line="360" w:lineRule="auto"/>
              <w:jc w:val="both"/>
              <w:rPr>
                <w:rFonts w:ascii="Arial" w:cs="Arial" w:eastAsia="Arial" w:hAnsi="Arial"/>
                <w:sz w:val="24"/>
                <w:szCs w:val="24"/>
              </w:rPr>
            </w:pPr>
            <w:r w:rsidDel="00000000" w:rsidR="00000000" w:rsidRPr="00000000">
              <w:rPr>
                <w:rFonts w:ascii="Arial Unicode MS" w:cs="Arial Unicode MS" w:eastAsia="Arial Unicode MS" w:hAnsi="Arial Unicode MS"/>
                <w:sz w:val="24"/>
                <w:szCs w:val="24"/>
                <w:rtl w:val="0"/>
              </w:rPr>
              <w:t xml:space="preserve">✔</w:t>
            </w:r>
            <w:r w:rsidDel="00000000" w:rsidR="00000000" w:rsidRPr="00000000">
              <w:rPr>
                <w:rtl w:val="0"/>
              </w:rPr>
            </w:r>
          </w:p>
        </w:tc>
        <w:tc>
          <w:tcPr/>
          <w:p w:rsidR="00000000" w:rsidDel="00000000" w:rsidP="00000000" w:rsidRDefault="00000000" w:rsidRPr="00000000" w14:paraId="0000009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Sustained competitive advantage</w:t>
            </w:r>
          </w:p>
        </w:tc>
      </w:tr>
      <w:tr>
        <w:trPr>
          <w:cantSplit w:val="0"/>
          <w:tblHeader w:val="0"/>
        </w:trPr>
        <w:tc>
          <w:tcPr/>
          <w:p w:rsidR="00000000" w:rsidDel="00000000" w:rsidP="00000000" w:rsidRDefault="00000000" w:rsidRPr="00000000" w14:paraId="0000009C">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Logistics network</w:t>
            </w:r>
          </w:p>
        </w:tc>
        <w:tc>
          <w:tcPr/>
          <w:p w:rsidR="00000000" w:rsidDel="00000000" w:rsidP="00000000" w:rsidRDefault="00000000" w:rsidRPr="00000000" w14:paraId="0000009D">
            <w:pPr>
              <w:spacing w:line="360" w:lineRule="auto"/>
              <w:jc w:val="both"/>
              <w:rPr>
                <w:rFonts w:ascii="Arial" w:cs="Arial" w:eastAsia="Arial" w:hAnsi="Arial"/>
                <w:sz w:val="24"/>
                <w:szCs w:val="24"/>
              </w:rPr>
            </w:pPr>
            <w:r w:rsidDel="00000000" w:rsidR="00000000" w:rsidRPr="00000000">
              <w:rPr>
                <w:rFonts w:ascii="Arial Unicode MS" w:cs="Arial Unicode MS" w:eastAsia="Arial Unicode MS" w:hAnsi="Arial Unicode MS"/>
                <w:sz w:val="24"/>
                <w:szCs w:val="24"/>
                <w:rtl w:val="0"/>
              </w:rPr>
              <w:t xml:space="preserve">✔</w:t>
            </w:r>
            <w:r w:rsidDel="00000000" w:rsidR="00000000" w:rsidRPr="00000000">
              <w:rPr>
                <w:rtl w:val="0"/>
              </w:rPr>
            </w:r>
          </w:p>
        </w:tc>
        <w:tc>
          <w:tcPr/>
          <w:p w:rsidR="00000000" w:rsidDel="00000000" w:rsidP="00000000" w:rsidRDefault="00000000" w:rsidRPr="00000000" w14:paraId="0000009E">
            <w:pPr>
              <w:spacing w:line="360" w:lineRule="auto"/>
              <w:jc w:val="both"/>
              <w:rPr>
                <w:rFonts w:ascii="Arial" w:cs="Arial" w:eastAsia="Arial" w:hAnsi="Arial"/>
                <w:sz w:val="24"/>
                <w:szCs w:val="24"/>
              </w:rPr>
            </w:pPr>
            <w:r w:rsidDel="00000000" w:rsidR="00000000" w:rsidRPr="00000000">
              <w:rPr>
                <w:rFonts w:ascii="Arial Unicode MS" w:cs="Arial Unicode MS" w:eastAsia="Arial Unicode MS" w:hAnsi="Arial Unicode MS"/>
                <w:sz w:val="24"/>
                <w:szCs w:val="24"/>
                <w:rtl w:val="0"/>
              </w:rPr>
              <w:t xml:space="preserve">✔</w:t>
            </w:r>
            <w:r w:rsidDel="00000000" w:rsidR="00000000" w:rsidRPr="00000000">
              <w:rPr>
                <w:rtl w:val="0"/>
              </w:rPr>
            </w:r>
          </w:p>
        </w:tc>
        <w:tc>
          <w:tcPr/>
          <w:p w:rsidR="00000000" w:rsidDel="00000000" w:rsidP="00000000" w:rsidRDefault="00000000" w:rsidRPr="00000000" w14:paraId="0000009F">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Moderate</w:t>
            </w:r>
          </w:p>
        </w:tc>
        <w:tc>
          <w:tcPr/>
          <w:p w:rsidR="00000000" w:rsidDel="00000000" w:rsidP="00000000" w:rsidRDefault="00000000" w:rsidRPr="00000000" w14:paraId="000000A0">
            <w:pPr>
              <w:spacing w:line="360" w:lineRule="auto"/>
              <w:jc w:val="both"/>
              <w:rPr>
                <w:rFonts w:ascii="Arial" w:cs="Arial" w:eastAsia="Arial" w:hAnsi="Arial"/>
                <w:sz w:val="24"/>
                <w:szCs w:val="24"/>
              </w:rPr>
            </w:pPr>
            <w:r w:rsidDel="00000000" w:rsidR="00000000" w:rsidRPr="00000000">
              <w:rPr>
                <w:rFonts w:ascii="Arial Unicode MS" w:cs="Arial Unicode MS" w:eastAsia="Arial Unicode MS" w:hAnsi="Arial Unicode MS"/>
                <w:sz w:val="24"/>
                <w:szCs w:val="24"/>
                <w:rtl w:val="0"/>
              </w:rPr>
              <w:t xml:space="preserve">✔</w:t>
            </w:r>
            <w:r w:rsidDel="00000000" w:rsidR="00000000" w:rsidRPr="00000000">
              <w:rPr>
                <w:rtl w:val="0"/>
              </w:rPr>
            </w:r>
          </w:p>
        </w:tc>
        <w:tc>
          <w:tcPr/>
          <w:p w:rsidR="00000000" w:rsidDel="00000000" w:rsidP="00000000" w:rsidRDefault="00000000" w:rsidRPr="00000000" w14:paraId="000000A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Competitive advantage</w:t>
            </w:r>
          </w:p>
        </w:tc>
      </w:tr>
      <w:tr>
        <w:trPr>
          <w:cantSplit w:val="0"/>
          <w:tblHeader w:val="0"/>
        </w:trPr>
        <w:tc>
          <w:tcPr/>
          <w:p w:rsidR="00000000" w:rsidDel="00000000" w:rsidP="00000000" w:rsidRDefault="00000000" w:rsidRPr="00000000" w14:paraId="000000A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Customer data</w:t>
            </w:r>
          </w:p>
        </w:tc>
        <w:tc>
          <w:tcPr/>
          <w:p w:rsidR="00000000" w:rsidDel="00000000" w:rsidP="00000000" w:rsidRDefault="00000000" w:rsidRPr="00000000" w14:paraId="000000A3">
            <w:pPr>
              <w:spacing w:line="360" w:lineRule="auto"/>
              <w:jc w:val="both"/>
              <w:rPr>
                <w:rFonts w:ascii="Arial" w:cs="Arial" w:eastAsia="Arial" w:hAnsi="Arial"/>
                <w:sz w:val="24"/>
                <w:szCs w:val="24"/>
              </w:rPr>
            </w:pPr>
            <w:r w:rsidDel="00000000" w:rsidR="00000000" w:rsidRPr="00000000">
              <w:rPr>
                <w:rFonts w:ascii="Arial Unicode MS" w:cs="Arial Unicode MS" w:eastAsia="Arial Unicode MS" w:hAnsi="Arial Unicode MS"/>
                <w:sz w:val="24"/>
                <w:szCs w:val="24"/>
                <w:rtl w:val="0"/>
              </w:rPr>
              <w:t xml:space="preserve">✔</w:t>
            </w:r>
            <w:r w:rsidDel="00000000" w:rsidR="00000000" w:rsidRPr="00000000">
              <w:rPr>
                <w:rtl w:val="0"/>
              </w:rPr>
            </w:r>
          </w:p>
        </w:tc>
        <w:tc>
          <w:tcPr/>
          <w:p w:rsidR="00000000" w:rsidDel="00000000" w:rsidP="00000000" w:rsidRDefault="00000000" w:rsidRPr="00000000" w14:paraId="000000A4">
            <w:pPr>
              <w:spacing w:line="360" w:lineRule="auto"/>
              <w:jc w:val="both"/>
              <w:rPr>
                <w:rFonts w:ascii="Arial" w:cs="Arial" w:eastAsia="Arial" w:hAnsi="Arial"/>
                <w:sz w:val="24"/>
                <w:szCs w:val="24"/>
              </w:rPr>
            </w:pPr>
            <w:r w:rsidDel="00000000" w:rsidR="00000000" w:rsidRPr="00000000">
              <w:rPr>
                <w:rFonts w:ascii="Arial Unicode MS" w:cs="Arial Unicode MS" w:eastAsia="Arial Unicode MS" w:hAnsi="Arial Unicode MS"/>
                <w:sz w:val="24"/>
                <w:szCs w:val="24"/>
                <w:rtl w:val="0"/>
              </w:rPr>
              <w:t xml:space="preserve">✔</w:t>
            </w:r>
            <w:r w:rsidDel="00000000" w:rsidR="00000000" w:rsidRPr="00000000">
              <w:rPr>
                <w:rtl w:val="0"/>
              </w:rPr>
            </w:r>
          </w:p>
        </w:tc>
        <w:tc>
          <w:tcPr/>
          <w:p w:rsidR="00000000" w:rsidDel="00000000" w:rsidP="00000000" w:rsidRDefault="00000000" w:rsidRPr="00000000" w14:paraId="000000A5">
            <w:pPr>
              <w:spacing w:line="360" w:lineRule="auto"/>
              <w:jc w:val="both"/>
              <w:rPr>
                <w:rFonts w:ascii="Arial" w:cs="Arial" w:eastAsia="Arial" w:hAnsi="Arial"/>
                <w:sz w:val="24"/>
                <w:szCs w:val="24"/>
              </w:rPr>
            </w:pPr>
            <w:r w:rsidDel="00000000" w:rsidR="00000000" w:rsidRPr="00000000">
              <w:rPr>
                <w:rFonts w:ascii="Arial Unicode MS" w:cs="Arial Unicode MS" w:eastAsia="Arial Unicode MS" w:hAnsi="Arial Unicode MS"/>
                <w:sz w:val="24"/>
                <w:szCs w:val="24"/>
                <w:rtl w:val="0"/>
              </w:rPr>
              <w:t xml:space="preserve">✔</w:t>
            </w:r>
            <w:r w:rsidDel="00000000" w:rsidR="00000000" w:rsidRPr="00000000">
              <w:rPr>
                <w:rtl w:val="0"/>
              </w:rPr>
            </w:r>
          </w:p>
        </w:tc>
        <w:tc>
          <w:tcPr/>
          <w:p w:rsidR="00000000" w:rsidDel="00000000" w:rsidP="00000000" w:rsidRDefault="00000000" w:rsidRPr="00000000" w14:paraId="000000A6">
            <w:pPr>
              <w:spacing w:line="360" w:lineRule="auto"/>
              <w:jc w:val="both"/>
              <w:rPr>
                <w:rFonts w:ascii="Arial" w:cs="Arial" w:eastAsia="Arial" w:hAnsi="Arial"/>
                <w:sz w:val="24"/>
                <w:szCs w:val="24"/>
              </w:rPr>
            </w:pPr>
            <w:r w:rsidDel="00000000" w:rsidR="00000000" w:rsidRPr="00000000">
              <w:rPr>
                <w:rFonts w:ascii="Arial Unicode MS" w:cs="Arial Unicode MS" w:eastAsia="Arial Unicode MS" w:hAnsi="Arial Unicode MS"/>
                <w:sz w:val="24"/>
                <w:szCs w:val="24"/>
                <w:rtl w:val="0"/>
              </w:rPr>
              <w:t xml:space="preserve">✔</w:t>
            </w:r>
            <w:r w:rsidDel="00000000" w:rsidR="00000000" w:rsidRPr="00000000">
              <w:rPr>
                <w:rtl w:val="0"/>
              </w:rPr>
            </w:r>
          </w:p>
        </w:tc>
        <w:tc>
          <w:tcPr/>
          <w:p w:rsidR="00000000" w:rsidDel="00000000" w:rsidP="00000000" w:rsidRDefault="00000000" w:rsidRPr="00000000" w14:paraId="000000A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Sustained competitive advantage</w:t>
            </w:r>
          </w:p>
        </w:tc>
      </w:tr>
      <w:tr>
        <w:trPr>
          <w:cantSplit w:val="0"/>
          <w:tblHeader w:val="0"/>
        </w:trPr>
        <w:tc>
          <w:tcPr/>
          <w:p w:rsidR="00000000" w:rsidDel="00000000" w:rsidP="00000000" w:rsidRDefault="00000000" w:rsidRPr="00000000" w14:paraId="000000A8">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Brand trust</w:t>
            </w:r>
          </w:p>
        </w:tc>
        <w:tc>
          <w:tcPr/>
          <w:p w:rsidR="00000000" w:rsidDel="00000000" w:rsidP="00000000" w:rsidRDefault="00000000" w:rsidRPr="00000000" w14:paraId="000000A9">
            <w:pPr>
              <w:spacing w:line="360" w:lineRule="auto"/>
              <w:jc w:val="both"/>
              <w:rPr>
                <w:rFonts w:ascii="Arial" w:cs="Arial" w:eastAsia="Arial" w:hAnsi="Arial"/>
                <w:sz w:val="24"/>
                <w:szCs w:val="24"/>
              </w:rPr>
            </w:pPr>
            <w:r w:rsidDel="00000000" w:rsidR="00000000" w:rsidRPr="00000000">
              <w:rPr>
                <w:rFonts w:ascii="Arial Unicode MS" w:cs="Arial Unicode MS" w:eastAsia="Arial Unicode MS" w:hAnsi="Arial Unicode MS"/>
                <w:sz w:val="24"/>
                <w:szCs w:val="24"/>
                <w:rtl w:val="0"/>
              </w:rPr>
              <w:t xml:space="preserve">✔</w:t>
            </w:r>
            <w:r w:rsidDel="00000000" w:rsidR="00000000" w:rsidRPr="00000000">
              <w:rPr>
                <w:rtl w:val="0"/>
              </w:rPr>
            </w:r>
          </w:p>
        </w:tc>
        <w:tc>
          <w:tcPr/>
          <w:p w:rsidR="00000000" w:rsidDel="00000000" w:rsidP="00000000" w:rsidRDefault="00000000" w:rsidRPr="00000000" w14:paraId="000000A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Moderate</w:t>
            </w:r>
          </w:p>
        </w:tc>
        <w:tc>
          <w:tcPr/>
          <w:p w:rsidR="00000000" w:rsidDel="00000000" w:rsidP="00000000" w:rsidRDefault="00000000" w:rsidRPr="00000000" w14:paraId="000000A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Moderate</w:t>
            </w:r>
          </w:p>
        </w:tc>
        <w:tc>
          <w:tcPr/>
          <w:p w:rsidR="00000000" w:rsidDel="00000000" w:rsidP="00000000" w:rsidRDefault="00000000" w:rsidRPr="00000000" w14:paraId="000000AC">
            <w:pPr>
              <w:spacing w:line="360" w:lineRule="auto"/>
              <w:jc w:val="both"/>
              <w:rPr>
                <w:rFonts w:ascii="Arial" w:cs="Arial" w:eastAsia="Arial" w:hAnsi="Arial"/>
                <w:sz w:val="24"/>
                <w:szCs w:val="24"/>
              </w:rPr>
            </w:pPr>
            <w:r w:rsidDel="00000000" w:rsidR="00000000" w:rsidRPr="00000000">
              <w:rPr>
                <w:rFonts w:ascii="Arial Unicode MS" w:cs="Arial Unicode MS" w:eastAsia="Arial Unicode MS" w:hAnsi="Arial Unicode MS"/>
                <w:sz w:val="24"/>
                <w:szCs w:val="24"/>
                <w:rtl w:val="0"/>
              </w:rPr>
              <w:t xml:space="preserve">✔</w:t>
            </w:r>
            <w:r w:rsidDel="00000000" w:rsidR="00000000" w:rsidRPr="00000000">
              <w:rPr>
                <w:rtl w:val="0"/>
              </w:rPr>
            </w:r>
          </w:p>
        </w:tc>
        <w:tc>
          <w:tcPr/>
          <w:p w:rsidR="00000000" w:rsidDel="00000000" w:rsidP="00000000" w:rsidRDefault="00000000" w:rsidRPr="00000000" w14:paraId="000000AD">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Temporary competitive advantage</w:t>
            </w:r>
          </w:p>
        </w:tc>
      </w:tr>
    </w:tbl>
    <w:p w:rsidR="00000000" w:rsidDel="00000000" w:rsidP="00000000" w:rsidRDefault="00000000" w:rsidRPr="00000000" w14:paraId="000000AE">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F">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While Amazon’s resources such as AWS infrastructure and customer data provide sustained competitive advantage, the VRIO framework assumes relative stability of resources. In reality, rapid technological change and competitive imitation, particularly from Microsoft Azure and Google Cloud, challenge the durability of these advantages. Therefore, Amazon’s long-term success depends not only on resource ownership but on its ability to continuously renew capabilities, aligning with dynamic capability theory (Teece, 2021).</w:t>
      </w:r>
    </w:p>
    <w:p w:rsidR="00000000" w:rsidDel="00000000" w:rsidP="00000000" w:rsidRDefault="00000000" w:rsidRPr="00000000" w14:paraId="000000B0">
      <w:pPr>
        <w:pStyle w:val="Heading3"/>
        <w:rPr/>
      </w:pPr>
      <w:bookmarkStart w:colFirst="0" w:colLast="0" w:name="_1qexnrc9qha" w:id="12"/>
      <w:bookmarkEnd w:id="12"/>
      <w:r w:rsidDel="00000000" w:rsidR="00000000" w:rsidRPr="00000000">
        <w:rPr>
          <w:rtl w:val="0"/>
        </w:rPr>
        <w:t xml:space="preserve">2.2.3 Connecting VRIO and Long-term Competitive Advantage.</w:t>
      </w:r>
    </w:p>
    <w:p w:rsidR="00000000" w:rsidDel="00000000" w:rsidP="00000000" w:rsidRDefault="00000000" w:rsidRPr="00000000" w14:paraId="000000B1">
      <w:pPr>
        <w:keepNext w:val="1"/>
        <w:jc w:val="center"/>
        <w:rPr/>
      </w:pPr>
      <w:r w:rsidDel="00000000" w:rsidR="00000000" w:rsidRPr="00000000">
        <w:rPr/>
        <w:drawing>
          <wp:inline distB="0" distT="0" distL="0" distR="0">
            <wp:extent cx="2543824" cy="1695883"/>
            <wp:effectExtent b="0" l="0" r="0" t="0"/>
            <wp:docPr id="5"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2543824" cy="1695883"/>
                    </a:xfrm>
                    <a:prstGeom prst="rect"/>
                    <a:ln/>
                  </pic:spPr>
                </pic:pic>
              </a:graphicData>
            </a:graphic>
          </wp:inline>
        </w:drawing>
      </w:r>
      <w:r w:rsidDel="00000000" w:rsidR="00000000" w:rsidRPr="00000000">
        <w:rPr>
          <w:rtl w:val="0"/>
        </w:rPr>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1"/>
          <w:iCs w:val="1"/>
          <w:smallCaps w:val="0"/>
          <w:strike w:val="0"/>
          <w:color w:val="44546a"/>
          <w:sz w:val="20"/>
          <w:szCs w:val="20"/>
          <w:u w:val="none"/>
          <w:shd w:fill="auto" w:val="clear"/>
          <w:vertAlign w:val="baseline"/>
        </w:rPr>
      </w:pPr>
      <w:bookmarkStart w:colFirst="0" w:colLast="0" w:name="_ndukeh7xi0vz" w:id="13"/>
      <w:bookmarkEnd w:id="13"/>
      <w:r w:rsidDel="00000000" w:rsidR="00000000" w:rsidRPr="00000000">
        <w:rPr>
          <w:rFonts w:ascii="Arial" w:cs="Arial" w:eastAsia="Arial" w:hAnsi="Arial"/>
          <w:b w:val="0"/>
          <w:bCs w:val="0"/>
          <w:i w:val="1"/>
          <w:iCs w:val="1"/>
          <w:smallCaps w:val="0"/>
          <w:strike w:val="0"/>
          <w:color w:val="44546a"/>
          <w:sz w:val="20"/>
          <w:szCs w:val="20"/>
          <w:u w:val="none"/>
          <w:shd w:fill="auto" w:val="clear"/>
          <w:vertAlign w:val="baseline"/>
          <w:rtl w:val="0"/>
        </w:rPr>
        <w:t xml:space="preserve">Figure 2-Synergy in Motion: AWS powers logistics, which fuels customer data insights, building brand trust that reinforces the AWS ecosystem</w:t>
      </w:r>
    </w:p>
    <w:p w:rsidR="00000000" w:rsidDel="00000000" w:rsidP="00000000" w:rsidRDefault="00000000" w:rsidRPr="00000000" w14:paraId="000000B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synergistic relationship between the VRIO-qualified resources of Amazon allows gaining competitive advantage in the long term by enhancing the strategic coherence of business units. The long-term benefits of AWS and data analytics offset cost-effective retail business to facilitate the hybrid cost leadership and differentiation approach of Amazon. Yet, to sustain such an advantage, it is important to invest constantly, align the organisations and be receptive to the outside forces. The inability to deal with regulatory, labour, or sustainability issues may undermine otherwise powerful VRIO resources as time goes by, illustrating the dynamism of competitive edge in unstable international markets.</w:t>
      </w:r>
    </w:p>
    <w:p w:rsidR="00000000" w:rsidDel="00000000" w:rsidP="00000000" w:rsidRDefault="00000000" w:rsidRPr="00000000" w14:paraId="000000B4">
      <w:pPr>
        <w:pStyle w:val="Heading1"/>
        <w:rPr/>
      </w:pPr>
      <w:bookmarkStart w:colFirst="0" w:colLast="0" w:name="_o40fic4ok6vi" w:id="14"/>
      <w:bookmarkEnd w:id="14"/>
      <w:r w:rsidDel="00000000" w:rsidR="00000000" w:rsidRPr="00000000">
        <w:rPr>
          <w:rtl w:val="0"/>
        </w:rPr>
        <w:t xml:space="preserve">3. CSR &amp; Sustainability Objectives</w:t>
      </w:r>
    </w:p>
    <w:p w:rsidR="00000000" w:rsidDel="00000000" w:rsidP="00000000" w:rsidRDefault="00000000" w:rsidRPr="00000000" w14:paraId="000000B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corporate social responsibility (CSR) and sustainability goals of Amazon have been deeply embedded into the corporate strategy of the company over a long period, in response to rising regulatory, societal, and investor demands between 2021 and 2025.</w:t>
      </w:r>
    </w:p>
    <w:p w:rsidR="00000000" w:rsidDel="00000000" w:rsidP="00000000" w:rsidRDefault="00000000" w:rsidRPr="00000000" w14:paraId="000000B6">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Pr>
        <w:drawing>
          <wp:inline distB="0" distT="0" distL="0" distR="0">
            <wp:extent cx="2532084" cy="1688056"/>
            <wp:effectExtent b="0" l="0" r="0" t="0"/>
            <wp:docPr id="4"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2532084" cy="1688056"/>
                    </a:xfrm>
                    <a:prstGeom prst="rect"/>
                    <a:ln/>
                  </pic:spPr>
                </pic:pic>
              </a:graphicData>
            </a:graphic>
          </wp:inline>
        </w:drawing>
      </w:r>
      <w:r w:rsidDel="00000000" w:rsidR="00000000" w:rsidRPr="00000000">
        <w:rPr>
          <w:rtl w:val="0"/>
        </w:rPr>
      </w:r>
    </w:p>
    <w:p w:rsidR="00000000" w:rsidDel="00000000" w:rsidP="00000000" w:rsidRDefault="00000000" w:rsidRPr="00000000" w14:paraId="000000B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One of the key pillars of its sustainability strategy is The Climate Pledge, based on which the company has pledged to be net-zero on carbon emissions by 2040, ten years earlier than the Paris Agreement target (Amazon, 2022). This has seen it invest heavily in renewable energy including wind and solar projects to power their data centres, fulfilment centres and cloud infrastructure making the firm one of the largest corporate buyers of renewable energy in the world (IEA, 2023).</w:t>
      </w:r>
    </w:p>
    <w:p w:rsidR="00000000" w:rsidDel="00000000" w:rsidP="00000000" w:rsidRDefault="00000000" w:rsidRPr="00000000" w14:paraId="000000B8">
      <w:pPr>
        <w:keepNext w:val="1"/>
        <w:spacing w:line="360" w:lineRule="auto"/>
        <w:jc w:val="center"/>
        <w:rPr/>
      </w:pPr>
      <w:r w:rsidDel="00000000" w:rsidR="00000000" w:rsidRPr="00000000">
        <w:rPr>
          <w:rFonts w:ascii="Arial" w:cs="Arial" w:eastAsia="Arial" w:hAnsi="Arial"/>
          <w:sz w:val="24"/>
          <w:szCs w:val="24"/>
        </w:rPr>
        <w:drawing>
          <wp:inline distB="0" distT="0" distL="0" distR="0">
            <wp:extent cx="3333750" cy="2222500"/>
            <wp:effectExtent b="0" l="0" r="0" t="0"/>
            <wp:docPr id="7" name="image7.png"/>
            <a:graphic>
              <a:graphicData uri="http://schemas.openxmlformats.org/drawingml/2006/picture">
                <pic:pic>
                  <pic:nvPicPr>
                    <pic:cNvPr id="0" name="image7.png"/>
                    <pic:cNvPicPr preferRelativeResize="0"/>
                  </pic:nvPicPr>
                  <pic:blipFill>
                    <a:blip r:embed="rId11"/>
                    <a:srcRect b="0" l="0" r="0" t="0"/>
                    <a:stretch>
                      <a:fillRect/>
                    </a:stretch>
                  </pic:blipFill>
                  <pic:spPr>
                    <a:xfrm>
                      <a:off x="0" y="0"/>
                      <a:ext cx="3333750" cy="2222500"/>
                    </a:xfrm>
                    <a:prstGeom prst="rect"/>
                    <a:ln/>
                  </pic:spPr>
                </pic:pic>
              </a:graphicData>
            </a:graphic>
          </wp:inline>
        </w:drawing>
      </w: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1"/>
          <w:iCs w:val="1"/>
          <w:smallCaps w:val="0"/>
          <w:strike w:val="0"/>
          <w:color w:val="44546a"/>
          <w:sz w:val="28"/>
          <w:szCs w:val="28"/>
          <w:u w:val="none"/>
          <w:shd w:fill="auto" w:val="clear"/>
          <w:vertAlign w:val="baseline"/>
        </w:rPr>
      </w:pPr>
      <w:bookmarkStart w:colFirst="0" w:colLast="0" w:name="_9fviwtx3erca" w:id="15"/>
      <w:bookmarkEnd w:id="15"/>
      <w:r w:rsidDel="00000000" w:rsidR="00000000" w:rsidRPr="00000000">
        <w:rPr>
          <w:rFonts w:ascii="Arial" w:cs="Arial" w:eastAsia="Arial" w:hAnsi="Arial"/>
          <w:b w:val="0"/>
          <w:bCs w:val="0"/>
          <w:i w:val="1"/>
          <w:iCs w:val="1"/>
          <w:smallCaps w:val="0"/>
          <w:strike w:val="0"/>
          <w:color w:val="44546a"/>
          <w:sz w:val="20"/>
          <w:szCs w:val="20"/>
          <w:u w:val="none"/>
          <w:shd w:fill="auto" w:val="clear"/>
          <w:vertAlign w:val="baseline"/>
          <w:rtl w:val="0"/>
        </w:rPr>
        <w:t xml:space="preserve">Figure 3Trends in Sustainability: From 2021 to 2025, carbon emissions steadily decline while renewable energy investments rise</w:t>
      </w:r>
      <w:r w:rsidDel="00000000" w:rsidR="00000000" w:rsidRPr="00000000">
        <w:rPr>
          <w:rtl w:val="0"/>
        </w:rPr>
      </w:r>
    </w:p>
    <w:p w:rsidR="00000000" w:rsidDel="00000000" w:rsidP="00000000" w:rsidRDefault="00000000" w:rsidRPr="00000000" w14:paraId="000000B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Simultaneously, Amazon has reinforced ethical supply chain, with emphasis on responsible sourcing, supplier audit and adherence to labour standards. Such initiatives are also meant to minimise reputational risks linked to international sourcing as well as addressing challenges posed by regulators, non-governmental organisations, and consumers about labour practices (ILO, 2022). On the inside, worker health and wage policies will be strategic and minimum wages in key markets will be raised, as well as investments in health and safety of fulfilment operations will be increased (Amazon, 2023).</w:t>
      </w:r>
    </w:p>
    <w:p w:rsidR="00000000" w:rsidDel="00000000" w:rsidP="00000000" w:rsidRDefault="00000000" w:rsidRPr="00000000" w14:paraId="000000B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Importantly, CSR strategy of Amazon shows that the company has moved away not only the conventional philanthropy but also CSR as a strategic investment. Sustainability programs maintain operational efficiencies, like less energy expenses of renewables, and resiliency to increasing environmental regulations. Nevertheless, there are a conflict between high growth rates, speed of delivery and sustainability goals, especially in terms of carbon emissions due to logistics and packaging waste (OECD, 2024).</w:t>
      </w:r>
    </w:p>
    <w:p w:rsidR="00000000" w:rsidDel="00000000" w:rsidP="00000000" w:rsidRDefault="00000000" w:rsidRPr="00000000" w14:paraId="000000BC">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Strategically speaking, CSR activities enhance brand reputation through consumer confidence, enhance regulatory legitimacy by keeping in line with emerging environmental and labor regulations, and bring about long-term efficiency in costs (through energy conservation and avoidance of risks). However, the balance between the expectations of the stakeholders and the shareholder value remains to be the crucial issue, which necessitates the long-term governance and performance measurement. </w:t>
      </w:r>
    </w:p>
    <w:p w:rsidR="00000000" w:rsidDel="00000000" w:rsidP="00000000" w:rsidRDefault="00000000" w:rsidRPr="00000000" w14:paraId="000000BD">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However, a tension exists between Amazon’s growth strategy and its sustainability commitments, as faster delivery and expanding logistics networks increase carbon emissions. This highlights the challenge of balancing shareholder value with stakeholder expectations.</w:t>
      </w:r>
    </w:p>
    <w:p w:rsidR="00000000" w:rsidDel="00000000" w:rsidP="00000000" w:rsidRDefault="00000000" w:rsidRPr="00000000" w14:paraId="000000BE">
      <w:pPr>
        <w:pStyle w:val="Heading1"/>
        <w:rPr/>
      </w:pPr>
      <w:bookmarkStart w:colFirst="0" w:colLast="0" w:name="_bb8ni4he32eb" w:id="16"/>
      <w:bookmarkEnd w:id="16"/>
      <w:r w:rsidDel="00000000" w:rsidR="00000000" w:rsidRPr="00000000">
        <w:rPr>
          <w:rtl w:val="0"/>
        </w:rPr>
        <w:t xml:space="preserve">4. Balanced Scorecard: A Balanced Performance View.</w:t>
      </w:r>
    </w:p>
    <w:p w:rsidR="00000000" w:rsidDel="00000000" w:rsidP="00000000" w:rsidRDefault="00000000" w:rsidRPr="00000000" w14:paraId="000000BF">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0">
      <w:pPr>
        <w:keepNext w:val="1"/>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b w:val="0"/>
          <w:bCs w:val="0"/>
          <w:i w:val="1"/>
          <w:iCs w:val="1"/>
          <w:smallCaps w:val="0"/>
          <w:strike w:val="0"/>
          <w:color w:val="44546a"/>
          <w:sz w:val="20"/>
          <w:szCs w:val="20"/>
          <w:u w:val="none"/>
          <w:shd w:fill="auto" w:val="clear"/>
          <w:vertAlign w:val="baseline"/>
        </w:rPr>
      </w:pPr>
      <w:bookmarkStart w:colFirst="0" w:colLast="0" w:name="_n6lic6hqusfs" w:id="17"/>
      <w:bookmarkEnd w:id="17"/>
      <w:r w:rsidDel="00000000" w:rsidR="00000000" w:rsidRPr="00000000">
        <w:rPr>
          <w:rFonts w:ascii="Arial" w:cs="Arial" w:eastAsia="Arial" w:hAnsi="Arial"/>
          <w:b w:val="0"/>
          <w:bCs w:val="0"/>
          <w:i w:val="1"/>
          <w:iCs w:val="1"/>
          <w:smallCaps w:val="0"/>
          <w:strike w:val="0"/>
          <w:color w:val="44546a"/>
          <w:sz w:val="20"/>
          <w:szCs w:val="20"/>
          <w:u w:val="none"/>
          <w:shd w:fill="auto" w:val="clear"/>
          <w:vertAlign w:val="baseline"/>
          <w:rtl w:val="0"/>
        </w:rPr>
        <w:t xml:space="preserve">Table 3-A Balanced Performance View</w:t>
      </w:r>
    </w:p>
    <w:tbl>
      <w:tblPr>
        <w:tblStyle w:val="Table3"/>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70"/>
        <w:gridCol w:w="1870"/>
        <w:gridCol w:w="1870"/>
        <w:gridCol w:w="1870"/>
        <w:gridCol w:w="1870"/>
        <w:tblGridChange w:id="0">
          <w:tblGrid>
            <w:gridCol w:w="1870"/>
            <w:gridCol w:w="1870"/>
            <w:gridCol w:w="1870"/>
            <w:gridCol w:w="1870"/>
            <w:gridCol w:w="1870"/>
          </w:tblGrid>
        </w:tblGridChange>
      </w:tblGrid>
      <w:tr>
        <w:trPr>
          <w:cantSplit w:val="0"/>
          <w:tblHeader w:val="0"/>
        </w:trPr>
        <w:tc>
          <w:tcPr/>
          <w:p w:rsidR="00000000" w:rsidDel="00000000" w:rsidP="00000000" w:rsidRDefault="00000000" w:rsidRPr="00000000" w14:paraId="000000C1">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Perspective</w:t>
            </w:r>
          </w:p>
        </w:tc>
        <w:tc>
          <w:tcPr/>
          <w:p w:rsidR="00000000" w:rsidDel="00000000" w:rsidP="00000000" w:rsidRDefault="00000000" w:rsidRPr="00000000" w14:paraId="000000C2">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Objectives</w:t>
            </w:r>
          </w:p>
        </w:tc>
        <w:tc>
          <w:tcPr/>
          <w:p w:rsidR="00000000" w:rsidDel="00000000" w:rsidP="00000000" w:rsidRDefault="00000000" w:rsidRPr="00000000" w14:paraId="000000C3">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KPIs</w:t>
            </w:r>
          </w:p>
        </w:tc>
        <w:tc>
          <w:tcPr/>
          <w:p w:rsidR="00000000" w:rsidDel="00000000" w:rsidP="00000000" w:rsidRDefault="00000000" w:rsidRPr="00000000" w14:paraId="000000C4">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Targets</w:t>
            </w:r>
          </w:p>
        </w:tc>
        <w:tc>
          <w:tcPr/>
          <w:p w:rsidR="00000000" w:rsidDel="00000000" w:rsidP="00000000" w:rsidRDefault="00000000" w:rsidRPr="00000000" w14:paraId="000000C5">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Initiatives</w:t>
            </w:r>
          </w:p>
        </w:tc>
      </w:tr>
      <w:tr>
        <w:trPr>
          <w:cantSplit w:val="0"/>
          <w:tblHeader w:val="0"/>
        </w:trPr>
        <w:tc>
          <w:tcPr/>
          <w:p w:rsidR="00000000" w:rsidDel="00000000" w:rsidP="00000000" w:rsidRDefault="00000000" w:rsidRPr="00000000" w14:paraId="000000C6">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Financial</w:t>
            </w:r>
          </w:p>
        </w:tc>
        <w:tc>
          <w:tcPr/>
          <w:p w:rsidR="00000000" w:rsidDel="00000000" w:rsidP="00000000" w:rsidRDefault="00000000" w:rsidRPr="00000000" w14:paraId="000000C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Revenue growth</w:t>
            </w:r>
          </w:p>
        </w:tc>
        <w:tc>
          <w:tcPr/>
          <w:p w:rsidR="00000000" w:rsidDel="00000000" w:rsidP="00000000" w:rsidRDefault="00000000" w:rsidRPr="00000000" w14:paraId="000000C8">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ROIC, operating margin</w:t>
            </w:r>
          </w:p>
        </w:tc>
        <w:tc>
          <w:tcPr/>
          <w:p w:rsidR="00000000" w:rsidDel="00000000" w:rsidP="00000000" w:rsidRDefault="00000000" w:rsidRPr="00000000" w14:paraId="000000C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Annual growth %</w:t>
            </w:r>
          </w:p>
        </w:tc>
        <w:tc>
          <w:tcPr/>
          <w:p w:rsidR="00000000" w:rsidDel="00000000" w:rsidP="00000000" w:rsidRDefault="00000000" w:rsidRPr="00000000" w14:paraId="000000C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AWS expansion</w:t>
            </w:r>
          </w:p>
        </w:tc>
      </w:tr>
      <w:tr>
        <w:trPr>
          <w:cantSplit w:val="0"/>
          <w:tblHeader w:val="0"/>
        </w:trPr>
        <w:tc>
          <w:tcPr/>
          <w:p w:rsidR="00000000" w:rsidDel="00000000" w:rsidP="00000000" w:rsidRDefault="00000000" w:rsidRPr="00000000" w14:paraId="000000C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Customer</w:t>
            </w:r>
          </w:p>
        </w:tc>
        <w:tc>
          <w:tcPr/>
          <w:p w:rsidR="00000000" w:rsidDel="00000000" w:rsidP="00000000" w:rsidRDefault="00000000" w:rsidRPr="00000000" w14:paraId="000000CC">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Customer satisfaction</w:t>
            </w:r>
          </w:p>
        </w:tc>
        <w:tc>
          <w:tcPr/>
          <w:p w:rsidR="00000000" w:rsidDel="00000000" w:rsidP="00000000" w:rsidRDefault="00000000" w:rsidRPr="00000000" w14:paraId="000000CD">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NPS, Prime retention</w:t>
            </w:r>
          </w:p>
        </w:tc>
        <w:tc>
          <w:tcPr/>
          <w:p w:rsidR="00000000" w:rsidDel="00000000" w:rsidP="00000000" w:rsidRDefault="00000000" w:rsidRPr="00000000" w14:paraId="000000CE">
            <w:pPr>
              <w:spacing w:line="360" w:lineRule="auto"/>
              <w:jc w:val="both"/>
              <w:rPr>
                <w:rFonts w:ascii="Arial" w:cs="Arial" w:eastAsia="Arial" w:hAnsi="Arial"/>
                <w:sz w:val="24"/>
                <w:szCs w:val="24"/>
              </w:rPr>
            </w:pPr>
            <w:r w:rsidDel="00000000" w:rsidR="00000000" w:rsidRPr="00000000">
              <w:rPr>
                <w:rFonts w:ascii="Arial Unicode MS" w:cs="Arial Unicode MS" w:eastAsia="Arial Unicode MS" w:hAnsi="Arial Unicode MS"/>
                <w:sz w:val="24"/>
                <w:szCs w:val="24"/>
                <w:rtl w:val="0"/>
              </w:rPr>
              <w:t xml:space="preserve">↑ Retention</w:t>
            </w:r>
          </w:p>
        </w:tc>
        <w:tc>
          <w:tcPr/>
          <w:p w:rsidR="00000000" w:rsidDel="00000000" w:rsidP="00000000" w:rsidRDefault="00000000" w:rsidRPr="00000000" w14:paraId="000000CF">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Faster delivery</w:t>
            </w:r>
          </w:p>
        </w:tc>
      </w:tr>
      <w:tr>
        <w:trPr>
          <w:cantSplit w:val="0"/>
          <w:tblHeader w:val="0"/>
        </w:trPr>
        <w:tc>
          <w:tcPr/>
          <w:p w:rsidR="00000000" w:rsidDel="00000000" w:rsidP="00000000" w:rsidRDefault="00000000" w:rsidRPr="00000000" w14:paraId="000000D0">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Internal Process</w:t>
            </w:r>
          </w:p>
        </w:tc>
        <w:tc>
          <w:tcPr/>
          <w:p w:rsidR="00000000" w:rsidDel="00000000" w:rsidP="00000000" w:rsidRDefault="00000000" w:rsidRPr="00000000" w14:paraId="000000D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Fulfilment efficiency</w:t>
            </w:r>
          </w:p>
        </w:tc>
        <w:tc>
          <w:tcPr/>
          <w:p w:rsidR="00000000" w:rsidDel="00000000" w:rsidP="00000000" w:rsidRDefault="00000000" w:rsidRPr="00000000" w14:paraId="000000D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Order cycle time</w:t>
            </w:r>
          </w:p>
        </w:tc>
        <w:tc>
          <w:tcPr/>
          <w:p w:rsidR="00000000" w:rsidDel="00000000" w:rsidP="00000000" w:rsidRDefault="00000000" w:rsidRPr="00000000" w14:paraId="000000D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24-hour delivery</w:t>
            </w:r>
          </w:p>
        </w:tc>
        <w:tc>
          <w:tcPr/>
          <w:p w:rsidR="00000000" w:rsidDel="00000000" w:rsidP="00000000" w:rsidRDefault="00000000" w:rsidRPr="00000000" w14:paraId="000000D4">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Automation</w:t>
            </w:r>
          </w:p>
        </w:tc>
      </w:tr>
      <w:tr>
        <w:trPr>
          <w:cantSplit w:val="0"/>
          <w:tblHeader w:val="0"/>
        </w:trPr>
        <w:tc>
          <w:tcPr/>
          <w:p w:rsidR="00000000" w:rsidDel="00000000" w:rsidP="00000000" w:rsidRDefault="00000000" w:rsidRPr="00000000" w14:paraId="000000D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Learning &amp; Growth</w:t>
            </w:r>
          </w:p>
        </w:tc>
        <w:tc>
          <w:tcPr/>
          <w:p w:rsidR="00000000" w:rsidDel="00000000" w:rsidP="00000000" w:rsidRDefault="00000000" w:rsidRPr="00000000" w14:paraId="000000D6">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Innovation</w:t>
            </w:r>
          </w:p>
        </w:tc>
        <w:tc>
          <w:tcPr/>
          <w:p w:rsidR="00000000" w:rsidDel="00000000" w:rsidP="00000000" w:rsidRDefault="00000000" w:rsidRPr="00000000" w14:paraId="000000D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R&amp;D spend</w:t>
            </w:r>
          </w:p>
        </w:tc>
        <w:tc>
          <w:tcPr/>
          <w:p w:rsidR="00000000" w:rsidDel="00000000" w:rsidP="00000000" w:rsidRDefault="00000000" w:rsidRPr="00000000" w14:paraId="000000D8">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revenue</w:t>
            </w:r>
          </w:p>
        </w:tc>
        <w:tc>
          <w:tcPr/>
          <w:p w:rsidR="00000000" w:rsidDel="00000000" w:rsidP="00000000" w:rsidRDefault="00000000" w:rsidRPr="00000000" w14:paraId="000000D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AI &amp; skills</w:t>
            </w:r>
          </w:p>
        </w:tc>
      </w:tr>
    </w:tbl>
    <w:p w:rsidR="00000000" w:rsidDel="00000000" w:rsidP="00000000" w:rsidRDefault="00000000" w:rsidRPr="00000000" w14:paraId="000000D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Although the Balanced Scorecard demonstrates strong alignment between Amazon’s strategic objectives and operational activities, conflicts arise between performance dimensions. For example, initiatives aimed at faster delivery improve customer satisfaction but increase logistics costs and environmental impact. This highlights a strategic trade-off between efficiency, sustainability, and profitability. Consequently, Amazon must adopt an integrated approach that balances short-term performance with long-term sustainability goals.</w:t>
      </w:r>
    </w:p>
    <w:p w:rsidR="00000000" w:rsidDel="00000000" w:rsidP="00000000" w:rsidRDefault="00000000" w:rsidRPr="00000000" w14:paraId="000000D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Balanced Scorecard (BSC) model introduced by Kaplan and Norton (1992) offers an integrated method of transforming organisational mission and strategy into quantifiable targets in four perspectives that are interrelated, namely: Financial, Customer, Internal Process, and Learning and Growth. When applied to Amazon, the BSC shows great strategic alignment with the mission of the company to become Earth-based customer-centric company and be profitable in the long run and innovative (Amazon, 2023).</w:t>
      </w:r>
    </w:p>
    <w:p w:rsidR="00000000" w:rsidDel="00000000" w:rsidP="00000000" w:rsidRDefault="00000000" w:rsidRPr="00000000" w14:paraId="000000DC">
      <w:pPr>
        <w:pStyle w:val="Heading2"/>
        <w:rPr/>
      </w:pPr>
      <w:bookmarkStart w:colFirst="0" w:colLast="0" w:name="_80f3jimplqz0" w:id="18"/>
      <w:bookmarkEnd w:id="18"/>
      <w:r w:rsidDel="00000000" w:rsidR="00000000" w:rsidRPr="00000000">
        <w:rPr>
          <w:rtl w:val="0"/>
        </w:rPr>
        <w:t xml:space="preserve">4.1 Financial Perspective</w:t>
      </w:r>
    </w:p>
    <w:p w:rsidR="00000000" w:rsidDel="00000000" w:rsidP="00000000" w:rsidRDefault="00000000" w:rsidRPr="00000000" w14:paraId="000000DD">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core financial position of Amazon is to maintain the growth of revenues and enhance operational efficiency in its business portfolio, which is diversified. The key performance indicators (KPIs) are Return on invested capital (ROIC) and operating margin which will show the capability of the firm to translate scale into profitability especially in segments with a high margin like the cloud computing. Strategic activities, including AWS expansion, investment in data centres, and diversification of global services, facilitate targeted annual growth rates (McKinsey, 2022). The view is in line with the strategy of Amazon to finance innovation and infrastructure using robust cash flows, so that it can shareholder value long term and not profits maximisation in the short term.</w:t>
      </w:r>
    </w:p>
    <w:p w:rsidR="00000000" w:rsidDel="00000000" w:rsidP="00000000" w:rsidRDefault="00000000" w:rsidRPr="00000000" w14:paraId="000000DE">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F">
      <w:pPr>
        <w:pStyle w:val="Heading2"/>
        <w:rPr/>
      </w:pPr>
      <w:bookmarkStart w:colFirst="0" w:colLast="0" w:name="_nzz89ndtjjzb" w:id="19"/>
      <w:bookmarkEnd w:id="19"/>
      <w:r w:rsidDel="00000000" w:rsidR="00000000" w:rsidRPr="00000000">
        <w:rPr>
          <w:rtl w:val="0"/>
        </w:rPr>
        <w:t xml:space="preserve">4.2 Customer Perspective</w:t>
      </w:r>
    </w:p>
    <w:p w:rsidR="00000000" w:rsidDel="00000000" w:rsidP="00000000" w:rsidRDefault="00000000" w:rsidRPr="00000000" w14:paraId="000000E0">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Customer satisfaction and loyalty is the critical element of competitive positioning of Amazon. The core KPIs are Net Promoter Score (NPS), retention rates of Amazon Prime, and they measure how customers perceive the value, reliability, and the quality of the service. Targets are aiming at retention, which is achieved by making things more convenient and faster. The accelerated delivery, customised suggestions, and smooth online experiences are strategic projects that directly support the customer-centric mission of Amazon (Deloitte, 2021). This view associates non-financial customer results to financial growth in the future, a scenario that demonstrates the claim made by Kaplan and Norton that customer value drivers are the leading financial success factors.</w:t>
      </w:r>
    </w:p>
    <w:p w:rsidR="00000000" w:rsidDel="00000000" w:rsidP="00000000" w:rsidRDefault="00000000" w:rsidRPr="00000000" w14:paraId="000000E1">
      <w:pPr>
        <w:pStyle w:val="Heading2"/>
        <w:rPr/>
      </w:pPr>
      <w:bookmarkStart w:colFirst="0" w:colLast="0" w:name="_8yvthojs708o" w:id="20"/>
      <w:bookmarkEnd w:id="20"/>
      <w:r w:rsidDel="00000000" w:rsidR="00000000" w:rsidRPr="00000000">
        <w:rPr>
          <w:rtl w:val="0"/>
        </w:rPr>
        <w:t xml:space="preserve">4.3 Internal Process Perspective.</w:t>
      </w:r>
    </w:p>
    <w:p w:rsidR="00000000" w:rsidDel="00000000" w:rsidP="00000000" w:rsidRDefault="00000000" w:rsidRPr="00000000" w14:paraId="000000E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strategy of Amazon focuses on operational excellence, which is why the fulfilment efficiency is an important internal goal. The effectiveness of logistics and warehouse operations is measured by such KPIs as the time spent on processing an order and the precision of delivery. Automation, robotics, and state-of-the-art inventory management systems allow Amazon to achieve its strategic objective of delivering products within 24 hours in major markets (PwC, 2023). Such initiatives lower the costs per unit, but also increase the service reliability, which shows a high level of correspondence between the internal processes and the expectations of the customers. Internal process perspective is therefore a bridge which converts strategic intent into operational implementation.</w:t>
      </w:r>
    </w:p>
    <w:p w:rsidR="00000000" w:rsidDel="00000000" w:rsidP="00000000" w:rsidRDefault="00000000" w:rsidRPr="00000000" w14:paraId="000000E3">
      <w:pPr>
        <w:pStyle w:val="Heading2"/>
        <w:rPr/>
      </w:pPr>
      <w:bookmarkStart w:colFirst="0" w:colLast="0" w:name="_8pskdyxanw1a" w:id="21"/>
      <w:bookmarkEnd w:id="21"/>
      <w:r w:rsidDel="00000000" w:rsidR="00000000" w:rsidRPr="00000000">
        <w:rPr>
          <w:rtl w:val="0"/>
        </w:rPr>
        <w:t xml:space="preserve">4.4 Learning Perspective/Growth Perspective.</w:t>
      </w:r>
    </w:p>
    <w:p w:rsidR="00000000" w:rsidDel="00000000" w:rsidP="00000000" w:rsidRDefault="00000000" w:rsidRPr="00000000" w14:paraId="000000E4">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Long-run flexibility and innovation ability of Amazon is supported by the Learning &amp; Growth perspective. The major goals are maintaining technological leadership and development of workforce capability. KPIs are centered on the percentage of revenue on R&amp;D spending and employee upskillings. Targets underline the constant investment in AI, machine learning, and digital skills so that the organisation was competitive in the rapidly changing markets (WEF, 2024). This point of view justifies the strategic focus of doing experiments and long-term innovation at Amazon, which proves the principle that intangible resources are the sources of future performance.</w:t>
      </w:r>
    </w:p>
    <w:p w:rsidR="00000000" w:rsidDel="00000000" w:rsidP="00000000" w:rsidRDefault="00000000" w:rsidRPr="00000000" w14:paraId="000000E5">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6">
      <w:pPr>
        <w:pStyle w:val="Heading2"/>
        <w:rPr/>
      </w:pPr>
      <w:bookmarkStart w:colFirst="0" w:colLast="0" w:name="_28hza13nqob3" w:id="22"/>
      <w:bookmarkEnd w:id="22"/>
      <w:r w:rsidDel="00000000" w:rsidR="00000000" w:rsidRPr="00000000">
        <w:rPr>
          <w:rtl w:val="0"/>
        </w:rPr>
        <w:t xml:space="preserve">4.5 Strategic Integration and Alignment.</w:t>
      </w:r>
    </w:p>
    <w:p w:rsidR="00000000" w:rsidDel="00000000" w:rsidP="00000000" w:rsidRDefault="00000000" w:rsidRPr="00000000" w14:paraId="000000E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More importantly, the Balanced Scorecard used by Amazon proves to be highly vertically and horizontally aligned. Investments on Learning and Growth facilitate the best internal processes, which will help in improving customer satisfaction and provide financial performance in the end. This causal relationship indicates that the fundamental idea by Kaplan and Norton is that strategy implementation needs combined performance management. Comprehensively, the BSC of Amazon is well aligned with the mission and the strategy of the company, balancing between short-term operational objectives and long-term innovation and sustainability requirements, which makes this an effective instrument of strategic control and strategic advantage.</w:t>
      </w:r>
    </w:p>
    <w:p w:rsidR="00000000" w:rsidDel="00000000" w:rsidP="00000000" w:rsidRDefault="00000000" w:rsidRPr="00000000" w14:paraId="000000E8">
      <w:pPr>
        <w:pStyle w:val="Heading1"/>
        <w:rPr/>
      </w:pPr>
      <w:bookmarkStart w:colFirst="0" w:colLast="0" w:name="_udk95zypcczv" w:id="23"/>
      <w:bookmarkEnd w:id="23"/>
      <w:r w:rsidDel="00000000" w:rsidR="00000000" w:rsidRPr="00000000">
        <w:rPr>
          <w:rtl w:val="0"/>
        </w:rPr>
        <w:t xml:space="preserve">5. Strategic Choices &amp; Implementation</w:t>
      </w:r>
    </w:p>
    <w:p w:rsidR="00000000" w:rsidDel="00000000" w:rsidP="00000000" w:rsidRDefault="00000000" w:rsidRPr="00000000" w14:paraId="000000E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strategic decisions made by Amazon represent a very coordinated business-level and corporate-level strategies that are enabled by ongoing organisational change. The company has shown that over the last years of 2021-2025, it is capable of engaging in growth, efficiency, and innovation at the same time, which is complex yet effective as it follows a large scale, data capacity and organisational culture.</w:t>
      </w:r>
    </w:p>
    <w:p w:rsidR="00000000" w:rsidDel="00000000" w:rsidP="00000000" w:rsidRDefault="00000000" w:rsidRPr="00000000" w14:paraId="000000EA">
      <w:pPr>
        <w:pStyle w:val="Heading2"/>
        <w:rPr/>
      </w:pPr>
      <w:bookmarkStart w:colFirst="0" w:colLast="0" w:name="_xrpl4gwwrljq" w:id="24"/>
      <w:bookmarkEnd w:id="24"/>
      <w:r w:rsidDel="00000000" w:rsidR="00000000" w:rsidRPr="00000000">
        <w:rPr>
          <w:rtl w:val="0"/>
        </w:rPr>
        <w:t xml:space="preserve">5.1 Business-Level Strategy</w:t>
      </w:r>
    </w:p>
    <w:p w:rsidR="00000000" w:rsidDel="00000000" w:rsidP="00000000" w:rsidRDefault="00000000" w:rsidRPr="00000000" w14:paraId="000000E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On the business level, Amazon is a hybrid strategy of cost leadership/differentiation, which is challenging to imitate by the competitors. The scale of logistics and efficiency of operation are the main ways of cost leadership. The vast fulfilment system, automation, robotics, and sophisticated inventory optimisation of Amazon allow reducing the cost of a unit and process orders quicker, which contributes to competitive pricing and safeguards margins (Porter, 2022). This position is further strengthened by economies of scale in procurement, warehousing and transportation.</w:t>
      </w:r>
    </w:p>
    <w:p w:rsidR="00000000" w:rsidDel="00000000" w:rsidP="00000000" w:rsidRDefault="00000000" w:rsidRPr="00000000" w14:paraId="000000EC">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At the same time, Amazon aims at differentiation by developing value-added services like Amazon prime, AWS, and highly personalised customer experiences. Prime will increase customer loyalty by making delivery, streaming, and special offers a package, whereas AWS will distinguish Amazon by high-margin cloud services that invest in group-wide innovation (Statista, 2024). Data analytics-led personalisation increases switching costs and customer engagement.</w:t>
      </w:r>
    </w:p>
    <w:p w:rsidR="00000000" w:rsidDel="00000000" w:rsidP="00000000" w:rsidRDefault="00000000" w:rsidRPr="00000000" w14:paraId="000000ED">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However, combining cost leadership and differentiation creates strategic complexity, as failure in one area may undermine the overall strategy, making it difficult to sustain without continuous innovation.</w:t>
      </w:r>
    </w:p>
    <w:p w:rsidR="00000000" w:rsidDel="00000000" w:rsidP="00000000" w:rsidRDefault="00000000" w:rsidRPr="00000000" w14:paraId="000000EE">
      <w:pPr>
        <w:pStyle w:val="Heading2"/>
        <w:rPr/>
      </w:pPr>
      <w:bookmarkStart w:colFirst="0" w:colLast="0" w:name="_qt01jwq0l1ji" w:id="25"/>
      <w:bookmarkEnd w:id="25"/>
      <w:r w:rsidDel="00000000" w:rsidR="00000000" w:rsidRPr="00000000">
        <w:rPr>
          <w:rtl w:val="0"/>
        </w:rPr>
        <w:t xml:space="preserve">5.2 Corporate-Level Strategy</w:t>
      </w:r>
    </w:p>
    <w:p w:rsidR="00000000" w:rsidDel="00000000" w:rsidP="00000000" w:rsidRDefault="00000000" w:rsidRPr="00000000" w14:paraId="000000EF">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On the corporate level, Amazon pursues an associated diversification strategy. In addition to its fundamental online shopping, the company has diversified to include cloud computing (AWS), online advertisement, consumer electronics and online subscription practices. This diversification minimizes the reliance on retail on revenue and utilizes common resources like data infrastructure, brand equity and technological capabilities (Grant, 2023).</w:t>
      </w:r>
    </w:p>
    <w:p w:rsidR="00000000" w:rsidDel="00000000" w:rsidP="00000000" w:rsidRDefault="00000000" w:rsidRPr="00000000" w14:paraId="000000F0">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expansion in the international market is one of the strategic priorities, especially in emerging markets. Although regulation makes growth more complicated and infrastructure limitations hamper expansion, market diversification allows expansion in the long term and sharing of risks (OECD, 2024). Moreover, the vertical integration, particularly in the last-mile delivery, offered by Amazon also increases customer experience control, decreases the use of third-party logistics services, and increases the speed and reliability of the delivery process.</w:t>
      </w:r>
    </w:p>
    <w:p w:rsidR="00000000" w:rsidDel="00000000" w:rsidP="00000000" w:rsidRDefault="00000000" w:rsidRPr="00000000" w14:paraId="000000F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While diversification reduces risk, it may also dilute strategic focus and increase coordination challenges across business units.</w:t>
      </w:r>
    </w:p>
    <w:p w:rsidR="00000000" w:rsidDel="00000000" w:rsidP="00000000" w:rsidRDefault="00000000" w:rsidRPr="00000000" w14:paraId="000000F2">
      <w:pPr>
        <w:pStyle w:val="Heading2"/>
        <w:rPr/>
      </w:pPr>
      <w:bookmarkStart w:colFirst="0" w:colLast="0" w:name="_7jkb6by7j58y" w:id="26"/>
      <w:bookmarkEnd w:id="26"/>
      <w:r w:rsidDel="00000000" w:rsidR="00000000" w:rsidRPr="00000000">
        <w:rPr>
          <w:rtl w:val="0"/>
        </w:rPr>
        <w:t xml:space="preserve">5.3 Change Management and Implementation.</w:t>
      </w:r>
    </w:p>
    <w:p w:rsidR="00000000" w:rsidDel="00000000" w:rsidP="00000000" w:rsidRDefault="00000000" w:rsidRPr="00000000" w14:paraId="000000F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successful execution of the strategies of Amazon depends on the ongoing organisational change. The company constantly re-invents teams, business units, and processes according to current strategic priorities. This flexibility is supported by a robust cultural focus on innovation, experimentation and long-term thinking (Amazon, 2023). But speedy change has brought along some fighting back especially by labour forces who fear labour conditions, job losses and automation.</w:t>
      </w:r>
    </w:p>
    <w:p w:rsidR="00000000" w:rsidDel="00000000" w:rsidP="00000000" w:rsidRDefault="00000000" w:rsidRPr="00000000" w14:paraId="000000F4">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Theoretically, the change strategy deployed by Amazon fits the model of John Kotter well, especially the focus on the creation of urgency, empowerment of teams, and the incorporation of change in the organisational culture (Kotter, 2021). Communication in leadership concerning obsession with customers, innovation, and long-term value creation assists in legitimisation of change initiatives internally.</w:t>
      </w:r>
    </w:p>
    <w:p w:rsidR="00000000" w:rsidDel="00000000" w:rsidP="00000000" w:rsidRDefault="00000000" w:rsidRPr="00000000" w14:paraId="000000F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Aspects of the model by Kurt Lewin can also be observed. Amazon constantly unfreezes the established processes in its performance pressure and innovation targets, makes the change with the help of experiments and pilots, and refreezes the successful practice by means of standardisation and integration of the systems (Burnes, 2022). The refreezing stage is however, in most cases a temporary state that shows the dynamic nature of the firm.</w:t>
      </w:r>
    </w:p>
    <w:p w:rsidR="00000000" w:rsidDel="00000000" w:rsidP="00000000" w:rsidRDefault="00000000" w:rsidRPr="00000000" w14:paraId="000000F6">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Resistance from labour groups suggests that organisational change is not fully aligned with employee expectations, potentially limiting effective implementation.</w:t>
      </w:r>
    </w:p>
    <w:p w:rsidR="00000000" w:rsidDel="00000000" w:rsidP="00000000" w:rsidRDefault="00000000" w:rsidRPr="00000000" w14:paraId="000000F7">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Critical Evaluation</w:t>
      </w:r>
    </w:p>
    <w:p w:rsidR="00000000" w:rsidDel="00000000" w:rsidP="00000000" w:rsidRDefault="00000000" w:rsidRPr="00000000" w14:paraId="000000F8">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Although the strategic decisions made by Amazon provided a growth and strength, they also cause strategic tensions. Implementation effectiveness is challenged by labour resistance, regulation scrutiny and sustainability pressures. However, the three-level efficiency of Amazon company, diversification of the corporation and adaptive changes management evidences a high level of strategic coherence. On the whole, the strategies and practices applied by the firm support its long-term competitiveness as long as the stakeholder issues are addressed proactively and openly.</w:t>
      </w:r>
    </w:p>
    <w:p w:rsidR="00000000" w:rsidDel="00000000" w:rsidP="00000000" w:rsidRDefault="00000000" w:rsidRPr="00000000" w14:paraId="000000F9">
      <w:pPr>
        <w:pStyle w:val="Heading1"/>
        <w:rPr/>
      </w:pPr>
      <w:bookmarkStart w:colFirst="0" w:colLast="0" w:name="_hr7ngrhoowoe" w:id="27"/>
      <w:bookmarkEnd w:id="27"/>
      <w:r w:rsidDel="00000000" w:rsidR="00000000" w:rsidRPr="00000000">
        <w:rPr>
          <w:rtl w:val="0"/>
        </w:rPr>
        <w:t xml:space="preserve">6. Strategic Reviewing and Advice.</w:t>
      </w:r>
    </w:p>
    <w:p w:rsidR="00000000" w:rsidDel="00000000" w:rsidP="00000000" w:rsidRDefault="00000000" w:rsidRPr="00000000" w14:paraId="000000F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Strategic evaluation helps Amazon evaluate the viability of the current strategy and understand what priorities one should have in the future in the ever-more complicated global environment. Based on the world-known strategic instruments, including SWOT analysis and Ansoff Matrix, this section critically analyzes the Amazon strategic position and offers evidence-based recommendations based on theory and practice application (20212025)</w:t>
      </w:r>
    </w:p>
    <w:p w:rsidR="00000000" w:rsidDel="00000000" w:rsidP="00000000" w:rsidRDefault="00000000" w:rsidRPr="00000000" w14:paraId="000000FB">
      <w:pPr>
        <w:pStyle w:val="Heading2"/>
        <w:rPr/>
      </w:pPr>
      <w:bookmarkStart w:colFirst="0" w:colLast="0" w:name="_hte3vlair18i" w:id="28"/>
      <w:bookmarkEnd w:id="28"/>
      <w:r w:rsidDel="00000000" w:rsidR="00000000" w:rsidRPr="00000000">
        <w:rPr>
          <w:rtl w:val="0"/>
        </w:rPr>
        <w:t xml:space="preserve">6.1 Strategic Evaluation</w:t>
      </w:r>
    </w:p>
    <w:p w:rsidR="00000000" w:rsidDel="00000000" w:rsidP="00000000" w:rsidRDefault="00000000" w:rsidRPr="00000000" w14:paraId="000000FC">
      <w:pPr>
        <w:pStyle w:val="Heading3"/>
        <w:rPr/>
      </w:pPr>
      <w:bookmarkStart w:colFirst="0" w:colLast="0" w:name="_jkabge4xh9gt" w:id="29"/>
      <w:bookmarkEnd w:id="29"/>
      <w:r w:rsidDel="00000000" w:rsidR="00000000" w:rsidRPr="00000000">
        <w:rPr>
          <w:rtl w:val="0"/>
        </w:rPr>
        <w:t xml:space="preserve">6.1.1 SWOT Analysis</w:t>
      </w:r>
    </w:p>
    <w:p w:rsidR="00000000" w:rsidDel="00000000" w:rsidP="00000000" w:rsidRDefault="00000000" w:rsidRPr="00000000" w14:paraId="000000FD">
      <w:pPr>
        <w:keepNext w:val="1"/>
        <w:jc w:val="center"/>
        <w:rPr/>
      </w:pPr>
      <w:r w:rsidDel="00000000" w:rsidR="00000000" w:rsidRPr="00000000">
        <w:rPr/>
        <w:drawing>
          <wp:inline distB="0" distT="0" distL="0" distR="0">
            <wp:extent cx="2590800" cy="2590800"/>
            <wp:effectExtent b="0" l="0" r="0" t="0"/>
            <wp:docPr id="6"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2590800" cy="2590800"/>
                    </a:xfrm>
                    <a:prstGeom prst="rect"/>
                    <a:ln/>
                  </pic:spPr>
                </pic:pic>
              </a:graphicData>
            </a:graphic>
          </wp:inline>
        </w:drawing>
      </w:r>
      <w:r w:rsidDel="00000000" w:rsidR="00000000" w:rsidRPr="00000000">
        <w:rPr>
          <w:rtl w:val="0"/>
        </w:rPr>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1"/>
          <w:iCs w:val="1"/>
          <w:smallCaps w:val="0"/>
          <w:strike w:val="0"/>
          <w:color w:val="44546a"/>
          <w:sz w:val="20"/>
          <w:szCs w:val="20"/>
          <w:u w:val="none"/>
          <w:shd w:fill="auto" w:val="clear"/>
          <w:vertAlign w:val="baseline"/>
        </w:rPr>
      </w:pPr>
      <w:bookmarkStart w:colFirst="0" w:colLast="0" w:name="_8hgo882mf13t" w:id="30"/>
      <w:bookmarkEnd w:id="30"/>
      <w:r w:rsidDel="00000000" w:rsidR="00000000" w:rsidRPr="00000000">
        <w:rPr>
          <w:rFonts w:ascii="Arial" w:cs="Arial" w:eastAsia="Arial" w:hAnsi="Arial"/>
          <w:b w:val="0"/>
          <w:bCs w:val="0"/>
          <w:i w:val="1"/>
          <w:iCs w:val="1"/>
          <w:smallCaps w:val="0"/>
          <w:strike w:val="0"/>
          <w:color w:val="44546a"/>
          <w:sz w:val="20"/>
          <w:szCs w:val="20"/>
          <w:u w:val="none"/>
          <w:shd w:fill="auto" w:val="clear"/>
          <w:vertAlign w:val="baseline"/>
          <w:rtl w:val="0"/>
        </w:rPr>
        <w:t xml:space="preserve">Figure 4-SWOT Analysis</w:t>
      </w:r>
    </w:p>
    <w:p w:rsidR="00000000" w:rsidDel="00000000" w:rsidP="00000000" w:rsidRDefault="00000000" w:rsidRPr="00000000" w14:paraId="000000FF">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Strengths</w:t>
      </w:r>
    </w:p>
    <w:p w:rsidR="00000000" w:rsidDel="00000000" w:rsidP="00000000" w:rsidRDefault="00000000" w:rsidRPr="00000000" w14:paraId="00000100">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biggest assets of Amazon are its size, data, and technology. Its logistics system is highly global, its cloud systems have the latest technologies and the hard-to-replicate algorithms pose considerable barriers to entry to potential competitors. Powerful data analytics will enable personalisation, operational efficiency, and innovation, which are in line with the resource-based perspective that unique, valuable, and difficult-to-copy resources can lead to sustainable competitive advantage (Barney, 2021).</w:t>
      </w:r>
    </w:p>
    <w:p w:rsidR="00000000" w:rsidDel="00000000" w:rsidP="00000000" w:rsidRDefault="00000000" w:rsidRPr="00000000" w14:paraId="00000101">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Weaknesses</w:t>
      </w:r>
    </w:p>
    <w:p w:rsidR="00000000" w:rsidDel="00000000" w:rsidP="00000000" w:rsidRDefault="00000000" w:rsidRPr="00000000" w14:paraId="0000010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One of the biggest weaknesses is still low retail margins especially in core e-commerce business. Profitability is curtailed by high fulfilment, labour and transportation costs and the retail segment has been exposed to inflation and pressure on wages. This proves that the cost leadership strategies must be accompanied by efficiency gains in order to be viable as Porter states (Porter, 2022).</w:t>
      </w:r>
    </w:p>
    <w:p w:rsidR="00000000" w:rsidDel="00000000" w:rsidP="00000000" w:rsidRDefault="00000000" w:rsidRPr="00000000" w14:paraId="00000103">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Opportunities</w:t>
      </w:r>
    </w:p>
    <w:p w:rsidR="00000000" w:rsidDel="00000000" w:rsidP="00000000" w:rsidRDefault="00000000" w:rsidRPr="00000000" w14:paraId="00000104">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major opportunities are AI-based services and growing in the new markets. The increasing need of AI applications on the cloud, automation, and data services offers Amazon Web Services a high opportunity of growing. The growing economies present the opportunities of the long-term market development due to the spread of digital adoption (WEF, 2024).</w:t>
      </w:r>
    </w:p>
    <w:p w:rsidR="00000000" w:rsidDel="00000000" w:rsidP="00000000" w:rsidRDefault="00000000" w:rsidRPr="00000000" w14:paraId="00000105">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Threats</w:t>
      </w:r>
    </w:p>
    <w:p w:rsidR="00000000" w:rsidDel="00000000" w:rsidP="00000000" w:rsidRDefault="00000000" w:rsidRPr="00000000" w14:paraId="00000106">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regulatory pressure and the competition are major threats to Amazon. The operation is complex and expensive through antitrust simulation, labour policies and environmental checks. The pressure on the margins is additionally caused by the competition in the global retailers and cloud service providers (OECD, 2024).</w:t>
      </w:r>
    </w:p>
    <w:p w:rsidR="00000000" w:rsidDel="00000000" w:rsidP="00000000" w:rsidRDefault="00000000" w:rsidRPr="00000000" w14:paraId="0000010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indicates that while Amazon possesses strong internal capabilities, external threats such as regulation and competition may weaken its long-term position.</w:t>
      </w:r>
    </w:p>
    <w:p w:rsidR="00000000" w:rsidDel="00000000" w:rsidP="00000000" w:rsidRDefault="00000000" w:rsidRPr="00000000" w14:paraId="00000108">
      <w:pPr>
        <w:pStyle w:val="Heading2"/>
        <w:rPr/>
      </w:pPr>
      <w:bookmarkStart w:colFirst="0" w:colLast="0" w:name="_65dqnpk0dwl" w:id="31"/>
      <w:bookmarkEnd w:id="31"/>
      <w:r w:rsidDel="00000000" w:rsidR="00000000" w:rsidRPr="00000000">
        <w:rPr>
          <w:rtl w:val="0"/>
        </w:rPr>
        <w:t xml:space="preserve">6.1.2 Ansoff Matrix Analysis</w:t>
      </w:r>
    </w:p>
    <w:p w:rsidR="00000000" w:rsidDel="00000000" w:rsidP="00000000" w:rsidRDefault="00000000" w:rsidRPr="00000000" w14:paraId="0000010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application of the Matrix created by Igor Ansoff gives an understanding of the growth logic of Amazon:</w:t>
      </w:r>
    </w:p>
    <w:p w:rsidR="00000000" w:rsidDel="00000000" w:rsidP="00000000" w:rsidRDefault="00000000" w:rsidRPr="00000000" w14:paraId="000001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Market Penetration</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The presence of further expansion of the Amazon Prime gives better customer retention and lifetime value in the current markets.</w:t>
      </w:r>
    </w:p>
    <w:p w:rsidR="00000000" w:rsidDel="00000000" w:rsidP="00000000" w:rsidRDefault="00000000" w:rsidRPr="00000000" w14:paraId="000001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Product Development:</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Investment in AI tools and cloud-based services are a product innovation in current customer bases.</w:t>
      </w:r>
    </w:p>
    <w:p w:rsidR="00000000" w:rsidDel="00000000" w:rsidP="00000000" w:rsidRDefault="00000000" w:rsidRPr="00000000" w14:paraId="0000010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Market Development:</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Expanding into emerging markets helps the company to grow geographically, but adds to the regulatory and infrastructural risk.</w:t>
      </w:r>
    </w:p>
    <w:p w:rsidR="00000000" w:rsidDel="00000000" w:rsidP="00000000" w:rsidRDefault="00000000" w:rsidRPr="00000000" w14:paraId="0000010D">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strategy of Amazon is focused on less-risk penetration and product development and selective market development where long-term returns are worth the complexity.</w:t>
      </w:r>
    </w:p>
    <w:p w:rsidR="00000000" w:rsidDel="00000000" w:rsidP="00000000" w:rsidRDefault="00000000" w:rsidRPr="00000000" w14:paraId="0000010E">
      <w:pPr>
        <w:pStyle w:val="Heading2"/>
        <w:rPr/>
      </w:pPr>
      <w:bookmarkStart w:colFirst="0" w:colLast="0" w:name="_x7ecf1akuo2j" w:id="32"/>
      <w:bookmarkEnd w:id="32"/>
      <w:r w:rsidDel="00000000" w:rsidR="00000000" w:rsidRPr="00000000">
        <w:rPr>
          <w:rtl w:val="0"/>
        </w:rPr>
        <w:t xml:space="preserve">6.2 Strategic Recommendations</w:t>
      </w:r>
    </w:p>
    <w:p w:rsidR="00000000" w:rsidDel="00000000" w:rsidP="00000000" w:rsidRDefault="00000000" w:rsidRPr="00000000" w14:paraId="0000010F">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1. Enhance ESG Governance Transparency.</w:t>
      </w:r>
    </w:p>
    <w:p w:rsidR="00000000" w:rsidDel="00000000" w:rsidP="00000000" w:rsidRDefault="00000000" w:rsidRPr="00000000" w14:paraId="00000110">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Amazon ought to improve their transparency in environmental, social and governance (ESG) reporting by using more transparent metrics and external auditing. The theory of stakeholders implies that companies can earn legitimate and trust when they cater to the wider societal demands (Freeman, 2022). </w:t>
      </w:r>
    </w:p>
    <w:p w:rsidR="00000000" w:rsidDel="00000000" w:rsidP="00000000" w:rsidRDefault="00000000" w:rsidRPr="00000000" w14:paraId="00000111">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2. Minimise reliance on Low-Margin Retail.</w:t>
      </w:r>
    </w:p>
    <w:p w:rsidR="00000000" w:rsidDel="00000000" w:rsidP="00000000" w:rsidRDefault="00000000" w:rsidRPr="00000000" w14:paraId="0000011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Amazon should further balance its revenue stream to the high-margin areas like AWS, advertising and subscription services. The portfolio theory justifies the redistribution of resources to the business units in terms of better risk-reward profile (Grant, 2023). This practically decreases susceptibility to retail cost inflation, finances innovation and sustainability projects.</w:t>
      </w:r>
    </w:p>
    <w:p w:rsidR="00000000" w:rsidDel="00000000" w:rsidP="00000000" w:rsidRDefault="00000000" w:rsidRPr="00000000" w14:paraId="00000113">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3. Expand AI-Based Cloud Solutions</w:t>
      </w:r>
    </w:p>
    <w:p w:rsidR="00000000" w:rsidDel="00000000" w:rsidP="00000000" w:rsidRDefault="00000000" w:rsidRPr="00000000" w14:paraId="00000114">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development of AI-based cloud services and their expansion is a differentiation and product development. The theory of dynamic capabilities is also emphasizing the need to sense and grasp technological opportunities in unstable environments (Teece, 2021).</w:t>
      </w:r>
    </w:p>
    <w:p w:rsidR="00000000" w:rsidDel="00000000" w:rsidP="00000000" w:rsidRDefault="00000000" w:rsidRPr="00000000" w14:paraId="00000115">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4. Enhance Labour Engagement Strategies.</w:t>
      </w:r>
    </w:p>
    <w:p w:rsidR="00000000" w:rsidDel="00000000" w:rsidP="00000000" w:rsidRDefault="00000000" w:rsidRPr="00000000" w14:paraId="00000116">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Amazon also needs to invest in more powerful labour engagement and participation systems, such as dialogue, skills training, and wellbeing programmes. The change theory proposed by Lewin focuses on decreasing resistance by engaging the stakeholders in change processes (Burnes, 2022). Better labour relationship would help in decreasing reputational risk, decrease turnover costs and help in sustaining operations.</w:t>
      </w:r>
    </w:p>
    <w:p w:rsidR="00000000" w:rsidDel="00000000" w:rsidP="00000000" w:rsidRDefault="00000000" w:rsidRPr="00000000" w14:paraId="0000011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summary, strategic analysis reveals that Amazon has more strengths and opportunities in comparison with the weaknesses and threats, and its further successful performance will rely on active strategic adaptation. </w:t>
      </w:r>
    </w:p>
    <w:p w:rsidR="00000000" w:rsidDel="00000000" w:rsidP="00000000" w:rsidRDefault="00000000" w:rsidRPr="00000000" w14:paraId="00000118">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aligns with Ansoff’s product development strategy and enhances Amazon’s competitive advantage; however, it also increases exposure to regulatory and cybersecuri</w:t>
      </w:r>
    </w:p>
    <w:p w:rsidR="00000000" w:rsidDel="00000000" w:rsidP="00000000" w:rsidRDefault="00000000" w:rsidRPr="00000000" w14:paraId="00000119">
      <w:pPr>
        <w:pStyle w:val="Heading1"/>
        <w:jc w:val="center"/>
        <w:rPr/>
      </w:pPr>
      <w:bookmarkStart w:colFirst="0" w:colLast="0" w:name="_5dd813mk5tae" w:id="33"/>
      <w:bookmarkEnd w:id="33"/>
      <w:r w:rsidDel="00000000" w:rsidR="00000000" w:rsidRPr="00000000">
        <w:rPr>
          <w:rtl w:val="0"/>
        </w:rPr>
        <w:t xml:space="preserve">Section 2: Reflective Account</w:t>
      </w:r>
    </w:p>
    <w:p w:rsidR="00000000" w:rsidDel="00000000" w:rsidP="00000000" w:rsidRDefault="00000000" w:rsidRPr="00000000" w14:paraId="0000011A">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Gibbs Reflective Cycle (1988) was used.</w:t>
      </w:r>
    </w:p>
    <w:p w:rsidR="00000000" w:rsidDel="00000000" w:rsidP="00000000" w:rsidRDefault="00000000" w:rsidRPr="00000000" w14:paraId="0000011C">
      <w:pPr>
        <w:pStyle w:val="Heading1"/>
        <w:rPr/>
      </w:pPr>
      <w:bookmarkStart w:colFirst="0" w:colLast="0" w:name="_8o6vbrha9sw4" w:id="34"/>
      <w:bookmarkEnd w:id="34"/>
      <w:r w:rsidDel="00000000" w:rsidR="00000000" w:rsidRPr="00000000">
        <w:rPr>
          <w:rtl w:val="0"/>
        </w:rPr>
        <w:t xml:space="preserve">1. Description – Research Approach</w:t>
      </w:r>
    </w:p>
    <w:p w:rsidR="00000000" w:rsidDel="00000000" w:rsidP="00000000" w:rsidRDefault="00000000" w:rsidRPr="00000000" w14:paraId="0000011D">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When doing this study on strategic management of Amazon, I have chosen a systematic mixed-methods approach in which I have integrated both qualitative and quantitative sources to develop a comprehensive knowledge. The secondary data were scholarly journals, industry reports, financial statements, and publications of the companies (20212025). I analysed the internal and external environments using PESTLE, SWOT, VRIO, Balanced Scorecard and Ansoff.</w:t>
      </w:r>
    </w:p>
    <w:p w:rsidR="00000000" w:rsidDel="00000000" w:rsidP="00000000" w:rsidRDefault="00000000" w:rsidRPr="00000000" w14:paraId="0000011E">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access restrictions were a limitation to primary research, and critical analysis of the strategies that are documented, and the corporate social responsibility programs and operational innovations were in the spotlight. As an example, the evaluation of Climate Pledge by Amazon and the investments in renewable energy allowed gauging the dedication of the firm to the idea of sustainability and the influence on the perception of stakeholders. </w:t>
      </w:r>
    </w:p>
    <w:p w:rsidR="00000000" w:rsidDel="00000000" w:rsidP="00000000" w:rsidRDefault="00000000" w:rsidRPr="00000000" w14:paraId="0000011F">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strategy was informed by the objective of knowing how Amazon has been able to balance growth, technological innovation, and sustainability amidst regulatory forces and competition issues. </w:t>
      </w:r>
    </w:p>
    <w:p w:rsidR="00000000" w:rsidDel="00000000" w:rsidP="00000000" w:rsidRDefault="00000000" w:rsidRPr="00000000" w14:paraId="00000120">
      <w:pPr>
        <w:pStyle w:val="Heading1"/>
        <w:rPr/>
      </w:pPr>
      <w:bookmarkStart w:colFirst="0" w:colLast="0" w:name="_pmdij1qy5jbd" w:id="35"/>
      <w:bookmarkEnd w:id="35"/>
      <w:r w:rsidDel="00000000" w:rsidR="00000000" w:rsidRPr="00000000">
        <w:rPr>
          <w:rtl w:val="0"/>
        </w:rPr>
        <w:t xml:space="preserve">2. Feelings – Challenges Faced</w:t>
      </w:r>
    </w:p>
    <w:p w:rsidR="00000000" w:rsidDel="00000000" w:rsidP="00000000" w:rsidRDefault="00000000" w:rsidRPr="00000000" w14:paraId="0000012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My initial feeling was a lack of confidence and fear towards the scope and complexity of the Amazon business, which covers all aspects of global e-commerce, cloud computing, and logistics. Generalising information obtained through different sources, such as, financial, operations, technological, and social responsibility information, was daunting, especially in the area of accuracy, relevance, and regency.</w:t>
      </w:r>
    </w:p>
    <w:p w:rsidR="00000000" w:rsidDel="00000000" w:rsidP="00000000" w:rsidRDefault="00000000" w:rsidRPr="00000000" w14:paraId="0000012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Another thing that I found challenging was the necessity to analyse opposing information critically. Indicatively, labour relations and regulatory investigation are what media stories focus on, as compared to corporate magazines, which focus on innovation and sustainability. This posed a problem in the constitution of balanced judgments that were both academically rigorous and effusive of the real world practice.</w:t>
      </w:r>
    </w:p>
    <w:p w:rsidR="00000000" w:rsidDel="00000000" w:rsidP="00000000" w:rsidRDefault="00000000" w:rsidRPr="00000000" w14:paraId="0000012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Another difficulty was time management because omitting several frameworks and logical transition between parts needed a thorough planning process. First, I feared that my analysis was going to be descriptive and not evaluative because concentrating on connecting theory with evidence helped reduce it.</w:t>
      </w:r>
    </w:p>
    <w:p w:rsidR="00000000" w:rsidDel="00000000" w:rsidP="00000000" w:rsidRDefault="00000000" w:rsidRPr="00000000" w14:paraId="00000124">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Nevertheless, these obstacles did not stop me since I was interested and inspired especially when implementing such frameworks as the Balanced Scorecard and Ansoff Matrix to relate strategic goals with quantifiable results. </w:t>
      </w:r>
    </w:p>
    <w:p w:rsidR="00000000" w:rsidDel="00000000" w:rsidP="00000000" w:rsidRDefault="00000000" w:rsidRPr="00000000" w14:paraId="00000125">
      <w:pPr>
        <w:pStyle w:val="Heading1"/>
        <w:rPr/>
      </w:pPr>
      <w:bookmarkStart w:colFirst="0" w:colLast="0" w:name="_nnpk6hyuq4pc" w:id="36"/>
      <w:bookmarkEnd w:id="36"/>
      <w:r w:rsidDel="00000000" w:rsidR="00000000" w:rsidRPr="00000000">
        <w:rPr>
          <w:rtl w:val="0"/>
        </w:rPr>
        <w:t xml:space="preserve">3. Assessment- Strengths and Weaknesses.</w:t>
      </w:r>
    </w:p>
    <w:p w:rsidR="00000000" w:rsidDel="00000000" w:rsidP="00000000" w:rsidRDefault="00000000" w:rsidRPr="00000000" w14:paraId="00000126">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My strengths regarding the approach were:</w:t>
      </w:r>
    </w:p>
    <w:p w:rsidR="00000000" w:rsidDel="00000000" w:rsidP="00000000" w:rsidRDefault="00000000" w:rsidRPr="00000000" w14:paraId="0000012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Extensive framework implementation:</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The application of several analytical tools allowed viewing the Amazon strategy in 360-degree, both internal strengths and external forces.</w:t>
      </w:r>
    </w:p>
    <w:p w:rsidR="00000000" w:rsidDel="00000000" w:rsidP="00000000" w:rsidRDefault="00000000" w:rsidRPr="00000000" w14:paraId="0000012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Theory and practice: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Theory and practice have been integrated throughout the research as the practical examples of strategic management theories (Porter, Barney, Kaplan and Norton) have been traced and applied to Amazon.</w:t>
      </w:r>
    </w:p>
    <w:p w:rsidR="00000000" w:rsidDel="00000000" w:rsidP="00000000" w:rsidRDefault="00000000" w:rsidRPr="00000000" w14:paraId="0000012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Recommendations based on evidence: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The recommendations were made on the basis of both the strategic theory and observations, which made them relevant and applicable.</w:t>
      </w:r>
    </w:p>
    <w:p w:rsidR="00000000" w:rsidDel="00000000" w:rsidP="00000000" w:rsidRDefault="00000000" w:rsidRPr="00000000" w14:paraId="0000012A">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Weaknesses included:</w:t>
      </w:r>
    </w:p>
    <w:p w:rsidR="00000000" w:rsidDel="00000000" w:rsidP="00000000" w:rsidRDefault="00000000" w:rsidRPr="00000000" w14:paraId="0000012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Little primary data:</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It lacked first-hand interviews or survey research to shed light on internal cultural processes and operational issues at the frontline.</w:t>
      </w:r>
    </w:p>
    <w:p w:rsidR="00000000" w:rsidDel="00000000" w:rsidP="00000000" w:rsidRDefault="00000000" w:rsidRPr="00000000" w14:paraId="0000012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Difficulty of synthesis: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It was challenging to incorporate several frameworks and not overlap or repeat on each other, and in some cases, one needed to read and write numerous times to avoid repeating.</w:t>
      </w:r>
    </w:p>
    <w:p w:rsidR="00000000" w:rsidDel="00000000" w:rsidP="00000000" w:rsidRDefault="00000000" w:rsidRPr="00000000" w14:paraId="0000012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Time: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Overwhelming literature reviews and application of the framework required a lot of time, limiting the ability to reflect iteratively on the emerging knowledge.</w:t>
      </w:r>
    </w:p>
    <w:p w:rsidR="00000000" w:rsidDel="00000000" w:rsidP="00000000" w:rsidRDefault="00000000" w:rsidRPr="00000000" w14:paraId="0000012E">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general, the evaluation indicated the necessity of striking a balance between breadth and depth along with the critical focus on actionable insights.</w:t>
      </w:r>
    </w:p>
    <w:p w:rsidR="00000000" w:rsidDel="00000000" w:rsidP="00000000" w:rsidRDefault="00000000" w:rsidRPr="00000000" w14:paraId="0000012F">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limitation of this research was reliance on secondary data, which may not fully capture internal organisational challenges.</w:t>
      </w:r>
    </w:p>
    <w:p w:rsidR="00000000" w:rsidDel="00000000" w:rsidP="00000000" w:rsidRDefault="00000000" w:rsidRPr="00000000" w14:paraId="00000130">
      <w:pPr>
        <w:pStyle w:val="Heading1"/>
        <w:rPr/>
      </w:pPr>
      <w:bookmarkStart w:colFirst="0" w:colLast="0" w:name="_onu60vv5dlvj" w:id="37"/>
      <w:bookmarkEnd w:id="37"/>
      <w:r w:rsidDel="00000000" w:rsidR="00000000" w:rsidRPr="00000000">
        <w:rPr>
          <w:rtl w:val="0"/>
        </w:rPr>
        <w:t xml:space="preserve">4. Analysis – Theory vs Practice</w:t>
      </w:r>
    </w:p>
    <w:p w:rsidR="00000000" w:rsidDel="00000000" w:rsidP="00000000" w:rsidRDefault="00000000" w:rsidRPr="00000000" w14:paraId="0000013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study enlightened the chasm between theory and practice especially in the implementation of strategies. For example:</w:t>
      </w:r>
    </w:p>
    <w:p w:rsidR="00000000" w:rsidDel="00000000" w:rsidP="00000000" w:rsidRDefault="00000000" w:rsidRPr="00000000" w14:paraId="0000013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VRIO Framework</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Theoretical models focus on sustainable competitive advantage based on distinctive resources. Practically, the brand recognition of Amazon and customer data can be converted into market leadership that is quantifiable, but some of the capabilities, such as logistics, cannot be imitated fully because of the attempts of other competitors to duplicate the scale. </w:t>
      </w:r>
    </w:p>
    <w:p w:rsidR="00000000" w:rsidDel="00000000" w:rsidP="00000000" w:rsidRDefault="00000000" w:rsidRPr="00000000" w14:paraId="0000013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Balanced Scorecard:</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The system by Kaplan and Norton emphasizes the alignment of financial, customer, internal process and learning perspectives. The application to Amazon showed that although the KPIs like Prime retention and R&amp;D spend are all aligned with the strategy real operational pressures, including labour conflict and regulatory compliance can prove challenging and demand adaptive management.</w:t>
      </w:r>
    </w:p>
    <w:p w:rsidR="00000000" w:rsidDel="00000000" w:rsidP="00000000" w:rsidRDefault="00000000" w:rsidRPr="00000000" w14:paraId="0000013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CSR and Sustainability:</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The theory assumes that CSR is a strategic investment on legitimacy, reputation as well as long-term efficiency. Examples of this include Amazon Climate Pledge and ethical sourcing programs, although the conflict between growth and sustainability, particularly in the logistics and low-margin retail areas, reflects the operational trade-offs between stakeholder expectations and shareholder interests.</w:t>
      </w:r>
    </w:p>
    <w:p w:rsidR="00000000" w:rsidDel="00000000" w:rsidP="00000000" w:rsidRDefault="00000000" w:rsidRPr="00000000" w14:paraId="0000013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discussion solidified the significance of the contextualised theory, as it was demonstrated that strategic frameworks are a source of useful structure, which must be adjusted to organisational realities, technological change, and the demands of the stakeholders.</w:t>
      </w:r>
    </w:p>
    <w:p w:rsidR="00000000" w:rsidDel="00000000" w:rsidP="00000000" w:rsidRDefault="00000000" w:rsidRPr="00000000" w14:paraId="00000136">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limitation of this research was reliance on secondary data, which may not fully capture internal organisational challenges.</w:t>
      </w:r>
    </w:p>
    <w:p w:rsidR="00000000" w:rsidDel="00000000" w:rsidP="00000000" w:rsidRDefault="00000000" w:rsidRPr="00000000" w14:paraId="00000137">
      <w:pPr>
        <w:pStyle w:val="Heading1"/>
        <w:rPr/>
      </w:pPr>
      <w:bookmarkStart w:colFirst="0" w:colLast="0" w:name="_2rty9df7r5g4" w:id="38"/>
      <w:bookmarkEnd w:id="38"/>
      <w:r w:rsidDel="00000000" w:rsidR="00000000" w:rsidRPr="00000000">
        <w:rPr>
          <w:rtl w:val="0"/>
        </w:rPr>
        <w:t xml:space="preserve">5. Conclusion -Learning Outcomes.</w:t>
      </w:r>
    </w:p>
    <w:p w:rsidR="00000000" w:rsidDel="00000000" w:rsidP="00000000" w:rsidRDefault="00000000" w:rsidRPr="00000000" w14:paraId="00000138">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Within the main learning outcomes, there will be:</w:t>
      </w:r>
    </w:p>
    <w:p w:rsidR="00000000" w:rsidDel="00000000" w:rsidP="00000000" w:rsidRDefault="00000000" w:rsidRPr="00000000" w14:paraId="0000013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Strategic Thinking:</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The awareness of interdependencies between internal resources and external pressure and competitive advantage enhanced my capability to consider complex corporate strategies as a whole.</w:t>
      </w:r>
    </w:p>
    <w:p w:rsidR="00000000" w:rsidDel="00000000" w:rsidP="00000000" w:rsidRDefault="00000000" w:rsidRPr="00000000" w14:paraId="0000013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Research Skills: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 systematic sourcing, analysis of credible data, and incorporation of more analytical frameworks enhanced an analytical rigour and synthesis skills.</w:t>
      </w:r>
    </w:p>
    <w:p w:rsidR="00000000" w:rsidDel="00000000" w:rsidP="00000000" w:rsidRDefault="00000000" w:rsidRPr="00000000" w14:paraId="0000013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Professional Judgement:</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The ability to reconcile conflicting views, critically evaluate framework constraints and make workable suggestions resulted in increased proficiency in decision-making in uncertain situations.</w:t>
      </w:r>
    </w:p>
    <w:p w:rsidR="00000000" w:rsidDel="00000000" w:rsidP="00000000" w:rsidRDefault="00000000" w:rsidRPr="00000000" w14:paraId="0000013C">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also had an opportunity to learn about how big multinationals strike a balance between innovation, sustainability and growth, and it seemed that the key to strategic success is in the ability to adapt step-by-step and assess each other constantly.</w:t>
      </w:r>
    </w:p>
    <w:p w:rsidR="00000000" w:rsidDel="00000000" w:rsidP="00000000" w:rsidRDefault="00000000" w:rsidRPr="00000000" w14:paraId="0000013D">
      <w:pPr>
        <w:pStyle w:val="Heading1"/>
        <w:rPr/>
      </w:pPr>
      <w:bookmarkStart w:colFirst="0" w:colLast="0" w:name="_xsuwzm4cdof3" w:id="39"/>
      <w:bookmarkEnd w:id="39"/>
      <w:r w:rsidDel="00000000" w:rsidR="00000000" w:rsidRPr="00000000">
        <w:rPr>
          <w:rtl w:val="0"/>
        </w:rPr>
        <w:t xml:space="preserve">6. Future Improvement Plan of Action.</w:t>
      </w:r>
    </w:p>
    <w:p w:rsidR="00000000" w:rsidDel="00000000" w:rsidP="00000000" w:rsidRDefault="00000000" w:rsidRPr="00000000" w14:paraId="0000013E">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To conduct my future research and advance my professional skills, I will:</w:t>
      </w:r>
    </w:p>
    <w:p w:rsidR="00000000" w:rsidDel="00000000" w:rsidP="00000000" w:rsidRDefault="00000000" w:rsidRPr="00000000" w14:paraId="0000013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Include primary data:</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Survey, interview or focus groups to identify the perspectives of the stakeholders, especially the employees, customers and suppliers to supplement the secondary data.</w:t>
      </w:r>
    </w:p>
    <w:p w:rsidR="00000000" w:rsidDel="00000000" w:rsidP="00000000" w:rsidRDefault="00000000" w:rsidRPr="00000000" w14:paraId="0000014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Improve time management:</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Have a carefully designed time schedule by which the literature review, framework application, and reflections can be completed to enhance the depth without compromising clarity.</w:t>
      </w:r>
    </w:p>
    <w:p w:rsidR="00000000" w:rsidDel="00000000" w:rsidP="00000000" w:rsidRDefault="00000000" w:rsidRPr="00000000" w14:paraId="0000014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Hone synthesizing abilities: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Visually connect structures and insights with sophisticated mapping tools, making sure to avoid redundancy.</w:t>
      </w:r>
    </w:p>
    <w:p w:rsidR="00000000" w:rsidDel="00000000" w:rsidP="00000000" w:rsidRDefault="00000000" w:rsidRPr="00000000" w14:paraId="0000014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Enhance critical assessment:</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Purposely and consciously test assumptions and think about other possible strategic options to boost objectivity and professional judgement.</w:t>
      </w:r>
    </w:p>
    <w:p w:rsidR="00000000" w:rsidDel="00000000" w:rsidP="00000000" w:rsidRDefault="00000000" w:rsidRPr="00000000" w14:paraId="0000014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Target new trends: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Incorporate modern trends like the adoption of AI, the innovation of ESG, and the global regulatory environment into strategic consideration to make a more future-oriented decision.</w:t>
      </w:r>
    </w:p>
    <w:p w:rsidR="00000000" w:rsidDel="00000000" w:rsidP="00000000" w:rsidRDefault="00000000" w:rsidRPr="00000000" w14:paraId="00000144">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By applying this action plan the future academic projects will not only be enhanced but also the skills of strategic consultancy and management decision making and in terms of making sure that future research outcomes are much closer to the organisational realities.</w:t>
      </w:r>
    </w:p>
    <w:p w:rsidR="00000000" w:rsidDel="00000000" w:rsidP="00000000" w:rsidRDefault="00000000" w:rsidRPr="00000000" w14:paraId="00000145">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6">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7">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8">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9">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A">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B">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C">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D">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E">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F">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0">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1">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2">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3">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4">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5">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6">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7">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8">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9">
      <w:pPr>
        <w:pStyle w:val="Heading1"/>
        <w:rPr/>
      </w:pPr>
      <w:bookmarkStart w:colFirst="0" w:colLast="0" w:name="_otx99iz1nu1b" w:id="40"/>
      <w:bookmarkEnd w:id="40"/>
      <w:r w:rsidDel="00000000" w:rsidR="00000000" w:rsidRPr="00000000">
        <w:rPr>
          <w:rtl w:val="0"/>
        </w:rPr>
        <w:t xml:space="preserve">References</w:t>
      </w:r>
    </w:p>
    <w:p w:rsidR="00000000" w:rsidDel="00000000" w:rsidP="00000000" w:rsidRDefault="00000000" w:rsidRPr="00000000" w14:paraId="0000015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Amazon (2022) Amazon Sustainability – The Climate Pledge. Available at: </w:t>
      </w:r>
      <w:hyperlink r:id="rId13">
        <w:r w:rsidDel="00000000" w:rsidR="00000000" w:rsidRPr="00000000">
          <w:rPr>
            <w:rFonts w:ascii="Arial" w:cs="Arial" w:eastAsia="Arial" w:hAnsi="Arial"/>
            <w:color w:val="0563c1"/>
            <w:sz w:val="24"/>
            <w:szCs w:val="24"/>
            <w:u w:val="single"/>
            <w:rtl w:val="0"/>
          </w:rPr>
          <w:t xml:space="preserve">https://sustainability.aboutamazon.com/</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5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Amazon (2023) 2022 Annual Report. Available at: </w:t>
      </w:r>
      <w:hyperlink r:id="rId14">
        <w:r w:rsidDel="00000000" w:rsidR="00000000" w:rsidRPr="00000000">
          <w:rPr>
            <w:rFonts w:ascii="Arial" w:cs="Arial" w:eastAsia="Arial" w:hAnsi="Arial"/>
            <w:color w:val="0563c1"/>
            <w:sz w:val="24"/>
            <w:szCs w:val="24"/>
            <w:u w:val="single"/>
            <w:rtl w:val="0"/>
          </w:rPr>
          <w:t xml:space="preserve">https://ir.aboutamazon.com/annual-reports-proxies-and-shareholder-letters</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5C">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Barney, J. (2021) Gaining and Sustaining Competitive Advantage. Pearson. Available at: </w:t>
      </w:r>
      <w:hyperlink r:id="rId15">
        <w:r w:rsidDel="00000000" w:rsidR="00000000" w:rsidRPr="00000000">
          <w:rPr>
            <w:rFonts w:ascii="Arial" w:cs="Arial" w:eastAsia="Arial" w:hAnsi="Arial"/>
            <w:color w:val="0563c1"/>
            <w:sz w:val="24"/>
            <w:szCs w:val="24"/>
            <w:u w:val="single"/>
            <w:rtl w:val="0"/>
          </w:rPr>
          <w:t xml:space="preserve">https://www.pearson.com</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5D">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Burnes, B. (2022) Managing Change. Pearson. Available at: https://www.pearson.com</w:t>
      </w:r>
    </w:p>
    <w:p w:rsidR="00000000" w:rsidDel="00000000" w:rsidP="00000000" w:rsidRDefault="00000000" w:rsidRPr="00000000" w14:paraId="0000015E">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Deloitte (2021) 2021 Retail Trends. Available at: </w:t>
      </w:r>
      <w:hyperlink r:id="rId16">
        <w:r w:rsidDel="00000000" w:rsidR="00000000" w:rsidRPr="00000000">
          <w:rPr>
            <w:rFonts w:ascii="Arial" w:cs="Arial" w:eastAsia="Arial" w:hAnsi="Arial"/>
            <w:color w:val="0563c1"/>
            <w:sz w:val="24"/>
            <w:szCs w:val="24"/>
            <w:u w:val="single"/>
            <w:rtl w:val="0"/>
          </w:rPr>
          <w:t xml:space="preserve">https://www2.deloitte.com/us/en/insights/industry/retail-distribution.html</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5F">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Deloitte (2024) Global Consumer Trends. Available at: </w:t>
      </w:r>
      <w:hyperlink r:id="rId17">
        <w:r w:rsidDel="00000000" w:rsidR="00000000" w:rsidRPr="00000000">
          <w:rPr>
            <w:rFonts w:ascii="Arial" w:cs="Arial" w:eastAsia="Arial" w:hAnsi="Arial"/>
            <w:color w:val="0563c1"/>
            <w:sz w:val="24"/>
            <w:szCs w:val="24"/>
            <w:u w:val="single"/>
            <w:rtl w:val="0"/>
          </w:rPr>
          <w:t xml:space="preserve">https://www2.deloitte.com/global/en/insights/topics/consumer-industrial-products.html</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60">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Eccles, R.G. et al. (2022) Corporate Sustainability at Scale. Harvard Business Review. Available at: </w:t>
      </w:r>
      <w:hyperlink r:id="rId18">
        <w:r w:rsidDel="00000000" w:rsidR="00000000" w:rsidRPr="00000000">
          <w:rPr>
            <w:rFonts w:ascii="Arial" w:cs="Arial" w:eastAsia="Arial" w:hAnsi="Arial"/>
            <w:color w:val="0563c1"/>
            <w:sz w:val="24"/>
            <w:szCs w:val="24"/>
            <w:u w:val="single"/>
            <w:rtl w:val="0"/>
          </w:rPr>
          <w:t xml:space="preserve">https://hbr.org/2022/05/corporate-sustainability-at-scale</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6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European Commission (2022) GDPR Explained. Available at: </w:t>
      </w:r>
      <w:hyperlink r:id="rId19">
        <w:r w:rsidDel="00000000" w:rsidR="00000000" w:rsidRPr="00000000">
          <w:rPr>
            <w:rFonts w:ascii="Arial" w:cs="Arial" w:eastAsia="Arial" w:hAnsi="Arial"/>
            <w:color w:val="0563c1"/>
            <w:sz w:val="24"/>
            <w:szCs w:val="24"/>
            <w:u w:val="single"/>
            <w:rtl w:val="0"/>
          </w:rPr>
          <w:t xml:space="preserve">https://commission.europa.eu/law/law-topic/data-protection_en</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6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Freeman, R.E. (2022) Stakeholder Theory: Concepts and Strategies. Cambridge University Press. Available at: </w:t>
      </w:r>
      <w:hyperlink r:id="rId20">
        <w:r w:rsidDel="00000000" w:rsidR="00000000" w:rsidRPr="00000000">
          <w:rPr>
            <w:rFonts w:ascii="Arial" w:cs="Arial" w:eastAsia="Arial" w:hAnsi="Arial"/>
            <w:color w:val="0563c1"/>
            <w:sz w:val="24"/>
            <w:szCs w:val="24"/>
            <w:u w:val="single"/>
            <w:rtl w:val="0"/>
          </w:rPr>
          <w:t xml:space="preserve">https://www.cambridge.org</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6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Grant, R.M. (2023) Contemporary Strategy Analysis. Wiley. Available at: </w:t>
      </w:r>
      <w:hyperlink r:id="rId21">
        <w:r w:rsidDel="00000000" w:rsidR="00000000" w:rsidRPr="00000000">
          <w:rPr>
            <w:rFonts w:ascii="Arial" w:cs="Arial" w:eastAsia="Arial" w:hAnsi="Arial"/>
            <w:color w:val="0563c1"/>
            <w:sz w:val="24"/>
            <w:szCs w:val="24"/>
            <w:u w:val="single"/>
            <w:rtl w:val="0"/>
          </w:rPr>
          <w:t xml:space="preserve">https://www.wiley.com</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64">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HBR (2023) The Customer</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Arial" w:cs="Arial" w:eastAsia="Arial" w:hAnsi="Arial"/>
          <w:sz w:val="24"/>
          <w:szCs w:val="24"/>
          <w:rtl w:val="0"/>
        </w:rPr>
        <w:t xml:space="preserve">Centric Enterprise. Harvard Business Review. Available at: </w:t>
      </w:r>
      <w:hyperlink r:id="rId22">
        <w:r w:rsidDel="00000000" w:rsidR="00000000" w:rsidRPr="00000000">
          <w:rPr>
            <w:rFonts w:ascii="Arial" w:cs="Arial" w:eastAsia="Arial" w:hAnsi="Arial"/>
            <w:color w:val="0563c1"/>
            <w:sz w:val="24"/>
            <w:szCs w:val="24"/>
            <w:u w:val="single"/>
            <w:rtl w:val="0"/>
          </w:rPr>
          <w:t xml:space="preserve">https://hbr.org/2023/02/building-a-customer-centric-enterprise</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6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IEA (2023) Renewables 2023 Report. Available at: </w:t>
      </w:r>
      <w:hyperlink r:id="rId23">
        <w:r w:rsidDel="00000000" w:rsidR="00000000" w:rsidRPr="00000000">
          <w:rPr>
            <w:rFonts w:ascii="Arial" w:cs="Arial" w:eastAsia="Arial" w:hAnsi="Arial"/>
            <w:color w:val="0563c1"/>
            <w:sz w:val="24"/>
            <w:szCs w:val="24"/>
            <w:u w:val="single"/>
            <w:rtl w:val="0"/>
          </w:rPr>
          <w:t xml:space="preserve">https://www.iea.org/reports/renewables-2023</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66">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ILO (2022) Global Employment Report. International Labour Organization. Available at: </w:t>
      </w:r>
      <w:hyperlink r:id="rId24">
        <w:r w:rsidDel="00000000" w:rsidR="00000000" w:rsidRPr="00000000">
          <w:rPr>
            <w:rFonts w:ascii="Arial" w:cs="Arial" w:eastAsia="Arial" w:hAnsi="Arial"/>
            <w:color w:val="0563c1"/>
            <w:sz w:val="24"/>
            <w:szCs w:val="24"/>
            <w:u w:val="single"/>
            <w:rtl w:val="0"/>
          </w:rPr>
          <w:t xml:space="preserve">https://www.ilo.org/global/research/global-reports/lang–en/index.htm</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6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Johnson, G. et al. (2022) Exploring Strategy. Pearson. Available at: </w:t>
      </w:r>
      <w:hyperlink r:id="rId25">
        <w:r w:rsidDel="00000000" w:rsidR="00000000" w:rsidRPr="00000000">
          <w:rPr>
            <w:rFonts w:ascii="Arial" w:cs="Arial" w:eastAsia="Arial" w:hAnsi="Arial"/>
            <w:color w:val="0563c1"/>
            <w:sz w:val="24"/>
            <w:szCs w:val="24"/>
            <w:u w:val="single"/>
            <w:rtl w:val="0"/>
          </w:rPr>
          <w:t xml:space="preserve">https://www.pearson.com</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68">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Khan, L. (2021) Antitrust and Big Tech. Harvard Law Review. Available at: </w:t>
      </w:r>
      <w:hyperlink r:id="rId26">
        <w:r w:rsidDel="00000000" w:rsidR="00000000" w:rsidRPr="00000000">
          <w:rPr>
            <w:rFonts w:ascii="Arial" w:cs="Arial" w:eastAsia="Arial" w:hAnsi="Arial"/>
            <w:color w:val="0563c1"/>
            <w:sz w:val="24"/>
            <w:szCs w:val="24"/>
            <w:u w:val="single"/>
            <w:rtl w:val="0"/>
          </w:rPr>
          <w:t xml:space="preserve">https://harvardlawreview.org/2021/06/antitrust-and-big-tech</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6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Kotter, J.P. (2021) Leading Change. Harvard Business School Press. Available at: </w:t>
      </w:r>
      <w:hyperlink r:id="rId27">
        <w:r w:rsidDel="00000000" w:rsidR="00000000" w:rsidRPr="00000000">
          <w:rPr>
            <w:rFonts w:ascii="Arial" w:cs="Arial" w:eastAsia="Arial" w:hAnsi="Arial"/>
            <w:color w:val="0563c1"/>
            <w:sz w:val="24"/>
            <w:szCs w:val="24"/>
            <w:u w:val="single"/>
            <w:rtl w:val="0"/>
          </w:rPr>
          <w:t xml:space="preserve">https://www.hbs.edu/faculty/Pages/profile.aspx?facId=6534</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6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McKinsey (2022) Cloud and AI Adoption Report. Available at: </w:t>
      </w:r>
      <w:hyperlink r:id="rId28">
        <w:r w:rsidDel="00000000" w:rsidR="00000000" w:rsidRPr="00000000">
          <w:rPr>
            <w:rFonts w:ascii="Arial" w:cs="Arial" w:eastAsia="Arial" w:hAnsi="Arial"/>
            <w:color w:val="0563c1"/>
            <w:sz w:val="24"/>
            <w:szCs w:val="24"/>
            <w:u w:val="single"/>
            <w:rtl w:val="0"/>
          </w:rPr>
          <w:t xml:space="preserve">https://www.mckinsey.com/featured-insights</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6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McKinsey (2023) Global Trade and Supply Chain Review. Available at: </w:t>
      </w:r>
      <w:hyperlink r:id="rId29">
        <w:r w:rsidDel="00000000" w:rsidR="00000000" w:rsidRPr="00000000">
          <w:rPr>
            <w:rFonts w:ascii="Arial" w:cs="Arial" w:eastAsia="Arial" w:hAnsi="Arial"/>
            <w:color w:val="0563c1"/>
            <w:sz w:val="24"/>
            <w:szCs w:val="24"/>
            <w:u w:val="single"/>
            <w:rtl w:val="0"/>
          </w:rPr>
          <w:t xml:space="preserve">https://www.mckinsey.com/business-functions/operations/our-insights</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6C">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OECD (2023) Employment Outlook. Available at: </w:t>
      </w:r>
      <w:hyperlink r:id="rId30">
        <w:r w:rsidDel="00000000" w:rsidR="00000000" w:rsidRPr="00000000">
          <w:rPr>
            <w:rFonts w:ascii="Arial" w:cs="Arial" w:eastAsia="Arial" w:hAnsi="Arial"/>
            <w:color w:val="0563c1"/>
            <w:sz w:val="24"/>
            <w:szCs w:val="24"/>
            <w:u w:val="single"/>
            <w:rtl w:val="0"/>
          </w:rPr>
          <w:t xml:space="preserve">https://www.oecd.org/employment-outlook</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6D">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OECD (2024) Regulatory Outlook for MNEs. Available at: </w:t>
      </w:r>
      <w:hyperlink r:id="rId31">
        <w:r w:rsidDel="00000000" w:rsidR="00000000" w:rsidRPr="00000000">
          <w:rPr>
            <w:rFonts w:ascii="Arial" w:cs="Arial" w:eastAsia="Arial" w:hAnsi="Arial"/>
            <w:color w:val="0563c1"/>
            <w:sz w:val="24"/>
            <w:szCs w:val="24"/>
            <w:u w:val="single"/>
            <w:rtl w:val="0"/>
          </w:rPr>
          <w:t xml:space="preserve">https://www.oecd.org/investment/mne</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6E">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Porter, M.E. (2022) Competitive Strategy. Free Press. Available at: </w:t>
      </w:r>
      <w:hyperlink r:id="rId32">
        <w:r w:rsidDel="00000000" w:rsidR="00000000" w:rsidRPr="00000000">
          <w:rPr>
            <w:rFonts w:ascii="Arial" w:cs="Arial" w:eastAsia="Arial" w:hAnsi="Arial"/>
            <w:color w:val="0563c1"/>
            <w:sz w:val="24"/>
            <w:szCs w:val="24"/>
            <w:u w:val="single"/>
            <w:rtl w:val="0"/>
          </w:rPr>
          <w:t xml:space="preserve">https://www.simonandschuster.com</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6F">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Porter, M.E. &amp; Heppelmann, J.E. (2021) Smart, Connected Products. Harvard Business Review. Available at: </w:t>
      </w:r>
      <w:hyperlink r:id="rId33">
        <w:r w:rsidDel="00000000" w:rsidR="00000000" w:rsidRPr="00000000">
          <w:rPr>
            <w:rFonts w:ascii="Arial" w:cs="Arial" w:eastAsia="Arial" w:hAnsi="Arial"/>
            <w:color w:val="0563c1"/>
            <w:sz w:val="24"/>
            <w:szCs w:val="24"/>
            <w:u w:val="single"/>
            <w:rtl w:val="0"/>
          </w:rPr>
          <w:t xml:space="preserve">https://hbr.org/2021/11/smart-connected-products</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70">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PwC (2022) Currency Risk Management. Available at: </w:t>
      </w:r>
      <w:hyperlink r:id="rId34">
        <w:r w:rsidDel="00000000" w:rsidR="00000000" w:rsidRPr="00000000">
          <w:rPr>
            <w:rFonts w:ascii="Arial" w:cs="Arial" w:eastAsia="Arial" w:hAnsi="Arial"/>
            <w:color w:val="0563c1"/>
            <w:sz w:val="24"/>
            <w:szCs w:val="24"/>
            <w:u w:val="single"/>
            <w:rtl w:val="0"/>
          </w:rPr>
          <w:t xml:space="preserve">https://www.pwc.com/gx/en/services/audit-assurance/currency-risk.html</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7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PwC (2023) Retail &amp; Consumer Insights. Available at: </w:t>
      </w:r>
      <w:hyperlink r:id="rId35">
        <w:r w:rsidDel="00000000" w:rsidR="00000000" w:rsidRPr="00000000">
          <w:rPr>
            <w:rFonts w:ascii="Arial" w:cs="Arial" w:eastAsia="Arial" w:hAnsi="Arial"/>
            <w:color w:val="0563c1"/>
            <w:sz w:val="24"/>
            <w:szCs w:val="24"/>
            <w:u w:val="single"/>
            <w:rtl w:val="0"/>
          </w:rPr>
          <w:t xml:space="preserve">https://www.pwc.com/gx/en/industries/consumer-markets.html</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7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Statista (2024) Cloud Market Share Data. Available at: </w:t>
      </w:r>
      <w:hyperlink r:id="rId36">
        <w:r w:rsidDel="00000000" w:rsidR="00000000" w:rsidRPr="00000000">
          <w:rPr>
            <w:rFonts w:ascii="Arial" w:cs="Arial" w:eastAsia="Arial" w:hAnsi="Arial"/>
            <w:color w:val="0563c1"/>
            <w:sz w:val="24"/>
            <w:szCs w:val="24"/>
            <w:u w:val="single"/>
            <w:rtl w:val="0"/>
          </w:rPr>
          <w:t xml:space="preserve">https://www.statista.com/statistics/cloud-market-share/</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7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Teece, D.J. (2021) Dynamic Capabilities. Oxford University Press. Available at: </w:t>
      </w:r>
      <w:hyperlink r:id="rId37">
        <w:r w:rsidDel="00000000" w:rsidR="00000000" w:rsidRPr="00000000">
          <w:rPr>
            <w:rFonts w:ascii="Arial" w:cs="Arial" w:eastAsia="Arial" w:hAnsi="Arial"/>
            <w:color w:val="0563c1"/>
            <w:sz w:val="24"/>
            <w:szCs w:val="24"/>
            <w:u w:val="single"/>
            <w:rtl w:val="0"/>
          </w:rPr>
          <w:t xml:space="preserve">https://global.oup.com/academic</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74">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WEF (World Economic Forum) (2024) Global Competitiveness Report. Available at: </w:t>
      </w:r>
      <w:hyperlink r:id="rId38">
        <w:r w:rsidDel="00000000" w:rsidR="00000000" w:rsidRPr="00000000">
          <w:rPr>
            <w:rFonts w:ascii="Arial" w:cs="Arial" w:eastAsia="Arial" w:hAnsi="Arial"/>
            <w:color w:val="0563c1"/>
            <w:sz w:val="24"/>
            <w:szCs w:val="24"/>
            <w:u w:val="single"/>
            <w:rtl w:val="0"/>
          </w:rPr>
          <w:t xml:space="preserve">https://www.weforum.org/reports/global-competitiveness-report-2024</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7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World Bank (2023) Global Economic Prospects. Available at: </w:t>
      </w:r>
      <w:hyperlink r:id="rId39">
        <w:r w:rsidDel="00000000" w:rsidR="00000000" w:rsidRPr="00000000">
          <w:rPr>
            <w:rFonts w:ascii="Arial" w:cs="Arial" w:eastAsia="Arial" w:hAnsi="Arial"/>
            <w:color w:val="0563c1"/>
            <w:sz w:val="24"/>
            <w:szCs w:val="24"/>
            <w:u w:val="single"/>
            <w:rtl w:val="0"/>
          </w:rPr>
          <w:t xml:space="preserve">https://www.worldbank.org/en/publication/global-economic-prospects</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76">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Gartner (2023) AI and Cloud Strategy. Available at: </w:t>
      </w:r>
      <w:hyperlink r:id="rId40">
        <w:r w:rsidDel="00000000" w:rsidR="00000000" w:rsidRPr="00000000">
          <w:rPr>
            <w:rFonts w:ascii="Arial" w:cs="Arial" w:eastAsia="Arial" w:hAnsi="Arial"/>
            <w:color w:val="0563c1"/>
            <w:sz w:val="24"/>
            <w:szCs w:val="24"/>
            <w:u w:val="single"/>
            <w:rtl w:val="0"/>
          </w:rPr>
          <w:t xml:space="preserve">https://www.gartner.com/en/insights/ai</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7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Forbes (2022) Amazon Logistics Expansion. Available at: </w:t>
      </w:r>
      <w:hyperlink r:id="rId41">
        <w:r w:rsidDel="00000000" w:rsidR="00000000" w:rsidRPr="00000000">
          <w:rPr>
            <w:rFonts w:ascii="Arial" w:cs="Arial" w:eastAsia="Arial" w:hAnsi="Arial"/>
            <w:color w:val="0563c1"/>
            <w:sz w:val="24"/>
            <w:szCs w:val="24"/>
            <w:u w:val="single"/>
            <w:rtl w:val="0"/>
          </w:rPr>
          <w:t xml:space="preserve">https://www.forbes.com/sites/forbestechcouncil/2022/09/05/amazon-logistics-strategy/</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78">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Harvard Business School (2025) Balanced Scorecard and Strategy Execution. Available at: </w:t>
      </w:r>
      <w:hyperlink r:id="rId42">
        <w:r w:rsidDel="00000000" w:rsidR="00000000" w:rsidRPr="00000000">
          <w:rPr>
            <w:rFonts w:ascii="Arial" w:cs="Arial" w:eastAsia="Arial" w:hAnsi="Arial"/>
            <w:color w:val="0563c1"/>
            <w:sz w:val="24"/>
            <w:szCs w:val="24"/>
            <w:u w:val="single"/>
            <w:rtl w:val="0"/>
          </w:rPr>
          <w:t xml:space="preserve">https://www.hbs.edu/faculty/Pages/item.aspx?num=56578</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7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Journal of Strategic Management (2023) CSR in Tech Sector. Available at: </w:t>
      </w:r>
      <w:hyperlink r:id="rId43">
        <w:r w:rsidDel="00000000" w:rsidR="00000000" w:rsidRPr="00000000">
          <w:rPr>
            <w:rFonts w:ascii="Arial" w:cs="Arial" w:eastAsia="Arial" w:hAnsi="Arial"/>
            <w:color w:val="0563c1"/>
            <w:sz w:val="24"/>
            <w:szCs w:val="24"/>
            <w:u w:val="single"/>
            <w:rtl w:val="0"/>
          </w:rPr>
          <w:t xml:space="preserve">https://www.strategicmanagementjournal.com/csr-and-tech</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7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Journal of Supply Chain Management (2024) Logistics Efficiency Drivers. Available at: </w:t>
      </w:r>
      <w:hyperlink r:id="rId44">
        <w:r w:rsidDel="00000000" w:rsidR="00000000" w:rsidRPr="00000000">
          <w:rPr>
            <w:rFonts w:ascii="Arial" w:cs="Arial" w:eastAsia="Arial" w:hAnsi="Arial"/>
            <w:color w:val="0563c1"/>
            <w:sz w:val="24"/>
            <w:szCs w:val="24"/>
            <w:u w:val="single"/>
            <w:rtl w:val="0"/>
          </w:rPr>
          <w:t xml:space="preserve">https://onlinelibrary.wiley.com/journal/1745493x</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7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MIT Sloan Management Review (2023) Data Analytics and Competitive Advantage. Available at: </w:t>
      </w:r>
      <w:hyperlink r:id="rId45">
        <w:r w:rsidDel="00000000" w:rsidR="00000000" w:rsidRPr="00000000">
          <w:rPr>
            <w:rFonts w:ascii="Arial" w:cs="Arial" w:eastAsia="Arial" w:hAnsi="Arial"/>
            <w:color w:val="0563c1"/>
            <w:sz w:val="24"/>
            <w:szCs w:val="24"/>
            <w:u w:val="single"/>
            <w:rtl w:val="0"/>
          </w:rPr>
          <w:t xml:space="preserve">https://sloanreview.mit.edu/article/data-analytics-competitive-advantage/</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7C">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Journal of Business Ethics (2024) ESG Transparency and Stakeholder Trust. Available at: </w:t>
      </w:r>
      <w:hyperlink r:id="rId46">
        <w:r w:rsidDel="00000000" w:rsidR="00000000" w:rsidRPr="00000000">
          <w:rPr>
            <w:rFonts w:ascii="Arial" w:cs="Arial" w:eastAsia="Arial" w:hAnsi="Arial"/>
            <w:color w:val="0563c1"/>
            <w:sz w:val="24"/>
            <w:szCs w:val="24"/>
            <w:u w:val="single"/>
            <w:rtl w:val="0"/>
          </w:rPr>
          <w:t xml:space="preserve">https://link.springer.com/journal/10551</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7D">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E">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F">
      <w:pPr>
        <w:spacing w:before="280" w:line="360" w:lineRule="auto"/>
        <w:jc w:val="both"/>
        <w:rPr>
          <w:rFonts w:ascii="Arial" w:cs="Arial" w:eastAsia="Arial" w:hAnsi="Arial"/>
          <w:sz w:val="24"/>
          <w:szCs w:val="24"/>
        </w:rPr>
      </w:pPr>
      <w:r w:rsidDel="00000000" w:rsidR="00000000" w:rsidRPr="00000000">
        <w:rPr>
          <w:rtl w:val="0"/>
        </w:rPr>
      </w:r>
    </w:p>
    <w:sectPr>
      <w:footerReference r:id="rId4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 w:name="Arial Unicode MS"/>
  <w:font w:name="Times New Roman"/>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Cambria Math">
    <w:embedRegular w:fontKey="{00000000-0000-0000-0000-000000000000}" r:id="rId7"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0">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jc w:val="center"/>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81">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Arial" w:cs="Arial" w:eastAsia="Arial" w:hAnsi="Arial"/>
      <w:b w:val="1"/>
      <w:bCs w:val="1"/>
      <w:color w:val="000000"/>
      <w:sz w:val="32"/>
      <w:szCs w:val="32"/>
    </w:rPr>
  </w:style>
  <w:style w:type="paragraph" w:styleId="Heading2">
    <w:name w:val="heading 2"/>
    <w:basedOn w:val="Normal"/>
    <w:next w:val="Normal"/>
    <w:pPr>
      <w:keepNext w:val="1"/>
      <w:keepLines w:val="1"/>
      <w:spacing w:after="0" w:before="40" w:lineRule="auto"/>
    </w:pPr>
    <w:rPr>
      <w:rFonts w:ascii="Arial" w:cs="Arial" w:eastAsia="Arial" w:hAnsi="Arial"/>
      <w:b w:val="1"/>
      <w:bCs w:val="1"/>
      <w:color w:val="000000"/>
      <w:sz w:val="28"/>
      <w:szCs w:val="28"/>
    </w:rPr>
  </w:style>
  <w:style w:type="paragraph" w:styleId="Heading3">
    <w:name w:val="heading 3"/>
    <w:basedOn w:val="Normal"/>
    <w:next w:val="Normal"/>
    <w:pPr>
      <w:keepNext w:val="1"/>
      <w:keepLines w:val="1"/>
      <w:spacing w:after="0" w:before="40" w:lineRule="auto"/>
    </w:pPr>
    <w:rPr>
      <w:rFonts w:ascii="Arial" w:cs="Arial" w:eastAsia="Arial" w:hAnsi="Arial"/>
      <w:b w:val="1"/>
      <w:bCs w:val="1"/>
      <w:color w:val="000000"/>
      <w:sz w:val="24"/>
      <w:szCs w:val="24"/>
    </w:rPr>
  </w:style>
  <w:style w:type="paragraph" w:styleId="Heading4">
    <w:name w:val="heading 4"/>
    <w:basedOn w:val="Normal"/>
    <w:next w:val="Normal"/>
    <w:pPr>
      <w:keepNext w:val="1"/>
      <w:keepLines w:val="1"/>
      <w:spacing w:after="0" w:before="40" w:lineRule="auto"/>
    </w:pPr>
    <w:rPr>
      <w:rFonts w:ascii="Calibri" w:cs="Calibri" w:eastAsia="Calibri" w:hAnsi="Calibri"/>
      <w:i w:val="1"/>
      <w:iCs w:val="1"/>
      <w:color w:val="2e75b5"/>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spacing w:after="0" w:before="40" w:lineRule="auto"/>
    </w:pPr>
    <w:rPr>
      <w:rFonts w:ascii="Calibri" w:cs="Calibri" w:eastAsia="Calibri" w:hAnsi="Calibri"/>
      <w:color w:val="1e4d78"/>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gartner.com/en/insights/ai" TargetMode="External"/><Relationship Id="rId20" Type="http://schemas.openxmlformats.org/officeDocument/2006/relationships/hyperlink" Target="https://www.cambridge.org" TargetMode="External"/><Relationship Id="rId42" Type="http://schemas.openxmlformats.org/officeDocument/2006/relationships/hyperlink" Target="https://www.hbs.edu/faculty/Pages/item.aspx?num=56578" TargetMode="External"/><Relationship Id="rId41" Type="http://schemas.openxmlformats.org/officeDocument/2006/relationships/hyperlink" Target="https://www.forbes.com/sites/forbestechcouncil/2022/09/05/amazon-logistics-strategy/" TargetMode="External"/><Relationship Id="rId22" Type="http://schemas.openxmlformats.org/officeDocument/2006/relationships/hyperlink" Target="https://hbr.org/2023/02/building-a-customer-centric-enterprise" TargetMode="External"/><Relationship Id="rId44" Type="http://schemas.openxmlformats.org/officeDocument/2006/relationships/hyperlink" Target="https://onlinelibrary.wiley.com/journal/1745493x" TargetMode="External"/><Relationship Id="rId21" Type="http://schemas.openxmlformats.org/officeDocument/2006/relationships/hyperlink" Target="https://www.wiley.com" TargetMode="External"/><Relationship Id="rId43" Type="http://schemas.openxmlformats.org/officeDocument/2006/relationships/hyperlink" Target="https://www.strategicmanagementjournal.com/csr-and-tech" TargetMode="External"/><Relationship Id="rId24" Type="http://schemas.openxmlformats.org/officeDocument/2006/relationships/hyperlink" Target="https://www.ilo.org/global/research/global-reports/lang%E2%80%93en/index.htm" TargetMode="External"/><Relationship Id="rId46" Type="http://schemas.openxmlformats.org/officeDocument/2006/relationships/hyperlink" Target="https://link.springer.com/journal/10551" TargetMode="External"/><Relationship Id="rId23" Type="http://schemas.openxmlformats.org/officeDocument/2006/relationships/hyperlink" Target="https://www.iea.org/reports/renewables-2023" TargetMode="External"/><Relationship Id="rId45" Type="http://schemas.openxmlformats.org/officeDocument/2006/relationships/hyperlink" Target="https://sloanreview.mit.edu/article/data-analytics-competitive-advantag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26" Type="http://schemas.openxmlformats.org/officeDocument/2006/relationships/hyperlink" Target="https://harvardlawreview.org/2021/06/antitrust-and-big-tech" TargetMode="External"/><Relationship Id="rId25" Type="http://schemas.openxmlformats.org/officeDocument/2006/relationships/hyperlink" Target="https://www.pearson.com" TargetMode="External"/><Relationship Id="rId47" Type="http://schemas.openxmlformats.org/officeDocument/2006/relationships/footer" Target="footer1.xml"/><Relationship Id="rId28" Type="http://schemas.openxmlformats.org/officeDocument/2006/relationships/hyperlink" Target="https://www.mckinsey.com/featured-insights" TargetMode="External"/><Relationship Id="rId27" Type="http://schemas.openxmlformats.org/officeDocument/2006/relationships/hyperlink" Target="https://www.hbs.edu/faculty/Pages/profile.aspx?facId=6534"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https://www.mckinsey.com/business-functions/operations/our-insights" TargetMode="External"/><Relationship Id="rId7" Type="http://schemas.openxmlformats.org/officeDocument/2006/relationships/image" Target="media/image3.png"/><Relationship Id="rId8" Type="http://schemas.openxmlformats.org/officeDocument/2006/relationships/image" Target="media/image4.png"/><Relationship Id="rId31" Type="http://schemas.openxmlformats.org/officeDocument/2006/relationships/hyperlink" Target="https://www.oecd.org/investment/mne" TargetMode="External"/><Relationship Id="rId30" Type="http://schemas.openxmlformats.org/officeDocument/2006/relationships/hyperlink" Target="https://www.oecd.org/employment-outlook" TargetMode="External"/><Relationship Id="rId11" Type="http://schemas.openxmlformats.org/officeDocument/2006/relationships/image" Target="media/image7.png"/><Relationship Id="rId33" Type="http://schemas.openxmlformats.org/officeDocument/2006/relationships/hyperlink" Target="https://hbr.org/2021/11/smart-connected-products" TargetMode="External"/><Relationship Id="rId10" Type="http://schemas.openxmlformats.org/officeDocument/2006/relationships/image" Target="media/image5.png"/><Relationship Id="rId32" Type="http://schemas.openxmlformats.org/officeDocument/2006/relationships/hyperlink" Target="https://www.simonandschuster.com" TargetMode="External"/><Relationship Id="rId13" Type="http://schemas.openxmlformats.org/officeDocument/2006/relationships/hyperlink" Target="https://sustainability.aboutamazon.com/" TargetMode="External"/><Relationship Id="rId35" Type="http://schemas.openxmlformats.org/officeDocument/2006/relationships/hyperlink" Target="https://www.pwc.com/gx/en/industries/consumer-markets.html" TargetMode="External"/><Relationship Id="rId12" Type="http://schemas.openxmlformats.org/officeDocument/2006/relationships/image" Target="media/image6.png"/><Relationship Id="rId34" Type="http://schemas.openxmlformats.org/officeDocument/2006/relationships/hyperlink" Target="https://www.pwc.com/gx/en/services/audit-assurance/currency-risk.html" TargetMode="External"/><Relationship Id="rId15" Type="http://schemas.openxmlformats.org/officeDocument/2006/relationships/hyperlink" Target="https://www.pearson.com" TargetMode="External"/><Relationship Id="rId37" Type="http://schemas.openxmlformats.org/officeDocument/2006/relationships/hyperlink" Target="https://global.oup.com/academic" TargetMode="External"/><Relationship Id="rId14" Type="http://schemas.openxmlformats.org/officeDocument/2006/relationships/hyperlink" Target="https://ir.aboutamazon.com/annual-reports-proxies-and-shareholder-letters" TargetMode="External"/><Relationship Id="rId36" Type="http://schemas.openxmlformats.org/officeDocument/2006/relationships/hyperlink" Target="https://www.statista.com/statistics/cloud-market-share/" TargetMode="External"/><Relationship Id="rId17" Type="http://schemas.openxmlformats.org/officeDocument/2006/relationships/hyperlink" Target="https://www2.deloitte.com/global/en/insights/topics/consumer-industrial-products.html" TargetMode="External"/><Relationship Id="rId39" Type="http://schemas.openxmlformats.org/officeDocument/2006/relationships/hyperlink" Target="https://www.worldbank.org/en/publication/global-economic-prospects" TargetMode="External"/><Relationship Id="rId16" Type="http://schemas.openxmlformats.org/officeDocument/2006/relationships/hyperlink" Target="https://www2.deloitte.com/us/en/insights/industry/retail-distribution.html" TargetMode="External"/><Relationship Id="rId38" Type="http://schemas.openxmlformats.org/officeDocument/2006/relationships/hyperlink" Target="https://www.weforum.org/reports/global-competitiveness-report-2024" TargetMode="External"/><Relationship Id="rId19" Type="http://schemas.openxmlformats.org/officeDocument/2006/relationships/hyperlink" Target="https://commission.europa.eu/law/law-topic/data-protection_en" TargetMode="External"/><Relationship Id="rId18" Type="http://schemas.openxmlformats.org/officeDocument/2006/relationships/hyperlink" Target="https://hbr.org/2022/05/corporate-sustainability-at-scal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