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B0504" w14:textId="77777777" w:rsidR="00E73E5E" w:rsidRPr="00872A7F" w:rsidRDefault="00E73E5E" w:rsidP="00872A7F">
      <w:pPr>
        <w:spacing w:line="360" w:lineRule="auto"/>
        <w:rPr>
          <w:rFonts w:ascii="Arial" w:hAnsi="Arial" w:cs="Arial"/>
          <w:b/>
          <w:bCs/>
          <w:sz w:val="22"/>
          <w:szCs w:val="22"/>
        </w:rPr>
      </w:pPr>
    </w:p>
    <w:p w14:paraId="51EFD06C" w14:textId="77777777" w:rsidR="00E73E5E" w:rsidRPr="00872A7F" w:rsidRDefault="00E73E5E" w:rsidP="00872A7F">
      <w:pPr>
        <w:spacing w:line="360" w:lineRule="auto"/>
        <w:rPr>
          <w:rFonts w:ascii="Arial" w:hAnsi="Arial" w:cs="Arial"/>
          <w:b/>
          <w:bCs/>
          <w:sz w:val="22"/>
          <w:szCs w:val="22"/>
        </w:rPr>
      </w:pPr>
    </w:p>
    <w:p w14:paraId="5966F60F" w14:textId="77777777" w:rsidR="00E73E5E" w:rsidRPr="00872A7F" w:rsidRDefault="00E73E5E" w:rsidP="00872A7F">
      <w:pPr>
        <w:spacing w:line="360" w:lineRule="auto"/>
        <w:rPr>
          <w:rFonts w:ascii="Arial" w:hAnsi="Arial" w:cs="Arial"/>
          <w:b/>
          <w:bCs/>
          <w:sz w:val="22"/>
          <w:szCs w:val="22"/>
        </w:rPr>
      </w:pPr>
    </w:p>
    <w:p w14:paraId="309B76F9" w14:textId="77777777" w:rsidR="00E73E5E" w:rsidRPr="00872A7F" w:rsidRDefault="00E73E5E" w:rsidP="00872A7F">
      <w:pPr>
        <w:spacing w:after="0" w:line="360" w:lineRule="auto"/>
        <w:ind w:right="367"/>
        <w:jc w:val="center"/>
        <w:rPr>
          <w:rFonts w:ascii="Arial" w:eastAsia="Arial" w:hAnsi="Arial" w:cs="Arial"/>
          <w:b/>
          <w:bCs/>
          <w:color w:val="000000" w:themeColor="text1"/>
          <w:sz w:val="22"/>
          <w:szCs w:val="22"/>
        </w:rPr>
      </w:pPr>
      <w:r w:rsidRPr="00872A7F">
        <w:rPr>
          <w:rFonts w:ascii="Arial" w:eastAsia="Arial" w:hAnsi="Arial" w:cs="Arial"/>
          <w:b/>
          <w:bCs/>
          <w:color w:val="000000" w:themeColor="text1"/>
          <w:sz w:val="22"/>
          <w:szCs w:val="22"/>
        </w:rPr>
        <w:t xml:space="preserve">Module </w:t>
      </w:r>
      <w:proofErr w:type="gramStart"/>
      <w:r w:rsidRPr="00872A7F">
        <w:rPr>
          <w:rFonts w:ascii="Arial" w:eastAsia="Arial" w:hAnsi="Arial" w:cs="Arial"/>
          <w:b/>
          <w:bCs/>
          <w:color w:val="000000" w:themeColor="text1"/>
          <w:sz w:val="22"/>
          <w:szCs w:val="22"/>
        </w:rPr>
        <w:t>Code  :</w:t>
      </w:r>
      <w:proofErr w:type="gramEnd"/>
      <w:r w:rsidRPr="00872A7F">
        <w:rPr>
          <w:rFonts w:ascii="Arial" w:eastAsia="Arial" w:hAnsi="Arial" w:cs="Arial"/>
          <w:b/>
          <w:bCs/>
          <w:color w:val="000000" w:themeColor="text1"/>
          <w:sz w:val="22"/>
          <w:szCs w:val="22"/>
        </w:rPr>
        <w:t xml:space="preserve">  BMHP5016</w:t>
      </w:r>
    </w:p>
    <w:p w14:paraId="57300AB1" w14:textId="77777777" w:rsidR="00E73E5E" w:rsidRPr="00872A7F" w:rsidRDefault="00E73E5E" w:rsidP="00872A7F">
      <w:pPr>
        <w:spacing w:after="0" w:line="360" w:lineRule="auto"/>
        <w:ind w:left="2160" w:right="367"/>
        <w:jc w:val="center"/>
        <w:rPr>
          <w:rFonts w:ascii="Arial" w:hAnsi="Arial" w:cs="Arial"/>
          <w:sz w:val="22"/>
          <w:szCs w:val="22"/>
        </w:rPr>
      </w:pPr>
    </w:p>
    <w:p w14:paraId="69171924" w14:textId="77777777" w:rsidR="00E73E5E" w:rsidRPr="00872A7F" w:rsidRDefault="00E73E5E" w:rsidP="00872A7F">
      <w:pPr>
        <w:spacing w:after="0" w:line="360" w:lineRule="auto"/>
        <w:ind w:left="720" w:right="367"/>
        <w:jc w:val="center"/>
        <w:rPr>
          <w:rFonts w:ascii="Arial" w:eastAsia="Arial" w:hAnsi="Arial" w:cs="Arial"/>
          <w:b/>
          <w:bCs/>
          <w:color w:val="000000" w:themeColor="text1"/>
          <w:sz w:val="22"/>
          <w:szCs w:val="22"/>
        </w:rPr>
      </w:pPr>
      <w:r w:rsidRPr="00872A7F">
        <w:rPr>
          <w:rFonts w:ascii="Arial" w:eastAsia="Arial" w:hAnsi="Arial" w:cs="Arial"/>
          <w:b/>
          <w:bCs/>
          <w:color w:val="000000" w:themeColor="text1"/>
          <w:sz w:val="22"/>
          <w:szCs w:val="22"/>
        </w:rPr>
        <w:t xml:space="preserve">Assignment </w:t>
      </w:r>
      <w:proofErr w:type="gramStart"/>
      <w:r w:rsidRPr="00872A7F">
        <w:rPr>
          <w:rFonts w:ascii="Arial" w:eastAsia="Arial" w:hAnsi="Arial" w:cs="Arial"/>
          <w:b/>
          <w:bCs/>
          <w:color w:val="000000" w:themeColor="text1"/>
          <w:sz w:val="22"/>
          <w:szCs w:val="22"/>
        </w:rPr>
        <w:t>Title :</w:t>
      </w:r>
      <w:proofErr w:type="gramEnd"/>
      <w:r w:rsidRPr="00872A7F">
        <w:rPr>
          <w:rFonts w:ascii="Arial" w:hAnsi="Arial" w:cs="Arial"/>
          <w:b/>
          <w:sz w:val="22"/>
          <w:szCs w:val="22"/>
        </w:rPr>
        <w:t xml:space="preserve"> </w:t>
      </w:r>
      <w:r w:rsidRPr="00872A7F">
        <w:rPr>
          <w:rFonts w:ascii="Arial" w:eastAsia="Arial" w:hAnsi="Arial" w:cs="Arial"/>
          <w:b/>
          <w:bCs/>
          <w:color w:val="000000" w:themeColor="text1"/>
          <w:sz w:val="22"/>
          <w:szCs w:val="22"/>
        </w:rPr>
        <w:t>Component 2: Written Assignment</w:t>
      </w:r>
    </w:p>
    <w:p w14:paraId="362C690C" w14:textId="77777777" w:rsidR="00E73E5E" w:rsidRPr="00872A7F" w:rsidRDefault="00E73E5E" w:rsidP="00872A7F">
      <w:pPr>
        <w:spacing w:after="156" w:line="360" w:lineRule="auto"/>
        <w:ind w:left="152" w:firstLine="168"/>
        <w:jc w:val="center"/>
        <w:rPr>
          <w:rFonts w:ascii="Arial" w:hAnsi="Arial" w:cs="Arial"/>
          <w:sz w:val="22"/>
          <w:szCs w:val="22"/>
        </w:rPr>
      </w:pPr>
    </w:p>
    <w:p w14:paraId="60C6CB92" w14:textId="77777777" w:rsidR="00E73E5E" w:rsidRPr="00872A7F" w:rsidRDefault="00E73E5E" w:rsidP="00872A7F">
      <w:pPr>
        <w:spacing w:after="0" w:line="360" w:lineRule="auto"/>
        <w:ind w:left="720" w:right="367"/>
        <w:jc w:val="center"/>
        <w:rPr>
          <w:rFonts w:ascii="Arial" w:hAnsi="Arial" w:cs="Arial"/>
          <w:sz w:val="22"/>
          <w:szCs w:val="22"/>
        </w:rPr>
      </w:pPr>
      <w:r w:rsidRPr="00872A7F">
        <w:rPr>
          <w:rFonts w:ascii="Arial" w:eastAsia="Arial" w:hAnsi="Arial" w:cs="Arial"/>
          <w:b/>
          <w:bCs/>
          <w:color w:val="000000" w:themeColor="text1"/>
          <w:sz w:val="22"/>
          <w:szCs w:val="22"/>
        </w:rPr>
        <w:t xml:space="preserve">Student </w:t>
      </w:r>
      <w:proofErr w:type="gramStart"/>
      <w:r w:rsidRPr="00872A7F">
        <w:rPr>
          <w:rFonts w:ascii="Arial" w:eastAsia="Arial" w:hAnsi="Arial" w:cs="Arial"/>
          <w:b/>
          <w:bCs/>
          <w:color w:val="000000" w:themeColor="text1"/>
          <w:sz w:val="22"/>
          <w:szCs w:val="22"/>
        </w:rPr>
        <w:t>name :</w:t>
      </w:r>
      <w:proofErr w:type="gramEnd"/>
      <w:r w:rsidRPr="00872A7F">
        <w:rPr>
          <w:rFonts w:ascii="Arial" w:eastAsia="Arial" w:hAnsi="Arial" w:cs="Arial"/>
          <w:b/>
          <w:bCs/>
          <w:color w:val="000000" w:themeColor="text1"/>
          <w:sz w:val="22"/>
          <w:szCs w:val="22"/>
        </w:rPr>
        <w:t xml:space="preserve"> Ioana Bianca Cristiana</w:t>
      </w:r>
    </w:p>
    <w:p w14:paraId="457C948D" w14:textId="77777777" w:rsidR="00E73E5E" w:rsidRPr="00872A7F" w:rsidRDefault="00E73E5E" w:rsidP="00872A7F">
      <w:pPr>
        <w:spacing w:after="157" w:line="360" w:lineRule="auto"/>
        <w:ind w:left="152" w:firstLine="168"/>
        <w:jc w:val="center"/>
        <w:rPr>
          <w:rFonts w:ascii="Arial" w:hAnsi="Arial" w:cs="Arial"/>
          <w:sz w:val="22"/>
          <w:szCs w:val="22"/>
        </w:rPr>
      </w:pPr>
    </w:p>
    <w:p w14:paraId="575BD05E" w14:textId="77777777" w:rsidR="00E73E5E" w:rsidRPr="00872A7F" w:rsidRDefault="00E73E5E" w:rsidP="00872A7F">
      <w:pPr>
        <w:spacing w:after="0" w:line="360" w:lineRule="auto"/>
        <w:ind w:left="720" w:right="367"/>
        <w:jc w:val="center"/>
        <w:rPr>
          <w:rFonts w:ascii="Arial" w:hAnsi="Arial" w:cs="Arial"/>
          <w:sz w:val="22"/>
          <w:szCs w:val="22"/>
        </w:rPr>
      </w:pPr>
      <w:r w:rsidRPr="00872A7F">
        <w:rPr>
          <w:rFonts w:ascii="Arial" w:eastAsia="Arial" w:hAnsi="Arial" w:cs="Arial"/>
          <w:b/>
          <w:bCs/>
          <w:color w:val="000000" w:themeColor="text1"/>
          <w:sz w:val="22"/>
          <w:szCs w:val="22"/>
        </w:rPr>
        <w:t xml:space="preserve">Student </w:t>
      </w:r>
      <w:proofErr w:type="gramStart"/>
      <w:r w:rsidRPr="00872A7F">
        <w:rPr>
          <w:rFonts w:ascii="Arial" w:eastAsia="Arial" w:hAnsi="Arial" w:cs="Arial"/>
          <w:b/>
          <w:bCs/>
          <w:color w:val="000000" w:themeColor="text1"/>
          <w:sz w:val="22"/>
          <w:szCs w:val="22"/>
        </w:rPr>
        <w:t>number :</w:t>
      </w:r>
      <w:proofErr w:type="gramEnd"/>
      <w:r w:rsidRPr="00872A7F">
        <w:rPr>
          <w:rFonts w:ascii="Arial" w:eastAsia="Arial" w:hAnsi="Arial" w:cs="Arial"/>
          <w:b/>
          <w:bCs/>
          <w:color w:val="000000" w:themeColor="text1"/>
          <w:sz w:val="22"/>
          <w:szCs w:val="22"/>
        </w:rPr>
        <w:t xml:space="preserve"> 2434786</w:t>
      </w:r>
    </w:p>
    <w:p w14:paraId="78559C9B" w14:textId="77777777" w:rsidR="00E73E5E" w:rsidRPr="00872A7F" w:rsidRDefault="00E73E5E" w:rsidP="00872A7F">
      <w:pPr>
        <w:spacing w:after="155" w:line="360" w:lineRule="auto"/>
        <w:jc w:val="center"/>
        <w:rPr>
          <w:rFonts w:ascii="Arial" w:hAnsi="Arial" w:cs="Arial"/>
          <w:sz w:val="22"/>
          <w:szCs w:val="22"/>
        </w:rPr>
      </w:pPr>
    </w:p>
    <w:p w14:paraId="0765ED2F" w14:textId="77777777" w:rsidR="00E73E5E" w:rsidRPr="00872A7F" w:rsidRDefault="00E73E5E" w:rsidP="00872A7F">
      <w:pPr>
        <w:pStyle w:val="ListParagraph"/>
        <w:spacing w:after="0" w:line="360" w:lineRule="auto"/>
        <w:jc w:val="center"/>
        <w:rPr>
          <w:rFonts w:ascii="Arial" w:eastAsia="Arial" w:hAnsi="Arial" w:cs="Arial"/>
          <w:b/>
          <w:bCs/>
          <w:color w:val="000000" w:themeColor="text1"/>
          <w:sz w:val="22"/>
          <w:szCs w:val="22"/>
        </w:rPr>
      </w:pPr>
      <w:r w:rsidRPr="00872A7F">
        <w:rPr>
          <w:rFonts w:ascii="Arial" w:eastAsia="Arial" w:hAnsi="Arial" w:cs="Arial"/>
          <w:b/>
          <w:bCs/>
          <w:color w:val="000000" w:themeColor="text1"/>
          <w:sz w:val="22"/>
          <w:szCs w:val="22"/>
        </w:rPr>
        <w:t>Date:</w:t>
      </w:r>
      <w:r w:rsidRPr="00872A7F">
        <w:rPr>
          <w:rFonts w:ascii="Arial" w:hAnsi="Arial" w:cs="Arial"/>
          <w:b/>
          <w:bCs/>
          <w:sz w:val="22"/>
          <w:szCs w:val="22"/>
        </w:rPr>
        <w:t xml:space="preserve"> </w:t>
      </w:r>
      <w:r w:rsidRPr="00872A7F">
        <w:rPr>
          <w:rFonts w:ascii="Arial" w:eastAsia="Arial" w:hAnsi="Arial" w:cs="Arial"/>
          <w:b/>
          <w:bCs/>
          <w:color w:val="000000" w:themeColor="text1"/>
          <w:sz w:val="22"/>
          <w:szCs w:val="22"/>
        </w:rPr>
        <w:t>Sunday 26</w:t>
      </w:r>
      <w:r w:rsidRPr="00872A7F">
        <w:rPr>
          <w:rFonts w:ascii="Arial" w:eastAsia="Arial" w:hAnsi="Arial" w:cs="Arial"/>
          <w:b/>
          <w:bCs/>
          <w:color w:val="000000" w:themeColor="text1"/>
          <w:sz w:val="22"/>
          <w:szCs w:val="22"/>
          <w:vertAlign w:val="superscript"/>
        </w:rPr>
        <w:t>th</w:t>
      </w:r>
      <w:r w:rsidRPr="00872A7F">
        <w:rPr>
          <w:rFonts w:ascii="Arial" w:eastAsia="Arial" w:hAnsi="Arial" w:cs="Arial"/>
          <w:b/>
          <w:bCs/>
          <w:color w:val="000000" w:themeColor="text1"/>
          <w:sz w:val="22"/>
          <w:szCs w:val="22"/>
        </w:rPr>
        <w:t xml:space="preserve"> July</w:t>
      </w:r>
    </w:p>
    <w:p w14:paraId="6FAA81ED" w14:textId="77777777" w:rsidR="00E73E5E" w:rsidRPr="00872A7F" w:rsidRDefault="00E73E5E" w:rsidP="00872A7F">
      <w:pPr>
        <w:spacing w:line="360" w:lineRule="auto"/>
        <w:rPr>
          <w:rFonts w:ascii="Arial" w:hAnsi="Arial" w:cs="Arial"/>
          <w:b/>
          <w:bCs/>
          <w:sz w:val="22"/>
          <w:szCs w:val="22"/>
        </w:rPr>
      </w:pPr>
    </w:p>
    <w:p w14:paraId="7CC2D4D6" w14:textId="77777777" w:rsidR="00E73E5E" w:rsidRPr="00872A7F" w:rsidRDefault="00E73E5E" w:rsidP="00872A7F">
      <w:pPr>
        <w:spacing w:line="360" w:lineRule="auto"/>
        <w:rPr>
          <w:rFonts w:ascii="Arial" w:hAnsi="Arial" w:cs="Arial"/>
          <w:b/>
          <w:bCs/>
          <w:sz w:val="22"/>
          <w:szCs w:val="22"/>
        </w:rPr>
      </w:pPr>
    </w:p>
    <w:p w14:paraId="2247FA07" w14:textId="77777777" w:rsidR="00E73E5E" w:rsidRPr="00872A7F" w:rsidRDefault="00E73E5E" w:rsidP="00872A7F">
      <w:pPr>
        <w:spacing w:line="360" w:lineRule="auto"/>
        <w:rPr>
          <w:rFonts w:ascii="Arial" w:hAnsi="Arial" w:cs="Arial"/>
          <w:b/>
          <w:bCs/>
          <w:sz w:val="22"/>
          <w:szCs w:val="22"/>
        </w:rPr>
      </w:pPr>
    </w:p>
    <w:p w14:paraId="0D6AFDF3" w14:textId="77777777" w:rsidR="00E73E5E" w:rsidRPr="00872A7F" w:rsidRDefault="00E73E5E" w:rsidP="00872A7F">
      <w:pPr>
        <w:spacing w:line="360" w:lineRule="auto"/>
        <w:rPr>
          <w:rFonts w:ascii="Arial" w:hAnsi="Arial" w:cs="Arial"/>
          <w:b/>
          <w:bCs/>
          <w:sz w:val="22"/>
          <w:szCs w:val="22"/>
        </w:rPr>
      </w:pPr>
    </w:p>
    <w:p w14:paraId="0F4409D9" w14:textId="77777777" w:rsidR="00E73E5E" w:rsidRPr="00872A7F" w:rsidRDefault="00E73E5E" w:rsidP="00872A7F">
      <w:pPr>
        <w:spacing w:line="360" w:lineRule="auto"/>
        <w:rPr>
          <w:rFonts w:ascii="Arial" w:hAnsi="Arial" w:cs="Arial"/>
          <w:b/>
          <w:bCs/>
          <w:sz w:val="22"/>
          <w:szCs w:val="22"/>
        </w:rPr>
      </w:pPr>
    </w:p>
    <w:p w14:paraId="2110D86A" w14:textId="77777777" w:rsidR="00E73E5E" w:rsidRPr="00872A7F" w:rsidRDefault="00E73E5E" w:rsidP="00872A7F">
      <w:pPr>
        <w:spacing w:line="360" w:lineRule="auto"/>
        <w:rPr>
          <w:rFonts w:ascii="Arial" w:hAnsi="Arial" w:cs="Arial"/>
          <w:b/>
          <w:bCs/>
          <w:sz w:val="22"/>
          <w:szCs w:val="22"/>
        </w:rPr>
      </w:pPr>
    </w:p>
    <w:p w14:paraId="41DCDD47" w14:textId="77777777" w:rsidR="00E73E5E" w:rsidRPr="00872A7F" w:rsidRDefault="00E73E5E" w:rsidP="00872A7F">
      <w:pPr>
        <w:spacing w:line="360" w:lineRule="auto"/>
        <w:rPr>
          <w:rFonts w:ascii="Arial" w:hAnsi="Arial" w:cs="Arial"/>
          <w:b/>
          <w:bCs/>
          <w:sz w:val="22"/>
          <w:szCs w:val="22"/>
        </w:rPr>
      </w:pPr>
    </w:p>
    <w:p w14:paraId="17526C16" w14:textId="77777777" w:rsidR="00E73E5E" w:rsidRPr="00872A7F" w:rsidRDefault="00E73E5E" w:rsidP="00872A7F">
      <w:pPr>
        <w:spacing w:line="360" w:lineRule="auto"/>
        <w:rPr>
          <w:rFonts w:ascii="Arial" w:hAnsi="Arial" w:cs="Arial"/>
          <w:b/>
          <w:bCs/>
          <w:sz w:val="22"/>
          <w:szCs w:val="22"/>
        </w:rPr>
      </w:pPr>
    </w:p>
    <w:p w14:paraId="10B9340C" w14:textId="77777777" w:rsidR="00E73E5E" w:rsidRPr="00872A7F" w:rsidRDefault="00E73E5E" w:rsidP="00872A7F">
      <w:pPr>
        <w:spacing w:line="360" w:lineRule="auto"/>
        <w:rPr>
          <w:rFonts w:ascii="Arial" w:hAnsi="Arial" w:cs="Arial"/>
          <w:b/>
          <w:bCs/>
          <w:sz w:val="22"/>
          <w:szCs w:val="22"/>
        </w:rPr>
      </w:pPr>
    </w:p>
    <w:p w14:paraId="426E9401" w14:textId="77777777" w:rsidR="00E73E5E" w:rsidRPr="00872A7F" w:rsidRDefault="00E73E5E" w:rsidP="00872A7F">
      <w:pPr>
        <w:spacing w:line="360" w:lineRule="auto"/>
        <w:rPr>
          <w:rFonts w:ascii="Arial" w:hAnsi="Arial" w:cs="Arial"/>
          <w:b/>
          <w:bCs/>
          <w:sz w:val="22"/>
          <w:szCs w:val="22"/>
        </w:rPr>
      </w:pPr>
    </w:p>
    <w:p w14:paraId="155F6B01" w14:textId="77777777" w:rsidR="00E73E5E" w:rsidRPr="00872A7F" w:rsidRDefault="00E73E5E" w:rsidP="00872A7F">
      <w:pPr>
        <w:spacing w:line="360" w:lineRule="auto"/>
        <w:rPr>
          <w:rFonts w:ascii="Arial" w:hAnsi="Arial" w:cs="Arial"/>
          <w:b/>
          <w:bCs/>
          <w:sz w:val="22"/>
          <w:szCs w:val="22"/>
        </w:rPr>
      </w:pPr>
    </w:p>
    <w:p w14:paraId="68172955" w14:textId="77777777" w:rsidR="00E73E5E" w:rsidRPr="00872A7F" w:rsidRDefault="00E73E5E" w:rsidP="00872A7F">
      <w:pPr>
        <w:spacing w:line="360" w:lineRule="auto"/>
        <w:rPr>
          <w:rFonts w:ascii="Arial" w:hAnsi="Arial" w:cs="Arial"/>
          <w:b/>
          <w:bCs/>
          <w:sz w:val="22"/>
          <w:szCs w:val="22"/>
        </w:rPr>
      </w:pPr>
    </w:p>
    <w:p w14:paraId="2E1D0620" w14:textId="77777777" w:rsidR="00E73E5E" w:rsidRPr="00872A7F" w:rsidRDefault="00E73E5E" w:rsidP="00872A7F">
      <w:pPr>
        <w:spacing w:line="360" w:lineRule="auto"/>
        <w:rPr>
          <w:rFonts w:ascii="Arial" w:hAnsi="Arial" w:cs="Arial"/>
          <w:b/>
          <w:bCs/>
          <w:sz w:val="22"/>
          <w:szCs w:val="22"/>
        </w:rPr>
      </w:pPr>
    </w:p>
    <w:p w14:paraId="7D4D65FF" w14:textId="77777777" w:rsidR="00E73E5E" w:rsidRPr="00872A7F" w:rsidRDefault="00E73E5E" w:rsidP="00872A7F">
      <w:pPr>
        <w:spacing w:line="360" w:lineRule="auto"/>
        <w:rPr>
          <w:rFonts w:ascii="Arial" w:hAnsi="Arial" w:cs="Arial"/>
          <w:b/>
          <w:bCs/>
          <w:sz w:val="22"/>
          <w:szCs w:val="22"/>
        </w:rPr>
      </w:pPr>
    </w:p>
    <w:p w14:paraId="52C2274D" w14:textId="77777777" w:rsidR="009E5479" w:rsidRPr="00872A7F" w:rsidRDefault="009E5479" w:rsidP="00872A7F">
      <w:pPr>
        <w:spacing w:line="360" w:lineRule="auto"/>
        <w:rPr>
          <w:rFonts w:ascii="Arial" w:hAnsi="Arial" w:cs="Arial"/>
          <w:b/>
          <w:bCs/>
          <w:sz w:val="22"/>
          <w:szCs w:val="22"/>
        </w:rPr>
      </w:pPr>
    </w:p>
    <w:p w14:paraId="7C688E0F" w14:textId="77777777" w:rsidR="009E5479" w:rsidRPr="00872A7F" w:rsidRDefault="009E5479" w:rsidP="00872A7F">
      <w:pPr>
        <w:spacing w:line="360" w:lineRule="auto"/>
        <w:rPr>
          <w:rFonts w:ascii="Arial" w:hAnsi="Arial" w:cs="Arial"/>
          <w:b/>
          <w:bCs/>
          <w:sz w:val="22"/>
          <w:szCs w:val="22"/>
        </w:rPr>
      </w:pPr>
    </w:p>
    <w:p w14:paraId="77CA8D4B" w14:textId="77777777" w:rsidR="00E73E5E" w:rsidRPr="00872A7F" w:rsidRDefault="00E73E5E" w:rsidP="00872A7F">
      <w:pPr>
        <w:spacing w:line="360" w:lineRule="auto"/>
        <w:rPr>
          <w:rFonts w:ascii="Arial" w:hAnsi="Arial" w:cs="Arial"/>
          <w:b/>
          <w:bCs/>
          <w:sz w:val="22"/>
          <w:szCs w:val="22"/>
        </w:rPr>
      </w:pPr>
    </w:p>
    <w:p w14:paraId="2603A1A5" w14:textId="77777777" w:rsidR="00E73E5E" w:rsidRPr="00872A7F" w:rsidRDefault="00E73E5E" w:rsidP="00872A7F">
      <w:pPr>
        <w:spacing w:line="360" w:lineRule="auto"/>
        <w:rPr>
          <w:rFonts w:ascii="Arial" w:hAnsi="Arial" w:cs="Arial"/>
          <w:b/>
          <w:bCs/>
          <w:sz w:val="22"/>
          <w:szCs w:val="22"/>
        </w:rPr>
      </w:pPr>
    </w:p>
    <w:p w14:paraId="30682531" w14:textId="77777777" w:rsidR="00E73E5E" w:rsidRPr="00872A7F" w:rsidRDefault="00E73E5E" w:rsidP="00872A7F">
      <w:pPr>
        <w:spacing w:line="360" w:lineRule="auto"/>
        <w:rPr>
          <w:rFonts w:ascii="Arial" w:hAnsi="Arial" w:cs="Arial"/>
          <w:b/>
          <w:bCs/>
          <w:sz w:val="22"/>
          <w:szCs w:val="22"/>
        </w:rPr>
      </w:pPr>
    </w:p>
    <w:p w14:paraId="70EE3E36" w14:textId="77777777" w:rsidR="00E73E5E" w:rsidRPr="00872A7F" w:rsidRDefault="00E73E5E" w:rsidP="00872A7F">
      <w:pPr>
        <w:spacing w:line="360" w:lineRule="auto"/>
        <w:rPr>
          <w:rFonts w:ascii="Arial" w:hAnsi="Arial" w:cs="Arial"/>
          <w:b/>
          <w:bCs/>
          <w:sz w:val="22"/>
          <w:szCs w:val="22"/>
        </w:rPr>
      </w:pPr>
    </w:p>
    <w:p w14:paraId="64D20A80" w14:textId="77777777" w:rsidR="00E73E5E" w:rsidRPr="00872A7F" w:rsidRDefault="00E73E5E" w:rsidP="00872A7F">
      <w:pPr>
        <w:spacing w:line="360" w:lineRule="auto"/>
        <w:rPr>
          <w:rFonts w:ascii="Arial" w:hAnsi="Arial" w:cs="Arial"/>
          <w:b/>
          <w:bCs/>
          <w:sz w:val="22"/>
          <w:szCs w:val="22"/>
        </w:rPr>
      </w:pPr>
    </w:p>
    <w:p w14:paraId="67B157D8" w14:textId="77777777" w:rsidR="00E73E5E" w:rsidRPr="00872A7F" w:rsidRDefault="00E73E5E" w:rsidP="00872A7F">
      <w:pPr>
        <w:spacing w:line="360" w:lineRule="auto"/>
        <w:rPr>
          <w:rFonts w:ascii="Arial" w:hAnsi="Arial" w:cs="Arial"/>
          <w:b/>
          <w:bCs/>
          <w:sz w:val="22"/>
          <w:szCs w:val="22"/>
        </w:rPr>
      </w:pPr>
    </w:p>
    <w:p w14:paraId="740BAFD0" w14:textId="77777777" w:rsidR="00E73E5E" w:rsidRPr="00872A7F" w:rsidRDefault="00E73E5E" w:rsidP="00872A7F">
      <w:pPr>
        <w:spacing w:line="360" w:lineRule="auto"/>
        <w:rPr>
          <w:rFonts w:ascii="Arial" w:hAnsi="Arial" w:cs="Arial"/>
          <w:b/>
          <w:bCs/>
          <w:sz w:val="22"/>
          <w:szCs w:val="22"/>
        </w:rPr>
      </w:pPr>
    </w:p>
    <w:p w14:paraId="55AF85B1" w14:textId="77777777" w:rsidR="00E73E5E" w:rsidRPr="00872A7F" w:rsidRDefault="00E73E5E" w:rsidP="00872A7F">
      <w:pPr>
        <w:spacing w:line="360" w:lineRule="auto"/>
        <w:rPr>
          <w:rFonts w:ascii="Arial" w:hAnsi="Arial" w:cs="Arial"/>
          <w:b/>
          <w:bCs/>
          <w:sz w:val="22"/>
          <w:szCs w:val="22"/>
        </w:rPr>
      </w:pPr>
    </w:p>
    <w:p w14:paraId="6A07A812" w14:textId="77777777" w:rsidR="00E73E5E" w:rsidRPr="00872A7F" w:rsidRDefault="00E73E5E" w:rsidP="00872A7F">
      <w:pPr>
        <w:spacing w:line="360" w:lineRule="auto"/>
        <w:rPr>
          <w:rFonts w:ascii="Arial" w:hAnsi="Arial" w:cs="Arial"/>
          <w:b/>
          <w:bCs/>
          <w:sz w:val="22"/>
          <w:szCs w:val="22"/>
        </w:rPr>
      </w:pPr>
    </w:p>
    <w:p w14:paraId="0353DCB3" w14:textId="77777777" w:rsidR="00E73E5E" w:rsidRPr="00872A7F" w:rsidRDefault="00E73E5E" w:rsidP="00872A7F">
      <w:pPr>
        <w:spacing w:line="360" w:lineRule="auto"/>
        <w:rPr>
          <w:rFonts w:ascii="Arial" w:hAnsi="Arial" w:cs="Arial"/>
          <w:b/>
          <w:bCs/>
          <w:sz w:val="22"/>
          <w:szCs w:val="22"/>
        </w:rPr>
      </w:pPr>
    </w:p>
    <w:p w14:paraId="00925151" w14:textId="77777777" w:rsidR="00E73E5E" w:rsidRPr="00872A7F" w:rsidRDefault="00E73E5E" w:rsidP="00872A7F">
      <w:pPr>
        <w:spacing w:line="360" w:lineRule="auto"/>
        <w:rPr>
          <w:rFonts w:ascii="Arial" w:hAnsi="Arial" w:cs="Arial"/>
          <w:b/>
          <w:bCs/>
          <w:sz w:val="22"/>
          <w:szCs w:val="22"/>
        </w:rPr>
      </w:pPr>
    </w:p>
    <w:sdt>
      <w:sdtPr>
        <w:rPr>
          <w:rFonts w:ascii="Arial" w:hAnsi="Arial" w:cs="Arial"/>
          <w:sz w:val="22"/>
          <w:szCs w:val="22"/>
        </w:rPr>
        <w:id w:val="121511743"/>
        <w:docPartObj>
          <w:docPartGallery w:val="Table of Contents"/>
          <w:docPartUnique/>
        </w:docPartObj>
      </w:sdtPr>
      <w:sdtEndPr>
        <w:rPr>
          <w:rFonts w:eastAsiaTheme="minorHAnsi"/>
          <w:b/>
          <w:bCs/>
          <w:color w:val="auto"/>
          <w:kern w:val="2"/>
          <w:lang w:eastAsia="en-US"/>
          <w14:ligatures w14:val="standardContextual"/>
        </w:rPr>
      </w:sdtEndPr>
      <w:sdtContent>
        <w:p w14:paraId="78D779FD" w14:textId="71812CC4" w:rsidR="00E73E5E" w:rsidRPr="00872A7F" w:rsidRDefault="00E73E5E" w:rsidP="00872A7F">
          <w:pPr>
            <w:pStyle w:val="TOCHeading"/>
            <w:spacing w:line="360" w:lineRule="auto"/>
            <w:rPr>
              <w:rFonts w:ascii="Arial" w:hAnsi="Arial" w:cs="Arial"/>
              <w:sz w:val="22"/>
              <w:szCs w:val="22"/>
            </w:rPr>
          </w:pPr>
          <w:r w:rsidRPr="00872A7F">
            <w:rPr>
              <w:rFonts w:ascii="Arial" w:hAnsi="Arial" w:cs="Arial"/>
              <w:sz w:val="22"/>
              <w:szCs w:val="22"/>
            </w:rPr>
            <w:t>Contents</w:t>
          </w:r>
        </w:p>
        <w:p w14:paraId="5CE43B56" w14:textId="1B15E6BB" w:rsidR="00872A7F" w:rsidRDefault="00E73E5E">
          <w:pPr>
            <w:pStyle w:val="TOC1"/>
            <w:tabs>
              <w:tab w:val="right" w:leader="dot" w:pos="9016"/>
            </w:tabs>
            <w:rPr>
              <w:rFonts w:eastAsiaTheme="minorEastAsia"/>
              <w:noProof/>
              <w:lang w:eastAsia="en-GB"/>
            </w:rPr>
          </w:pPr>
          <w:r w:rsidRPr="00872A7F">
            <w:rPr>
              <w:rFonts w:ascii="Arial" w:hAnsi="Arial" w:cs="Arial"/>
              <w:sz w:val="22"/>
              <w:szCs w:val="22"/>
            </w:rPr>
            <w:fldChar w:fldCharType="begin"/>
          </w:r>
          <w:r w:rsidRPr="00872A7F">
            <w:rPr>
              <w:rFonts w:ascii="Arial" w:hAnsi="Arial" w:cs="Arial"/>
              <w:sz w:val="22"/>
              <w:szCs w:val="22"/>
            </w:rPr>
            <w:instrText xml:space="preserve"> TOC \o "1-3" \h \z \u </w:instrText>
          </w:r>
          <w:r w:rsidRPr="00872A7F">
            <w:rPr>
              <w:rFonts w:ascii="Arial" w:hAnsi="Arial" w:cs="Arial"/>
              <w:sz w:val="22"/>
              <w:szCs w:val="22"/>
            </w:rPr>
            <w:fldChar w:fldCharType="separate"/>
          </w:r>
          <w:hyperlink w:anchor="_Toc234827661" w:history="1">
            <w:r w:rsidR="00872A7F" w:rsidRPr="005F40E0">
              <w:rPr>
                <w:rStyle w:val="Hyperlink"/>
                <w:rFonts w:ascii="Arial" w:hAnsi="Arial" w:cs="Arial"/>
                <w:noProof/>
              </w:rPr>
              <w:t>Person</w:t>
            </w:r>
            <w:r w:rsidR="00872A7F" w:rsidRPr="005F40E0">
              <w:rPr>
                <w:rStyle w:val="Hyperlink"/>
                <w:rFonts w:ascii="Arial" w:hAnsi="Arial" w:cs="Arial"/>
                <w:noProof/>
              </w:rPr>
              <w:noBreakHyphen/>
              <w:t>Centred Care and Partnership Working in UK Health and Social Care: A Critical Evaluation</w:t>
            </w:r>
            <w:r w:rsidR="00872A7F">
              <w:rPr>
                <w:noProof/>
                <w:webHidden/>
              </w:rPr>
              <w:tab/>
            </w:r>
            <w:r w:rsidR="00872A7F">
              <w:rPr>
                <w:noProof/>
                <w:webHidden/>
              </w:rPr>
              <w:fldChar w:fldCharType="begin"/>
            </w:r>
            <w:r w:rsidR="00872A7F">
              <w:rPr>
                <w:noProof/>
                <w:webHidden/>
              </w:rPr>
              <w:instrText xml:space="preserve"> PAGEREF _Toc234827661 \h </w:instrText>
            </w:r>
            <w:r w:rsidR="00872A7F">
              <w:rPr>
                <w:noProof/>
                <w:webHidden/>
              </w:rPr>
            </w:r>
            <w:r w:rsidR="00872A7F">
              <w:rPr>
                <w:noProof/>
                <w:webHidden/>
              </w:rPr>
              <w:fldChar w:fldCharType="separate"/>
            </w:r>
            <w:r w:rsidR="00872A7F">
              <w:rPr>
                <w:noProof/>
                <w:webHidden/>
              </w:rPr>
              <w:t>3</w:t>
            </w:r>
            <w:r w:rsidR="00872A7F">
              <w:rPr>
                <w:noProof/>
                <w:webHidden/>
              </w:rPr>
              <w:fldChar w:fldCharType="end"/>
            </w:r>
          </w:hyperlink>
        </w:p>
        <w:p w14:paraId="3AC543FC" w14:textId="0F3A835A" w:rsidR="00872A7F" w:rsidRDefault="00872A7F">
          <w:pPr>
            <w:pStyle w:val="TOC1"/>
            <w:tabs>
              <w:tab w:val="right" w:leader="dot" w:pos="9016"/>
            </w:tabs>
            <w:rPr>
              <w:rFonts w:eastAsiaTheme="minorEastAsia"/>
              <w:noProof/>
              <w:lang w:eastAsia="en-GB"/>
            </w:rPr>
          </w:pPr>
          <w:hyperlink w:anchor="_Toc234827662" w:history="1">
            <w:r w:rsidRPr="005F40E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_Toc234827662 \h </w:instrText>
            </w:r>
            <w:r>
              <w:rPr>
                <w:noProof/>
                <w:webHidden/>
              </w:rPr>
            </w:r>
            <w:r>
              <w:rPr>
                <w:noProof/>
                <w:webHidden/>
              </w:rPr>
              <w:fldChar w:fldCharType="separate"/>
            </w:r>
            <w:r>
              <w:rPr>
                <w:noProof/>
                <w:webHidden/>
              </w:rPr>
              <w:t>3</w:t>
            </w:r>
            <w:r>
              <w:rPr>
                <w:noProof/>
                <w:webHidden/>
              </w:rPr>
              <w:fldChar w:fldCharType="end"/>
            </w:r>
          </w:hyperlink>
        </w:p>
        <w:p w14:paraId="3CCDEA0C" w14:textId="3C44AA50" w:rsidR="00872A7F" w:rsidRDefault="00872A7F">
          <w:pPr>
            <w:pStyle w:val="TOC1"/>
            <w:tabs>
              <w:tab w:val="right" w:leader="dot" w:pos="9016"/>
            </w:tabs>
            <w:rPr>
              <w:rFonts w:eastAsiaTheme="minorEastAsia"/>
              <w:noProof/>
              <w:lang w:eastAsia="en-GB"/>
            </w:rPr>
          </w:pPr>
          <w:hyperlink w:anchor="_Toc234827663" w:history="1">
            <w:r w:rsidRPr="005F40E0">
              <w:rPr>
                <w:rStyle w:val="Hyperlink"/>
                <w:rFonts w:ascii="Arial" w:hAnsi="Arial" w:cs="Arial"/>
                <w:noProof/>
              </w:rPr>
              <w:t>1. Defining Person</w:t>
            </w:r>
            <w:r w:rsidRPr="005F40E0">
              <w:rPr>
                <w:rStyle w:val="Hyperlink"/>
                <w:rFonts w:ascii="Arial" w:hAnsi="Arial" w:cs="Arial"/>
                <w:noProof/>
              </w:rPr>
              <w:noBreakHyphen/>
              <w:t>Centred Care: Benefits and Limitations</w:t>
            </w:r>
            <w:r>
              <w:rPr>
                <w:noProof/>
                <w:webHidden/>
              </w:rPr>
              <w:tab/>
            </w:r>
            <w:r>
              <w:rPr>
                <w:noProof/>
                <w:webHidden/>
              </w:rPr>
              <w:fldChar w:fldCharType="begin"/>
            </w:r>
            <w:r>
              <w:rPr>
                <w:noProof/>
                <w:webHidden/>
              </w:rPr>
              <w:instrText xml:space="preserve"> PAGEREF _Toc234827663 \h </w:instrText>
            </w:r>
            <w:r>
              <w:rPr>
                <w:noProof/>
                <w:webHidden/>
              </w:rPr>
            </w:r>
            <w:r>
              <w:rPr>
                <w:noProof/>
                <w:webHidden/>
              </w:rPr>
              <w:fldChar w:fldCharType="separate"/>
            </w:r>
            <w:r>
              <w:rPr>
                <w:noProof/>
                <w:webHidden/>
              </w:rPr>
              <w:t>4</w:t>
            </w:r>
            <w:r>
              <w:rPr>
                <w:noProof/>
                <w:webHidden/>
              </w:rPr>
              <w:fldChar w:fldCharType="end"/>
            </w:r>
          </w:hyperlink>
        </w:p>
        <w:p w14:paraId="42989D7C" w14:textId="78E98FAD" w:rsidR="00872A7F" w:rsidRDefault="00872A7F">
          <w:pPr>
            <w:pStyle w:val="TOC1"/>
            <w:tabs>
              <w:tab w:val="right" w:leader="dot" w:pos="9016"/>
            </w:tabs>
            <w:rPr>
              <w:rFonts w:eastAsiaTheme="minorEastAsia"/>
              <w:noProof/>
              <w:lang w:eastAsia="en-GB"/>
            </w:rPr>
          </w:pPr>
          <w:hyperlink w:anchor="_Toc234827664" w:history="1">
            <w:r w:rsidRPr="005F40E0">
              <w:rPr>
                <w:rStyle w:val="Hyperlink"/>
                <w:rFonts w:ascii="Arial" w:hAnsi="Arial" w:cs="Arial"/>
                <w:noProof/>
              </w:rPr>
              <w:t>2. Critical Examination of a PCC Theory: The Person</w:t>
            </w:r>
            <w:r w:rsidRPr="005F40E0">
              <w:rPr>
                <w:rStyle w:val="Hyperlink"/>
                <w:rFonts w:ascii="Arial" w:hAnsi="Arial" w:cs="Arial"/>
                <w:noProof/>
              </w:rPr>
              <w:noBreakHyphen/>
              <w:t>Centred Nursing Framework</w:t>
            </w:r>
            <w:r>
              <w:rPr>
                <w:noProof/>
                <w:webHidden/>
              </w:rPr>
              <w:tab/>
            </w:r>
            <w:r>
              <w:rPr>
                <w:noProof/>
                <w:webHidden/>
              </w:rPr>
              <w:fldChar w:fldCharType="begin"/>
            </w:r>
            <w:r>
              <w:rPr>
                <w:noProof/>
                <w:webHidden/>
              </w:rPr>
              <w:instrText xml:space="preserve"> PAGEREF _Toc234827664 \h </w:instrText>
            </w:r>
            <w:r>
              <w:rPr>
                <w:noProof/>
                <w:webHidden/>
              </w:rPr>
            </w:r>
            <w:r>
              <w:rPr>
                <w:noProof/>
                <w:webHidden/>
              </w:rPr>
              <w:fldChar w:fldCharType="separate"/>
            </w:r>
            <w:r>
              <w:rPr>
                <w:noProof/>
                <w:webHidden/>
              </w:rPr>
              <w:t>5</w:t>
            </w:r>
            <w:r>
              <w:rPr>
                <w:noProof/>
                <w:webHidden/>
              </w:rPr>
              <w:fldChar w:fldCharType="end"/>
            </w:r>
          </w:hyperlink>
        </w:p>
        <w:p w14:paraId="73DE70B1" w14:textId="4FFE9154" w:rsidR="00872A7F" w:rsidRDefault="00872A7F">
          <w:pPr>
            <w:pStyle w:val="TOC1"/>
            <w:tabs>
              <w:tab w:val="right" w:leader="dot" w:pos="9016"/>
            </w:tabs>
            <w:rPr>
              <w:rFonts w:eastAsiaTheme="minorEastAsia"/>
              <w:noProof/>
              <w:lang w:eastAsia="en-GB"/>
            </w:rPr>
          </w:pPr>
          <w:hyperlink w:anchor="_Toc234827665" w:history="1">
            <w:r w:rsidRPr="005F40E0">
              <w:rPr>
                <w:rStyle w:val="Hyperlink"/>
                <w:rFonts w:ascii="Arial" w:hAnsi="Arial" w:cs="Arial"/>
                <w:noProof/>
              </w:rPr>
              <w:t>3. Ethical Fundamentals of Health and Social Care</w:t>
            </w:r>
            <w:r>
              <w:rPr>
                <w:noProof/>
                <w:webHidden/>
              </w:rPr>
              <w:tab/>
            </w:r>
            <w:r>
              <w:rPr>
                <w:noProof/>
                <w:webHidden/>
              </w:rPr>
              <w:fldChar w:fldCharType="begin"/>
            </w:r>
            <w:r>
              <w:rPr>
                <w:noProof/>
                <w:webHidden/>
              </w:rPr>
              <w:instrText xml:space="preserve"> PAGEREF _Toc234827665 \h </w:instrText>
            </w:r>
            <w:r>
              <w:rPr>
                <w:noProof/>
                <w:webHidden/>
              </w:rPr>
            </w:r>
            <w:r>
              <w:rPr>
                <w:noProof/>
                <w:webHidden/>
              </w:rPr>
              <w:fldChar w:fldCharType="separate"/>
            </w:r>
            <w:r>
              <w:rPr>
                <w:noProof/>
                <w:webHidden/>
              </w:rPr>
              <w:t>6</w:t>
            </w:r>
            <w:r>
              <w:rPr>
                <w:noProof/>
                <w:webHidden/>
              </w:rPr>
              <w:fldChar w:fldCharType="end"/>
            </w:r>
          </w:hyperlink>
        </w:p>
        <w:p w14:paraId="37961D8E" w14:textId="2A748BC1" w:rsidR="00872A7F" w:rsidRDefault="00872A7F">
          <w:pPr>
            <w:pStyle w:val="TOC1"/>
            <w:tabs>
              <w:tab w:val="right" w:leader="dot" w:pos="9016"/>
            </w:tabs>
            <w:rPr>
              <w:rFonts w:eastAsiaTheme="minorEastAsia"/>
              <w:noProof/>
              <w:lang w:eastAsia="en-GB"/>
            </w:rPr>
          </w:pPr>
          <w:hyperlink w:anchor="_Toc234827666" w:history="1">
            <w:r w:rsidRPr="005F40E0">
              <w:rPr>
                <w:rStyle w:val="Hyperlink"/>
                <w:rFonts w:ascii="Arial" w:hAnsi="Arial" w:cs="Arial"/>
                <w:noProof/>
              </w:rPr>
              <w:t>4. Evaluation of Partnership Working in Health and Social Care</w:t>
            </w:r>
            <w:r>
              <w:rPr>
                <w:noProof/>
                <w:webHidden/>
              </w:rPr>
              <w:tab/>
            </w:r>
            <w:r>
              <w:rPr>
                <w:noProof/>
                <w:webHidden/>
              </w:rPr>
              <w:fldChar w:fldCharType="begin"/>
            </w:r>
            <w:r>
              <w:rPr>
                <w:noProof/>
                <w:webHidden/>
              </w:rPr>
              <w:instrText xml:space="preserve"> PAGEREF _Toc234827666 \h </w:instrText>
            </w:r>
            <w:r>
              <w:rPr>
                <w:noProof/>
                <w:webHidden/>
              </w:rPr>
            </w:r>
            <w:r>
              <w:rPr>
                <w:noProof/>
                <w:webHidden/>
              </w:rPr>
              <w:fldChar w:fldCharType="separate"/>
            </w:r>
            <w:r>
              <w:rPr>
                <w:noProof/>
                <w:webHidden/>
              </w:rPr>
              <w:t>7</w:t>
            </w:r>
            <w:r>
              <w:rPr>
                <w:noProof/>
                <w:webHidden/>
              </w:rPr>
              <w:fldChar w:fldCharType="end"/>
            </w:r>
          </w:hyperlink>
        </w:p>
        <w:p w14:paraId="14F88FC1" w14:textId="4212526F" w:rsidR="00872A7F" w:rsidRDefault="00872A7F">
          <w:pPr>
            <w:pStyle w:val="TOC1"/>
            <w:tabs>
              <w:tab w:val="right" w:leader="dot" w:pos="9016"/>
            </w:tabs>
            <w:rPr>
              <w:rFonts w:eastAsiaTheme="minorEastAsia"/>
              <w:noProof/>
              <w:lang w:eastAsia="en-GB"/>
            </w:rPr>
          </w:pPr>
          <w:hyperlink w:anchor="_Toc234827667" w:history="1">
            <w:r w:rsidRPr="005F40E0">
              <w:rPr>
                <w:rStyle w:val="Hyperlink"/>
                <w:rFonts w:ascii="Arial" w:hAnsi="Arial" w:cs="Arial"/>
                <w:noProof/>
              </w:rPr>
              <w:t>5. Application of Partnership Working: Sefton Hospital Discharge Service</w:t>
            </w:r>
            <w:r>
              <w:rPr>
                <w:noProof/>
                <w:webHidden/>
              </w:rPr>
              <w:tab/>
            </w:r>
            <w:r>
              <w:rPr>
                <w:noProof/>
                <w:webHidden/>
              </w:rPr>
              <w:fldChar w:fldCharType="begin"/>
            </w:r>
            <w:r>
              <w:rPr>
                <w:noProof/>
                <w:webHidden/>
              </w:rPr>
              <w:instrText xml:space="preserve"> PAGEREF _Toc234827667 \h </w:instrText>
            </w:r>
            <w:r>
              <w:rPr>
                <w:noProof/>
                <w:webHidden/>
              </w:rPr>
            </w:r>
            <w:r>
              <w:rPr>
                <w:noProof/>
                <w:webHidden/>
              </w:rPr>
              <w:fldChar w:fldCharType="separate"/>
            </w:r>
            <w:r>
              <w:rPr>
                <w:noProof/>
                <w:webHidden/>
              </w:rPr>
              <w:t>7</w:t>
            </w:r>
            <w:r>
              <w:rPr>
                <w:noProof/>
                <w:webHidden/>
              </w:rPr>
              <w:fldChar w:fldCharType="end"/>
            </w:r>
          </w:hyperlink>
        </w:p>
        <w:p w14:paraId="1EAF9750" w14:textId="68C49A72" w:rsidR="00872A7F" w:rsidRDefault="00872A7F">
          <w:pPr>
            <w:pStyle w:val="TOC1"/>
            <w:tabs>
              <w:tab w:val="right" w:leader="dot" w:pos="9016"/>
            </w:tabs>
            <w:rPr>
              <w:rFonts w:eastAsiaTheme="minorEastAsia"/>
              <w:noProof/>
              <w:lang w:eastAsia="en-GB"/>
            </w:rPr>
          </w:pPr>
          <w:hyperlink w:anchor="_Toc234827668" w:history="1">
            <w:r w:rsidRPr="005F40E0">
              <w:rPr>
                <w:rStyle w:val="Hyperlink"/>
                <w:rFonts w:ascii="Arial" w:hAnsi="Arial" w:cs="Arial"/>
                <w:noProof/>
              </w:rPr>
              <w:t>6. Policy and Legislation Supporting PCC and PW</w:t>
            </w:r>
            <w:r>
              <w:rPr>
                <w:noProof/>
                <w:webHidden/>
              </w:rPr>
              <w:tab/>
            </w:r>
            <w:r>
              <w:rPr>
                <w:noProof/>
                <w:webHidden/>
              </w:rPr>
              <w:fldChar w:fldCharType="begin"/>
            </w:r>
            <w:r>
              <w:rPr>
                <w:noProof/>
                <w:webHidden/>
              </w:rPr>
              <w:instrText xml:space="preserve"> PAGEREF _Toc234827668 \h </w:instrText>
            </w:r>
            <w:r>
              <w:rPr>
                <w:noProof/>
                <w:webHidden/>
              </w:rPr>
            </w:r>
            <w:r>
              <w:rPr>
                <w:noProof/>
                <w:webHidden/>
              </w:rPr>
              <w:fldChar w:fldCharType="separate"/>
            </w:r>
            <w:r>
              <w:rPr>
                <w:noProof/>
                <w:webHidden/>
              </w:rPr>
              <w:t>8</w:t>
            </w:r>
            <w:r>
              <w:rPr>
                <w:noProof/>
                <w:webHidden/>
              </w:rPr>
              <w:fldChar w:fldCharType="end"/>
            </w:r>
          </w:hyperlink>
        </w:p>
        <w:p w14:paraId="514C9461" w14:textId="398CD217" w:rsidR="00872A7F" w:rsidRDefault="00872A7F">
          <w:pPr>
            <w:pStyle w:val="TOC1"/>
            <w:tabs>
              <w:tab w:val="right" w:leader="dot" w:pos="9016"/>
            </w:tabs>
            <w:rPr>
              <w:rFonts w:eastAsiaTheme="minorEastAsia"/>
              <w:noProof/>
              <w:lang w:eastAsia="en-GB"/>
            </w:rPr>
          </w:pPr>
          <w:hyperlink w:anchor="_Toc234827669" w:history="1">
            <w:r w:rsidRPr="005F40E0">
              <w:rPr>
                <w:rStyle w:val="Hyperlink"/>
                <w:rFonts w:ascii="Arial" w:hAnsi="Arial" w:cs="Arial"/>
                <w:noProof/>
              </w:rPr>
              <w:t>7. Recommendations for Future Development</w:t>
            </w:r>
            <w:r>
              <w:rPr>
                <w:noProof/>
                <w:webHidden/>
              </w:rPr>
              <w:tab/>
            </w:r>
            <w:r>
              <w:rPr>
                <w:noProof/>
                <w:webHidden/>
              </w:rPr>
              <w:fldChar w:fldCharType="begin"/>
            </w:r>
            <w:r>
              <w:rPr>
                <w:noProof/>
                <w:webHidden/>
              </w:rPr>
              <w:instrText xml:space="preserve"> PAGEREF _Toc234827669 \h </w:instrText>
            </w:r>
            <w:r>
              <w:rPr>
                <w:noProof/>
                <w:webHidden/>
              </w:rPr>
            </w:r>
            <w:r>
              <w:rPr>
                <w:noProof/>
                <w:webHidden/>
              </w:rPr>
              <w:fldChar w:fldCharType="separate"/>
            </w:r>
            <w:r>
              <w:rPr>
                <w:noProof/>
                <w:webHidden/>
              </w:rPr>
              <w:t>9</w:t>
            </w:r>
            <w:r>
              <w:rPr>
                <w:noProof/>
                <w:webHidden/>
              </w:rPr>
              <w:fldChar w:fldCharType="end"/>
            </w:r>
          </w:hyperlink>
        </w:p>
        <w:p w14:paraId="01E52F8C" w14:textId="2DDD651E" w:rsidR="00872A7F" w:rsidRDefault="00872A7F">
          <w:pPr>
            <w:pStyle w:val="TOC1"/>
            <w:tabs>
              <w:tab w:val="right" w:leader="dot" w:pos="9016"/>
            </w:tabs>
            <w:rPr>
              <w:rFonts w:eastAsiaTheme="minorEastAsia"/>
              <w:noProof/>
              <w:lang w:eastAsia="en-GB"/>
            </w:rPr>
          </w:pPr>
          <w:hyperlink w:anchor="_Toc234827670" w:history="1">
            <w:r w:rsidRPr="005F40E0">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_Toc234827670 \h </w:instrText>
            </w:r>
            <w:r>
              <w:rPr>
                <w:noProof/>
                <w:webHidden/>
              </w:rPr>
            </w:r>
            <w:r>
              <w:rPr>
                <w:noProof/>
                <w:webHidden/>
              </w:rPr>
              <w:fldChar w:fldCharType="separate"/>
            </w:r>
            <w:r>
              <w:rPr>
                <w:noProof/>
                <w:webHidden/>
              </w:rPr>
              <w:t>9</w:t>
            </w:r>
            <w:r>
              <w:rPr>
                <w:noProof/>
                <w:webHidden/>
              </w:rPr>
              <w:fldChar w:fldCharType="end"/>
            </w:r>
          </w:hyperlink>
        </w:p>
        <w:p w14:paraId="505DCD53" w14:textId="5108D614" w:rsidR="00872A7F" w:rsidRDefault="00872A7F">
          <w:pPr>
            <w:pStyle w:val="TOC1"/>
            <w:tabs>
              <w:tab w:val="right" w:leader="dot" w:pos="9016"/>
            </w:tabs>
            <w:rPr>
              <w:rFonts w:eastAsiaTheme="minorEastAsia"/>
              <w:noProof/>
              <w:lang w:eastAsia="en-GB"/>
            </w:rPr>
          </w:pPr>
          <w:hyperlink w:anchor="_Toc234827671" w:history="1">
            <w:r w:rsidRPr="005F40E0">
              <w:rPr>
                <w:rStyle w:val="Hyperlink"/>
                <w:rFonts w:ascii="Arial" w:hAnsi="Arial" w:cs="Arial"/>
                <w:noProof/>
              </w:rPr>
              <w:t>Reference</w:t>
            </w:r>
            <w:r>
              <w:rPr>
                <w:noProof/>
                <w:webHidden/>
              </w:rPr>
              <w:tab/>
            </w:r>
            <w:r>
              <w:rPr>
                <w:noProof/>
                <w:webHidden/>
              </w:rPr>
              <w:fldChar w:fldCharType="begin"/>
            </w:r>
            <w:r>
              <w:rPr>
                <w:noProof/>
                <w:webHidden/>
              </w:rPr>
              <w:instrText xml:space="preserve"> PAGEREF _Toc234827671 \h </w:instrText>
            </w:r>
            <w:r>
              <w:rPr>
                <w:noProof/>
                <w:webHidden/>
              </w:rPr>
            </w:r>
            <w:r>
              <w:rPr>
                <w:noProof/>
                <w:webHidden/>
              </w:rPr>
              <w:fldChar w:fldCharType="separate"/>
            </w:r>
            <w:r>
              <w:rPr>
                <w:noProof/>
                <w:webHidden/>
              </w:rPr>
              <w:t>10</w:t>
            </w:r>
            <w:r>
              <w:rPr>
                <w:noProof/>
                <w:webHidden/>
              </w:rPr>
              <w:fldChar w:fldCharType="end"/>
            </w:r>
          </w:hyperlink>
        </w:p>
        <w:p w14:paraId="7D6FE0E8" w14:textId="399ABD3A" w:rsidR="00E73E5E" w:rsidRPr="00872A7F" w:rsidRDefault="00E73E5E" w:rsidP="00872A7F">
          <w:pPr>
            <w:spacing w:line="360" w:lineRule="auto"/>
            <w:rPr>
              <w:rFonts w:ascii="Arial" w:hAnsi="Arial" w:cs="Arial"/>
              <w:sz w:val="22"/>
              <w:szCs w:val="22"/>
            </w:rPr>
          </w:pPr>
          <w:r w:rsidRPr="00872A7F">
            <w:rPr>
              <w:rFonts w:ascii="Arial" w:hAnsi="Arial" w:cs="Arial"/>
              <w:b/>
              <w:bCs/>
              <w:sz w:val="22"/>
              <w:szCs w:val="22"/>
            </w:rPr>
            <w:fldChar w:fldCharType="end"/>
          </w:r>
        </w:p>
      </w:sdtContent>
    </w:sdt>
    <w:p w14:paraId="0BFDD734" w14:textId="77777777" w:rsidR="00E73E5E" w:rsidRPr="00872A7F" w:rsidRDefault="00E73E5E" w:rsidP="00872A7F">
      <w:pPr>
        <w:spacing w:line="360" w:lineRule="auto"/>
        <w:rPr>
          <w:rFonts w:ascii="Arial" w:hAnsi="Arial" w:cs="Arial"/>
          <w:b/>
          <w:bCs/>
          <w:sz w:val="22"/>
          <w:szCs w:val="22"/>
        </w:rPr>
      </w:pPr>
    </w:p>
    <w:p w14:paraId="3A308B64" w14:textId="77777777" w:rsidR="00E73E5E" w:rsidRPr="00872A7F" w:rsidRDefault="00E73E5E" w:rsidP="00872A7F">
      <w:pPr>
        <w:spacing w:line="360" w:lineRule="auto"/>
        <w:rPr>
          <w:rFonts w:ascii="Arial" w:hAnsi="Arial" w:cs="Arial"/>
          <w:b/>
          <w:bCs/>
          <w:sz w:val="22"/>
          <w:szCs w:val="22"/>
        </w:rPr>
      </w:pPr>
    </w:p>
    <w:p w14:paraId="5013A6D0" w14:textId="77777777" w:rsidR="00E73E5E" w:rsidRPr="00872A7F" w:rsidRDefault="00E73E5E" w:rsidP="00872A7F">
      <w:pPr>
        <w:spacing w:line="360" w:lineRule="auto"/>
        <w:rPr>
          <w:rFonts w:ascii="Arial" w:hAnsi="Arial" w:cs="Arial"/>
          <w:b/>
          <w:bCs/>
          <w:sz w:val="22"/>
          <w:szCs w:val="22"/>
        </w:rPr>
      </w:pPr>
    </w:p>
    <w:p w14:paraId="3F9F5366" w14:textId="77777777" w:rsidR="00E73E5E" w:rsidRPr="00872A7F" w:rsidRDefault="00E73E5E" w:rsidP="00872A7F">
      <w:pPr>
        <w:spacing w:line="360" w:lineRule="auto"/>
        <w:rPr>
          <w:rFonts w:ascii="Arial" w:hAnsi="Arial" w:cs="Arial"/>
          <w:b/>
          <w:bCs/>
          <w:sz w:val="22"/>
          <w:szCs w:val="22"/>
        </w:rPr>
      </w:pPr>
    </w:p>
    <w:p w14:paraId="21AD750F" w14:textId="77777777" w:rsidR="00E73E5E" w:rsidRPr="00872A7F" w:rsidRDefault="00E73E5E" w:rsidP="00872A7F">
      <w:pPr>
        <w:spacing w:line="360" w:lineRule="auto"/>
        <w:rPr>
          <w:rFonts w:ascii="Arial" w:hAnsi="Arial" w:cs="Arial"/>
          <w:b/>
          <w:bCs/>
          <w:sz w:val="22"/>
          <w:szCs w:val="22"/>
        </w:rPr>
      </w:pPr>
    </w:p>
    <w:p w14:paraId="72CBA063" w14:textId="77777777" w:rsidR="00E73E5E" w:rsidRPr="00872A7F" w:rsidRDefault="00E73E5E" w:rsidP="00872A7F">
      <w:pPr>
        <w:spacing w:line="360" w:lineRule="auto"/>
        <w:rPr>
          <w:rFonts w:ascii="Arial" w:hAnsi="Arial" w:cs="Arial"/>
          <w:b/>
          <w:bCs/>
          <w:sz w:val="22"/>
          <w:szCs w:val="22"/>
        </w:rPr>
      </w:pPr>
    </w:p>
    <w:p w14:paraId="6CEEE1A0" w14:textId="77777777" w:rsidR="00E73E5E" w:rsidRPr="00872A7F" w:rsidRDefault="00E73E5E" w:rsidP="00872A7F">
      <w:pPr>
        <w:spacing w:line="360" w:lineRule="auto"/>
        <w:rPr>
          <w:rFonts w:ascii="Arial" w:hAnsi="Arial" w:cs="Arial"/>
          <w:b/>
          <w:bCs/>
          <w:sz w:val="22"/>
          <w:szCs w:val="22"/>
        </w:rPr>
      </w:pPr>
    </w:p>
    <w:p w14:paraId="33C66BED" w14:textId="77777777" w:rsidR="00E73E5E" w:rsidRPr="00872A7F" w:rsidRDefault="00E73E5E" w:rsidP="00872A7F">
      <w:pPr>
        <w:spacing w:line="360" w:lineRule="auto"/>
        <w:rPr>
          <w:rFonts w:ascii="Arial" w:hAnsi="Arial" w:cs="Arial"/>
          <w:b/>
          <w:bCs/>
          <w:sz w:val="22"/>
          <w:szCs w:val="22"/>
        </w:rPr>
      </w:pPr>
    </w:p>
    <w:p w14:paraId="2159C05F" w14:textId="77777777" w:rsidR="00E73E5E" w:rsidRPr="00872A7F" w:rsidRDefault="00E73E5E" w:rsidP="00872A7F">
      <w:pPr>
        <w:spacing w:line="360" w:lineRule="auto"/>
        <w:rPr>
          <w:rFonts w:ascii="Arial" w:hAnsi="Arial" w:cs="Arial"/>
          <w:b/>
          <w:bCs/>
          <w:sz w:val="22"/>
          <w:szCs w:val="22"/>
        </w:rPr>
      </w:pPr>
    </w:p>
    <w:p w14:paraId="28D50A3E" w14:textId="77777777" w:rsidR="00E73E5E" w:rsidRPr="00872A7F" w:rsidRDefault="00E73E5E" w:rsidP="00872A7F">
      <w:pPr>
        <w:spacing w:line="360" w:lineRule="auto"/>
        <w:rPr>
          <w:rFonts w:ascii="Arial" w:hAnsi="Arial" w:cs="Arial"/>
          <w:b/>
          <w:bCs/>
          <w:sz w:val="22"/>
          <w:szCs w:val="22"/>
        </w:rPr>
      </w:pPr>
    </w:p>
    <w:p w14:paraId="08025C86" w14:textId="77777777" w:rsidR="00E73E5E" w:rsidRPr="00872A7F" w:rsidRDefault="00E73E5E" w:rsidP="00872A7F">
      <w:pPr>
        <w:spacing w:line="360" w:lineRule="auto"/>
        <w:rPr>
          <w:rFonts w:ascii="Arial" w:hAnsi="Arial" w:cs="Arial"/>
          <w:b/>
          <w:bCs/>
          <w:sz w:val="22"/>
          <w:szCs w:val="22"/>
        </w:rPr>
      </w:pPr>
    </w:p>
    <w:p w14:paraId="7E831EEF" w14:textId="77777777" w:rsidR="00E73E5E" w:rsidRPr="00872A7F" w:rsidRDefault="00E73E5E" w:rsidP="00872A7F">
      <w:pPr>
        <w:spacing w:line="360" w:lineRule="auto"/>
        <w:rPr>
          <w:rFonts w:ascii="Arial" w:hAnsi="Arial" w:cs="Arial"/>
          <w:b/>
          <w:bCs/>
          <w:sz w:val="22"/>
          <w:szCs w:val="22"/>
        </w:rPr>
      </w:pPr>
    </w:p>
    <w:p w14:paraId="3E5B7FB4" w14:textId="77777777" w:rsidR="00E73E5E" w:rsidRPr="00872A7F" w:rsidRDefault="00E73E5E" w:rsidP="00872A7F">
      <w:pPr>
        <w:spacing w:line="360" w:lineRule="auto"/>
        <w:rPr>
          <w:rFonts w:ascii="Arial" w:hAnsi="Arial" w:cs="Arial"/>
          <w:b/>
          <w:bCs/>
          <w:sz w:val="22"/>
          <w:szCs w:val="22"/>
        </w:rPr>
      </w:pPr>
    </w:p>
    <w:p w14:paraId="2342C096" w14:textId="77777777" w:rsidR="00E73E5E" w:rsidRPr="00872A7F" w:rsidRDefault="00E73E5E" w:rsidP="00872A7F">
      <w:pPr>
        <w:spacing w:line="360" w:lineRule="auto"/>
        <w:rPr>
          <w:rFonts w:ascii="Arial" w:hAnsi="Arial" w:cs="Arial"/>
          <w:b/>
          <w:bCs/>
          <w:sz w:val="22"/>
          <w:szCs w:val="22"/>
        </w:rPr>
      </w:pPr>
    </w:p>
    <w:p w14:paraId="67AD6ACE" w14:textId="77777777" w:rsidR="00E73E5E" w:rsidRPr="00872A7F" w:rsidRDefault="00E73E5E" w:rsidP="00872A7F">
      <w:pPr>
        <w:spacing w:line="360" w:lineRule="auto"/>
        <w:rPr>
          <w:rFonts w:ascii="Arial" w:hAnsi="Arial" w:cs="Arial"/>
          <w:b/>
          <w:bCs/>
          <w:sz w:val="22"/>
          <w:szCs w:val="22"/>
        </w:rPr>
      </w:pPr>
    </w:p>
    <w:p w14:paraId="647058DE" w14:textId="64CD1A66" w:rsidR="008014E0" w:rsidRPr="00872A7F" w:rsidRDefault="00E73E5E" w:rsidP="00872A7F">
      <w:pPr>
        <w:pStyle w:val="Heading1"/>
        <w:spacing w:line="360" w:lineRule="auto"/>
        <w:rPr>
          <w:rFonts w:ascii="Arial" w:hAnsi="Arial" w:cs="Arial"/>
          <w:sz w:val="22"/>
          <w:szCs w:val="22"/>
        </w:rPr>
      </w:pPr>
      <w:bookmarkStart w:id="0" w:name="_Toc234827661"/>
      <w:r w:rsidRPr="00872A7F">
        <w:rPr>
          <w:rFonts w:ascii="Arial" w:hAnsi="Arial" w:cs="Arial"/>
          <w:sz w:val="22"/>
          <w:szCs w:val="22"/>
        </w:rPr>
        <w:t>Person</w:t>
      </w:r>
      <w:r w:rsidRPr="00872A7F">
        <w:rPr>
          <w:rFonts w:ascii="Arial" w:hAnsi="Arial" w:cs="Arial"/>
          <w:sz w:val="22"/>
          <w:szCs w:val="22"/>
        </w:rPr>
        <w:noBreakHyphen/>
        <w:t>Centred Care and Partnership Working in UK Health and Social Care: A Critical Evaluation</w:t>
      </w:r>
      <w:bookmarkEnd w:id="0"/>
    </w:p>
    <w:p w14:paraId="2B310A27" w14:textId="77777777" w:rsidR="009E5479" w:rsidRPr="00872A7F" w:rsidRDefault="009E5479" w:rsidP="00872A7F">
      <w:pPr>
        <w:pStyle w:val="Heading1"/>
        <w:spacing w:line="360" w:lineRule="auto"/>
        <w:rPr>
          <w:rFonts w:ascii="Arial" w:hAnsi="Arial" w:cs="Arial"/>
          <w:sz w:val="22"/>
          <w:szCs w:val="22"/>
        </w:rPr>
      </w:pPr>
      <w:bookmarkStart w:id="1" w:name="_Toc234827662"/>
      <w:r w:rsidRPr="00872A7F">
        <w:rPr>
          <w:rFonts w:ascii="Arial" w:hAnsi="Arial" w:cs="Arial"/>
          <w:sz w:val="22"/>
          <w:szCs w:val="22"/>
        </w:rPr>
        <w:t>Introduction</w:t>
      </w:r>
      <w:bookmarkEnd w:id="1"/>
    </w:p>
    <w:p w14:paraId="135F4A92" w14:textId="601C6A1F"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Over recent decades, the UK health and social care system has been shaped by rising demand, increasingly complex needs, and changing expectations from the public. Older paternalistic </w:t>
      </w:r>
      <w:proofErr w:type="spellStart"/>
      <w:proofErr w:type="gramStart"/>
      <w:r w:rsidRPr="00872A7F">
        <w:rPr>
          <w:rFonts w:ascii="Arial" w:hAnsi="Arial" w:cs="Arial"/>
          <w:sz w:val="22"/>
          <w:szCs w:val="22"/>
        </w:rPr>
        <w:t>models</w:t>
      </w:r>
      <w:r w:rsidRPr="00872A7F">
        <w:rPr>
          <w:rFonts w:ascii="Arial" w:hAnsi="Arial" w:cs="Arial"/>
          <w:sz w:val="22"/>
          <w:szCs w:val="22"/>
        </w:rPr>
        <w:t>,</w:t>
      </w:r>
      <w:r w:rsidRPr="00872A7F">
        <w:rPr>
          <w:rFonts w:ascii="Arial" w:hAnsi="Arial" w:cs="Arial"/>
          <w:sz w:val="22"/>
          <w:szCs w:val="22"/>
        </w:rPr>
        <w:t>where</w:t>
      </w:r>
      <w:proofErr w:type="spellEnd"/>
      <w:proofErr w:type="gramEnd"/>
      <w:r w:rsidRPr="00872A7F">
        <w:rPr>
          <w:rFonts w:ascii="Arial" w:hAnsi="Arial" w:cs="Arial"/>
          <w:sz w:val="22"/>
          <w:szCs w:val="22"/>
        </w:rPr>
        <w:t xml:space="preserve"> professionals made decisions on behalf of passive </w:t>
      </w:r>
      <w:proofErr w:type="spellStart"/>
      <w:proofErr w:type="gramStart"/>
      <w:r w:rsidRPr="00872A7F">
        <w:rPr>
          <w:rFonts w:ascii="Arial" w:hAnsi="Arial" w:cs="Arial"/>
          <w:sz w:val="22"/>
          <w:szCs w:val="22"/>
        </w:rPr>
        <w:t>patients</w:t>
      </w:r>
      <w:r w:rsidRPr="00872A7F">
        <w:rPr>
          <w:rFonts w:ascii="Arial" w:hAnsi="Arial" w:cs="Arial"/>
          <w:sz w:val="22"/>
          <w:szCs w:val="22"/>
        </w:rPr>
        <w:t>,</w:t>
      </w:r>
      <w:r w:rsidRPr="00872A7F">
        <w:rPr>
          <w:rFonts w:ascii="Arial" w:hAnsi="Arial" w:cs="Arial"/>
          <w:sz w:val="22"/>
          <w:szCs w:val="22"/>
        </w:rPr>
        <w:t>have</w:t>
      </w:r>
      <w:proofErr w:type="spellEnd"/>
      <w:proofErr w:type="gramEnd"/>
      <w:r w:rsidRPr="00872A7F">
        <w:rPr>
          <w:rFonts w:ascii="Arial" w:hAnsi="Arial" w:cs="Arial"/>
          <w:sz w:val="22"/>
          <w:szCs w:val="22"/>
        </w:rPr>
        <w:t xml:space="preserve"> gradually given way to approaches that emphasise dignity, autonomy and collaboration. Two ideas sit at the centre of this shift: person</w:t>
      </w:r>
      <w:r w:rsidRPr="00872A7F">
        <w:rPr>
          <w:rFonts w:ascii="Arial" w:hAnsi="Arial" w:cs="Arial"/>
          <w:sz w:val="22"/>
          <w:szCs w:val="22"/>
        </w:rPr>
        <w:noBreakHyphen/>
        <w:t>centred care (PCC) and partnership working (PW). Both are now embedded in major national frameworks such as the NHS Long Term Plan, the Care Act 2014, Integrated Care Systems (ICSs) and the Better Care Fund.</w:t>
      </w:r>
    </w:p>
    <w:p w14:paraId="49BC72B1"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Although these concepts are widely promoted, putting them into practice is still challenging. Workforce shortages, digital inequalities, organisational silos and limited resources continue to affect how consistently PCC and PW are delivered. This report critically evaluates PCC and PW, explores relevant theory, considers ethical foundations, examines partnership working through a real UK case study, reviews policy and legislation, and offers recommendations for future development. The aim is to show how PCC and PW work </w:t>
      </w:r>
      <w:r w:rsidRPr="00872A7F">
        <w:rPr>
          <w:rFonts w:ascii="Arial" w:hAnsi="Arial" w:cs="Arial"/>
          <w:sz w:val="22"/>
          <w:szCs w:val="22"/>
        </w:rPr>
        <w:lastRenderedPageBreak/>
        <w:t>together in practice and how they can be strengthened to support more equitable and effective care.</w:t>
      </w:r>
    </w:p>
    <w:p w14:paraId="5D88DE38" w14:textId="77777777" w:rsidR="009E5479" w:rsidRPr="00872A7F" w:rsidRDefault="009E5479" w:rsidP="00872A7F">
      <w:pPr>
        <w:pStyle w:val="Heading1"/>
        <w:spacing w:line="360" w:lineRule="auto"/>
        <w:rPr>
          <w:rFonts w:ascii="Arial" w:hAnsi="Arial" w:cs="Arial"/>
          <w:sz w:val="22"/>
          <w:szCs w:val="22"/>
        </w:rPr>
      </w:pPr>
      <w:bookmarkStart w:id="2" w:name="_Toc234827663"/>
      <w:r w:rsidRPr="00872A7F">
        <w:rPr>
          <w:rFonts w:ascii="Arial" w:hAnsi="Arial" w:cs="Arial"/>
          <w:sz w:val="22"/>
          <w:szCs w:val="22"/>
        </w:rPr>
        <w:t>1. Defining Person</w:t>
      </w:r>
      <w:r w:rsidRPr="00872A7F">
        <w:rPr>
          <w:rFonts w:ascii="Arial" w:hAnsi="Arial" w:cs="Arial"/>
          <w:sz w:val="22"/>
          <w:szCs w:val="22"/>
        </w:rPr>
        <w:noBreakHyphen/>
        <w:t>Centred Care: Benefits and Limitations</w:t>
      </w:r>
      <w:bookmarkEnd w:id="2"/>
    </w:p>
    <w:p w14:paraId="66C1F617" w14:textId="652DD9C5"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Person</w:t>
      </w:r>
      <w:r w:rsidRPr="00872A7F">
        <w:rPr>
          <w:rFonts w:ascii="Arial" w:hAnsi="Arial" w:cs="Arial"/>
          <w:sz w:val="22"/>
          <w:szCs w:val="22"/>
        </w:rPr>
        <w:noBreakHyphen/>
        <w:t>centred care is an approach that recognises people as individuals with their own values, preferences, histories and goals. NHS England (2024a) describes PCC as care based on what matters to the person, delivered with dignity, compassion and respect</w:t>
      </w:r>
      <w:r w:rsidRPr="00872A7F">
        <w:rPr>
          <w:rFonts w:ascii="Arial" w:hAnsi="Arial" w:cs="Arial"/>
          <w:sz w:val="22"/>
          <w:szCs w:val="22"/>
        </w:rPr>
        <w:t>.</w:t>
      </w:r>
    </w:p>
    <w:p w14:paraId="3A0AB1D6"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Benefits of PCC</w:t>
      </w:r>
    </w:p>
    <w:p w14:paraId="475544A5"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Research consistently shows that PCC can improve both experiences and outcomes. Some of the main benefits include:</w:t>
      </w:r>
    </w:p>
    <w:p w14:paraId="6A94832A" w14:textId="2410B1ED"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Higher satisfaction and trust: People feel more respected and understood when care is personalised (Entwistle &amp; Watt, 2024).Better engagement: Shared decision</w:t>
      </w:r>
      <w:r w:rsidRPr="00872A7F">
        <w:rPr>
          <w:rFonts w:ascii="Arial" w:hAnsi="Arial" w:cs="Arial"/>
          <w:sz w:val="22"/>
          <w:szCs w:val="22"/>
        </w:rPr>
        <w:noBreakHyphen/>
        <w:t xml:space="preserve">making encourages people to take an active role in their </w:t>
      </w:r>
      <w:proofErr w:type="spellStart"/>
      <w:r w:rsidRPr="00872A7F">
        <w:rPr>
          <w:rFonts w:ascii="Arial" w:hAnsi="Arial" w:cs="Arial"/>
          <w:sz w:val="22"/>
          <w:szCs w:val="22"/>
        </w:rPr>
        <w:t>care.Improved</w:t>
      </w:r>
      <w:proofErr w:type="spellEnd"/>
      <w:r w:rsidRPr="00872A7F">
        <w:rPr>
          <w:rFonts w:ascii="Arial" w:hAnsi="Arial" w:cs="Arial"/>
          <w:sz w:val="22"/>
          <w:szCs w:val="22"/>
        </w:rPr>
        <w:t xml:space="preserve"> self</w:t>
      </w:r>
      <w:r w:rsidRPr="00872A7F">
        <w:rPr>
          <w:rFonts w:ascii="Arial" w:hAnsi="Arial" w:cs="Arial"/>
          <w:sz w:val="22"/>
          <w:szCs w:val="22"/>
        </w:rPr>
        <w:noBreakHyphen/>
        <w:t>management: PCC supports individuals to manage long</w:t>
      </w:r>
      <w:r w:rsidRPr="00872A7F">
        <w:rPr>
          <w:rFonts w:ascii="Arial" w:hAnsi="Arial" w:cs="Arial"/>
          <w:sz w:val="22"/>
          <w:szCs w:val="22"/>
        </w:rPr>
        <w:noBreakHyphen/>
        <w:t xml:space="preserve">term conditions more </w:t>
      </w:r>
      <w:proofErr w:type="spellStart"/>
      <w:r w:rsidRPr="00872A7F">
        <w:rPr>
          <w:rFonts w:ascii="Arial" w:hAnsi="Arial" w:cs="Arial"/>
          <w:sz w:val="22"/>
          <w:szCs w:val="22"/>
        </w:rPr>
        <w:t>confidently.Clinical</w:t>
      </w:r>
      <w:proofErr w:type="spellEnd"/>
      <w:r w:rsidRPr="00872A7F">
        <w:rPr>
          <w:rFonts w:ascii="Arial" w:hAnsi="Arial" w:cs="Arial"/>
          <w:sz w:val="22"/>
          <w:szCs w:val="22"/>
        </w:rPr>
        <w:t xml:space="preserve"> improvements: Studies show fewer complications, better symptom control and reduced hospital admissions (Cornwell et al., 2025).Positive staff outcomes: PCC is linked to lower burnout and greater job satisfaction (Rogers et al., 2024).Reduced inequalities: Tailored care helps meet diverse cultural and social needs more effectively.</w:t>
      </w:r>
    </w:p>
    <w:p w14:paraId="5E78C95C"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Limitations of PCC</w:t>
      </w:r>
    </w:p>
    <w:p w14:paraId="5AD1A5DD"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Despite its strengths, PCC is not always easy to deliver:</w:t>
      </w:r>
    </w:p>
    <w:p w14:paraId="3CC79207" w14:textId="33CFAABF"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Limited resources: Time pressures, staffing shortages and lack of training can reduce PCC to a tick</w:t>
      </w:r>
      <w:r w:rsidRPr="00872A7F">
        <w:rPr>
          <w:rFonts w:ascii="Arial" w:hAnsi="Arial" w:cs="Arial"/>
          <w:sz w:val="22"/>
          <w:szCs w:val="22"/>
        </w:rPr>
        <w:noBreakHyphen/>
        <w:t xml:space="preserve">box exercise (Lombard, 2025).Different preferences: </w:t>
      </w:r>
      <w:r w:rsidRPr="00872A7F">
        <w:rPr>
          <w:rFonts w:ascii="Arial" w:hAnsi="Arial" w:cs="Arial"/>
          <w:sz w:val="22"/>
          <w:szCs w:val="22"/>
        </w:rPr>
        <w:t>n</w:t>
      </w:r>
      <w:r w:rsidRPr="00872A7F">
        <w:rPr>
          <w:rFonts w:ascii="Arial" w:hAnsi="Arial" w:cs="Arial"/>
          <w:sz w:val="22"/>
          <w:szCs w:val="22"/>
        </w:rPr>
        <w:t>ot everyone wants to be involved in decision</w:t>
      </w:r>
      <w:r w:rsidRPr="00872A7F">
        <w:rPr>
          <w:rFonts w:ascii="Arial" w:hAnsi="Arial" w:cs="Arial"/>
          <w:sz w:val="22"/>
          <w:szCs w:val="22"/>
        </w:rPr>
        <w:noBreakHyphen/>
        <w:t>making</w:t>
      </w:r>
      <w:r w:rsidRPr="00872A7F">
        <w:rPr>
          <w:rFonts w:ascii="Arial" w:hAnsi="Arial" w:cs="Arial"/>
          <w:sz w:val="22"/>
          <w:szCs w:val="22"/>
        </w:rPr>
        <w:t>,</w:t>
      </w:r>
      <w:r w:rsidRPr="00872A7F">
        <w:rPr>
          <w:rFonts w:ascii="Arial" w:hAnsi="Arial" w:cs="Arial"/>
          <w:sz w:val="22"/>
          <w:szCs w:val="22"/>
        </w:rPr>
        <w:t xml:space="preserve"> some may feel overwhelmed or lack </w:t>
      </w:r>
      <w:proofErr w:type="spellStart"/>
      <w:r w:rsidRPr="00872A7F">
        <w:rPr>
          <w:rFonts w:ascii="Arial" w:hAnsi="Arial" w:cs="Arial"/>
          <w:sz w:val="22"/>
          <w:szCs w:val="22"/>
        </w:rPr>
        <w:t>confidence.Measurement</w:t>
      </w:r>
      <w:proofErr w:type="spellEnd"/>
      <w:r w:rsidRPr="00872A7F">
        <w:rPr>
          <w:rFonts w:ascii="Arial" w:hAnsi="Arial" w:cs="Arial"/>
          <w:sz w:val="22"/>
          <w:szCs w:val="22"/>
        </w:rPr>
        <w:t xml:space="preserve"> difficulties: </w:t>
      </w:r>
      <w:r w:rsidRPr="00872A7F">
        <w:rPr>
          <w:rFonts w:ascii="Arial" w:hAnsi="Arial" w:cs="Arial"/>
          <w:sz w:val="22"/>
          <w:szCs w:val="22"/>
        </w:rPr>
        <w:t>c</w:t>
      </w:r>
      <w:r w:rsidRPr="00872A7F">
        <w:rPr>
          <w:rFonts w:ascii="Arial" w:hAnsi="Arial" w:cs="Arial"/>
          <w:sz w:val="22"/>
          <w:szCs w:val="22"/>
        </w:rPr>
        <w:t xml:space="preserve">oncepts like dignity or empowerment are subjective </w:t>
      </w:r>
      <w:proofErr w:type="spellStart"/>
      <w:r w:rsidRPr="00872A7F">
        <w:rPr>
          <w:rFonts w:ascii="Arial" w:hAnsi="Arial" w:cs="Arial"/>
          <w:sz w:val="22"/>
          <w:szCs w:val="22"/>
        </w:rPr>
        <w:t>andhard</w:t>
      </w:r>
      <w:proofErr w:type="spellEnd"/>
      <w:r w:rsidRPr="00872A7F">
        <w:rPr>
          <w:rFonts w:ascii="Arial" w:hAnsi="Arial" w:cs="Arial"/>
          <w:sz w:val="22"/>
          <w:szCs w:val="22"/>
        </w:rPr>
        <w:t xml:space="preserve"> to evaluate (Smith et al., 2025).Organisational culture</w:t>
      </w:r>
      <w:r w:rsidRPr="00872A7F">
        <w:rPr>
          <w:rFonts w:ascii="Arial" w:hAnsi="Arial" w:cs="Arial"/>
          <w:b/>
          <w:bCs/>
          <w:sz w:val="22"/>
          <w:szCs w:val="22"/>
        </w:rPr>
        <w:t>:</w:t>
      </w:r>
      <w:r w:rsidRPr="00872A7F">
        <w:rPr>
          <w:rFonts w:ascii="Arial" w:hAnsi="Arial" w:cs="Arial"/>
          <w:sz w:val="22"/>
          <w:szCs w:val="22"/>
        </w:rPr>
        <w:t xml:space="preserve"> </w:t>
      </w:r>
      <w:r w:rsidRPr="00872A7F">
        <w:rPr>
          <w:rFonts w:ascii="Arial" w:hAnsi="Arial" w:cs="Arial"/>
          <w:sz w:val="22"/>
          <w:szCs w:val="22"/>
        </w:rPr>
        <w:t>s</w:t>
      </w:r>
      <w:r w:rsidRPr="00872A7F">
        <w:rPr>
          <w:rFonts w:ascii="Arial" w:hAnsi="Arial" w:cs="Arial"/>
          <w:sz w:val="22"/>
          <w:szCs w:val="22"/>
        </w:rPr>
        <w:t xml:space="preserve">ome settings still prioritise risk management or professional authority over </w:t>
      </w:r>
      <w:proofErr w:type="spellStart"/>
      <w:r w:rsidRPr="00872A7F">
        <w:rPr>
          <w:rFonts w:ascii="Arial" w:hAnsi="Arial" w:cs="Arial"/>
          <w:sz w:val="22"/>
          <w:szCs w:val="22"/>
        </w:rPr>
        <w:t>collaboration.Digital</w:t>
      </w:r>
      <w:proofErr w:type="spellEnd"/>
      <w:r w:rsidRPr="00872A7F">
        <w:rPr>
          <w:rFonts w:ascii="Arial" w:hAnsi="Arial" w:cs="Arial"/>
          <w:sz w:val="22"/>
          <w:szCs w:val="22"/>
        </w:rPr>
        <w:t xml:space="preserve"> barriers</w:t>
      </w:r>
      <w:r w:rsidRPr="00872A7F">
        <w:rPr>
          <w:rFonts w:ascii="Arial" w:hAnsi="Arial" w:cs="Arial"/>
          <w:sz w:val="22"/>
          <w:szCs w:val="22"/>
        </w:rPr>
        <w:t xml:space="preserve"> increase the </w:t>
      </w:r>
      <w:r w:rsidRPr="00872A7F">
        <w:rPr>
          <w:rFonts w:ascii="Arial" w:hAnsi="Arial" w:cs="Arial"/>
          <w:sz w:val="22"/>
          <w:szCs w:val="22"/>
        </w:rPr>
        <w:t>use of digital tools risks excluding people without access or digital skills.</w:t>
      </w:r>
    </w:p>
    <w:p w14:paraId="4F39E1D8"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Additional Critical Insight</w:t>
      </w:r>
    </w:p>
    <w:p w14:paraId="7A9A0A5C"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A further challenge is balancing personalisation with standardisation. Health services rely on standardised pathways to ensure safety and efficiency, yet PCC requires flexibility. Staff also carry the emotional labour of building relationships, which can be difficult without supportive supervision or manageable workloads. In addition, PCC can be influenced by wider social </w:t>
      </w:r>
      <w:r w:rsidRPr="00872A7F">
        <w:rPr>
          <w:rFonts w:ascii="Arial" w:hAnsi="Arial" w:cs="Arial"/>
          <w:sz w:val="22"/>
          <w:szCs w:val="22"/>
        </w:rPr>
        <w:lastRenderedPageBreak/>
        <w:t>factors such as poverty, housing insecurity or language barriers, which complicate efforts to deliver fully personalised care.</w:t>
      </w:r>
    </w:p>
    <w:p w14:paraId="028C6509" w14:textId="77777777" w:rsidR="009E5479" w:rsidRPr="00872A7F" w:rsidRDefault="009E5479" w:rsidP="00872A7F">
      <w:pPr>
        <w:pStyle w:val="Heading1"/>
        <w:spacing w:line="360" w:lineRule="auto"/>
        <w:rPr>
          <w:rFonts w:ascii="Arial" w:hAnsi="Arial" w:cs="Arial"/>
          <w:sz w:val="22"/>
          <w:szCs w:val="22"/>
        </w:rPr>
      </w:pPr>
      <w:bookmarkStart w:id="3" w:name="_Toc234827664"/>
      <w:r w:rsidRPr="00872A7F">
        <w:rPr>
          <w:rFonts w:ascii="Arial" w:hAnsi="Arial" w:cs="Arial"/>
          <w:sz w:val="22"/>
          <w:szCs w:val="22"/>
        </w:rPr>
        <w:t>2. Critical Examination of a PCC Theory: The Person</w:t>
      </w:r>
      <w:r w:rsidRPr="00872A7F">
        <w:rPr>
          <w:rFonts w:ascii="Arial" w:hAnsi="Arial" w:cs="Arial"/>
          <w:sz w:val="22"/>
          <w:szCs w:val="22"/>
        </w:rPr>
        <w:noBreakHyphen/>
        <w:t>Centred Nursing Framework</w:t>
      </w:r>
      <w:bookmarkEnd w:id="3"/>
    </w:p>
    <w:p w14:paraId="5F0CB640"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The McCormack &amp; McCance (2025) Person</w:t>
      </w:r>
      <w:r w:rsidRPr="00872A7F">
        <w:rPr>
          <w:rFonts w:ascii="Arial" w:hAnsi="Arial" w:cs="Arial"/>
          <w:sz w:val="22"/>
          <w:szCs w:val="22"/>
        </w:rPr>
        <w:noBreakHyphen/>
        <w:t>Centred Nursing Framework is widely used in UK practice. It breaks PCC into four key components:</w:t>
      </w:r>
    </w:p>
    <w:p w14:paraId="05B8A6FF" w14:textId="77777777" w:rsidR="009E5479" w:rsidRPr="00872A7F" w:rsidRDefault="009E5479" w:rsidP="009A0593">
      <w:pPr>
        <w:numPr>
          <w:ilvl w:val="0"/>
          <w:numId w:val="1"/>
        </w:numPr>
        <w:spacing w:line="360" w:lineRule="auto"/>
        <w:rPr>
          <w:rFonts w:ascii="Arial" w:hAnsi="Arial" w:cs="Arial"/>
          <w:sz w:val="22"/>
          <w:szCs w:val="22"/>
        </w:rPr>
      </w:pPr>
      <w:r w:rsidRPr="00872A7F">
        <w:rPr>
          <w:rFonts w:ascii="Arial" w:hAnsi="Arial" w:cs="Arial"/>
          <w:sz w:val="22"/>
          <w:szCs w:val="22"/>
        </w:rPr>
        <w:t>Prerequisites: Staff qualities such as competence, interpersonal skills, self</w:t>
      </w:r>
      <w:r w:rsidRPr="00872A7F">
        <w:rPr>
          <w:rFonts w:ascii="Arial" w:hAnsi="Arial" w:cs="Arial"/>
          <w:sz w:val="22"/>
          <w:szCs w:val="22"/>
        </w:rPr>
        <w:noBreakHyphen/>
        <w:t>awareness and commitment.</w:t>
      </w:r>
    </w:p>
    <w:p w14:paraId="17EB44C7" w14:textId="77777777" w:rsidR="009E5479" w:rsidRPr="00872A7F" w:rsidRDefault="009E5479" w:rsidP="009A0593">
      <w:pPr>
        <w:numPr>
          <w:ilvl w:val="0"/>
          <w:numId w:val="1"/>
        </w:numPr>
        <w:spacing w:line="360" w:lineRule="auto"/>
        <w:rPr>
          <w:rFonts w:ascii="Arial" w:hAnsi="Arial" w:cs="Arial"/>
          <w:sz w:val="22"/>
          <w:szCs w:val="22"/>
        </w:rPr>
      </w:pPr>
      <w:r w:rsidRPr="00872A7F">
        <w:rPr>
          <w:rFonts w:ascii="Arial" w:hAnsi="Arial" w:cs="Arial"/>
          <w:sz w:val="22"/>
          <w:szCs w:val="22"/>
        </w:rPr>
        <w:t>Care Environment: Leadership, teamwork, culture and systems that support PCC.</w:t>
      </w:r>
    </w:p>
    <w:p w14:paraId="37BA4C5A" w14:textId="77777777" w:rsidR="009E5479" w:rsidRPr="00872A7F" w:rsidRDefault="009E5479" w:rsidP="009A0593">
      <w:pPr>
        <w:numPr>
          <w:ilvl w:val="0"/>
          <w:numId w:val="1"/>
        </w:numPr>
        <w:spacing w:line="360" w:lineRule="auto"/>
        <w:rPr>
          <w:rFonts w:ascii="Arial" w:hAnsi="Arial" w:cs="Arial"/>
          <w:sz w:val="22"/>
          <w:szCs w:val="22"/>
        </w:rPr>
      </w:pPr>
      <w:r w:rsidRPr="00872A7F">
        <w:rPr>
          <w:rFonts w:ascii="Arial" w:hAnsi="Arial" w:cs="Arial"/>
          <w:sz w:val="22"/>
          <w:szCs w:val="22"/>
        </w:rPr>
        <w:t>Person</w:t>
      </w:r>
      <w:r w:rsidRPr="00872A7F">
        <w:rPr>
          <w:rFonts w:ascii="Arial" w:hAnsi="Arial" w:cs="Arial"/>
          <w:sz w:val="22"/>
          <w:szCs w:val="22"/>
        </w:rPr>
        <w:noBreakHyphen/>
        <w:t>Centred Processes: Holistic assessment, shared decision</w:t>
      </w:r>
      <w:r w:rsidRPr="00872A7F">
        <w:rPr>
          <w:rFonts w:ascii="Arial" w:hAnsi="Arial" w:cs="Arial"/>
          <w:sz w:val="22"/>
          <w:szCs w:val="22"/>
        </w:rPr>
        <w:noBreakHyphen/>
        <w:t>making and meaningful engagement.</w:t>
      </w:r>
    </w:p>
    <w:p w14:paraId="010FEC2B" w14:textId="77777777" w:rsidR="009E5479" w:rsidRPr="00872A7F" w:rsidRDefault="009E5479" w:rsidP="009A0593">
      <w:pPr>
        <w:numPr>
          <w:ilvl w:val="0"/>
          <w:numId w:val="1"/>
        </w:numPr>
        <w:spacing w:line="360" w:lineRule="auto"/>
        <w:rPr>
          <w:rFonts w:ascii="Arial" w:hAnsi="Arial" w:cs="Arial"/>
          <w:sz w:val="22"/>
          <w:szCs w:val="22"/>
        </w:rPr>
      </w:pPr>
      <w:r w:rsidRPr="00872A7F">
        <w:rPr>
          <w:rFonts w:ascii="Arial" w:hAnsi="Arial" w:cs="Arial"/>
          <w:sz w:val="22"/>
          <w:szCs w:val="22"/>
        </w:rPr>
        <w:t>Outcomes</w:t>
      </w:r>
      <w:r w:rsidRPr="00872A7F">
        <w:rPr>
          <w:rFonts w:ascii="Arial" w:hAnsi="Arial" w:cs="Arial"/>
          <w:b/>
          <w:bCs/>
          <w:sz w:val="22"/>
          <w:szCs w:val="22"/>
        </w:rPr>
        <w:t>:</w:t>
      </w:r>
      <w:r w:rsidRPr="00872A7F">
        <w:rPr>
          <w:rFonts w:ascii="Arial" w:hAnsi="Arial" w:cs="Arial"/>
          <w:sz w:val="22"/>
          <w:szCs w:val="22"/>
        </w:rPr>
        <w:t xml:space="preserve"> Improved wellbeing, satisfaction and involvement.</w:t>
      </w:r>
    </w:p>
    <w:p w14:paraId="5AE3EE6F"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Strengths of the Framework</w:t>
      </w:r>
    </w:p>
    <w:p w14:paraId="24DEB965" w14:textId="33297D4A"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It offers a holistic structure, recognising that PCC depends on both individual staff and organisational </w:t>
      </w:r>
      <w:proofErr w:type="spellStart"/>
      <w:proofErr w:type="gramStart"/>
      <w:r w:rsidRPr="00872A7F">
        <w:rPr>
          <w:rFonts w:ascii="Arial" w:hAnsi="Arial" w:cs="Arial"/>
          <w:sz w:val="22"/>
          <w:szCs w:val="22"/>
        </w:rPr>
        <w:t>systems.It</w:t>
      </w:r>
      <w:proofErr w:type="spellEnd"/>
      <w:proofErr w:type="gramEnd"/>
      <w:r w:rsidRPr="00872A7F">
        <w:rPr>
          <w:rFonts w:ascii="Arial" w:hAnsi="Arial" w:cs="Arial"/>
          <w:sz w:val="22"/>
          <w:szCs w:val="22"/>
        </w:rPr>
        <w:t xml:space="preserve"> emphasises relationships, reflecting humanistic psychology and recovery</w:t>
      </w:r>
      <w:r w:rsidR="001359CA" w:rsidRPr="00872A7F">
        <w:rPr>
          <w:rFonts w:ascii="Arial" w:hAnsi="Arial" w:cs="Arial"/>
          <w:sz w:val="22"/>
          <w:szCs w:val="22"/>
        </w:rPr>
        <w:t xml:space="preserve"> </w:t>
      </w:r>
      <w:r w:rsidRPr="00872A7F">
        <w:rPr>
          <w:rFonts w:ascii="Arial" w:hAnsi="Arial" w:cs="Arial"/>
          <w:sz w:val="22"/>
          <w:szCs w:val="22"/>
        </w:rPr>
        <w:t xml:space="preserve">focused </w:t>
      </w:r>
      <w:proofErr w:type="spellStart"/>
      <w:proofErr w:type="gramStart"/>
      <w:r w:rsidRPr="00872A7F">
        <w:rPr>
          <w:rFonts w:ascii="Arial" w:hAnsi="Arial" w:cs="Arial"/>
          <w:sz w:val="22"/>
          <w:szCs w:val="22"/>
        </w:rPr>
        <w:t>practice.It</w:t>
      </w:r>
      <w:proofErr w:type="spellEnd"/>
      <w:proofErr w:type="gramEnd"/>
      <w:r w:rsidRPr="00872A7F">
        <w:rPr>
          <w:rFonts w:ascii="Arial" w:hAnsi="Arial" w:cs="Arial"/>
          <w:sz w:val="22"/>
          <w:szCs w:val="22"/>
        </w:rPr>
        <w:t xml:space="preserve"> provides a clear framework for evaluating PCC and guiding staff development.</w:t>
      </w:r>
    </w:p>
    <w:p w14:paraId="0F7B2C10"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Limitations of the Framework</w:t>
      </w:r>
    </w:p>
    <w:p w14:paraId="25F80CCB" w14:textId="70A1E5B5"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It is nursing</w:t>
      </w:r>
      <w:r w:rsidR="001359CA" w:rsidRPr="00872A7F">
        <w:rPr>
          <w:rFonts w:ascii="Arial" w:hAnsi="Arial" w:cs="Arial"/>
          <w:sz w:val="22"/>
          <w:szCs w:val="22"/>
        </w:rPr>
        <w:t xml:space="preserve"> </w:t>
      </w:r>
      <w:r w:rsidRPr="00872A7F">
        <w:rPr>
          <w:rFonts w:ascii="Arial" w:hAnsi="Arial" w:cs="Arial"/>
          <w:sz w:val="22"/>
          <w:szCs w:val="22"/>
        </w:rPr>
        <w:t>focused, making it less directly applicable to social care or multi</w:t>
      </w:r>
      <w:r w:rsidR="001359CA" w:rsidRPr="00872A7F">
        <w:rPr>
          <w:rFonts w:ascii="Arial" w:hAnsi="Arial" w:cs="Arial"/>
          <w:sz w:val="22"/>
          <w:szCs w:val="22"/>
        </w:rPr>
        <w:t xml:space="preserve"> </w:t>
      </w:r>
      <w:r w:rsidRPr="00872A7F">
        <w:rPr>
          <w:rFonts w:ascii="Arial" w:hAnsi="Arial" w:cs="Arial"/>
          <w:sz w:val="22"/>
          <w:szCs w:val="22"/>
        </w:rPr>
        <w:t xml:space="preserve">agency </w:t>
      </w:r>
      <w:proofErr w:type="spellStart"/>
      <w:proofErr w:type="gramStart"/>
      <w:r w:rsidRPr="00872A7F">
        <w:rPr>
          <w:rFonts w:ascii="Arial" w:hAnsi="Arial" w:cs="Arial"/>
          <w:sz w:val="22"/>
          <w:szCs w:val="22"/>
        </w:rPr>
        <w:t>settings.It</w:t>
      </w:r>
      <w:proofErr w:type="spellEnd"/>
      <w:proofErr w:type="gramEnd"/>
      <w:r w:rsidRPr="00872A7F">
        <w:rPr>
          <w:rFonts w:ascii="Arial" w:hAnsi="Arial" w:cs="Arial"/>
          <w:sz w:val="22"/>
          <w:szCs w:val="22"/>
        </w:rPr>
        <w:t xml:space="preserve"> does not fully address digital transformation, which is now central to modern </w:t>
      </w:r>
      <w:proofErr w:type="spellStart"/>
      <w:proofErr w:type="gramStart"/>
      <w:r w:rsidRPr="00872A7F">
        <w:rPr>
          <w:rFonts w:ascii="Arial" w:hAnsi="Arial" w:cs="Arial"/>
          <w:sz w:val="22"/>
          <w:szCs w:val="22"/>
        </w:rPr>
        <w:t>care.It</w:t>
      </w:r>
      <w:proofErr w:type="spellEnd"/>
      <w:proofErr w:type="gramEnd"/>
      <w:r w:rsidRPr="00872A7F">
        <w:rPr>
          <w:rFonts w:ascii="Arial" w:hAnsi="Arial" w:cs="Arial"/>
          <w:sz w:val="22"/>
          <w:szCs w:val="22"/>
        </w:rPr>
        <w:t xml:space="preserve"> assumes staff have enough time and organisational support to build relationships, which is often </w:t>
      </w:r>
      <w:proofErr w:type="spellStart"/>
      <w:proofErr w:type="gramStart"/>
      <w:r w:rsidRPr="00872A7F">
        <w:rPr>
          <w:rFonts w:ascii="Arial" w:hAnsi="Arial" w:cs="Arial"/>
          <w:sz w:val="22"/>
          <w:szCs w:val="22"/>
        </w:rPr>
        <w:t>unrealistic.It</w:t>
      </w:r>
      <w:proofErr w:type="spellEnd"/>
      <w:proofErr w:type="gramEnd"/>
      <w:r w:rsidRPr="00872A7F">
        <w:rPr>
          <w:rFonts w:ascii="Arial" w:hAnsi="Arial" w:cs="Arial"/>
          <w:sz w:val="22"/>
          <w:szCs w:val="22"/>
        </w:rPr>
        <w:t xml:space="preserve"> does not explicitly include partnership working, even though integrated care is essential for complex needs.</w:t>
      </w:r>
    </w:p>
    <w:p w14:paraId="380F9BBE"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Additional Critical Insight</w:t>
      </w:r>
    </w:p>
    <w:p w14:paraId="49D69340" w14:textId="64A3F9E5"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The model also assumes a stable workforce. </w:t>
      </w:r>
      <w:proofErr w:type="gramStart"/>
      <w:r w:rsidRPr="00872A7F">
        <w:rPr>
          <w:rFonts w:ascii="Arial" w:hAnsi="Arial" w:cs="Arial"/>
          <w:sz w:val="22"/>
          <w:szCs w:val="22"/>
        </w:rPr>
        <w:t>In reality, high</w:t>
      </w:r>
      <w:proofErr w:type="gramEnd"/>
      <w:r w:rsidRPr="00872A7F">
        <w:rPr>
          <w:rFonts w:ascii="Arial" w:hAnsi="Arial" w:cs="Arial"/>
          <w:sz w:val="22"/>
          <w:szCs w:val="22"/>
        </w:rPr>
        <w:t xml:space="preserve"> turnover and reliance on agency staff can disrupt continuity and weaken relational practice. It also does not fully address power dynamics between professionals and service users, which can affect how genuinely shared decision</w:t>
      </w:r>
      <w:r w:rsidR="001359CA" w:rsidRPr="00872A7F">
        <w:rPr>
          <w:rFonts w:ascii="Arial" w:hAnsi="Arial" w:cs="Arial"/>
          <w:sz w:val="22"/>
          <w:szCs w:val="22"/>
        </w:rPr>
        <w:t xml:space="preserve"> m</w:t>
      </w:r>
      <w:r w:rsidRPr="00872A7F">
        <w:rPr>
          <w:rFonts w:ascii="Arial" w:hAnsi="Arial" w:cs="Arial"/>
          <w:sz w:val="22"/>
          <w:szCs w:val="22"/>
        </w:rPr>
        <w:t>aking is carried out. These gaps suggest the need for updated PCC models that reflect digitalisation, integrated care and workforce pressures. Furthermore, the model does not consider the growing role of carers, families and community organisations, all of whom contribute significantly to person</w:t>
      </w:r>
      <w:r w:rsidRPr="00872A7F">
        <w:rPr>
          <w:rFonts w:ascii="Arial" w:hAnsi="Arial" w:cs="Arial"/>
          <w:sz w:val="22"/>
          <w:szCs w:val="22"/>
        </w:rPr>
        <w:noBreakHyphen/>
        <w:t>centred practice.</w:t>
      </w:r>
    </w:p>
    <w:p w14:paraId="47DBE62D" w14:textId="77777777" w:rsidR="009E5479" w:rsidRPr="00872A7F" w:rsidRDefault="009E5479" w:rsidP="00872A7F">
      <w:pPr>
        <w:pStyle w:val="Heading1"/>
        <w:spacing w:line="360" w:lineRule="auto"/>
        <w:rPr>
          <w:rFonts w:ascii="Arial" w:hAnsi="Arial" w:cs="Arial"/>
          <w:sz w:val="22"/>
          <w:szCs w:val="22"/>
        </w:rPr>
      </w:pPr>
      <w:bookmarkStart w:id="4" w:name="_Toc234827665"/>
      <w:r w:rsidRPr="00872A7F">
        <w:rPr>
          <w:rFonts w:ascii="Arial" w:hAnsi="Arial" w:cs="Arial"/>
          <w:sz w:val="22"/>
          <w:szCs w:val="22"/>
        </w:rPr>
        <w:lastRenderedPageBreak/>
        <w:t>3. Ethical Fundamentals of Health and Social Care</w:t>
      </w:r>
      <w:bookmarkEnd w:id="4"/>
    </w:p>
    <w:p w14:paraId="5A1A23B6" w14:textId="5B4209BC"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Ethical practice in UK health and social care is grounded in four principles: autonomy, beneficence, </w:t>
      </w:r>
      <w:proofErr w:type="spellStart"/>
      <w:r w:rsidRPr="00872A7F">
        <w:rPr>
          <w:rFonts w:ascii="Arial" w:hAnsi="Arial" w:cs="Arial"/>
          <w:sz w:val="22"/>
          <w:szCs w:val="22"/>
        </w:rPr>
        <w:t>non</w:t>
      </w:r>
      <w:r w:rsidR="001359CA" w:rsidRPr="00872A7F">
        <w:rPr>
          <w:rFonts w:ascii="Arial" w:hAnsi="Arial" w:cs="Arial"/>
          <w:sz w:val="22"/>
          <w:szCs w:val="22"/>
        </w:rPr>
        <w:t xml:space="preserve"> </w:t>
      </w:r>
      <w:r w:rsidRPr="00872A7F">
        <w:rPr>
          <w:rFonts w:ascii="Arial" w:hAnsi="Arial" w:cs="Arial"/>
          <w:sz w:val="22"/>
          <w:szCs w:val="22"/>
        </w:rPr>
        <w:t>maleficence</w:t>
      </w:r>
      <w:proofErr w:type="spellEnd"/>
      <w:r w:rsidRPr="00872A7F">
        <w:rPr>
          <w:rFonts w:ascii="Arial" w:hAnsi="Arial" w:cs="Arial"/>
          <w:sz w:val="22"/>
          <w:szCs w:val="22"/>
        </w:rPr>
        <w:t xml:space="preserve"> and justice (Beauchamp &amp; Childress, 2025). PCC and PW both help put these principles into practice.</w:t>
      </w:r>
    </w:p>
    <w:p w14:paraId="37D8F561"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Autonomy</w:t>
      </w:r>
    </w:p>
    <w:p w14:paraId="194A522C" w14:textId="2EFF3F05"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PCC supports autonomy by involving people in decisions about their care. However, tensions arise when individuals make choices that professionals consider </w:t>
      </w:r>
      <w:proofErr w:type="spellStart"/>
      <w:proofErr w:type="gramStart"/>
      <w:r w:rsidRPr="00872A7F">
        <w:rPr>
          <w:rFonts w:ascii="Arial" w:hAnsi="Arial" w:cs="Arial"/>
          <w:sz w:val="22"/>
          <w:szCs w:val="22"/>
        </w:rPr>
        <w:t>unsafe</w:t>
      </w:r>
      <w:r w:rsidR="001359CA" w:rsidRPr="00872A7F">
        <w:rPr>
          <w:rFonts w:ascii="Arial" w:hAnsi="Arial" w:cs="Arial"/>
          <w:sz w:val="22"/>
          <w:szCs w:val="22"/>
        </w:rPr>
        <w:t>.</w:t>
      </w:r>
      <w:r w:rsidRPr="00872A7F">
        <w:rPr>
          <w:rFonts w:ascii="Arial" w:hAnsi="Arial" w:cs="Arial"/>
          <w:sz w:val="22"/>
          <w:szCs w:val="22"/>
        </w:rPr>
        <w:t>This</w:t>
      </w:r>
      <w:proofErr w:type="spellEnd"/>
      <w:proofErr w:type="gramEnd"/>
      <w:r w:rsidRPr="00872A7F">
        <w:rPr>
          <w:rFonts w:ascii="Arial" w:hAnsi="Arial" w:cs="Arial"/>
          <w:sz w:val="22"/>
          <w:szCs w:val="22"/>
        </w:rPr>
        <w:t xml:space="preserve"> highlights the need for careful communication, risk assessment and safeguarding. Autonomy also becomes complex when individuals have fluctuating capacity or when family members disagree with the person’s wishes.</w:t>
      </w:r>
    </w:p>
    <w:p w14:paraId="533F23D8" w14:textId="4A95E346"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Beneficence and </w:t>
      </w:r>
      <w:proofErr w:type="gramStart"/>
      <w:r w:rsidRPr="00872A7F">
        <w:rPr>
          <w:rFonts w:ascii="Arial" w:hAnsi="Arial" w:cs="Arial"/>
          <w:sz w:val="22"/>
          <w:szCs w:val="22"/>
        </w:rPr>
        <w:t>Non</w:t>
      </w:r>
      <w:r w:rsidR="001359CA" w:rsidRPr="00872A7F">
        <w:rPr>
          <w:rFonts w:ascii="Arial" w:hAnsi="Arial" w:cs="Arial"/>
          <w:sz w:val="22"/>
          <w:szCs w:val="22"/>
        </w:rPr>
        <w:t xml:space="preserve"> </w:t>
      </w:r>
      <w:r w:rsidRPr="00872A7F">
        <w:rPr>
          <w:rFonts w:ascii="Arial" w:hAnsi="Arial" w:cs="Arial"/>
          <w:sz w:val="22"/>
          <w:szCs w:val="22"/>
        </w:rPr>
        <w:t>Maleficence</w:t>
      </w:r>
      <w:proofErr w:type="gramEnd"/>
    </w:p>
    <w:p w14:paraId="384F08B6"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Professionals must act in a person’s best interests while avoiding harm. In partnership settings, this requires coordinated risk management across agencies. Fragmented information systems can make this difficult. Ethical dilemmas often arise when professionals must balance respecting autonomy with preventing harm, especially in cases involving mental health, addiction or cognitive impairment.</w:t>
      </w:r>
    </w:p>
    <w:p w14:paraId="4B0DEF87"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Justice</w:t>
      </w:r>
    </w:p>
    <w:p w14:paraId="70AAFDD5"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Justice involves fairness and reducing inequalities. PCC supports justice by tailoring care to diverse needs, while PW enables coordinated responses to wider social factors such as housing, poverty and isolation. Justice also requires equitable access to digital tools, interpreters, culturally appropriate services and community support.</w:t>
      </w:r>
    </w:p>
    <w:p w14:paraId="6AD8D4E1"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Additional Ethical Considerations</w:t>
      </w:r>
    </w:p>
    <w:p w14:paraId="307C013B" w14:textId="1367D4C6"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Ethical tensions also arise </w:t>
      </w:r>
      <w:proofErr w:type="spellStart"/>
      <w:proofErr w:type="gramStart"/>
      <w:r w:rsidRPr="00872A7F">
        <w:rPr>
          <w:rFonts w:ascii="Arial" w:hAnsi="Arial" w:cs="Arial"/>
          <w:sz w:val="22"/>
          <w:szCs w:val="22"/>
        </w:rPr>
        <w:t>in:capacity</w:t>
      </w:r>
      <w:proofErr w:type="spellEnd"/>
      <w:proofErr w:type="gramEnd"/>
      <w:r w:rsidRPr="00872A7F">
        <w:rPr>
          <w:rFonts w:ascii="Arial" w:hAnsi="Arial" w:cs="Arial"/>
          <w:sz w:val="22"/>
          <w:szCs w:val="22"/>
        </w:rPr>
        <w:t xml:space="preserve"> </w:t>
      </w:r>
      <w:proofErr w:type="spellStart"/>
      <w:proofErr w:type="gramStart"/>
      <w:r w:rsidRPr="00872A7F">
        <w:rPr>
          <w:rFonts w:ascii="Arial" w:hAnsi="Arial" w:cs="Arial"/>
          <w:sz w:val="22"/>
          <w:szCs w:val="22"/>
        </w:rPr>
        <w:t>assessments</w:t>
      </w:r>
      <w:r w:rsidR="001359CA" w:rsidRPr="00872A7F">
        <w:rPr>
          <w:rFonts w:ascii="Arial" w:hAnsi="Arial" w:cs="Arial"/>
          <w:sz w:val="22"/>
          <w:szCs w:val="22"/>
        </w:rPr>
        <w:t>,</w:t>
      </w:r>
      <w:r w:rsidRPr="00872A7F">
        <w:rPr>
          <w:rFonts w:ascii="Arial" w:hAnsi="Arial" w:cs="Arial"/>
          <w:sz w:val="22"/>
          <w:szCs w:val="22"/>
        </w:rPr>
        <w:t>confidentiality</w:t>
      </w:r>
      <w:proofErr w:type="spellEnd"/>
      <w:proofErr w:type="gramEnd"/>
      <w:r w:rsidRPr="00872A7F">
        <w:rPr>
          <w:rFonts w:ascii="Arial" w:hAnsi="Arial" w:cs="Arial"/>
          <w:sz w:val="22"/>
          <w:szCs w:val="22"/>
        </w:rPr>
        <w:t xml:space="preserve"> and data </w:t>
      </w:r>
      <w:proofErr w:type="spellStart"/>
      <w:proofErr w:type="gramStart"/>
      <w:r w:rsidRPr="00872A7F">
        <w:rPr>
          <w:rFonts w:ascii="Arial" w:hAnsi="Arial" w:cs="Arial"/>
          <w:sz w:val="22"/>
          <w:szCs w:val="22"/>
        </w:rPr>
        <w:t>sharing</w:t>
      </w:r>
      <w:r w:rsidR="001359CA" w:rsidRPr="00872A7F">
        <w:rPr>
          <w:rFonts w:ascii="Arial" w:hAnsi="Arial" w:cs="Arial"/>
          <w:sz w:val="22"/>
          <w:szCs w:val="22"/>
        </w:rPr>
        <w:t>,</w:t>
      </w:r>
      <w:r w:rsidRPr="00872A7F">
        <w:rPr>
          <w:rFonts w:ascii="Arial" w:hAnsi="Arial" w:cs="Arial"/>
          <w:sz w:val="22"/>
          <w:szCs w:val="22"/>
        </w:rPr>
        <w:t>family</w:t>
      </w:r>
      <w:proofErr w:type="spellEnd"/>
      <w:proofErr w:type="gramEnd"/>
      <w:r w:rsidRPr="00872A7F">
        <w:rPr>
          <w:rFonts w:ascii="Arial" w:hAnsi="Arial" w:cs="Arial"/>
          <w:sz w:val="22"/>
          <w:szCs w:val="22"/>
        </w:rPr>
        <w:t xml:space="preserve"> </w:t>
      </w:r>
      <w:proofErr w:type="spellStart"/>
      <w:proofErr w:type="gramStart"/>
      <w:r w:rsidRPr="00872A7F">
        <w:rPr>
          <w:rFonts w:ascii="Arial" w:hAnsi="Arial" w:cs="Arial"/>
          <w:sz w:val="22"/>
          <w:szCs w:val="22"/>
        </w:rPr>
        <w:t>involvement</w:t>
      </w:r>
      <w:r w:rsidR="001359CA" w:rsidRPr="00872A7F">
        <w:rPr>
          <w:rFonts w:ascii="Arial" w:hAnsi="Arial" w:cs="Arial"/>
          <w:sz w:val="22"/>
          <w:szCs w:val="22"/>
        </w:rPr>
        <w:t>,</w:t>
      </w:r>
      <w:r w:rsidRPr="00872A7F">
        <w:rPr>
          <w:rFonts w:ascii="Arial" w:hAnsi="Arial" w:cs="Arial"/>
          <w:sz w:val="22"/>
          <w:szCs w:val="22"/>
        </w:rPr>
        <w:t>resource</w:t>
      </w:r>
      <w:proofErr w:type="spellEnd"/>
      <w:proofErr w:type="gramEnd"/>
      <w:r w:rsidRPr="00872A7F">
        <w:rPr>
          <w:rFonts w:ascii="Arial" w:hAnsi="Arial" w:cs="Arial"/>
          <w:sz w:val="22"/>
          <w:szCs w:val="22"/>
        </w:rPr>
        <w:t xml:space="preserve"> allocation</w:t>
      </w:r>
      <w:r w:rsidR="001359CA" w:rsidRPr="00872A7F">
        <w:rPr>
          <w:rFonts w:ascii="Arial" w:hAnsi="Arial" w:cs="Arial"/>
          <w:sz w:val="22"/>
          <w:szCs w:val="22"/>
        </w:rPr>
        <w:t xml:space="preserve"> and </w:t>
      </w:r>
      <w:r w:rsidRPr="00872A7F">
        <w:rPr>
          <w:rFonts w:ascii="Arial" w:hAnsi="Arial" w:cs="Arial"/>
          <w:sz w:val="22"/>
          <w:szCs w:val="22"/>
        </w:rPr>
        <w:t>digital consent and privacy</w:t>
      </w:r>
      <w:r w:rsidR="001359CA" w:rsidRPr="00872A7F">
        <w:rPr>
          <w:rFonts w:ascii="Arial" w:hAnsi="Arial" w:cs="Arial"/>
          <w:sz w:val="22"/>
          <w:szCs w:val="22"/>
        </w:rPr>
        <w:t>.</w:t>
      </w:r>
    </w:p>
    <w:p w14:paraId="2047FB78" w14:textId="52260FA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The ethics of care (</w:t>
      </w:r>
      <w:proofErr w:type="spellStart"/>
      <w:r w:rsidRPr="00872A7F">
        <w:rPr>
          <w:rFonts w:ascii="Arial" w:hAnsi="Arial" w:cs="Arial"/>
          <w:sz w:val="22"/>
          <w:szCs w:val="22"/>
        </w:rPr>
        <w:t>Tronto</w:t>
      </w:r>
      <w:proofErr w:type="spellEnd"/>
      <w:r w:rsidRPr="00872A7F">
        <w:rPr>
          <w:rFonts w:ascii="Arial" w:hAnsi="Arial" w:cs="Arial"/>
          <w:sz w:val="22"/>
          <w:szCs w:val="22"/>
        </w:rPr>
        <w:t xml:space="preserve">, 2024) emphasises empathy, attentiveness and responsibility, reminding practitioners that ethical practice is relational as well as procedural. This perspective highlights the importance of understanding </w:t>
      </w:r>
      <w:r w:rsidR="001359CA" w:rsidRPr="00872A7F">
        <w:rPr>
          <w:rFonts w:ascii="Arial" w:hAnsi="Arial" w:cs="Arial"/>
          <w:sz w:val="22"/>
          <w:szCs w:val="22"/>
        </w:rPr>
        <w:t>people</w:t>
      </w:r>
      <w:r w:rsidRPr="00872A7F">
        <w:rPr>
          <w:rFonts w:ascii="Arial" w:hAnsi="Arial" w:cs="Arial"/>
          <w:sz w:val="22"/>
          <w:szCs w:val="22"/>
        </w:rPr>
        <w:t xml:space="preserve"> lived experiences, not just their clinical needs.</w:t>
      </w:r>
    </w:p>
    <w:p w14:paraId="0486FC92" w14:textId="77777777" w:rsidR="009E5479" w:rsidRPr="00872A7F" w:rsidRDefault="009E5479" w:rsidP="00872A7F">
      <w:pPr>
        <w:pStyle w:val="Heading1"/>
        <w:spacing w:line="360" w:lineRule="auto"/>
        <w:rPr>
          <w:rFonts w:ascii="Arial" w:hAnsi="Arial" w:cs="Arial"/>
          <w:sz w:val="22"/>
          <w:szCs w:val="22"/>
        </w:rPr>
      </w:pPr>
      <w:bookmarkStart w:id="5" w:name="_Toc234827666"/>
      <w:r w:rsidRPr="00872A7F">
        <w:rPr>
          <w:rFonts w:ascii="Arial" w:hAnsi="Arial" w:cs="Arial"/>
          <w:sz w:val="22"/>
          <w:szCs w:val="22"/>
        </w:rPr>
        <w:lastRenderedPageBreak/>
        <w:t>4. Evaluation of Partnership Working in Health and Social Care</w:t>
      </w:r>
      <w:bookmarkEnd w:id="5"/>
    </w:p>
    <w:p w14:paraId="49941593"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Partnership working involves collaboration between health, social care, voluntary organisations, communities, service users and carers. It is essential for addressing complex needs that no single agency can meet alone.</w:t>
      </w:r>
    </w:p>
    <w:p w14:paraId="510C8C81"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Benefits of Partnership Working</w:t>
      </w:r>
    </w:p>
    <w:p w14:paraId="1873DE97" w14:textId="22C5A94F"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Better continuity of care, especially during transitions such as hospital </w:t>
      </w:r>
      <w:proofErr w:type="spellStart"/>
      <w:proofErr w:type="gramStart"/>
      <w:r w:rsidRPr="00872A7F">
        <w:rPr>
          <w:rFonts w:ascii="Arial" w:hAnsi="Arial" w:cs="Arial"/>
          <w:sz w:val="22"/>
          <w:szCs w:val="22"/>
        </w:rPr>
        <w:t>discharge</w:t>
      </w:r>
      <w:r w:rsidR="001359CA" w:rsidRPr="00872A7F">
        <w:rPr>
          <w:rFonts w:ascii="Arial" w:hAnsi="Arial" w:cs="Arial"/>
          <w:sz w:val="22"/>
          <w:szCs w:val="22"/>
        </w:rPr>
        <w:t>,r</w:t>
      </w:r>
      <w:r w:rsidRPr="00872A7F">
        <w:rPr>
          <w:rFonts w:ascii="Arial" w:hAnsi="Arial" w:cs="Arial"/>
          <w:sz w:val="22"/>
          <w:szCs w:val="22"/>
        </w:rPr>
        <w:t>educed</w:t>
      </w:r>
      <w:proofErr w:type="spellEnd"/>
      <w:proofErr w:type="gramEnd"/>
      <w:r w:rsidRPr="00872A7F">
        <w:rPr>
          <w:rFonts w:ascii="Arial" w:hAnsi="Arial" w:cs="Arial"/>
          <w:sz w:val="22"/>
          <w:szCs w:val="22"/>
        </w:rPr>
        <w:t xml:space="preserve"> duplication, improving </w:t>
      </w:r>
      <w:proofErr w:type="spellStart"/>
      <w:proofErr w:type="gramStart"/>
      <w:r w:rsidRPr="00872A7F">
        <w:rPr>
          <w:rFonts w:ascii="Arial" w:hAnsi="Arial" w:cs="Arial"/>
          <w:sz w:val="22"/>
          <w:szCs w:val="22"/>
        </w:rPr>
        <w:t>efficiency</w:t>
      </w:r>
      <w:r w:rsidR="001359CA" w:rsidRPr="00872A7F">
        <w:rPr>
          <w:rFonts w:ascii="Arial" w:hAnsi="Arial" w:cs="Arial"/>
          <w:sz w:val="22"/>
          <w:szCs w:val="22"/>
        </w:rPr>
        <w:t>,h</w:t>
      </w:r>
      <w:r w:rsidRPr="00872A7F">
        <w:rPr>
          <w:rFonts w:ascii="Arial" w:hAnsi="Arial" w:cs="Arial"/>
          <w:sz w:val="22"/>
          <w:szCs w:val="22"/>
        </w:rPr>
        <w:t>olistic</w:t>
      </w:r>
      <w:proofErr w:type="spellEnd"/>
      <w:proofErr w:type="gramEnd"/>
      <w:r w:rsidRPr="00872A7F">
        <w:rPr>
          <w:rFonts w:ascii="Arial" w:hAnsi="Arial" w:cs="Arial"/>
          <w:sz w:val="22"/>
          <w:szCs w:val="22"/>
        </w:rPr>
        <w:t xml:space="preserve"> support, addressing medical, social and emotional </w:t>
      </w:r>
      <w:proofErr w:type="spellStart"/>
      <w:proofErr w:type="gramStart"/>
      <w:r w:rsidRPr="00872A7F">
        <w:rPr>
          <w:rFonts w:ascii="Arial" w:hAnsi="Arial" w:cs="Arial"/>
          <w:sz w:val="22"/>
          <w:szCs w:val="22"/>
        </w:rPr>
        <w:t>needs</w:t>
      </w:r>
      <w:r w:rsidR="001359CA" w:rsidRPr="00872A7F">
        <w:rPr>
          <w:rFonts w:ascii="Arial" w:hAnsi="Arial" w:cs="Arial"/>
          <w:sz w:val="22"/>
          <w:szCs w:val="22"/>
        </w:rPr>
        <w:t>,i</w:t>
      </w:r>
      <w:r w:rsidRPr="00872A7F">
        <w:rPr>
          <w:rFonts w:ascii="Arial" w:hAnsi="Arial" w:cs="Arial"/>
          <w:sz w:val="22"/>
          <w:szCs w:val="22"/>
        </w:rPr>
        <w:t>nnovative</w:t>
      </w:r>
      <w:proofErr w:type="spellEnd"/>
      <w:proofErr w:type="gramEnd"/>
      <w:r w:rsidRPr="00872A7F">
        <w:rPr>
          <w:rFonts w:ascii="Arial" w:hAnsi="Arial" w:cs="Arial"/>
          <w:sz w:val="22"/>
          <w:szCs w:val="22"/>
        </w:rPr>
        <w:t xml:space="preserve"> approaches, such as social prescribing and </w:t>
      </w:r>
      <w:proofErr w:type="gramStart"/>
      <w:r w:rsidRPr="00872A7F">
        <w:rPr>
          <w:rFonts w:ascii="Arial" w:hAnsi="Arial" w:cs="Arial"/>
          <w:sz w:val="22"/>
          <w:szCs w:val="22"/>
        </w:rPr>
        <w:t>community</w:t>
      </w:r>
      <w:r w:rsidR="001359CA" w:rsidRPr="00872A7F">
        <w:rPr>
          <w:rFonts w:ascii="Arial" w:hAnsi="Arial" w:cs="Arial"/>
          <w:sz w:val="22"/>
          <w:szCs w:val="22"/>
        </w:rPr>
        <w:t xml:space="preserve"> </w:t>
      </w:r>
      <w:r w:rsidRPr="00872A7F">
        <w:rPr>
          <w:rFonts w:ascii="Arial" w:hAnsi="Arial" w:cs="Arial"/>
          <w:sz w:val="22"/>
          <w:szCs w:val="22"/>
        </w:rPr>
        <w:t>based</w:t>
      </w:r>
      <w:proofErr w:type="gramEnd"/>
      <w:r w:rsidRPr="00872A7F">
        <w:rPr>
          <w:rFonts w:ascii="Arial" w:hAnsi="Arial" w:cs="Arial"/>
          <w:sz w:val="22"/>
          <w:szCs w:val="22"/>
        </w:rPr>
        <w:t xml:space="preserve"> </w:t>
      </w:r>
      <w:proofErr w:type="spellStart"/>
      <w:proofErr w:type="gramStart"/>
      <w:r w:rsidRPr="00872A7F">
        <w:rPr>
          <w:rFonts w:ascii="Arial" w:hAnsi="Arial" w:cs="Arial"/>
          <w:sz w:val="22"/>
          <w:szCs w:val="22"/>
        </w:rPr>
        <w:t>interventions</w:t>
      </w:r>
      <w:r w:rsidR="001359CA" w:rsidRPr="00872A7F">
        <w:rPr>
          <w:rFonts w:ascii="Arial" w:hAnsi="Arial" w:cs="Arial"/>
          <w:sz w:val="22"/>
          <w:szCs w:val="22"/>
        </w:rPr>
        <w:t>,i</w:t>
      </w:r>
      <w:r w:rsidRPr="00872A7F">
        <w:rPr>
          <w:rFonts w:ascii="Arial" w:hAnsi="Arial" w:cs="Arial"/>
          <w:sz w:val="22"/>
          <w:szCs w:val="22"/>
        </w:rPr>
        <w:t>mproved</w:t>
      </w:r>
      <w:proofErr w:type="spellEnd"/>
      <w:proofErr w:type="gramEnd"/>
      <w:r w:rsidRPr="00872A7F">
        <w:rPr>
          <w:rFonts w:ascii="Arial" w:hAnsi="Arial" w:cs="Arial"/>
          <w:sz w:val="22"/>
          <w:szCs w:val="22"/>
        </w:rPr>
        <w:t xml:space="preserve"> outcomes, including reduced readmissions and greater independence (Harrison et al., 2024).</w:t>
      </w:r>
    </w:p>
    <w:p w14:paraId="302EF576"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Challenges of Partnership Working</w:t>
      </w:r>
    </w:p>
    <w:p w14:paraId="15B88040" w14:textId="67526AFD"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Siloed organisations and incompatible IT systems (</w:t>
      </w:r>
      <w:proofErr w:type="spellStart"/>
      <w:r w:rsidRPr="00872A7F">
        <w:rPr>
          <w:rFonts w:ascii="Arial" w:hAnsi="Arial" w:cs="Arial"/>
          <w:sz w:val="22"/>
          <w:szCs w:val="22"/>
        </w:rPr>
        <w:t>Checkland</w:t>
      </w:r>
      <w:proofErr w:type="spellEnd"/>
      <w:r w:rsidRPr="00872A7F">
        <w:rPr>
          <w:rFonts w:ascii="Arial" w:hAnsi="Arial" w:cs="Arial"/>
          <w:sz w:val="22"/>
          <w:szCs w:val="22"/>
        </w:rPr>
        <w:t xml:space="preserve"> et al., 2025</w:t>
      </w:r>
      <w:proofErr w:type="gramStart"/>
      <w:r w:rsidRPr="00872A7F">
        <w:rPr>
          <w:rFonts w:ascii="Arial" w:hAnsi="Arial" w:cs="Arial"/>
          <w:sz w:val="22"/>
          <w:szCs w:val="22"/>
        </w:rPr>
        <w:t>)</w:t>
      </w:r>
      <w:r w:rsidR="001359CA" w:rsidRPr="00872A7F">
        <w:rPr>
          <w:rFonts w:ascii="Arial" w:hAnsi="Arial" w:cs="Arial"/>
          <w:sz w:val="22"/>
          <w:szCs w:val="22"/>
        </w:rPr>
        <w:t>,w</w:t>
      </w:r>
      <w:r w:rsidRPr="00872A7F">
        <w:rPr>
          <w:rFonts w:ascii="Arial" w:hAnsi="Arial" w:cs="Arial"/>
          <w:sz w:val="22"/>
          <w:szCs w:val="22"/>
        </w:rPr>
        <w:t>orkforce</w:t>
      </w:r>
      <w:proofErr w:type="gramEnd"/>
      <w:r w:rsidRPr="00872A7F">
        <w:rPr>
          <w:rFonts w:ascii="Arial" w:hAnsi="Arial" w:cs="Arial"/>
          <w:sz w:val="22"/>
          <w:szCs w:val="22"/>
        </w:rPr>
        <w:t xml:space="preserve"> shortages, limiting capacity for </w:t>
      </w:r>
      <w:proofErr w:type="spellStart"/>
      <w:proofErr w:type="gramStart"/>
      <w:r w:rsidRPr="00872A7F">
        <w:rPr>
          <w:rFonts w:ascii="Arial" w:hAnsi="Arial" w:cs="Arial"/>
          <w:sz w:val="22"/>
          <w:szCs w:val="22"/>
        </w:rPr>
        <w:t>collaboration</w:t>
      </w:r>
      <w:r w:rsidR="001359CA" w:rsidRPr="00872A7F">
        <w:rPr>
          <w:rFonts w:ascii="Arial" w:hAnsi="Arial" w:cs="Arial"/>
          <w:sz w:val="22"/>
          <w:szCs w:val="22"/>
        </w:rPr>
        <w:t>,c</w:t>
      </w:r>
      <w:r w:rsidRPr="00872A7F">
        <w:rPr>
          <w:rFonts w:ascii="Arial" w:hAnsi="Arial" w:cs="Arial"/>
          <w:sz w:val="22"/>
          <w:szCs w:val="22"/>
        </w:rPr>
        <w:t>ultural</w:t>
      </w:r>
      <w:proofErr w:type="spellEnd"/>
      <w:proofErr w:type="gramEnd"/>
      <w:r w:rsidRPr="00872A7F">
        <w:rPr>
          <w:rFonts w:ascii="Arial" w:hAnsi="Arial" w:cs="Arial"/>
          <w:sz w:val="22"/>
          <w:szCs w:val="22"/>
        </w:rPr>
        <w:t xml:space="preserve"> differences and power imbalances between </w:t>
      </w:r>
      <w:proofErr w:type="spellStart"/>
      <w:proofErr w:type="gramStart"/>
      <w:r w:rsidRPr="00872A7F">
        <w:rPr>
          <w:rFonts w:ascii="Arial" w:hAnsi="Arial" w:cs="Arial"/>
          <w:sz w:val="22"/>
          <w:szCs w:val="22"/>
        </w:rPr>
        <w:t>agencies</w:t>
      </w:r>
      <w:r w:rsidR="001359CA" w:rsidRPr="00872A7F">
        <w:rPr>
          <w:rFonts w:ascii="Arial" w:hAnsi="Arial" w:cs="Arial"/>
          <w:sz w:val="22"/>
          <w:szCs w:val="22"/>
        </w:rPr>
        <w:t>,f</w:t>
      </w:r>
      <w:r w:rsidRPr="00872A7F">
        <w:rPr>
          <w:rFonts w:ascii="Arial" w:hAnsi="Arial" w:cs="Arial"/>
          <w:sz w:val="22"/>
          <w:szCs w:val="22"/>
        </w:rPr>
        <w:t>ragmented</w:t>
      </w:r>
      <w:proofErr w:type="spellEnd"/>
      <w:proofErr w:type="gramEnd"/>
      <w:r w:rsidRPr="00872A7F">
        <w:rPr>
          <w:rFonts w:ascii="Arial" w:hAnsi="Arial" w:cs="Arial"/>
          <w:sz w:val="22"/>
          <w:szCs w:val="22"/>
        </w:rPr>
        <w:t xml:space="preserve"> funding, complicating joint </w:t>
      </w:r>
      <w:proofErr w:type="spellStart"/>
      <w:proofErr w:type="gramStart"/>
      <w:r w:rsidRPr="00872A7F">
        <w:rPr>
          <w:rFonts w:ascii="Arial" w:hAnsi="Arial" w:cs="Arial"/>
          <w:sz w:val="22"/>
          <w:szCs w:val="22"/>
        </w:rPr>
        <w:t>planning</w:t>
      </w:r>
      <w:r w:rsidR="001359CA" w:rsidRPr="00872A7F">
        <w:rPr>
          <w:rFonts w:ascii="Arial" w:hAnsi="Arial" w:cs="Arial"/>
          <w:sz w:val="22"/>
          <w:szCs w:val="22"/>
        </w:rPr>
        <w:t>,d</w:t>
      </w:r>
      <w:r w:rsidRPr="00872A7F">
        <w:rPr>
          <w:rFonts w:ascii="Arial" w:hAnsi="Arial" w:cs="Arial"/>
          <w:sz w:val="22"/>
          <w:szCs w:val="22"/>
        </w:rPr>
        <w:t>ata</w:t>
      </w:r>
      <w:proofErr w:type="spellEnd"/>
      <w:proofErr w:type="gramEnd"/>
      <w:r w:rsidRPr="00872A7F">
        <w:rPr>
          <w:rFonts w:ascii="Arial" w:hAnsi="Arial" w:cs="Arial"/>
          <w:sz w:val="22"/>
          <w:szCs w:val="22"/>
        </w:rPr>
        <w:t xml:space="preserve"> protection concerns, restricting information </w:t>
      </w:r>
      <w:proofErr w:type="spellStart"/>
      <w:proofErr w:type="gramStart"/>
      <w:r w:rsidRPr="00872A7F">
        <w:rPr>
          <w:rFonts w:ascii="Arial" w:hAnsi="Arial" w:cs="Arial"/>
          <w:sz w:val="22"/>
          <w:szCs w:val="22"/>
        </w:rPr>
        <w:t>sharing</w:t>
      </w:r>
      <w:r w:rsidR="001359CA" w:rsidRPr="00872A7F">
        <w:rPr>
          <w:rFonts w:ascii="Arial" w:hAnsi="Arial" w:cs="Arial"/>
          <w:sz w:val="22"/>
          <w:szCs w:val="22"/>
        </w:rPr>
        <w:t>,d</w:t>
      </w:r>
      <w:r w:rsidRPr="00872A7F">
        <w:rPr>
          <w:rFonts w:ascii="Arial" w:hAnsi="Arial" w:cs="Arial"/>
          <w:sz w:val="22"/>
          <w:szCs w:val="22"/>
        </w:rPr>
        <w:t>igital</w:t>
      </w:r>
      <w:proofErr w:type="spellEnd"/>
      <w:proofErr w:type="gramEnd"/>
      <w:r w:rsidRPr="00872A7F">
        <w:rPr>
          <w:rFonts w:ascii="Arial" w:hAnsi="Arial" w:cs="Arial"/>
          <w:sz w:val="22"/>
          <w:szCs w:val="22"/>
        </w:rPr>
        <w:t xml:space="preserve"> exclusion, affecting service user engagement.</w:t>
      </w:r>
    </w:p>
    <w:p w14:paraId="621CDD28"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Additional Critical Insight</w:t>
      </w:r>
    </w:p>
    <w:p w14:paraId="085D336F"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Partnership working also requires shared accountability, which can be difficult when organisations have different governance structures. Professional identity conflicts can also arise, with staff feeling protective of their roles or expertise. Strong leadership and clear communication are essential to overcome these barriers. Additionally, partnership working depends heavily on trust, which takes time to build and can be easily damaged by miscommunication or inconsistent practice.</w:t>
      </w:r>
    </w:p>
    <w:p w14:paraId="7A8ACC03" w14:textId="77777777" w:rsidR="009E5479" w:rsidRPr="00872A7F" w:rsidRDefault="009E5479" w:rsidP="00872A7F">
      <w:pPr>
        <w:pStyle w:val="Heading1"/>
        <w:spacing w:line="360" w:lineRule="auto"/>
        <w:rPr>
          <w:rFonts w:ascii="Arial" w:hAnsi="Arial" w:cs="Arial"/>
          <w:sz w:val="22"/>
          <w:szCs w:val="22"/>
        </w:rPr>
      </w:pPr>
      <w:bookmarkStart w:id="6" w:name="_Toc234827667"/>
      <w:r w:rsidRPr="00872A7F">
        <w:rPr>
          <w:rFonts w:ascii="Arial" w:hAnsi="Arial" w:cs="Arial"/>
          <w:sz w:val="22"/>
          <w:szCs w:val="22"/>
        </w:rPr>
        <w:t>5. Application of Partnership Working: Sefton Hospital Discharge Service</w:t>
      </w:r>
      <w:bookmarkEnd w:id="6"/>
    </w:p>
    <w:p w14:paraId="39C1931D" w14:textId="1754FC74"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Sefton’s integrated hospital discharge model is a strong example of PCC and PW in practice</w:t>
      </w:r>
      <w:r w:rsidR="001359CA" w:rsidRPr="00872A7F">
        <w:rPr>
          <w:rFonts w:ascii="Arial" w:hAnsi="Arial" w:cs="Arial"/>
          <w:sz w:val="22"/>
          <w:szCs w:val="22"/>
        </w:rPr>
        <w:t>.</w:t>
      </w:r>
    </w:p>
    <w:p w14:paraId="52359B79"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Strengths of the Sefton Model</w:t>
      </w:r>
    </w:p>
    <w:p w14:paraId="681E5725" w14:textId="3A68B9D4"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Shared information systems support seamless </w:t>
      </w:r>
      <w:r w:rsidR="001359CA" w:rsidRPr="00872A7F">
        <w:rPr>
          <w:rFonts w:ascii="Arial" w:hAnsi="Arial" w:cs="Arial"/>
          <w:sz w:val="22"/>
          <w:szCs w:val="22"/>
        </w:rPr>
        <w:t>communication, regular</w:t>
      </w:r>
      <w:r w:rsidRPr="00872A7F">
        <w:rPr>
          <w:rFonts w:ascii="Arial" w:hAnsi="Arial" w:cs="Arial"/>
          <w:sz w:val="22"/>
          <w:szCs w:val="22"/>
        </w:rPr>
        <w:t xml:space="preserve"> interdisciplinary meetings enable coordinated </w:t>
      </w:r>
      <w:proofErr w:type="spellStart"/>
      <w:proofErr w:type="gramStart"/>
      <w:r w:rsidRPr="00872A7F">
        <w:rPr>
          <w:rFonts w:ascii="Arial" w:hAnsi="Arial" w:cs="Arial"/>
          <w:sz w:val="22"/>
          <w:szCs w:val="22"/>
        </w:rPr>
        <w:t>planning</w:t>
      </w:r>
      <w:r w:rsidR="001359CA" w:rsidRPr="00872A7F">
        <w:rPr>
          <w:rFonts w:ascii="Arial" w:hAnsi="Arial" w:cs="Arial"/>
          <w:sz w:val="22"/>
          <w:szCs w:val="22"/>
        </w:rPr>
        <w:t>,c</w:t>
      </w:r>
      <w:r w:rsidRPr="00872A7F">
        <w:rPr>
          <w:rFonts w:ascii="Arial" w:hAnsi="Arial" w:cs="Arial"/>
          <w:sz w:val="22"/>
          <w:szCs w:val="22"/>
        </w:rPr>
        <w:t>o</w:t>
      </w:r>
      <w:proofErr w:type="spellEnd"/>
      <w:proofErr w:type="gramEnd"/>
      <w:r w:rsidRPr="00872A7F">
        <w:rPr>
          <w:rFonts w:ascii="Arial" w:hAnsi="Arial" w:cs="Arial"/>
          <w:sz w:val="22"/>
          <w:szCs w:val="22"/>
        </w:rPr>
        <w:noBreakHyphen/>
        <w:t xml:space="preserve">production ensures patients and carers are equal </w:t>
      </w:r>
      <w:r w:rsidR="001359CA" w:rsidRPr="00872A7F">
        <w:rPr>
          <w:rFonts w:ascii="Arial" w:hAnsi="Arial" w:cs="Arial"/>
          <w:sz w:val="22"/>
          <w:szCs w:val="22"/>
        </w:rPr>
        <w:t>partners, holistic</w:t>
      </w:r>
      <w:r w:rsidRPr="00872A7F">
        <w:rPr>
          <w:rFonts w:ascii="Arial" w:hAnsi="Arial" w:cs="Arial"/>
          <w:sz w:val="22"/>
          <w:szCs w:val="22"/>
        </w:rPr>
        <w:t xml:space="preserve"> support reduces anxiety and builds </w:t>
      </w:r>
      <w:r w:rsidR="001359CA" w:rsidRPr="00872A7F">
        <w:rPr>
          <w:rFonts w:ascii="Arial" w:hAnsi="Arial" w:cs="Arial"/>
          <w:sz w:val="22"/>
          <w:szCs w:val="22"/>
        </w:rPr>
        <w:t>confidence, reduced</w:t>
      </w:r>
      <w:r w:rsidRPr="00872A7F">
        <w:rPr>
          <w:rFonts w:ascii="Arial" w:hAnsi="Arial" w:cs="Arial"/>
          <w:sz w:val="22"/>
          <w:szCs w:val="22"/>
        </w:rPr>
        <w:t xml:space="preserve"> readmissions demonstrate measurable </w:t>
      </w:r>
      <w:proofErr w:type="gramStart"/>
      <w:r w:rsidRPr="00872A7F">
        <w:rPr>
          <w:rFonts w:ascii="Arial" w:hAnsi="Arial" w:cs="Arial"/>
          <w:sz w:val="22"/>
          <w:szCs w:val="22"/>
        </w:rPr>
        <w:t>impact</w:t>
      </w:r>
      <w:proofErr w:type="gramEnd"/>
      <w:r w:rsidR="001359CA" w:rsidRPr="00872A7F">
        <w:rPr>
          <w:rFonts w:ascii="Arial" w:hAnsi="Arial" w:cs="Arial"/>
          <w:sz w:val="22"/>
          <w:szCs w:val="22"/>
        </w:rPr>
        <w:t xml:space="preserve"> and s</w:t>
      </w:r>
      <w:r w:rsidRPr="00872A7F">
        <w:rPr>
          <w:rFonts w:ascii="Arial" w:hAnsi="Arial" w:cs="Arial"/>
          <w:sz w:val="22"/>
          <w:szCs w:val="22"/>
        </w:rPr>
        <w:t>taff morale improves through collaborative working.</w:t>
      </w:r>
    </w:p>
    <w:p w14:paraId="6F02237F"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Limitations of the Sefton Model</w:t>
      </w:r>
    </w:p>
    <w:p w14:paraId="7F19EDAF" w14:textId="54C661AA"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lastRenderedPageBreak/>
        <w:t xml:space="preserve">Digital exclusion affects older adults and those without </w:t>
      </w:r>
      <w:r w:rsidR="001359CA" w:rsidRPr="00872A7F">
        <w:rPr>
          <w:rFonts w:ascii="Arial" w:hAnsi="Arial" w:cs="Arial"/>
          <w:sz w:val="22"/>
          <w:szCs w:val="22"/>
        </w:rPr>
        <w:t>devices, workforce</w:t>
      </w:r>
      <w:r w:rsidRPr="00872A7F">
        <w:rPr>
          <w:rFonts w:ascii="Arial" w:hAnsi="Arial" w:cs="Arial"/>
          <w:sz w:val="22"/>
          <w:szCs w:val="22"/>
        </w:rPr>
        <w:t xml:space="preserve"> shortages limit </w:t>
      </w:r>
      <w:r w:rsidR="001359CA" w:rsidRPr="00872A7F">
        <w:rPr>
          <w:rFonts w:ascii="Arial" w:hAnsi="Arial" w:cs="Arial"/>
          <w:sz w:val="22"/>
          <w:szCs w:val="22"/>
        </w:rPr>
        <w:t>capacity voluntary</w:t>
      </w:r>
      <w:r w:rsidRPr="00872A7F">
        <w:rPr>
          <w:rFonts w:ascii="Arial" w:hAnsi="Arial" w:cs="Arial"/>
          <w:sz w:val="22"/>
          <w:szCs w:val="22"/>
        </w:rPr>
        <w:t xml:space="preserve"> sector involvement can be difficult to sustain</w:t>
      </w:r>
      <w:r w:rsidR="001359CA" w:rsidRPr="00872A7F">
        <w:rPr>
          <w:rFonts w:ascii="Arial" w:hAnsi="Arial" w:cs="Arial"/>
          <w:sz w:val="22"/>
          <w:szCs w:val="22"/>
        </w:rPr>
        <w:t>, f</w:t>
      </w:r>
      <w:r w:rsidRPr="00872A7F">
        <w:rPr>
          <w:rFonts w:ascii="Arial" w:hAnsi="Arial" w:cs="Arial"/>
          <w:sz w:val="22"/>
          <w:szCs w:val="22"/>
        </w:rPr>
        <w:t>unding pressures threaten long</w:t>
      </w:r>
      <w:r w:rsidRPr="00872A7F">
        <w:rPr>
          <w:rFonts w:ascii="Arial" w:hAnsi="Arial" w:cs="Arial"/>
          <w:sz w:val="22"/>
          <w:szCs w:val="22"/>
        </w:rPr>
        <w:noBreakHyphen/>
        <w:t>term stability</w:t>
      </w:r>
      <w:r w:rsidR="001359CA" w:rsidRPr="00872A7F">
        <w:rPr>
          <w:rFonts w:ascii="Arial" w:hAnsi="Arial" w:cs="Arial"/>
          <w:sz w:val="22"/>
          <w:szCs w:val="22"/>
        </w:rPr>
        <w:t xml:space="preserve"> and l</w:t>
      </w:r>
      <w:r w:rsidRPr="00872A7F">
        <w:rPr>
          <w:rFonts w:ascii="Arial" w:hAnsi="Arial" w:cs="Arial"/>
          <w:sz w:val="22"/>
          <w:szCs w:val="22"/>
        </w:rPr>
        <w:t>ocal variation affects consistency.</w:t>
      </w:r>
    </w:p>
    <w:p w14:paraId="20C057E0"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Comparative Analysis</w:t>
      </w:r>
    </w:p>
    <w:p w14:paraId="0DF7E540"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Similar models in Warwickshire and Greater Manchester show comparable benefits, including improved reablement and smoother transitions. However, they also face challenges such as digital literacy gaps, recruitment difficulties and maintaining voluntary sector engagement (Warwickshire Council, 2026). These comparisons highlight that integrated discharge services can be highly effective, but their success depends on sustained investment, digital inclusion and strong local leadership. They also show that partnership working must be adapted to local contexts, as different communities have different needs and resources.</w:t>
      </w:r>
    </w:p>
    <w:p w14:paraId="7A22768D" w14:textId="77777777" w:rsidR="009E5479" w:rsidRPr="00872A7F" w:rsidRDefault="009E5479" w:rsidP="00872A7F">
      <w:pPr>
        <w:pStyle w:val="Heading1"/>
        <w:spacing w:line="360" w:lineRule="auto"/>
        <w:rPr>
          <w:rFonts w:ascii="Arial" w:hAnsi="Arial" w:cs="Arial"/>
          <w:sz w:val="22"/>
          <w:szCs w:val="22"/>
        </w:rPr>
      </w:pPr>
      <w:bookmarkStart w:id="7" w:name="_Toc234827668"/>
      <w:r w:rsidRPr="00872A7F">
        <w:rPr>
          <w:rFonts w:ascii="Arial" w:hAnsi="Arial" w:cs="Arial"/>
          <w:sz w:val="22"/>
          <w:szCs w:val="22"/>
        </w:rPr>
        <w:t>6. Policy and Legislation Supporting PCC and PW</w:t>
      </w:r>
      <w:bookmarkEnd w:id="7"/>
    </w:p>
    <w:p w14:paraId="172B092B"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Several UK policies embed PCC and PW as statutory requirements:</w:t>
      </w:r>
    </w:p>
    <w:p w14:paraId="7842381C" w14:textId="2A3A38B1"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Care Act 2014</w:t>
      </w:r>
      <w:r w:rsidR="00872A7F" w:rsidRPr="00872A7F">
        <w:rPr>
          <w:rFonts w:ascii="Arial" w:hAnsi="Arial" w:cs="Arial"/>
          <w:sz w:val="22"/>
          <w:szCs w:val="22"/>
        </w:rPr>
        <w:t>r</w:t>
      </w:r>
      <w:r w:rsidRPr="00872A7F">
        <w:rPr>
          <w:rFonts w:ascii="Arial" w:hAnsi="Arial" w:cs="Arial"/>
          <w:sz w:val="22"/>
          <w:szCs w:val="22"/>
        </w:rPr>
        <w:t>equires person</w:t>
      </w:r>
      <w:r w:rsidRPr="00872A7F">
        <w:rPr>
          <w:rFonts w:ascii="Arial" w:hAnsi="Arial" w:cs="Arial"/>
          <w:sz w:val="22"/>
          <w:szCs w:val="22"/>
        </w:rPr>
        <w:noBreakHyphen/>
        <w:t>centred assessment and involvement in care planning, emphasising wellbeing and independence.</w:t>
      </w:r>
    </w:p>
    <w:p w14:paraId="144D5FF0" w14:textId="5219633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Better Care Fund (2026–2027)</w:t>
      </w:r>
      <w:r w:rsidR="00872A7F" w:rsidRPr="00872A7F">
        <w:rPr>
          <w:rFonts w:ascii="Arial" w:hAnsi="Arial" w:cs="Arial"/>
          <w:sz w:val="22"/>
          <w:szCs w:val="22"/>
        </w:rPr>
        <w:t xml:space="preserve"> p</w:t>
      </w:r>
      <w:r w:rsidRPr="00872A7F">
        <w:rPr>
          <w:rFonts w:ascii="Arial" w:hAnsi="Arial" w:cs="Arial"/>
          <w:sz w:val="22"/>
          <w:szCs w:val="22"/>
        </w:rPr>
        <w:t>romotes integrated care between NHS and local authorities, aiming to reduce admissions and improve discharge processes.</w:t>
      </w:r>
    </w:p>
    <w:p w14:paraId="2565CAC5" w14:textId="0CA3A5B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Integrated Care Systems (ICSs)</w:t>
      </w:r>
      <w:r w:rsidR="00872A7F" w:rsidRPr="00872A7F">
        <w:rPr>
          <w:rFonts w:ascii="Arial" w:hAnsi="Arial" w:cs="Arial"/>
          <w:sz w:val="22"/>
          <w:szCs w:val="22"/>
        </w:rPr>
        <w:t xml:space="preserve"> f</w:t>
      </w:r>
      <w:r w:rsidRPr="00872A7F">
        <w:rPr>
          <w:rFonts w:ascii="Arial" w:hAnsi="Arial" w:cs="Arial"/>
          <w:sz w:val="22"/>
          <w:szCs w:val="22"/>
        </w:rPr>
        <w:t>ormalise partnership working across health, social care and community organisations.</w:t>
      </w:r>
    </w:p>
    <w:p w14:paraId="785E75DA" w14:textId="58D440C1"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NHS England Policies (2024–2026)</w:t>
      </w:r>
      <w:r w:rsidR="00872A7F" w:rsidRPr="00872A7F">
        <w:rPr>
          <w:rFonts w:ascii="Arial" w:hAnsi="Arial" w:cs="Arial"/>
          <w:sz w:val="22"/>
          <w:szCs w:val="22"/>
        </w:rPr>
        <w:t xml:space="preserve"> h</w:t>
      </w:r>
      <w:r w:rsidRPr="00872A7F">
        <w:rPr>
          <w:rFonts w:ascii="Arial" w:hAnsi="Arial" w:cs="Arial"/>
          <w:sz w:val="22"/>
          <w:szCs w:val="22"/>
        </w:rPr>
        <w:t>ighlight personalised care, digital transformation and community involvement.</w:t>
      </w:r>
    </w:p>
    <w:p w14:paraId="4BC29540" w14:textId="7FDC7140"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Regulatory Bodies (CQC, Ofsted)</w:t>
      </w:r>
      <w:r w:rsidR="00872A7F" w:rsidRPr="00872A7F">
        <w:rPr>
          <w:rFonts w:ascii="Arial" w:hAnsi="Arial" w:cs="Arial"/>
          <w:sz w:val="22"/>
          <w:szCs w:val="22"/>
        </w:rPr>
        <w:t xml:space="preserve"> e</w:t>
      </w:r>
      <w:r w:rsidRPr="00872A7F">
        <w:rPr>
          <w:rFonts w:ascii="Arial" w:hAnsi="Arial" w:cs="Arial"/>
          <w:sz w:val="22"/>
          <w:szCs w:val="22"/>
        </w:rPr>
        <w:t>xpect evidence of PCC and PW during inspections.</w:t>
      </w:r>
    </w:p>
    <w:p w14:paraId="02E48D86"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Additional Critical Insight</w:t>
      </w:r>
    </w:p>
    <w:p w14:paraId="1515F5EB"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Although policy frameworks strongly support PCC and PW, implementation varies due to workforce shortages, digital gaps, funding pressures and organisational silos. Policies often set ambitious expectations without providing the resources needed to achieve them. Local factors such as rurality, deprivation and cultural diversity also influence how PCC and PW can be delivered. Furthermore, policy changes can create uncertainty, making it difficult for organisations to plan long</w:t>
      </w:r>
      <w:r w:rsidRPr="00872A7F">
        <w:rPr>
          <w:rFonts w:ascii="Arial" w:hAnsi="Arial" w:cs="Arial"/>
          <w:sz w:val="22"/>
          <w:szCs w:val="22"/>
        </w:rPr>
        <w:noBreakHyphen/>
        <w:t>term improvements.</w:t>
      </w:r>
    </w:p>
    <w:p w14:paraId="0688009C" w14:textId="77777777" w:rsidR="009E5479" w:rsidRPr="00872A7F" w:rsidRDefault="009E5479" w:rsidP="00872A7F">
      <w:pPr>
        <w:pStyle w:val="Heading1"/>
        <w:spacing w:line="360" w:lineRule="auto"/>
        <w:rPr>
          <w:rFonts w:ascii="Arial" w:hAnsi="Arial" w:cs="Arial"/>
          <w:sz w:val="22"/>
          <w:szCs w:val="22"/>
        </w:rPr>
      </w:pPr>
      <w:bookmarkStart w:id="8" w:name="_Toc234827669"/>
      <w:r w:rsidRPr="00872A7F">
        <w:rPr>
          <w:rFonts w:ascii="Arial" w:hAnsi="Arial" w:cs="Arial"/>
          <w:sz w:val="22"/>
          <w:szCs w:val="22"/>
        </w:rPr>
        <w:lastRenderedPageBreak/>
        <w:t>7. Recommendations for Future Development</w:t>
      </w:r>
      <w:bookmarkEnd w:id="8"/>
    </w:p>
    <w:p w14:paraId="5935FB43" w14:textId="523C015D"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1. Develop clear local definitions of PCC and </w:t>
      </w:r>
      <w:proofErr w:type="gramStart"/>
      <w:r w:rsidRPr="00872A7F">
        <w:rPr>
          <w:rFonts w:ascii="Arial" w:hAnsi="Arial" w:cs="Arial"/>
          <w:sz w:val="22"/>
          <w:szCs w:val="22"/>
        </w:rPr>
        <w:t>PW</w:t>
      </w:r>
      <w:r w:rsidR="00872A7F" w:rsidRPr="00872A7F">
        <w:rPr>
          <w:rFonts w:ascii="Arial" w:hAnsi="Arial" w:cs="Arial"/>
          <w:sz w:val="22"/>
          <w:szCs w:val="22"/>
        </w:rPr>
        <w:t xml:space="preserve"> </w:t>
      </w:r>
      <w:r w:rsidRPr="00872A7F">
        <w:rPr>
          <w:rFonts w:ascii="Arial" w:hAnsi="Arial" w:cs="Arial"/>
          <w:sz w:val="22"/>
          <w:szCs w:val="22"/>
        </w:rPr>
        <w:t xml:space="preserve"> help</w:t>
      </w:r>
      <w:proofErr w:type="gramEnd"/>
      <w:r w:rsidRPr="00872A7F">
        <w:rPr>
          <w:rFonts w:ascii="Arial" w:hAnsi="Arial" w:cs="Arial"/>
          <w:sz w:val="22"/>
          <w:szCs w:val="22"/>
        </w:rPr>
        <w:t xml:space="preserve"> ensure consistent practice across organisations.</w:t>
      </w:r>
    </w:p>
    <w:p w14:paraId="055D6153" w14:textId="2504588C"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2. Invest in workforce </w:t>
      </w:r>
      <w:proofErr w:type="gramStart"/>
      <w:r w:rsidRPr="00872A7F">
        <w:rPr>
          <w:rFonts w:ascii="Arial" w:hAnsi="Arial" w:cs="Arial"/>
          <w:sz w:val="22"/>
          <w:szCs w:val="22"/>
        </w:rPr>
        <w:t>development</w:t>
      </w:r>
      <w:r w:rsidR="00872A7F" w:rsidRPr="00872A7F">
        <w:rPr>
          <w:rFonts w:ascii="Arial" w:hAnsi="Arial" w:cs="Arial"/>
          <w:sz w:val="22"/>
          <w:szCs w:val="22"/>
        </w:rPr>
        <w:t xml:space="preserve"> :t</w:t>
      </w:r>
      <w:r w:rsidRPr="00872A7F">
        <w:rPr>
          <w:rFonts w:ascii="Arial" w:hAnsi="Arial" w:cs="Arial"/>
          <w:sz w:val="22"/>
          <w:szCs w:val="22"/>
        </w:rPr>
        <w:t>raining</w:t>
      </w:r>
      <w:proofErr w:type="gramEnd"/>
      <w:r w:rsidRPr="00872A7F">
        <w:rPr>
          <w:rFonts w:ascii="Arial" w:hAnsi="Arial" w:cs="Arial"/>
          <w:sz w:val="22"/>
          <w:szCs w:val="22"/>
        </w:rPr>
        <w:t xml:space="preserve"> should focus on digital skills, relational practice, cultural competence and leadership.</w:t>
      </w:r>
    </w:p>
    <w:p w14:paraId="328C8780" w14:textId="2C9A87AB"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3. Prioritise digital </w:t>
      </w:r>
      <w:proofErr w:type="spellStart"/>
      <w:proofErr w:type="gramStart"/>
      <w:r w:rsidRPr="00872A7F">
        <w:rPr>
          <w:rFonts w:ascii="Arial" w:hAnsi="Arial" w:cs="Arial"/>
          <w:sz w:val="22"/>
          <w:szCs w:val="22"/>
        </w:rPr>
        <w:t>inclusion</w:t>
      </w:r>
      <w:r w:rsidR="00872A7F" w:rsidRPr="00872A7F">
        <w:rPr>
          <w:rFonts w:ascii="Arial" w:hAnsi="Arial" w:cs="Arial"/>
          <w:sz w:val="22"/>
          <w:szCs w:val="22"/>
        </w:rPr>
        <w:t>:p</w:t>
      </w:r>
      <w:r w:rsidRPr="00872A7F">
        <w:rPr>
          <w:rFonts w:ascii="Arial" w:hAnsi="Arial" w:cs="Arial"/>
          <w:sz w:val="22"/>
          <w:szCs w:val="22"/>
        </w:rPr>
        <w:t>rovide</w:t>
      </w:r>
      <w:proofErr w:type="spellEnd"/>
      <w:proofErr w:type="gramEnd"/>
      <w:r w:rsidRPr="00872A7F">
        <w:rPr>
          <w:rFonts w:ascii="Arial" w:hAnsi="Arial" w:cs="Arial"/>
          <w:sz w:val="22"/>
          <w:szCs w:val="22"/>
        </w:rPr>
        <w:t xml:space="preserve"> devices, training and accessible platforms to reduce inequality.</w:t>
      </w:r>
    </w:p>
    <w:p w14:paraId="5E473549" w14:textId="000DEDB3"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4. Strengthen shared information </w:t>
      </w:r>
      <w:proofErr w:type="spellStart"/>
      <w:proofErr w:type="gramStart"/>
      <w:r w:rsidRPr="00872A7F">
        <w:rPr>
          <w:rFonts w:ascii="Arial" w:hAnsi="Arial" w:cs="Arial"/>
          <w:sz w:val="22"/>
          <w:szCs w:val="22"/>
        </w:rPr>
        <w:t>systems</w:t>
      </w:r>
      <w:r w:rsidR="00872A7F" w:rsidRPr="00872A7F">
        <w:rPr>
          <w:rFonts w:ascii="Arial" w:hAnsi="Arial" w:cs="Arial"/>
          <w:sz w:val="22"/>
          <w:szCs w:val="22"/>
        </w:rPr>
        <w:t>:i</w:t>
      </w:r>
      <w:r w:rsidRPr="00872A7F">
        <w:rPr>
          <w:rFonts w:ascii="Arial" w:hAnsi="Arial" w:cs="Arial"/>
          <w:sz w:val="22"/>
          <w:szCs w:val="22"/>
        </w:rPr>
        <w:t>nteroperable</w:t>
      </w:r>
      <w:proofErr w:type="spellEnd"/>
      <w:proofErr w:type="gramEnd"/>
      <w:r w:rsidRPr="00872A7F">
        <w:rPr>
          <w:rFonts w:ascii="Arial" w:hAnsi="Arial" w:cs="Arial"/>
          <w:sz w:val="22"/>
          <w:szCs w:val="22"/>
        </w:rPr>
        <w:t xml:space="preserve"> electronic records are essential for seamless communication.</w:t>
      </w:r>
    </w:p>
    <w:p w14:paraId="223F867F" w14:textId="59E9BFF6"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5. Expand </w:t>
      </w:r>
      <w:proofErr w:type="spellStart"/>
      <w:r w:rsidRPr="00872A7F">
        <w:rPr>
          <w:rFonts w:ascii="Arial" w:hAnsi="Arial" w:cs="Arial"/>
          <w:sz w:val="22"/>
          <w:szCs w:val="22"/>
        </w:rPr>
        <w:t>co</w:t>
      </w:r>
      <w:r w:rsidRPr="00872A7F">
        <w:rPr>
          <w:rFonts w:ascii="Arial" w:hAnsi="Arial" w:cs="Arial"/>
          <w:sz w:val="22"/>
          <w:szCs w:val="22"/>
        </w:rPr>
        <w:noBreakHyphen/>
      </w:r>
      <w:proofErr w:type="gramStart"/>
      <w:r w:rsidRPr="00872A7F">
        <w:rPr>
          <w:rFonts w:ascii="Arial" w:hAnsi="Arial" w:cs="Arial"/>
          <w:sz w:val="22"/>
          <w:szCs w:val="22"/>
        </w:rPr>
        <w:t>production</w:t>
      </w:r>
      <w:r w:rsidR="00872A7F" w:rsidRPr="00872A7F">
        <w:rPr>
          <w:rFonts w:ascii="Arial" w:hAnsi="Arial" w:cs="Arial"/>
          <w:sz w:val="22"/>
          <w:szCs w:val="22"/>
        </w:rPr>
        <w:t>:s</w:t>
      </w:r>
      <w:r w:rsidRPr="00872A7F">
        <w:rPr>
          <w:rFonts w:ascii="Arial" w:hAnsi="Arial" w:cs="Arial"/>
          <w:sz w:val="22"/>
          <w:szCs w:val="22"/>
        </w:rPr>
        <w:t>ervice</w:t>
      </w:r>
      <w:proofErr w:type="spellEnd"/>
      <w:proofErr w:type="gramEnd"/>
      <w:r w:rsidRPr="00872A7F">
        <w:rPr>
          <w:rFonts w:ascii="Arial" w:hAnsi="Arial" w:cs="Arial"/>
          <w:sz w:val="22"/>
          <w:szCs w:val="22"/>
        </w:rPr>
        <w:t xml:space="preserve"> users and carers should be involved in commissioning, design and governance.</w:t>
      </w:r>
    </w:p>
    <w:p w14:paraId="6FF9352B" w14:textId="1DFDA7BE"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6. Align funding with person</w:t>
      </w:r>
      <w:r w:rsidRPr="00872A7F">
        <w:rPr>
          <w:rFonts w:ascii="Arial" w:hAnsi="Arial" w:cs="Arial"/>
          <w:sz w:val="22"/>
          <w:szCs w:val="22"/>
        </w:rPr>
        <w:noBreakHyphen/>
        <w:t xml:space="preserve">centred </w:t>
      </w:r>
      <w:proofErr w:type="spellStart"/>
      <w:proofErr w:type="gramStart"/>
      <w:r w:rsidRPr="00872A7F">
        <w:rPr>
          <w:rFonts w:ascii="Arial" w:hAnsi="Arial" w:cs="Arial"/>
          <w:sz w:val="22"/>
          <w:szCs w:val="22"/>
        </w:rPr>
        <w:t>outcomes</w:t>
      </w:r>
      <w:r w:rsidR="00872A7F" w:rsidRPr="00872A7F">
        <w:rPr>
          <w:rFonts w:ascii="Arial" w:hAnsi="Arial" w:cs="Arial"/>
          <w:sz w:val="22"/>
          <w:szCs w:val="22"/>
        </w:rPr>
        <w:t>:i</w:t>
      </w:r>
      <w:r w:rsidRPr="00872A7F">
        <w:rPr>
          <w:rFonts w:ascii="Arial" w:hAnsi="Arial" w:cs="Arial"/>
          <w:sz w:val="22"/>
          <w:szCs w:val="22"/>
        </w:rPr>
        <w:t>ntegrated</w:t>
      </w:r>
      <w:proofErr w:type="spellEnd"/>
      <w:proofErr w:type="gramEnd"/>
      <w:r w:rsidRPr="00872A7F">
        <w:rPr>
          <w:rFonts w:ascii="Arial" w:hAnsi="Arial" w:cs="Arial"/>
          <w:sz w:val="22"/>
          <w:szCs w:val="22"/>
        </w:rPr>
        <w:t xml:space="preserve"> funding models support collaboration rather than competition.</w:t>
      </w:r>
    </w:p>
    <w:p w14:paraId="4538A120" w14:textId="64D15C20"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7. Monitor equity </w:t>
      </w:r>
      <w:proofErr w:type="spellStart"/>
      <w:r w:rsidRPr="00872A7F">
        <w:rPr>
          <w:rFonts w:ascii="Arial" w:hAnsi="Arial" w:cs="Arial"/>
          <w:sz w:val="22"/>
          <w:szCs w:val="22"/>
        </w:rPr>
        <w:t>impacts</w:t>
      </w:r>
      <w:r w:rsidR="00872A7F" w:rsidRPr="00872A7F">
        <w:rPr>
          <w:rFonts w:ascii="Arial" w:hAnsi="Arial" w:cs="Arial"/>
          <w:sz w:val="22"/>
          <w:szCs w:val="22"/>
        </w:rPr>
        <w:t>:d</w:t>
      </w:r>
      <w:r w:rsidRPr="00872A7F">
        <w:rPr>
          <w:rFonts w:ascii="Arial" w:hAnsi="Arial" w:cs="Arial"/>
          <w:sz w:val="22"/>
          <w:szCs w:val="22"/>
        </w:rPr>
        <w:t>ata</w:t>
      </w:r>
      <w:proofErr w:type="spellEnd"/>
      <w:r w:rsidRPr="00872A7F">
        <w:rPr>
          <w:rFonts w:ascii="Arial" w:hAnsi="Arial" w:cs="Arial"/>
          <w:sz w:val="22"/>
          <w:szCs w:val="22"/>
        </w:rPr>
        <w:t xml:space="preserve"> should be used to identify disparities and inform targeted interventions.</w:t>
      </w:r>
    </w:p>
    <w:p w14:paraId="288A191A"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Limitations of Recommendations</w:t>
      </w:r>
    </w:p>
    <w:p w14:paraId="20809605" w14:textId="720971C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 xml:space="preserve">Significant investment is </w:t>
      </w:r>
      <w:proofErr w:type="spellStart"/>
      <w:proofErr w:type="gramStart"/>
      <w:r w:rsidRPr="00872A7F">
        <w:rPr>
          <w:rFonts w:ascii="Arial" w:hAnsi="Arial" w:cs="Arial"/>
          <w:sz w:val="22"/>
          <w:szCs w:val="22"/>
        </w:rPr>
        <w:t>required</w:t>
      </w:r>
      <w:r w:rsidR="00872A7F" w:rsidRPr="00872A7F">
        <w:rPr>
          <w:rFonts w:ascii="Arial" w:hAnsi="Arial" w:cs="Arial"/>
          <w:sz w:val="22"/>
          <w:szCs w:val="22"/>
        </w:rPr>
        <w:t>,d</w:t>
      </w:r>
      <w:r w:rsidRPr="00872A7F">
        <w:rPr>
          <w:rFonts w:ascii="Arial" w:hAnsi="Arial" w:cs="Arial"/>
          <w:sz w:val="22"/>
          <w:szCs w:val="22"/>
        </w:rPr>
        <w:t>igital</w:t>
      </w:r>
      <w:proofErr w:type="spellEnd"/>
      <w:proofErr w:type="gramEnd"/>
      <w:r w:rsidRPr="00872A7F">
        <w:rPr>
          <w:rFonts w:ascii="Arial" w:hAnsi="Arial" w:cs="Arial"/>
          <w:sz w:val="22"/>
          <w:szCs w:val="22"/>
        </w:rPr>
        <w:t xml:space="preserve"> inclusion may take time to </w:t>
      </w:r>
      <w:proofErr w:type="spellStart"/>
      <w:proofErr w:type="gramStart"/>
      <w:r w:rsidRPr="00872A7F">
        <w:rPr>
          <w:rFonts w:ascii="Arial" w:hAnsi="Arial" w:cs="Arial"/>
          <w:sz w:val="22"/>
          <w:szCs w:val="22"/>
        </w:rPr>
        <w:t>achieve</w:t>
      </w:r>
      <w:r w:rsidR="00872A7F" w:rsidRPr="00872A7F">
        <w:rPr>
          <w:rFonts w:ascii="Arial" w:hAnsi="Arial" w:cs="Arial"/>
          <w:sz w:val="22"/>
          <w:szCs w:val="22"/>
        </w:rPr>
        <w:t>,workforce</w:t>
      </w:r>
      <w:proofErr w:type="spellEnd"/>
      <w:proofErr w:type="gramEnd"/>
      <w:r w:rsidRPr="00872A7F">
        <w:rPr>
          <w:rFonts w:ascii="Arial" w:hAnsi="Arial" w:cs="Arial"/>
          <w:sz w:val="22"/>
          <w:szCs w:val="22"/>
        </w:rPr>
        <w:t xml:space="preserve"> shortages may limit </w:t>
      </w:r>
      <w:proofErr w:type="spellStart"/>
      <w:proofErr w:type="gramStart"/>
      <w:r w:rsidRPr="00872A7F">
        <w:rPr>
          <w:rFonts w:ascii="Arial" w:hAnsi="Arial" w:cs="Arial"/>
          <w:sz w:val="22"/>
          <w:szCs w:val="22"/>
        </w:rPr>
        <w:t>progress</w:t>
      </w:r>
      <w:r w:rsidR="00872A7F" w:rsidRPr="00872A7F">
        <w:rPr>
          <w:rFonts w:ascii="Arial" w:hAnsi="Arial" w:cs="Arial"/>
          <w:sz w:val="22"/>
          <w:szCs w:val="22"/>
        </w:rPr>
        <w:t>,c</w:t>
      </w:r>
      <w:r w:rsidRPr="00872A7F">
        <w:rPr>
          <w:rFonts w:ascii="Arial" w:hAnsi="Arial" w:cs="Arial"/>
          <w:sz w:val="22"/>
          <w:szCs w:val="22"/>
        </w:rPr>
        <w:t>ultural</w:t>
      </w:r>
      <w:proofErr w:type="spellEnd"/>
      <w:proofErr w:type="gramEnd"/>
      <w:r w:rsidRPr="00872A7F">
        <w:rPr>
          <w:rFonts w:ascii="Arial" w:hAnsi="Arial" w:cs="Arial"/>
          <w:sz w:val="22"/>
          <w:szCs w:val="22"/>
        </w:rPr>
        <w:t xml:space="preserve"> change is slow</w:t>
      </w:r>
      <w:r w:rsidR="00872A7F" w:rsidRPr="00872A7F">
        <w:rPr>
          <w:rFonts w:ascii="Arial" w:hAnsi="Arial" w:cs="Arial"/>
          <w:sz w:val="22"/>
          <w:szCs w:val="22"/>
        </w:rPr>
        <w:t xml:space="preserve"> and c</w:t>
      </w:r>
      <w:r w:rsidRPr="00872A7F">
        <w:rPr>
          <w:rFonts w:ascii="Arial" w:hAnsi="Arial" w:cs="Arial"/>
          <w:sz w:val="22"/>
          <w:szCs w:val="22"/>
        </w:rPr>
        <w:t>o</w:t>
      </w:r>
      <w:r w:rsidRPr="00872A7F">
        <w:rPr>
          <w:rFonts w:ascii="Arial" w:hAnsi="Arial" w:cs="Arial"/>
          <w:sz w:val="22"/>
          <w:szCs w:val="22"/>
        </w:rPr>
        <w:noBreakHyphen/>
        <w:t>production requires sustained commitment.</w:t>
      </w:r>
    </w:p>
    <w:p w14:paraId="0008024E" w14:textId="77777777" w:rsidR="009E5479" w:rsidRPr="00872A7F" w:rsidRDefault="009E5479" w:rsidP="00872A7F">
      <w:pPr>
        <w:pStyle w:val="Heading1"/>
        <w:spacing w:line="360" w:lineRule="auto"/>
        <w:rPr>
          <w:rFonts w:ascii="Arial" w:hAnsi="Arial" w:cs="Arial"/>
          <w:sz w:val="22"/>
          <w:szCs w:val="22"/>
        </w:rPr>
      </w:pPr>
      <w:bookmarkStart w:id="9" w:name="_Toc234827670"/>
      <w:r w:rsidRPr="00872A7F">
        <w:rPr>
          <w:rFonts w:ascii="Arial" w:hAnsi="Arial" w:cs="Arial"/>
          <w:sz w:val="22"/>
          <w:szCs w:val="22"/>
        </w:rPr>
        <w:t>8. Conclusion</w:t>
      </w:r>
      <w:bookmarkEnd w:id="9"/>
    </w:p>
    <w:p w14:paraId="4E4D1E8F" w14:textId="77777777" w:rsidR="009E5479" w:rsidRPr="00872A7F" w:rsidRDefault="009E5479" w:rsidP="00872A7F">
      <w:pPr>
        <w:spacing w:line="360" w:lineRule="auto"/>
        <w:rPr>
          <w:rFonts w:ascii="Arial" w:hAnsi="Arial" w:cs="Arial"/>
          <w:sz w:val="22"/>
          <w:szCs w:val="22"/>
        </w:rPr>
      </w:pPr>
      <w:r w:rsidRPr="00872A7F">
        <w:rPr>
          <w:rFonts w:ascii="Arial" w:hAnsi="Arial" w:cs="Arial"/>
          <w:sz w:val="22"/>
          <w:szCs w:val="22"/>
        </w:rPr>
        <w:t>Person</w:t>
      </w:r>
      <w:r w:rsidRPr="00872A7F">
        <w:rPr>
          <w:rFonts w:ascii="Arial" w:hAnsi="Arial" w:cs="Arial"/>
          <w:sz w:val="22"/>
          <w:szCs w:val="22"/>
        </w:rPr>
        <w:noBreakHyphen/>
        <w:t>centred care and partnership working are essential foundations of modern UK health and social care. They promote autonomy, dignity, collaboration and improved outcomes. Although policy frameworks strongly support these approaches, practical challenges remain. The Sefton case study shows what can be achieved when leadership, investment and co</w:t>
      </w:r>
      <w:r w:rsidRPr="00872A7F">
        <w:rPr>
          <w:rFonts w:ascii="Arial" w:hAnsi="Arial" w:cs="Arial"/>
          <w:sz w:val="22"/>
          <w:szCs w:val="22"/>
        </w:rPr>
        <w:noBreakHyphen/>
        <w:t>production are prioritised. To achieve consistent national progress, the UK must focus on digital inclusion, workforce development, shared information systems and meaningful involvement of people with lived experience. With sustained commitment, the vision of an integrated, equitable and person</w:t>
      </w:r>
      <w:r w:rsidRPr="00872A7F">
        <w:rPr>
          <w:rFonts w:ascii="Arial" w:hAnsi="Arial" w:cs="Arial"/>
          <w:sz w:val="22"/>
          <w:szCs w:val="22"/>
        </w:rPr>
        <w:noBreakHyphen/>
        <w:t>centred system can be achieved.</w:t>
      </w:r>
    </w:p>
    <w:p w14:paraId="24B3E844" w14:textId="77777777" w:rsidR="00872A7F" w:rsidRPr="00872A7F" w:rsidRDefault="00872A7F" w:rsidP="00872A7F">
      <w:pPr>
        <w:pStyle w:val="Heading1"/>
        <w:spacing w:line="360" w:lineRule="auto"/>
        <w:rPr>
          <w:rFonts w:ascii="Arial" w:hAnsi="Arial" w:cs="Arial"/>
          <w:sz w:val="22"/>
          <w:szCs w:val="22"/>
        </w:rPr>
      </w:pPr>
    </w:p>
    <w:p w14:paraId="726A4962" w14:textId="77777777" w:rsidR="00872A7F" w:rsidRPr="00872A7F" w:rsidRDefault="00872A7F" w:rsidP="00872A7F">
      <w:pPr>
        <w:pStyle w:val="Heading1"/>
        <w:spacing w:line="360" w:lineRule="auto"/>
        <w:rPr>
          <w:rFonts w:ascii="Arial" w:hAnsi="Arial" w:cs="Arial"/>
          <w:sz w:val="22"/>
          <w:szCs w:val="22"/>
        </w:rPr>
      </w:pPr>
    </w:p>
    <w:p w14:paraId="504845BA" w14:textId="77777777" w:rsidR="00872A7F" w:rsidRPr="00872A7F" w:rsidRDefault="00872A7F" w:rsidP="00872A7F">
      <w:pPr>
        <w:pStyle w:val="Heading1"/>
        <w:spacing w:line="360" w:lineRule="auto"/>
        <w:rPr>
          <w:rFonts w:ascii="Arial" w:hAnsi="Arial" w:cs="Arial"/>
          <w:sz w:val="22"/>
          <w:szCs w:val="22"/>
        </w:rPr>
      </w:pPr>
    </w:p>
    <w:p w14:paraId="63017055" w14:textId="77777777" w:rsidR="00872A7F" w:rsidRPr="00872A7F" w:rsidRDefault="00872A7F" w:rsidP="00872A7F">
      <w:pPr>
        <w:pStyle w:val="Heading1"/>
        <w:spacing w:line="360" w:lineRule="auto"/>
        <w:rPr>
          <w:rFonts w:ascii="Arial" w:hAnsi="Arial" w:cs="Arial"/>
          <w:sz w:val="22"/>
          <w:szCs w:val="22"/>
        </w:rPr>
      </w:pPr>
    </w:p>
    <w:p w14:paraId="1DF5B695" w14:textId="77777777" w:rsidR="00872A7F" w:rsidRPr="00872A7F" w:rsidRDefault="00872A7F" w:rsidP="00872A7F">
      <w:pPr>
        <w:pStyle w:val="Heading1"/>
        <w:spacing w:line="360" w:lineRule="auto"/>
        <w:rPr>
          <w:rFonts w:ascii="Arial" w:hAnsi="Arial" w:cs="Arial"/>
          <w:sz w:val="22"/>
          <w:szCs w:val="22"/>
        </w:rPr>
      </w:pPr>
    </w:p>
    <w:p w14:paraId="65B508FD" w14:textId="77777777" w:rsidR="00872A7F" w:rsidRPr="00872A7F" w:rsidRDefault="00872A7F" w:rsidP="00872A7F">
      <w:pPr>
        <w:pStyle w:val="Heading1"/>
        <w:spacing w:line="360" w:lineRule="auto"/>
        <w:rPr>
          <w:rFonts w:ascii="Arial" w:hAnsi="Arial" w:cs="Arial"/>
          <w:sz w:val="22"/>
          <w:szCs w:val="22"/>
        </w:rPr>
      </w:pPr>
    </w:p>
    <w:p w14:paraId="04380125" w14:textId="77777777" w:rsidR="00872A7F" w:rsidRPr="00872A7F" w:rsidRDefault="00872A7F" w:rsidP="00872A7F">
      <w:pPr>
        <w:pStyle w:val="Heading1"/>
        <w:spacing w:line="360" w:lineRule="auto"/>
        <w:rPr>
          <w:rFonts w:ascii="Arial" w:hAnsi="Arial" w:cs="Arial"/>
          <w:sz w:val="22"/>
          <w:szCs w:val="22"/>
        </w:rPr>
      </w:pPr>
    </w:p>
    <w:p w14:paraId="0C3369A2" w14:textId="77777777" w:rsidR="00872A7F" w:rsidRPr="00872A7F" w:rsidRDefault="00872A7F" w:rsidP="00872A7F">
      <w:pPr>
        <w:pStyle w:val="Heading1"/>
        <w:spacing w:line="360" w:lineRule="auto"/>
        <w:rPr>
          <w:rFonts w:ascii="Arial" w:hAnsi="Arial" w:cs="Arial"/>
          <w:sz w:val="22"/>
          <w:szCs w:val="22"/>
        </w:rPr>
      </w:pPr>
    </w:p>
    <w:p w14:paraId="58C6B2F7" w14:textId="77777777" w:rsidR="009E5479" w:rsidRPr="00872A7F" w:rsidRDefault="009E5479" w:rsidP="00872A7F">
      <w:pPr>
        <w:spacing w:line="360" w:lineRule="auto"/>
        <w:rPr>
          <w:rFonts w:ascii="Arial" w:hAnsi="Arial" w:cs="Arial"/>
          <w:sz w:val="22"/>
          <w:szCs w:val="22"/>
        </w:rPr>
      </w:pPr>
    </w:p>
    <w:p w14:paraId="7A199026" w14:textId="77777777" w:rsidR="00872A7F" w:rsidRPr="00872A7F" w:rsidRDefault="00872A7F" w:rsidP="00872A7F">
      <w:pPr>
        <w:spacing w:line="360" w:lineRule="auto"/>
        <w:rPr>
          <w:rFonts w:ascii="Arial" w:hAnsi="Arial" w:cs="Arial"/>
          <w:sz w:val="22"/>
          <w:szCs w:val="22"/>
        </w:rPr>
      </w:pPr>
    </w:p>
    <w:p w14:paraId="3DE324F4" w14:textId="77777777" w:rsidR="00872A7F" w:rsidRPr="00872A7F" w:rsidRDefault="00872A7F" w:rsidP="00872A7F">
      <w:pPr>
        <w:pStyle w:val="Heading1"/>
        <w:spacing w:line="360" w:lineRule="auto"/>
        <w:rPr>
          <w:rFonts w:ascii="Arial" w:hAnsi="Arial" w:cs="Arial"/>
          <w:sz w:val="22"/>
          <w:szCs w:val="22"/>
        </w:rPr>
      </w:pPr>
      <w:bookmarkStart w:id="10" w:name="_Toc234827671"/>
      <w:r w:rsidRPr="00872A7F">
        <w:rPr>
          <w:rFonts w:ascii="Arial" w:hAnsi="Arial" w:cs="Arial"/>
          <w:sz w:val="22"/>
          <w:szCs w:val="22"/>
        </w:rPr>
        <w:t>Reference</w:t>
      </w:r>
      <w:bookmarkEnd w:id="10"/>
    </w:p>
    <w:p w14:paraId="54609AB6" w14:textId="77777777" w:rsidR="00872A7F" w:rsidRPr="00872A7F" w:rsidRDefault="00872A7F" w:rsidP="00872A7F">
      <w:pPr>
        <w:spacing w:line="360" w:lineRule="auto"/>
        <w:rPr>
          <w:rFonts w:ascii="Arial" w:hAnsi="Arial" w:cs="Arial"/>
          <w:sz w:val="22"/>
          <w:szCs w:val="22"/>
        </w:rPr>
      </w:pPr>
    </w:p>
    <w:p w14:paraId="2AC66EE5" w14:textId="77777777" w:rsidR="00872A7F" w:rsidRPr="00872A7F" w:rsidRDefault="00872A7F" w:rsidP="00872A7F">
      <w:pPr>
        <w:spacing w:line="360" w:lineRule="auto"/>
        <w:rPr>
          <w:rFonts w:ascii="Arial" w:hAnsi="Arial" w:cs="Arial"/>
          <w:sz w:val="22"/>
          <w:szCs w:val="22"/>
        </w:rPr>
      </w:pPr>
      <w:proofErr w:type="spellStart"/>
      <w:r w:rsidRPr="00872A7F">
        <w:rPr>
          <w:rFonts w:ascii="Arial" w:hAnsi="Arial" w:cs="Arial"/>
          <w:sz w:val="22"/>
          <w:szCs w:val="22"/>
        </w:rPr>
        <w:t>Checkland</w:t>
      </w:r>
      <w:proofErr w:type="spellEnd"/>
      <w:r w:rsidRPr="00872A7F">
        <w:rPr>
          <w:rFonts w:ascii="Arial" w:hAnsi="Arial" w:cs="Arial"/>
          <w:sz w:val="22"/>
          <w:szCs w:val="22"/>
        </w:rPr>
        <w:t xml:space="preserve">, K., Hammond, J., Sutton, M., &amp; Allen, P. (2025). Integration and partnership working in England: Evidence from recent health reforms. </w:t>
      </w:r>
      <w:r w:rsidRPr="00872A7F">
        <w:rPr>
          <w:rFonts w:ascii="Arial" w:hAnsi="Arial" w:cs="Arial"/>
          <w:i/>
          <w:iCs/>
          <w:sz w:val="22"/>
          <w:szCs w:val="22"/>
        </w:rPr>
        <w:t>Health Policy</w:t>
      </w:r>
      <w:r w:rsidRPr="00872A7F">
        <w:rPr>
          <w:rFonts w:ascii="Arial" w:hAnsi="Arial" w:cs="Arial"/>
          <w:sz w:val="22"/>
          <w:szCs w:val="22"/>
        </w:rPr>
        <w:t>, 129(3), 205-213.</w:t>
      </w:r>
    </w:p>
    <w:p w14:paraId="19990708"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Cornwell, J., Naylor, C., &amp; Ross, S. (2025). </w:t>
      </w:r>
      <w:r w:rsidRPr="00872A7F">
        <w:rPr>
          <w:rFonts w:ascii="Arial" w:hAnsi="Arial" w:cs="Arial"/>
          <w:i/>
          <w:iCs/>
          <w:sz w:val="22"/>
          <w:szCs w:val="22"/>
        </w:rPr>
        <w:t>Person-Centred Care in 2025: Delivering the Promise?</w:t>
      </w:r>
      <w:r w:rsidRPr="00872A7F">
        <w:rPr>
          <w:rFonts w:ascii="Arial" w:hAnsi="Arial" w:cs="Arial"/>
          <w:sz w:val="22"/>
          <w:szCs w:val="22"/>
        </w:rPr>
        <w:t xml:space="preserve"> The King's Fund. Available at: </w:t>
      </w:r>
      <w:hyperlink r:id="rId11" w:history="1">
        <w:r w:rsidRPr="00872A7F">
          <w:rPr>
            <w:rStyle w:val="Hyperlink"/>
            <w:rFonts w:ascii="Arial" w:hAnsi="Arial" w:cs="Arial"/>
            <w:sz w:val="22"/>
            <w:szCs w:val="22"/>
          </w:rPr>
          <w:t>https://www.kingsfund.org.uk</w:t>
        </w:r>
      </w:hyperlink>
    </w:p>
    <w:p w14:paraId="1EAF8E75"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Coulter, A., Entwistle, V.A., Eccles, A., Ryan, S., Shepperd, S., &amp; Perera, R. (2025). Personalised care planning for adults with chronic or long-term health conditions. </w:t>
      </w:r>
      <w:r w:rsidRPr="00872A7F">
        <w:rPr>
          <w:rFonts w:ascii="Arial" w:hAnsi="Arial" w:cs="Arial"/>
          <w:i/>
          <w:iCs/>
          <w:sz w:val="22"/>
          <w:szCs w:val="22"/>
        </w:rPr>
        <w:t>Cochrane Database of Systematic Reviews</w:t>
      </w:r>
      <w:r w:rsidRPr="00872A7F">
        <w:rPr>
          <w:rFonts w:ascii="Arial" w:hAnsi="Arial" w:cs="Arial"/>
          <w:sz w:val="22"/>
          <w:szCs w:val="22"/>
        </w:rPr>
        <w:t>, 5, CD010523.</w:t>
      </w:r>
    </w:p>
    <w:p w14:paraId="4FF8DC18"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Department of Health and Social Care. (2026). </w:t>
      </w:r>
      <w:r w:rsidRPr="00872A7F">
        <w:rPr>
          <w:rFonts w:ascii="Arial" w:hAnsi="Arial" w:cs="Arial"/>
          <w:i/>
          <w:iCs/>
          <w:sz w:val="22"/>
          <w:szCs w:val="22"/>
        </w:rPr>
        <w:t>Better Care Fund Framework 2026-2027</w:t>
      </w:r>
      <w:r w:rsidRPr="00872A7F">
        <w:rPr>
          <w:rFonts w:ascii="Arial" w:hAnsi="Arial" w:cs="Arial"/>
          <w:sz w:val="22"/>
          <w:szCs w:val="22"/>
        </w:rPr>
        <w:t xml:space="preserve">. Available at: </w:t>
      </w:r>
      <w:hyperlink r:id="rId12" w:history="1">
        <w:r w:rsidRPr="00872A7F">
          <w:rPr>
            <w:rStyle w:val="Hyperlink"/>
            <w:rFonts w:ascii="Arial" w:hAnsi="Arial" w:cs="Arial"/>
            <w:sz w:val="22"/>
            <w:szCs w:val="22"/>
          </w:rPr>
          <w:t>https://www.gov.uk/government/publications/better-care-fund-framework-2026-to-2027</w:t>
        </w:r>
      </w:hyperlink>
    </w:p>
    <w:p w14:paraId="19206A66"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Entwistle, V.A. &amp; Watt, I.S. (2024). Treating patients as persons: A capabilities approach to support delivery of person-centred care. </w:t>
      </w:r>
      <w:r w:rsidRPr="00872A7F">
        <w:rPr>
          <w:rFonts w:ascii="Arial" w:hAnsi="Arial" w:cs="Arial"/>
          <w:i/>
          <w:iCs/>
          <w:sz w:val="22"/>
          <w:szCs w:val="22"/>
        </w:rPr>
        <w:t>BMJ Quality &amp; Safety</w:t>
      </w:r>
      <w:r w:rsidRPr="00872A7F">
        <w:rPr>
          <w:rFonts w:ascii="Arial" w:hAnsi="Arial" w:cs="Arial"/>
          <w:sz w:val="22"/>
          <w:szCs w:val="22"/>
        </w:rPr>
        <w:t>, 33(2), 123-130.</w:t>
      </w:r>
    </w:p>
    <w:p w14:paraId="0B9E9131"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lastRenderedPageBreak/>
        <w:t xml:space="preserve">Glasby, J., Dickinson, H., &amp; Miller, R. (2026). </w:t>
      </w:r>
      <w:r w:rsidRPr="00872A7F">
        <w:rPr>
          <w:rFonts w:ascii="Arial" w:hAnsi="Arial" w:cs="Arial"/>
          <w:i/>
          <w:iCs/>
          <w:sz w:val="22"/>
          <w:szCs w:val="22"/>
        </w:rPr>
        <w:t>Partnership working in health and social care: What is integrated care and how can we deliver it?</w:t>
      </w:r>
      <w:r w:rsidRPr="00872A7F">
        <w:rPr>
          <w:rFonts w:ascii="Arial" w:hAnsi="Arial" w:cs="Arial"/>
          <w:sz w:val="22"/>
          <w:szCs w:val="22"/>
        </w:rPr>
        <w:t xml:space="preserve"> Policy Press.</w:t>
      </w:r>
    </w:p>
    <w:p w14:paraId="5D34B8E0"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Greenhalgh, T., </w:t>
      </w:r>
      <w:proofErr w:type="spellStart"/>
      <w:r w:rsidRPr="00872A7F">
        <w:rPr>
          <w:rFonts w:ascii="Arial" w:hAnsi="Arial" w:cs="Arial"/>
          <w:sz w:val="22"/>
          <w:szCs w:val="22"/>
        </w:rPr>
        <w:t>Wherton</w:t>
      </w:r>
      <w:proofErr w:type="spellEnd"/>
      <w:r w:rsidRPr="00872A7F">
        <w:rPr>
          <w:rFonts w:ascii="Arial" w:hAnsi="Arial" w:cs="Arial"/>
          <w:sz w:val="22"/>
          <w:szCs w:val="22"/>
        </w:rPr>
        <w:t xml:space="preserve">, J., Papoutsi, C., Lynch, J., &amp; Hughes, G. (2024). Beyond adoption: a new framework for theorizing and evaluating </w:t>
      </w:r>
      <w:proofErr w:type="spellStart"/>
      <w:r w:rsidRPr="00872A7F">
        <w:rPr>
          <w:rFonts w:ascii="Arial" w:hAnsi="Arial" w:cs="Arial"/>
          <w:sz w:val="22"/>
          <w:szCs w:val="22"/>
        </w:rPr>
        <w:t>nonadoption</w:t>
      </w:r>
      <w:proofErr w:type="spellEnd"/>
      <w:r w:rsidRPr="00872A7F">
        <w:rPr>
          <w:rFonts w:ascii="Arial" w:hAnsi="Arial" w:cs="Arial"/>
          <w:sz w:val="22"/>
          <w:szCs w:val="22"/>
        </w:rPr>
        <w:t xml:space="preserve">, abandonment, and challenges to the scale-up, spread, and sustainability of health and care technologies. </w:t>
      </w:r>
      <w:r w:rsidRPr="00872A7F">
        <w:rPr>
          <w:rFonts w:ascii="Arial" w:hAnsi="Arial" w:cs="Arial"/>
          <w:i/>
          <w:iCs/>
          <w:sz w:val="22"/>
          <w:szCs w:val="22"/>
        </w:rPr>
        <w:t>Journal of Medical Internet Research</w:t>
      </w:r>
      <w:r w:rsidRPr="00872A7F">
        <w:rPr>
          <w:rFonts w:ascii="Arial" w:hAnsi="Arial" w:cs="Arial"/>
          <w:sz w:val="22"/>
          <w:szCs w:val="22"/>
        </w:rPr>
        <w:t>, 26(4), e15011.</w:t>
      </w:r>
    </w:p>
    <w:p w14:paraId="4AA54C6E"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Harrison, S., Patel, R., &amp; White, A. (2024). Cross-sector collaboration to reduce health inequalities: a mixed-methods review. </w:t>
      </w:r>
      <w:r w:rsidRPr="00872A7F">
        <w:rPr>
          <w:rFonts w:ascii="Arial" w:hAnsi="Arial" w:cs="Arial"/>
          <w:i/>
          <w:iCs/>
          <w:sz w:val="22"/>
          <w:szCs w:val="22"/>
        </w:rPr>
        <w:t>BMC Public Health</w:t>
      </w:r>
      <w:r w:rsidRPr="00872A7F">
        <w:rPr>
          <w:rFonts w:ascii="Arial" w:hAnsi="Arial" w:cs="Arial"/>
          <w:sz w:val="22"/>
          <w:szCs w:val="22"/>
        </w:rPr>
        <w:t>, 24(1), 2613.</w:t>
      </w:r>
    </w:p>
    <w:p w14:paraId="4271F6BF"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Kazemi, A., &amp; Corlin, T.E. (2026). Person-centred care revisited: reconceptualising for the future. </w:t>
      </w:r>
      <w:r w:rsidRPr="00872A7F">
        <w:rPr>
          <w:rFonts w:ascii="Arial" w:hAnsi="Arial" w:cs="Arial"/>
          <w:i/>
          <w:iCs/>
          <w:sz w:val="22"/>
          <w:szCs w:val="22"/>
        </w:rPr>
        <w:t>International Journal of Nursing Studies</w:t>
      </w:r>
      <w:r w:rsidRPr="00872A7F">
        <w:rPr>
          <w:rFonts w:ascii="Arial" w:hAnsi="Arial" w:cs="Arial"/>
          <w:sz w:val="22"/>
          <w:szCs w:val="22"/>
        </w:rPr>
        <w:t>, 176, 105850.</w:t>
      </w:r>
    </w:p>
    <w:p w14:paraId="2913CE9C"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Lombard, D. (2025). Three philosophies of person-centred care: A UK typology. </w:t>
      </w:r>
      <w:r w:rsidRPr="00872A7F">
        <w:rPr>
          <w:rFonts w:ascii="Arial" w:hAnsi="Arial" w:cs="Arial"/>
          <w:i/>
          <w:iCs/>
          <w:sz w:val="22"/>
          <w:szCs w:val="22"/>
        </w:rPr>
        <w:t>Social Policy &amp; Administration</w:t>
      </w:r>
      <w:r w:rsidRPr="00872A7F">
        <w:rPr>
          <w:rFonts w:ascii="Arial" w:hAnsi="Arial" w:cs="Arial"/>
          <w:sz w:val="22"/>
          <w:szCs w:val="22"/>
        </w:rPr>
        <w:t>, 59(5), 790–802.</w:t>
      </w:r>
    </w:p>
    <w:p w14:paraId="77EA0C9D"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McCormack, B., &amp; McCance, T. (2025). The Person-centred Nursing Framework: A mid-range theory for nursing practice. </w:t>
      </w:r>
      <w:r w:rsidRPr="00872A7F">
        <w:rPr>
          <w:rFonts w:ascii="Arial" w:hAnsi="Arial" w:cs="Arial"/>
          <w:i/>
          <w:iCs/>
          <w:sz w:val="22"/>
          <w:szCs w:val="22"/>
        </w:rPr>
        <w:t>Journal of Research in Nursing</w:t>
      </w:r>
      <w:r w:rsidRPr="00872A7F">
        <w:rPr>
          <w:rFonts w:ascii="Arial" w:hAnsi="Arial" w:cs="Arial"/>
          <w:sz w:val="22"/>
          <w:szCs w:val="22"/>
        </w:rPr>
        <w:t>, 30(1), 47–60.</w:t>
      </w:r>
    </w:p>
    <w:p w14:paraId="68F2C9FC"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Morse, M., Hargreaves, R., &amp; Evans, S. (2025). Patient-centred care and health outcomes: a systematic review. </w:t>
      </w:r>
      <w:r w:rsidRPr="00872A7F">
        <w:rPr>
          <w:rFonts w:ascii="Arial" w:hAnsi="Arial" w:cs="Arial"/>
          <w:i/>
          <w:iCs/>
          <w:sz w:val="22"/>
          <w:szCs w:val="22"/>
        </w:rPr>
        <w:t>Value in Health</w:t>
      </w:r>
      <w:r w:rsidRPr="00872A7F">
        <w:rPr>
          <w:rFonts w:ascii="Arial" w:hAnsi="Arial" w:cs="Arial"/>
          <w:sz w:val="22"/>
          <w:szCs w:val="22"/>
        </w:rPr>
        <w:t>, 28(2), 215-228.</w:t>
      </w:r>
    </w:p>
    <w:p w14:paraId="453BB891"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NHS Confederation. (2025). Workforce shortages and the future of person-centred care. Available at: </w:t>
      </w:r>
      <w:hyperlink r:id="rId13" w:history="1">
        <w:r w:rsidRPr="00872A7F">
          <w:rPr>
            <w:rStyle w:val="Hyperlink"/>
            <w:rFonts w:ascii="Arial" w:hAnsi="Arial" w:cs="Arial"/>
            <w:sz w:val="22"/>
            <w:szCs w:val="22"/>
          </w:rPr>
          <w:t>https://www.nhsconfed.org</w:t>
        </w:r>
      </w:hyperlink>
    </w:p>
    <w:p w14:paraId="1F245B5C"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NHS England. (2024a). What is person-centred care? Available at: </w:t>
      </w:r>
      <w:hyperlink r:id="rId14" w:history="1">
        <w:r w:rsidRPr="00872A7F">
          <w:rPr>
            <w:rStyle w:val="Hyperlink"/>
            <w:rFonts w:ascii="Arial" w:hAnsi="Arial" w:cs="Arial"/>
            <w:sz w:val="22"/>
            <w:szCs w:val="22"/>
          </w:rPr>
          <w:t>https://www.england.nhs.uk/personalisedcare/what-is-person-centred-care/</w:t>
        </w:r>
      </w:hyperlink>
    </w:p>
    <w:p w14:paraId="50D1933D"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NHS England. (2024b). Integrated Care Systems: The next steps. Available at: </w:t>
      </w:r>
      <w:hyperlink r:id="rId15" w:history="1">
        <w:r w:rsidRPr="00872A7F">
          <w:rPr>
            <w:rStyle w:val="Hyperlink"/>
            <w:rFonts w:ascii="Arial" w:hAnsi="Arial" w:cs="Arial"/>
            <w:sz w:val="22"/>
            <w:szCs w:val="22"/>
          </w:rPr>
          <w:t>https://www.england.nhs.uk/integratedcare/next-steps/</w:t>
        </w:r>
      </w:hyperlink>
    </w:p>
    <w:p w14:paraId="130A7B8E"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NHS England. (2024c). Case study: How partnership working in Sefton is creating a person-centred approach to hospital discharge. Available at: </w:t>
      </w:r>
      <w:hyperlink r:id="rId16" w:history="1">
        <w:r w:rsidRPr="00872A7F">
          <w:rPr>
            <w:rStyle w:val="Hyperlink"/>
            <w:rFonts w:ascii="Arial" w:hAnsi="Arial" w:cs="Arial"/>
            <w:sz w:val="22"/>
            <w:szCs w:val="22"/>
          </w:rPr>
          <w:t>https://www.england.nhs.uk/publication/case-study-how-partnership-working-in-sefton-is-creating-a-person-centred-approach-to-hospital-discharge/</w:t>
        </w:r>
      </w:hyperlink>
    </w:p>
    <w:p w14:paraId="1432BBBF"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Rogers, P., Smith, K., &amp; Shah, A. (2024). Staff satisfaction and person-centred care: a longitudinal study. </w:t>
      </w:r>
      <w:r w:rsidRPr="00872A7F">
        <w:rPr>
          <w:rFonts w:ascii="Arial" w:hAnsi="Arial" w:cs="Arial"/>
          <w:i/>
          <w:iCs/>
          <w:sz w:val="22"/>
          <w:szCs w:val="22"/>
        </w:rPr>
        <w:t>British Journal of Nursing</w:t>
      </w:r>
      <w:r w:rsidRPr="00872A7F">
        <w:rPr>
          <w:rFonts w:ascii="Arial" w:hAnsi="Arial" w:cs="Arial"/>
          <w:sz w:val="22"/>
          <w:szCs w:val="22"/>
        </w:rPr>
        <w:t>, 33(4), 212–219.</w:t>
      </w:r>
    </w:p>
    <w:p w14:paraId="79595AF6"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Smith, J., Patel, K., &amp; Brown, M. (2025). Measuring person-centred care: challenges and solutions. </w:t>
      </w:r>
      <w:r w:rsidRPr="00872A7F">
        <w:rPr>
          <w:rFonts w:ascii="Arial" w:hAnsi="Arial" w:cs="Arial"/>
          <w:i/>
          <w:iCs/>
          <w:sz w:val="22"/>
          <w:szCs w:val="22"/>
        </w:rPr>
        <w:t>Frontiers in Health Services</w:t>
      </w:r>
      <w:r w:rsidRPr="00872A7F">
        <w:rPr>
          <w:rFonts w:ascii="Arial" w:hAnsi="Arial" w:cs="Arial"/>
          <w:sz w:val="22"/>
          <w:szCs w:val="22"/>
        </w:rPr>
        <w:t>, 5, 1589502.</w:t>
      </w:r>
    </w:p>
    <w:p w14:paraId="740381A1" w14:textId="77777777" w:rsidR="00872A7F" w:rsidRPr="00872A7F" w:rsidRDefault="00872A7F" w:rsidP="00872A7F">
      <w:pPr>
        <w:spacing w:line="360" w:lineRule="auto"/>
        <w:rPr>
          <w:rFonts w:ascii="Arial" w:hAnsi="Arial" w:cs="Arial"/>
          <w:sz w:val="22"/>
          <w:szCs w:val="22"/>
        </w:rPr>
      </w:pPr>
      <w:proofErr w:type="spellStart"/>
      <w:r w:rsidRPr="00872A7F">
        <w:rPr>
          <w:rFonts w:ascii="Arial" w:hAnsi="Arial" w:cs="Arial"/>
          <w:sz w:val="22"/>
          <w:szCs w:val="22"/>
        </w:rPr>
        <w:t>Tronto</w:t>
      </w:r>
      <w:proofErr w:type="spellEnd"/>
      <w:r w:rsidRPr="00872A7F">
        <w:rPr>
          <w:rFonts w:ascii="Arial" w:hAnsi="Arial" w:cs="Arial"/>
          <w:sz w:val="22"/>
          <w:szCs w:val="22"/>
        </w:rPr>
        <w:t xml:space="preserve">, J.C. (2024). </w:t>
      </w:r>
      <w:r w:rsidRPr="00872A7F">
        <w:rPr>
          <w:rFonts w:ascii="Arial" w:hAnsi="Arial" w:cs="Arial"/>
          <w:i/>
          <w:iCs/>
          <w:sz w:val="22"/>
          <w:szCs w:val="22"/>
        </w:rPr>
        <w:t>Moral Boundaries: A Political Argument for an Ethic of Care</w:t>
      </w:r>
      <w:r w:rsidRPr="00872A7F">
        <w:rPr>
          <w:rFonts w:ascii="Arial" w:hAnsi="Arial" w:cs="Arial"/>
          <w:sz w:val="22"/>
          <w:szCs w:val="22"/>
        </w:rPr>
        <w:t>. Routledge.</w:t>
      </w:r>
    </w:p>
    <w:p w14:paraId="4590FDD7"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lastRenderedPageBreak/>
        <w:t xml:space="preserve">Warwickshire Council. (2026). Cabinet endorses £80 million plan to strengthen local social care and health support. Available at: </w:t>
      </w:r>
      <w:hyperlink r:id="rId17" w:history="1">
        <w:r w:rsidRPr="00872A7F">
          <w:rPr>
            <w:rStyle w:val="Hyperlink"/>
            <w:rFonts w:ascii="Arial" w:hAnsi="Arial" w:cs="Arial"/>
            <w:sz w:val="22"/>
            <w:szCs w:val="22"/>
          </w:rPr>
          <w:t>https://www.warwickshire.gov.uk/news/article/7621/cabinet-endorses-80-million-plan-to-strengthen-local-social-care-and-health-support</w:t>
        </w:r>
      </w:hyperlink>
    </w:p>
    <w:p w14:paraId="666700C9" w14:textId="77777777" w:rsidR="00872A7F" w:rsidRPr="00872A7F" w:rsidRDefault="00872A7F" w:rsidP="00872A7F">
      <w:pPr>
        <w:spacing w:line="360" w:lineRule="auto"/>
        <w:rPr>
          <w:rFonts w:ascii="Arial" w:hAnsi="Arial" w:cs="Arial"/>
          <w:sz w:val="22"/>
          <w:szCs w:val="22"/>
        </w:rPr>
      </w:pPr>
      <w:r w:rsidRPr="00872A7F">
        <w:rPr>
          <w:rFonts w:ascii="Arial" w:hAnsi="Arial" w:cs="Arial"/>
          <w:sz w:val="22"/>
          <w:szCs w:val="22"/>
        </w:rPr>
        <w:t xml:space="preserve">Welsh Government. (2025). </w:t>
      </w:r>
      <w:r w:rsidRPr="00872A7F">
        <w:rPr>
          <w:rFonts w:ascii="Arial" w:hAnsi="Arial" w:cs="Arial"/>
          <w:i/>
          <w:iCs/>
          <w:sz w:val="22"/>
          <w:szCs w:val="22"/>
        </w:rPr>
        <w:t>Health and Social Care (Wales) Act 2025</w:t>
      </w:r>
      <w:r w:rsidRPr="00872A7F">
        <w:rPr>
          <w:rFonts w:ascii="Arial" w:hAnsi="Arial" w:cs="Arial"/>
          <w:sz w:val="22"/>
          <w:szCs w:val="22"/>
        </w:rPr>
        <w:t xml:space="preserve">. Available at: </w:t>
      </w:r>
      <w:hyperlink r:id="rId18" w:history="1">
        <w:r w:rsidRPr="00872A7F">
          <w:rPr>
            <w:rStyle w:val="Hyperlink"/>
            <w:rFonts w:ascii="Arial" w:hAnsi="Arial" w:cs="Arial"/>
            <w:sz w:val="22"/>
            <w:szCs w:val="22"/>
          </w:rPr>
          <w:t>https://www.gov.wales/</w:t>
        </w:r>
      </w:hyperlink>
    </w:p>
    <w:p w14:paraId="18961D80" w14:textId="77777777" w:rsidR="00872A7F" w:rsidRPr="00872A7F" w:rsidRDefault="00872A7F" w:rsidP="00872A7F">
      <w:pPr>
        <w:spacing w:line="360" w:lineRule="auto"/>
        <w:rPr>
          <w:rFonts w:ascii="Arial" w:hAnsi="Arial" w:cs="Arial"/>
          <w:sz w:val="22"/>
          <w:szCs w:val="22"/>
        </w:rPr>
      </w:pPr>
    </w:p>
    <w:p w14:paraId="62F3CBED" w14:textId="77777777" w:rsidR="00872A7F" w:rsidRPr="00872A7F" w:rsidRDefault="00872A7F" w:rsidP="00872A7F">
      <w:pPr>
        <w:spacing w:line="360" w:lineRule="auto"/>
        <w:rPr>
          <w:rFonts w:ascii="Arial" w:hAnsi="Arial" w:cs="Arial"/>
          <w:sz w:val="22"/>
          <w:szCs w:val="22"/>
        </w:rPr>
      </w:pPr>
    </w:p>
    <w:sectPr w:rsidR="00872A7F" w:rsidRPr="00872A7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7C1B3" w14:textId="77777777" w:rsidR="009A0593" w:rsidRDefault="009A0593" w:rsidP="00E73E5E">
      <w:pPr>
        <w:spacing w:after="0" w:line="240" w:lineRule="auto"/>
      </w:pPr>
      <w:r>
        <w:separator/>
      </w:r>
    </w:p>
  </w:endnote>
  <w:endnote w:type="continuationSeparator" w:id="0">
    <w:p w14:paraId="798F2195" w14:textId="77777777" w:rsidR="009A0593" w:rsidRDefault="009A0593" w:rsidP="00E73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8212544"/>
      <w:docPartObj>
        <w:docPartGallery w:val="Page Numbers (Bottom of Page)"/>
        <w:docPartUnique/>
      </w:docPartObj>
    </w:sdtPr>
    <w:sdtContent>
      <w:p w14:paraId="69739FF5" w14:textId="38A40323" w:rsidR="00E73E5E" w:rsidRDefault="00E73E5E">
        <w:pPr>
          <w:pStyle w:val="Footer"/>
        </w:pPr>
        <w:r>
          <w:fldChar w:fldCharType="begin"/>
        </w:r>
        <w:r>
          <w:instrText>PAGE   \* MERGEFORMAT</w:instrText>
        </w:r>
        <w:r>
          <w:fldChar w:fldCharType="separate"/>
        </w:r>
        <w:r>
          <w:t>2</w:t>
        </w:r>
        <w:r>
          <w:fldChar w:fldCharType="end"/>
        </w:r>
      </w:p>
    </w:sdtContent>
  </w:sdt>
  <w:p w14:paraId="2EC66155" w14:textId="77777777" w:rsidR="00E73E5E" w:rsidRDefault="00E73E5E">
    <w:pPr>
      <w:pStyle w:val="TOCHeading"/>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E7FE5" w14:textId="77777777" w:rsidR="009A0593" w:rsidRDefault="009A0593" w:rsidP="00E73E5E">
      <w:pPr>
        <w:spacing w:after="0" w:line="240" w:lineRule="auto"/>
      </w:pPr>
      <w:r>
        <w:separator/>
      </w:r>
    </w:p>
  </w:footnote>
  <w:footnote w:type="continuationSeparator" w:id="0">
    <w:p w14:paraId="1D9E193B" w14:textId="77777777" w:rsidR="009A0593" w:rsidRDefault="009A0593" w:rsidP="00E73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5D47AB"/>
    <w:multiLevelType w:val="multilevel"/>
    <w:tmpl w:val="6930F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0586307">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4E0"/>
    <w:rsid w:val="001359CA"/>
    <w:rsid w:val="006D5E6E"/>
    <w:rsid w:val="008014E0"/>
    <w:rsid w:val="00872A7F"/>
    <w:rsid w:val="009A0593"/>
    <w:rsid w:val="009E5479"/>
    <w:rsid w:val="00A615BE"/>
    <w:rsid w:val="00E73E5E"/>
    <w:rsid w:val="00F76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94CB2E"/>
  <w15:chartTrackingRefBased/>
  <w15:docId w15:val="{83BF94DB-704F-42AB-8B8F-DEF50D1EF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4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14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4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4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4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4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4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4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4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4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14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14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4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4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4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4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4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4E0"/>
    <w:rPr>
      <w:rFonts w:eastAsiaTheme="majorEastAsia" w:cstheme="majorBidi"/>
      <w:color w:val="272727" w:themeColor="text1" w:themeTint="D8"/>
    </w:rPr>
  </w:style>
  <w:style w:type="paragraph" w:styleId="Title">
    <w:name w:val="Title"/>
    <w:basedOn w:val="Normal"/>
    <w:next w:val="Normal"/>
    <w:link w:val="TitleChar"/>
    <w:uiPriority w:val="10"/>
    <w:qFormat/>
    <w:rsid w:val="008014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4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4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4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4E0"/>
    <w:pPr>
      <w:spacing w:before="160"/>
      <w:jc w:val="center"/>
    </w:pPr>
    <w:rPr>
      <w:i/>
      <w:iCs/>
      <w:color w:val="404040" w:themeColor="text1" w:themeTint="BF"/>
    </w:rPr>
  </w:style>
  <w:style w:type="character" w:customStyle="1" w:styleId="QuoteChar">
    <w:name w:val="Quote Char"/>
    <w:basedOn w:val="DefaultParagraphFont"/>
    <w:link w:val="Quote"/>
    <w:uiPriority w:val="29"/>
    <w:rsid w:val="008014E0"/>
    <w:rPr>
      <w:i/>
      <w:iCs/>
      <w:color w:val="404040" w:themeColor="text1" w:themeTint="BF"/>
    </w:rPr>
  </w:style>
  <w:style w:type="paragraph" w:styleId="ListParagraph">
    <w:name w:val="List Paragraph"/>
    <w:basedOn w:val="Normal"/>
    <w:uiPriority w:val="34"/>
    <w:qFormat/>
    <w:rsid w:val="008014E0"/>
    <w:pPr>
      <w:ind w:left="720"/>
      <w:contextualSpacing/>
    </w:pPr>
  </w:style>
  <w:style w:type="character" w:styleId="IntenseEmphasis">
    <w:name w:val="Intense Emphasis"/>
    <w:basedOn w:val="DefaultParagraphFont"/>
    <w:uiPriority w:val="21"/>
    <w:qFormat/>
    <w:rsid w:val="008014E0"/>
    <w:rPr>
      <w:i/>
      <w:iCs/>
      <w:color w:val="0F4761" w:themeColor="accent1" w:themeShade="BF"/>
    </w:rPr>
  </w:style>
  <w:style w:type="paragraph" w:styleId="IntenseQuote">
    <w:name w:val="Intense Quote"/>
    <w:basedOn w:val="Normal"/>
    <w:next w:val="Normal"/>
    <w:link w:val="IntenseQuoteChar"/>
    <w:uiPriority w:val="30"/>
    <w:qFormat/>
    <w:rsid w:val="008014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4E0"/>
    <w:rPr>
      <w:i/>
      <w:iCs/>
      <w:color w:val="0F4761" w:themeColor="accent1" w:themeShade="BF"/>
    </w:rPr>
  </w:style>
  <w:style w:type="character" w:styleId="IntenseReference">
    <w:name w:val="Intense Reference"/>
    <w:basedOn w:val="DefaultParagraphFont"/>
    <w:uiPriority w:val="32"/>
    <w:qFormat/>
    <w:rsid w:val="008014E0"/>
    <w:rPr>
      <w:b/>
      <w:bCs/>
      <w:smallCaps/>
      <w:color w:val="0F4761" w:themeColor="accent1" w:themeShade="BF"/>
      <w:spacing w:val="5"/>
    </w:rPr>
  </w:style>
  <w:style w:type="paragraph" w:styleId="Footer">
    <w:name w:val="footer"/>
    <w:basedOn w:val="Normal"/>
    <w:link w:val="FooterChar"/>
    <w:uiPriority w:val="99"/>
    <w:unhideWhenUsed/>
    <w:rsid w:val="00E73E5E"/>
    <w:pPr>
      <w:tabs>
        <w:tab w:val="center" w:pos="4680"/>
        <w:tab w:val="right" w:pos="9360"/>
      </w:tabs>
      <w:spacing w:after="0" w:line="240" w:lineRule="auto"/>
    </w:pPr>
    <w:rPr>
      <w:rFonts w:eastAsiaTheme="minorEastAsia" w:cs="Times New Roman"/>
      <w:kern w:val="0"/>
      <w:sz w:val="22"/>
      <w:szCs w:val="22"/>
      <w:lang w:eastAsia="en-GB"/>
      <w14:ligatures w14:val="none"/>
    </w:rPr>
  </w:style>
  <w:style w:type="character" w:customStyle="1" w:styleId="FooterChar">
    <w:name w:val="Footer Char"/>
    <w:basedOn w:val="DefaultParagraphFont"/>
    <w:link w:val="Footer"/>
    <w:uiPriority w:val="99"/>
    <w:rsid w:val="00E73E5E"/>
    <w:rPr>
      <w:rFonts w:eastAsiaTheme="minorEastAsia" w:cs="Times New Roman"/>
      <w:kern w:val="0"/>
      <w:sz w:val="22"/>
      <w:szCs w:val="22"/>
      <w:lang w:eastAsia="en-GB"/>
      <w14:ligatures w14:val="none"/>
    </w:rPr>
  </w:style>
  <w:style w:type="paragraph" w:styleId="TOCHeading">
    <w:name w:val="TOC Heading"/>
    <w:basedOn w:val="Heading1"/>
    <w:next w:val="Normal"/>
    <w:uiPriority w:val="39"/>
    <w:unhideWhenUsed/>
    <w:qFormat/>
    <w:rsid w:val="00E73E5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73E5E"/>
    <w:pPr>
      <w:spacing w:after="100"/>
    </w:pPr>
  </w:style>
  <w:style w:type="character" w:styleId="Hyperlink">
    <w:name w:val="Hyperlink"/>
    <w:basedOn w:val="DefaultParagraphFont"/>
    <w:uiPriority w:val="99"/>
    <w:unhideWhenUsed/>
    <w:rsid w:val="00E73E5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confed.org/" TargetMode="External"/><Relationship Id="rId18" Type="http://schemas.openxmlformats.org/officeDocument/2006/relationships/hyperlink" Target="https://www.gov.wale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gov.uk/government/publications/better-care-fund-framework-2026-to-2027" TargetMode="External"/><Relationship Id="rId17" Type="http://schemas.openxmlformats.org/officeDocument/2006/relationships/hyperlink" Target="https://www.warwickshire.gov.uk/news/article/7621/cabinet-endorses-80-million-plan-to-strengthen-local-social-care-and-health-support" TargetMode="External"/><Relationship Id="rId2" Type="http://schemas.openxmlformats.org/officeDocument/2006/relationships/customXml" Target="../customXml/item2.xml"/><Relationship Id="rId16" Type="http://schemas.openxmlformats.org/officeDocument/2006/relationships/hyperlink" Target="https://www.england.nhs.uk/publication/case-study-how-partnership-working-in-sefton-is-creating-a-person-centred-approach-to-hospital-discharg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kingsfund.org.uk/" TargetMode="External"/><Relationship Id="rId5" Type="http://schemas.openxmlformats.org/officeDocument/2006/relationships/numbering" Target="numbering.xml"/><Relationship Id="rId15" Type="http://schemas.openxmlformats.org/officeDocument/2006/relationships/hyperlink" Target="https://www.england.nhs.uk/integratedcare/next-step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personalisedcare/what-is-person-centr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9" ma:contentTypeDescription="Create a new document." ma:contentTypeScope="" ma:versionID="d6084cc925f0898285f54eb142abe8ed">
  <xsd:schema xmlns:xsd="http://www.w3.org/2001/XMLSchema" xmlns:xs="http://www.w3.org/2001/XMLSchema" xmlns:p="http://schemas.microsoft.com/office/2006/metadata/properties" xmlns:ns3="1db24759-c936-4417-b43c-e7856b46dbfa" targetNamespace="http://schemas.microsoft.com/office/2006/metadata/properties" ma:root="true" ma:fieldsID="42c4b47b4a19893d01ec6ddf957dad88" ns3:_="">
    <xsd:import namespace="1db24759-c936-4417-b43c-e7856b46dbf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A8486F66-57E7-474C-AE01-30611AAA6D69}">
  <ds:schemaRefs>
    <ds:schemaRef ds:uri="http://schemas.openxmlformats.org/officeDocument/2006/bibliography"/>
  </ds:schemaRefs>
</ds:datastoreItem>
</file>

<file path=customXml/itemProps2.xml><?xml version="1.0" encoding="utf-8"?>
<ds:datastoreItem xmlns:ds="http://schemas.openxmlformats.org/officeDocument/2006/customXml" ds:itemID="{08480507-E97B-4DE6-BF45-13BC9FF463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024735-59AC-42FA-A7EA-3BE44F72AAD1}">
  <ds:schemaRefs>
    <ds:schemaRef ds:uri="http://schemas.microsoft.com/sharepoint/v3/contenttype/forms"/>
  </ds:schemaRefs>
</ds:datastoreItem>
</file>

<file path=customXml/itemProps4.xml><?xml version="1.0" encoding="utf-8"?>
<ds:datastoreItem xmlns:ds="http://schemas.openxmlformats.org/officeDocument/2006/customXml" ds:itemID="{CB8ACEEB-9734-4774-919F-F5FBF06ECAD6}">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2881</Words>
  <Characters>16427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Bianca-Cristiana Ioana (2434786)</dc:creator>
  <cp:keywords/>
  <dc:description/>
  <cp:lastModifiedBy>Bianca-Cristiana Ioana (2434786)</cp:lastModifiedBy>
  <cp:revision>2</cp:revision>
  <dcterms:created xsi:type="dcterms:W3CDTF">2026-07-13T08:40:00Z</dcterms:created>
  <dcterms:modified xsi:type="dcterms:W3CDTF">2026-07-13T08:40:00Z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8259b090-8b10-4564-94a2-47a1a998ee6b</vt:lpwstr>
  </property>
  <property fmtid="{D5CDD505-2E9C-101B-9397-08002B2CF9AE}" pid="3" name="ContentTypeId">
    <vt:lpwstr>0x010100BED00E2095EE4341B6EDA34AD6B58574</vt:lpwstr>
  </property>
</Properties>
</file>