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8457929"/>
        <w:docPartObj>
          <w:docPartGallery w:val="Cover Pages"/>
          <w:docPartUnique/>
        </w:docPartObj>
      </w:sdtPr>
      <w:sdtEndPr>
        <w:rPr>
          <w:rStyle w:val="s1"/>
          <w:rFonts w:ascii="Arial" w:eastAsiaTheme="minorEastAsia" w:hAnsi="Arial" w:cs="Arial"/>
          <w:spacing w:val="0"/>
          <w:kern w:val="2"/>
          <w:sz w:val="36"/>
          <w:szCs w:val="36"/>
        </w:rPr>
      </w:sdtEndPr>
      <w:sdtContent>
        <w:p w14:paraId="55E47BF9" w14:textId="77777777" w:rsidR="00583CBC" w:rsidRPr="00FE08B7" w:rsidRDefault="00583CBC" w:rsidP="00583CBC">
          <w:pPr>
            <w:pStyle w:val="Title"/>
            <w:rPr>
              <w:sz w:val="96"/>
              <w:szCs w:val="96"/>
            </w:rPr>
          </w:pPr>
          <w:r w:rsidRPr="00FE08B7">
            <w:rPr>
              <w:sz w:val="96"/>
              <w:szCs w:val="96"/>
            </w:rPr>
            <w:t>Social Epidemiology and Public Health Development</w:t>
          </w:r>
        </w:p>
        <w:p w14:paraId="1FEC6A46" w14:textId="3974ED01" w:rsidR="00EE0939" w:rsidRDefault="00583CBC" w:rsidP="00583CBC">
          <w:r>
            <w:t>LCHS7000</w:t>
          </w:r>
        </w:p>
        <w:p w14:paraId="157C36B0" w14:textId="77777777" w:rsidR="00583CBC" w:rsidRDefault="00583CBC" w:rsidP="00583CBC"/>
        <w:p w14:paraId="4CF9612C" w14:textId="77777777" w:rsidR="00583CBC" w:rsidRDefault="00583CBC" w:rsidP="00583CBC"/>
        <w:p w14:paraId="3EAEEEDC" w14:textId="77777777" w:rsidR="00583CBC" w:rsidRDefault="00583CBC" w:rsidP="00583CBC"/>
        <w:p w14:paraId="79DAD3D6" w14:textId="77777777" w:rsidR="00FE08B7" w:rsidRDefault="00FE08B7" w:rsidP="00583CBC"/>
        <w:p w14:paraId="4EEFC431" w14:textId="77777777" w:rsidR="00FE08B7" w:rsidRDefault="00FE08B7" w:rsidP="00583CBC"/>
        <w:p w14:paraId="292C47F8" w14:textId="77777777" w:rsidR="00FE08B7" w:rsidRDefault="00FE08B7" w:rsidP="00583CBC"/>
        <w:p w14:paraId="644A6C06" w14:textId="77777777" w:rsidR="00FE08B7" w:rsidRDefault="00FE08B7" w:rsidP="00583CBC"/>
        <w:p w14:paraId="3EEAAFA7" w14:textId="77777777" w:rsidR="00FE08B7" w:rsidRDefault="00FE08B7" w:rsidP="00583CBC"/>
        <w:p w14:paraId="4EB09565" w14:textId="77777777" w:rsidR="00FE08B7" w:rsidRDefault="00FE08B7" w:rsidP="00583CBC"/>
        <w:p w14:paraId="6C42E89F" w14:textId="77777777" w:rsidR="00FE08B7" w:rsidRDefault="00FE08B7" w:rsidP="00583CBC"/>
        <w:p w14:paraId="694DAB96" w14:textId="77777777" w:rsidR="00FE08B7" w:rsidRDefault="00FE08B7" w:rsidP="00583CBC"/>
        <w:p w14:paraId="18FF0C06" w14:textId="77777777" w:rsidR="00FE08B7" w:rsidRDefault="00FE08B7" w:rsidP="00583CBC"/>
        <w:p w14:paraId="5627E5D6" w14:textId="77777777" w:rsidR="00FE08B7" w:rsidRDefault="00FE08B7" w:rsidP="00583CBC"/>
        <w:p w14:paraId="1C9FF070" w14:textId="77777777" w:rsidR="00FE08B7" w:rsidRDefault="00FE08B7" w:rsidP="00583CBC"/>
        <w:p w14:paraId="748706D2" w14:textId="77777777" w:rsidR="00FE08B7" w:rsidRDefault="00FE08B7" w:rsidP="00583CBC"/>
        <w:p w14:paraId="3B3E44E2" w14:textId="77777777" w:rsidR="00FE08B7" w:rsidRDefault="00FE08B7" w:rsidP="00583CBC"/>
        <w:p w14:paraId="2237108D" w14:textId="77777777" w:rsidR="00FE08B7" w:rsidRDefault="00FE08B7" w:rsidP="00583CBC"/>
        <w:p w14:paraId="52B7D1FC" w14:textId="77777777" w:rsidR="00FE08B7" w:rsidRDefault="00FE08B7" w:rsidP="00583CBC"/>
        <w:p w14:paraId="3756D057" w14:textId="02AB0AF7" w:rsidR="00583CBC" w:rsidRPr="00FE08B7" w:rsidRDefault="00583CBC" w:rsidP="00583CBC">
          <w:r w:rsidRPr="00FE08B7">
            <w:t>Emilia Milewska (</w:t>
          </w:r>
          <w:r w:rsidR="00BB564A" w:rsidRPr="00FE08B7">
            <w:t>224</w:t>
          </w:r>
          <w:r w:rsidR="00D051E0" w:rsidRPr="00FE08B7">
            <w:t>5</w:t>
          </w:r>
          <w:r w:rsidR="00FE08B7" w:rsidRPr="00FE08B7">
            <w:t>525)</w:t>
          </w:r>
        </w:p>
        <w:p w14:paraId="307149A6" w14:textId="43C9111C" w:rsidR="00FE08B7" w:rsidRPr="00FE08B7" w:rsidRDefault="00FE08B7" w:rsidP="00583CBC">
          <w:r w:rsidRPr="00FE08B7">
            <w:t>Lecturer: Muhammad Aliyu</w:t>
          </w:r>
        </w:p>
        <w:p w14:paraId="7216F2C4" w14:textId="7F6040CE" w:rsidR="00EE0939" w:rsidRDefault="00EE0939">
          <w:pPr>
            <w:rPr>
              <w:rStyle w:val="s1"/>
              <w:rFonts w:ascii="Arial" w:hAnsi="Arial" w:cs="Arial"/>
              <w:kern w:val="0"/>
              <w:sz w:val="36"/>
              <w:szCs w:val="36"/>
              <w14:ligatures w14:val="none"/>
            </w:rPr>
          </w:pPr>
        </w:p>
      </w:sdtContent>
    </w:sdt>
    <w:sdt>
      <w:sdtPr>
        <w:rPr>
          <w:rFonts w:asciiTheme="minorHAnsi" w:eastAsiaTheme="minorEastAsia" w:hAnsiTheme="minorHAnsi" w:cstheme="minorBidi"/>
          <w:color w:val="auto"/>
          <w:kern w:val="2"/>
          <w:sz w:val="24"/>
          <w:szCs w:val="24"/>
          <w:lang w:val="en-GB" w:eastAsia="en-GB"/>
          <w14:ligatures w14:val="standardContextual"/>
        </w:rPr>
        <w:id w:val="-26643802"/>
        <w:docPartObj>
          <w:docPartGallery w:val="Table of Contents"/>
          <w:docPartUnique/>
        </w:docPartObj>
      </w:sdtPr>
      <w:sdtEndPr>
        <w:rPr>
          <w:b/>
          <w:bCs/>
          <w:noProof/>
        </w:rPr>
      </w:sdtEndPr>
      <w:sdtContent>
        <w:p w14:paraId="7B01CE69" w14:textId="4E0A60ED" w:rsidR="004107E7" w:rsidRDefault="004107E7">
          <w:pPr>
            <w:pStyle w:val="TOCHeading"/>
          </w:pPr>
          <w:r>
            <w:t>Table of Contents</w:t>
          </w:r>
        </w:p>
        <w:p w14:paraId="7F127019" w14:textId="001EA214" w:rsidR="009301E0" w:rsidRDefault="004107E7">
          <w:pPr>
            <w:pStyle w:val="TOC1"/>
            <w:tabs>
              <w:tab w:val="right" w:leader="dot" w:pos="9016"/>
            </w:tabs>
            <w:rPr>
              <w:noProof/>
            </w:rPr>
          </w:pPr>
          <w:r>
            <w:fldChar w:fldCharType="begin"/>
          </w:r>
          <w:r>
            <w:instrText xml:space="preserve"> TOC \o "1-3" \h \z \u </w:instrText>
          </w:r>
          <w:r>
            <w:fldChar w:fldCharType="separate"/>
          </w:r>
          <w:hyperlink w:anchor="_Toc237612390" w:history="1">
            <w:r w:rsidR="009301E0" w:rsidRPr="005E7CD2">
              <w:rPr>
                <w:rStyle w:val="Hyperlink"/>
                <w:noProof/>
              </w:rPr>
              <w:t>Task 1: Social Epidemiological Analysis</w:t>
            </w:r>
            <w:r w:rsidR="009301E0">
              <w:rPr>
                <w:noProof/>
                <w:webHidden/>
              </w:rPr>
              <w:tab/>
            </w:r>
            <w:r w:rsidR="009301E0">
              <w:rPr>
                <w:noProof/>
                <w:webHidden/>
              </w:rPr>
              <w:fldChar w:fldCharType="begin"/>
            </w:r>
            <w:r w:rsidR="009301E0">
              <w:rPr>
                <w:noProof/>
                <w:webHidden/>
              </w:rPr>
              <w:instrText xml:space="preserve"> PAGEREF _Toc237612390 \h </w:instrText>
            </w:r>
            <w:r w:rsidR="009301E0">
              <w:rPr>
                <w:noProof/>
                <w:webHidden/>
              </w:rPr>
            </w:r>
            <w:r w:rsidR="009301E0">
              <w:rPr>
                <w:noProof/>
                <w:webHidden/>
              </w:rPr>
              <w:fldChar w:fldCharType="separate"/>
            </w:r>
            <w:r w:rsidR="009301E0">
              <w:rPr>
                <w:noProof/>
                <w:webHidden/>
              </w:rPr>
              <w:t>2</w:t>
            </w:r>
            <w:r w:rsidR="009301E0">
              <w:rPr>
                <w:noProof/>
                <w:webHidden/>
              </w:rPr>
              <w:fldChar w:fldCharType="end"/>
            </w:r>
          </w:hyperlink>
        </w:p>
        <w:p w14:paraId="01636C71" w14:textId="5A460BCC" w:rsidR="009301E0" w:rsidRDefault="009301E0">
          <w:pPr>
            <w:pStyle w:val="TOC2"/>
            <w:tabs>
              <w:tab w:val="right" w:leader="dot" w:pos="9016"/>
            </w:tabs>
            <w:rPr>
              <w:noProof/>
            </w:rPr>
          </w:pPr>
          <w:hyperlink w:anchor="_Toc237612391" w:history="1">
            <w:r w:rsidRPr="005E7CD2">
              <w:rPr>
                <w:rStyle w:val="Hyperlink"/>
                <w:noProof/>
              </w:rPr>
              <w:t>Disability and Health Inequality in the United Kingdom: A Social Epidemiological Analysis</w:t>
            </w:r>
            <w:r>
              <w:rPr>
                <w:noProof/>
                <w:webHidden/>
              </w:rPr>
              <w:tab/>
            </w:r>
            <w:r>
              <w:rPr>
                <w:noProof/>
                <w:webHidden/>
              </w:rPr>
              <w:fldChar w:fldCharType="begin"/>
            </w:r>
            <w:r>
              <w:rPr>
                <w:noProof/>
                <w:webHidden/>
              </w:rPr>
              <w:instrText xml:space="preserve"> PAGEREF _Toc237612391 \h </w:instrText>
            </w:r>
            <w:r>
              <w:rPr>
                <w:noProof/>
                <w:webHidden/>
              </w:rPr>
            </w:r>
            <w:r>
              <w:rPr>
                <w:noProof/>
                <w:webHidden/>
              </w:rPr>
              <w:fldChar w:fldCharType="separate"/>
            </w:r>
            <w:r>
              <w:rPr>
                <w:noProof/>
                <w:webHidden/>
              </w:rPr>
              <w:t>2</w:t>
            </w:r>
            <w:r>
              <w:rPr>
                <w:noProof/>
                <w:webHidden/>
              </w:rPr>
              <w:fldChar w:fldCharType="end"/>
            </w:r>
          </w:hyperlink>
        </w:p>
        <w:p w14:paraId="5E43DA2E" w14:textId="38137CA8" w:rsidR="009301E0" w:rsidRDefault="009301E0">
          <w:pPr>
            <w:pStyle w:val="TOC3"/>
            <w:tabs>
              <w:tab w:val="right" w:leader="dot" w:pos="9016"/>
            </w:tabs>
            <w:rPr>
              <w:noProof/>
            </w:rPr>
          </w:pPr>
          <w:hyperlink w:anchor="_Toc237612392" w:history="1">
            <w:r w:rsidRPr="005E7CD2">
              <w:rPr>
                <w:rStyle w:val="Hyperlink"/>
                <w:noProof/>
              </w:rPr>
              <w:t>Introduction</w:t>
            </w:r>
            <w:r>
              <w:rPr>
                <w:noProof/>
                <w:webHidden/>
              </w:rPr>
              <w:tab/>
            </w:r>
            <w:r>
              <w:rPr>
                <w:noProof/>
                <w:webHidden/>
              </w:rPr>
              <w:fldChar w:fldCharType="begin"/>
            </w:r>
            <w:r>
              <w:rPr>
                <w:noProof/>
                <w:webHidden/>
              </w:rPr>
              <w:instrText xml:space="preserve"> PAGEREF _Toc237612392 \h </w:instrText>
            </w:r>
            <w:r>
              <w:rPr>
                <w:noProof/>
                <w:webHidden/>
              </w:rPr>
            </w:r>
            <w:r>
              <w:rPr>
                <w:noProof/>
                <w:webHidden/>
              </w:rPr>
              <w:fldChar w:fldCharType="separate"/>
            </w:r>
            <w:r>
              <w:rPr>
                <w:noProof/>
                <w:webHidden/>
              </w:rPr>
              <w:t>2</w:t>
            </w:r>
            <w:r>
              <w:rPr>
                <w:noProof/>
                <w:webHidden/>
              </w:rPr>
              <w:fldChar w:fldCharType="end"/>
            </w:r>
          </w:hyperlink>
        </w:p>
        <w:p w14:paraId="6C15FA37" w14:textId="0A3C4C61" w:rsidR="009301E0" w:rsidRDefault="009301E0">
          <w:pPr>
            <w:pStyle w:val="TOC3"/>
            <w:tabs>
              <w:tab w:val="right" w:leader="dot" w:pos="9016"/>
            </w:tabs>
            <w:rPr>
              <w:noProof/>
            </w:rPr>
          </w:pPr>
          <w:hyperlink w:anchor="_Toc237612393" w:history="1">
            <w:r w:rsidRPr="005E7CD2">
              <w:rPr>
                <w:rStyle w:val="Hyperlink"/>
                <w:noProof/>
              </w:rPr>
              <w:t>Higher Rates of Depression and Anxiety</w:t>
            </w:r>
            <w:r>
              <w:rPr>
                <w:noProof/>
                <w:webHidden/>
              </w:rPr>
              <w:tab/>
            </w:r>
            <w:r>
              <w:rPr>
                <w:noProof/>
                <w:webHidden/>
              </w:rPr>
              <w:fldChar w:fldCharType="begin"/>
            </w:r>
            <w:r>
              <w:rPr>
                <w:noProof/>
                <w:webHidden/>
              </w:rPr>
              <w:instrText xml:space="preserve"> PAGEREF _Toc237612393 \h </w:instrText>
            </w:r>
            <w:r>
              <w:rPr>
                <w:noProof/>
                <w:webHidden/>
              </w:rPr>
            </w:r>
            <w:r>
              <w:rPr>
                <w:noProof/>
                <w:webHidden/>
              </w:rPr>
              <w:fldChar w:fldCharType="separate"/>
            </w:r>
            <w:r>
              <w:rPr>
                <w:noProof/>
                <w:webHidden/>
              </w:rPr>
              <w:t>2</w:t>
            </w:r>
            <w:r>
              <w:rPr>
                <w:noProof/>
                <w:webHidden/>
              </w:rPr>
              <w:fldChar w:fldCharType="end"/>
            </w:r>
          </w:hyperlink>
        </w:p>
        <w:p w14:paraId="222CFDAD" w14:textId="3EC50909" w:rsidR="009301E0" w:rsidRDefault="009301E0">
          <w:pPr>
            <w:pStyle w:val="TOC3"/>
            <w:tabs>
              <w:tab w:val="right" w:leader="dot" w:pos="9016"/>
            </w:tabs>
            <w:rPr>
              <w:noProof/>
            </w:rPr>
          </w:pPr>
          <w:hyperlink w:anchor="_Toc237612394" w:history="1">
            <w:r w:rsidRPr="005E7CD2">
              <w:rPr>
                <w:rStyle w:val="Hyperlink"/>
                <w:noProof/>
              </w:rPr>
              <w:t>Higher Rates of Chronic Physical Illness</w:t>
            </w:r>
            <w:r>
              <w:rPr>
                <w:noProof/>
                <w:webHidden/>
              </w:rPr>
              <w:tab/>
            </w:r>
            <w:r>
              <w:rPr>
                <w:noProof/>
                <w:webHidden/>
              </w:rPr>
              <w:fldChar w:fldCharType="begin"/>
            </w:r>
            <w:r>
              <w:rPr>
                <w:noProof/>
                <w:webHidden/>
              </w:rPr>
              <w:instrText xml:space="preserve"> PAGEREF _Toc237612394 \h </w:instrText>
            </w:r>
            <w:r>
              <w:rPr>
                <w:noProof/>
                <w:webHidden/>
              </w:rPr>
            </w:r>
            <w:r>
              <w:rPr>
                <w:noProof/>
                <w:webHidden/>
              </w:rPr>
              <w:fldChar w:fldCharType="separate"/>
            </w:r>
            <w:r>
              <w:rPr>
                <w:noProof/>
                <w:webHidden/>
              </w:rPr>
              <w:t>3</w:t>
            </w:r>
            <w:r>
              <w:rPr>
                <w:noProof/>
                <w:webHidden/>
              </w:rPr>
              <w:fldChar w:fldCharType="end"/>
            </w:r>
          </w:hyperlink>
        </w:p>
        <w:p w14:paraId="330CACB1" w14:textId="0041B193" w:rsidR="009301E0" w:rsidRDefault="009301E0">
          <w:pPr>
            <w:pStyle w:val="TOC3"/>
            <w:tabs>
              <w:tab w:val="right" w:leader="dot" w:pos="9016"/>
            </w:tabs>
            <w:rPr>
              <w:noProof/>
            </w:rPr>
          </w:pPr>
          <w:hyperlink w:anchor="_Toc237612395" w:history="1">
            <w:r w:rsidRPr="005E7CD2">
              <w:rPr>
                <w:rStyle w:val="Hyperlink"/>
                <w:noProof/>
              </w:rPr>
              <w:t>Premature Mortality</w:t>
            </w:r>
            <w:r>
              <w:rPr>
                <w:noProof/>
                <w:webHidden/>
              </w:rPr>
              <w:tab/>
            </w:r>
            <w:r>
              <w:rPr>
                <w:noProof/>
                <w:webHidden/>
              </w:rPr>
              <w:fldChar w:fldCharType="begin"/>
            </w:r>
            <w:r>
              <w:rPr>
                <w:noProof/>
                <w:webHidden/>
              </w:rPr>
              <w:instrText xml:space="preserve"> PAGEREF _Toc237612395 \h </w:instrText>
            </w:r>
            <w:r>
              <w:rPr>
                <w:noProof/>
                <w:webHidden/>
              </w:rPr>
            </w:r>
            <w:r>
              <w:rPr>
                <w:noProof/>
                <w:webHidden/>
              </w:rPr>
              <w:fldChar w:fldCharType="separate"/>
            </w:r>
            <w:r>
              <w:rPr>
                <w:noProof/>
                <w:webHidden/>
              </w:rPr>
              <w:t>3</w:t>
            </w:r>
            <w:r>
              <w:rPr>
                <w:noProof/>
                <w:webHidden/>
              </w:rPr>
              <w:fldChar w:fldCharType="end"/>
            </w:r>
          </w:hyperlink>
        </w:p>
        <w:p w14:paraId="0849C9C9" w14:textId="60DCD215" w:rsidR="009301E0" w:rsidRDefault="009301E0">
          <w:pPr>
            <w:pStyle w:val="TOC3"/>
            <w:tabs>
              <w:tab w:val="right" w:leader="dot" w:pos="9016"/>
            </w:tabs>
            <w:rPr>
              <w:noProof/>
            </w:rPr>
          </w:pPr>
          <w:hyperlink w:anchor="_Toc237612396" w:history="1">
            <w:r w:rsidRPr="005E7CD2">
              <w:rPr>
                <w:rStyle w:val="Hyperlink"/>
                <w:noProof/>
              </w:rPr>
              <w:t>Social Isolation and Loneliness</w:t>
            </w:r>
            <w:r>
              <w:rPr>
                <w:noProof/>
                <w:webHidden/>
              </w:rPr>
              <w:tab/>
            </w:r>
            <w:r>
              <w:rPr>
                <w:noProof/>
                <w:webHidden/>
              </w:rPr>
              <w:fldChar w:fldCharType="begin"/>
            </w:r>
            <w:r>
              <w:rPr>
                <w:noProof/>
                <w:webHidden/>
              </w:rPr>
              <w:instrText xml:space="preserve"> PAGEREF _Toc237612396 \h </w:instrText>
            </w:r>
            <w:r>
              <w:rPr>
                <w:noProof/>
                <w:webHidden/>
              </w:rPr>
            </w:r>
            <w:r>
              <w:rPr>
                <w:noProof/>
                <w:webHidden/>
              </w:rPr>
              <w:fldChar w:fldCharType="separate"/>
            </w:r>
            <w:r>
              <w:rPr>
                <w:noProof/>
                <w:webHidden/>
              </w:rPr>
              <w:t>3</w:t>
            </w:r>
            <w:r>
              <w:rPr>
                <w:noProof/>
                <w:webHidden/>
              </w:rPr>
              <w:fldChar w:fldCharType="end"/>
            </w:r>
          </w:hyperlink>
        </w:p>
        <w:p w14:paraId="11CEE270" w14:textId="14ABB5D1" w:rsidR="009301E0" w:rsidRDefault="009301E0">
          <w:pPr>
            <w:pStyle w:val="TOC3"/>
            <w:tabs>
              <w:tab w:val="right" w:leader="dot" w:pos="9016"/>
            </w:tabs>
            <w:rPr>
              <w:noProof/>
            </w:rPr>
          </w:pPr>
          <w:hyperlink w:anchor="_Toc237612397" w:history="1">
            <w:r w:rsidRPr="005E7CD2">
              <w:rPr>
                <w:rStyle w:val="Hyperlink"/>
                <w:noProof/>
              </w:rPr>
              <w:t>Poverty and Unemployment</w:t>
            </w:r>
            <w:r>
              <w:rPr>
                <w:noProof/>
                <w:webHidden/>
              </w:rPr>
              <w:tab/>
            </w:r>
            <w:r>
              <w:rPr>
                <w:noProof/>
                <w:webHidden/>
              </w:rPr>
              <w:fldChar w:fldCharType="begin"/>
            </w:r>
            <w:r>
              <w:rPr>
                <w:noProof/>
                <w:webHidden/>
              </w:rPr>
              <w:instrText xml:space="preserve"> PAGEREF _Toc237612397 \h </w:instrText>
            </w:r>
            <w:r>
              <w:rPr>
                <w:noProof/>
                <w:webHidden/>
              </w:rPr>
            </w:r>
            <w:r>
              <w:rPr>
                <w:noProof/>
                <w:webHidden/>
              </w:rPr>
              <w:fldChar w:fldCharType="separate"/>
            </w:r>
            <w:r>
              <w:rPr>
                <w:noProof/>
                <w:webHidden/>
              </w:rPr>
              <w:t>3</w:t>
            </w:r>
            <w:r>
              <w:rPr>
                <w:noProof/>
                <w:webHidden/>
              </w:rPr>
              <w:fldChar w:fldCharType="end"/>
            </w:r>
          </w:hyperlink>
        </w:p>
        <w:p w14:paraId="48D1A1ED" w14:textId="0F55578E" w:rsidR="009301E0" w:rsidRDefault="009301E0">
          <w:pPr>
            <w:pStyle w:val="TOC3"/>
            <w:tabs>
              <w:tab w:val="right" w:leader="dot" w:pos="9016"/>
            </w:tabs>
            <w:rPr>
              <w:noProof/>
            </w:rPr>
          </w:pPr>
          <w:hyperlink w:anchor="_Toc237612398" w:history="1">
            <w:r w:rsidRPr="005E7CD2">
              <w:rPr>
                <w:rStyle w:val="Hyperlink"/>
                <w:noProof/>
              </w:rPr>
              <w:t>Housing and Accessibility Issues</w:t>
            </w:r>
            <w:r>
              <w:rPr>
                <w:noProof/>
                <w:webHidden/>
              </w:rPr>
              <w:tab/>
            </w:r>
            <w:r>
              <w:rPr>
                <w:noProof/>
                <w:webHidden/>
              </w:rPr>
              <w:fldChar w:fldCharType="begin"/>
            </w:r>
            <w:r>
              <w:rPr>
                <w:noProof/>
                <w:webHidden/>
              </w:rPr>
              <w:instrText xml:space="preserve"> PAGEREF _Toc237612398 \h </w:instrText>
            </w:r>
            <w:r>
              <w:rPr>
                <w:noProof/>
                <w:webHidden/>
              </w:rPr>
            </w:r>
            <w:r>
              <w:rPr>
                <w:noProof/>
                <w:webHidden/>
              </w:rPr>
              <w:fldChar w:fldCharType="separate"/>
            </w:r>
            <w:r>
              <w:rPr>
                <w:noProof/>
                <w:webHidden/>
              </w:rPr>
              <w:t>4</w:t>
            </w:r>
            <w:r>
              <w:rPr>
                <w:noProof/>
                <w:webHidden/>
              </w:rPr>
              <w:fldChar w:fldCharType="end"/>
            </w:r>
          </w:hyperlink>
        </w:p>
        <w:p w14:paraId="2D3DE6A1" w14:textId="78699883" w:rsidR="009301E0" w:rsidRDefault="009301E0">
          <w:pPr>
            <w:pStyle w:val="TOC3"/>
            <w:tabs>
              <w:tab w:val="right" w:leader="dot" w:pos="9016"/>
            </w:tabs>
            <w:rPr>
              <w:noProof/>
            </w:rPr>
          </w:pPr>
          <w:hyperlink w:anchor="_Toc237612399" w:history="1">
            <w:r w:rsidRPr="005E7CD2">
              <w:rPr>
                <w:rStyle w:val="Hyperlink"/>
                <w:noProof/>
              </w:rPr>
              <w:t>National Responses to Reduce Health Inequalities</w:t>
            </w:r>
            <w:r>
              <w:rPr>
                <w:noProof/>
                <w:webHidden/>
              </w:rPr>
              <w:tab/>
            </w:r>
            <w:r>
              <w:rPr>
                <w:noProof/>
                <w:webHidden/>
              </w:rPr>
              <w:fldChar w:fldCharType="begin"/>
            </w:r>
            <w:r>
              <w:rPr>
                <w:noProof/>
                <w:webHidden/>
              </w:rPr>
              <w:instrText xml:space="preserve"> PAGEREF _Toc237612399 \h </w:instrText>
            </w:r>
            <w:r>
              <w:rPr>
                <w:noProof/>
                <w:webHidden/>
              </w:rPr>
            </w:r>
            <w:r>
              <w:rPr>
                <w:noProof/>
                <w:webHidden/>
              </w:rPr>
              <w:fldChar w:fldCharType="separate"/>
            </w:r>
            <w:r>
              <w:rPr>
                <w:noProof/>
                <w:webHidden/>
              </w:rPr>
              <w:t>4</w:t>
            </w:r>
            <w:r>
              <w:rPr>
                <w:noProof/>
                <w:webHidden/>
              </w:rPr>
              <w:fldChar w:fldCharType="end"/>
            </w:r>
          </w:hyperlink>
        </w:p>
        <w:p w14:paraId="3AC566AF" w14:textId="359ED769" w:rsidR="009301E0" w:rsidRDefault="009301E0">
          <w:pPr>
            <w:pStyle w:val="TOC3"/>
            <w:tabs>
              <w:tab w:val="right" w:leader="dot" w:pos="9016"/>
            </w:tabs>
            <w:rPr>
              <w:noProof/>
            </w:rPr>
          </w:pPr>
          <w:hyperlink w:anchor="_Toc237612400" w:history="1">
            <w:r w:rsidRPr="005E7CD2">
              <w:rPr>
                <w:rStyle w:val="Hyperlink"/>
                <w:noProof/>
              </w:rPr>
              <w:t>Organisation Supporting the Chosen Group: Scope</w:t>
            </w:r>
            <w:r>
              <w:rPr>
                <w:noProof/>
                <w:webHidden/>
              </w:rPr>
              <w:tab/>
            </w:r>
            <w:r>
              <w:rPr>
                <w:noProof/>
                <w:webHidden/>
              </w:rPr>
              <w:fldChar w:fldCharType="begin"/>
            </w:r>
            <w:r>
              <w:rPr>
                <w:noProof/>
                <w:webHidden/>
              </w:rPr>
              <w:instrText xml:space="preserve"> PAGEREF _Toc237612400 \h </w:instrText>
            </w:r>
            <w:r>
              <w:rPr>
                <w:noProof/>
                <w:webHidden/>
              </w:rPr>
            </w:r>
            <w:r>
              <w:rPr>
                <w:noProof/>
                <w:webHidden/>
              </w:rPr>
              <w:fldChar w:fldCharType="separate"/>
            </w:r>
            <w:r>
              <w:rPr>
                <w:noProof/>
                <w:webHidden/>
              </w:rPr>
              <w:t>4</w:t>
            </w:r>
            <w:r>
              <w:rPr>
                <w:noProof/>
                <w:webHidden/>
              </w:rPr>
              <w:fldChar w:fldCharType="end"/>
            </w:r>
          </w:hyperlink>
        </w:p>
        <w:p w14:paraId="42012A41" w14:textId="75D796BF" w:rsidR="009301E0" w:rsidRDefault="009301E0">
          <w:pPr>
            <w:pStyle w:val="TOC3"/>
            <w:tabs>
              <w:tab w:val="right" w:leader="dot" w:pos="9016"/>
            </w:tabs>
            <w:rPr>
              <w:noProof/>
            </w:rPr>
          </w:pPr>
          <w:hyperlink w:anchor="_Toc237612401" w:history="1">
            <w:r w:rsidRPr="005E7CD2">
              <w:rPr>
                <w:rStyle w:val="Hyperlink"/>
                <w:noProof/>
              </w:rPr>
              <w:t>Conclusion</w:t>
            </w:r>
            <w:r>
              <w:rPr>
                <w:noProof/>
                <w:webHidden/>
              </w:rPr>
              <w:tab/>
            </w:r>
            <w:r>
              <w:rPr>
                <w:noProof/>
                <w:webHidden/>
              </w:rPr>
              <w:fldChar w:fldCharType="begin"/>
            </w:r>
            <w:r>
              <w:rPr>
                <w:noProof/>
                <w:webHidden/>
              </w:rPr>
              <w:instrText xml:space="preserve"> PAGEREF _Toc237612401 \h </w:instrText>
            </w:r>
            <w:r>
              <w:rPr>
                <w:noProof/>
                <w:webHidden/>
              </w:rPr>
            </w:r>
            <w:r>
              <w:rPr>
                <w:noProof/>
                <w:webHidden/>
              </w:rPr>
              <w:fldChar w:fldCharType="separate"/>
            </w:r>
            <w:r>
              <w:rPr>
                <w:noProof/>
                <w:webHidden/>
              </w:rPr>
              <w:t>4</w:t>
            </w:r>
            <w:r>
              <w:rPr>
                <w:noProof/>
                <w:webHidden/>
              </w:rPr>
              <w:fldChar w:fldCharType="end"/>
            </w:r>
          </w:hyperlink>
        </w:p>
        <w:p w14:paraId="41BEE1EB" w14:textId="419F9303" w:rsidR="009301E0" w:rsidRDefault="009301E0">
          <w:pPr>
            <w:pStyle w:val="TOC1"/>
            <w:tabs>
              <w:tab w:val="right" w:leader="dot" w:pos="9016"/>
            </w:tabs>
            <w:rPr>
              <w:noProof/>
            </w:rPr>
          </w:pPr>
          <w:hyperlink w:anchor="_Toc237612402" w:history="1">
            <w:r w:rsidRPr="005E7CD2">
              <w:rPr>
                <w:rStyle w:val="Hyperlink"/>
                <w:noProof/>
              </w:rPr>
              <w:t>Task 2: Epidemiological Analysis</w:t>
            </w:r>
            <w:r>
              <w:rPr>
                <w:noProof/>
                <w:webHidden/>
              </w:rPr>
              <w:tab/>
            </w:r>
            <w:r>
              <w:rPr>
                <w:noProof/>
                <w:webHidden/>
              </w:rPr>
              <w:fldChar w:fldCharType="begin"/>
            </w:r>
            <w:r>
              <w:rPr>
                <w:noProof/>
                <w:webHidden/>
              </w:rPr>
              <w:instrText xml:space="preserve"> PAGEREF _Toc237612402 \h </w:instrText>
            </w:r>
            <w:r>
              <w:rPr>
                <w:noProof/>
                <w:webHidden/>
              </w:rPr>
            </w:r>
            <w:r>
              <w:rPr>
                <w:noProof/>
                <w:webHidden/>
              </w:rPr>
              <w:fldChar w:fldCharType="separate"/>
            </w:r>
            <w:r>
              <w:rPr>
                <w:noProof/>
                <w:webHidden/>
              </w:rPr>
              <w:t>5</w:t>
            </w:r>
            <w:r>
              <w:rPr>
                <w:noProof/>
                <w:webHidden/>
              </w:rPr>
              <w:fldChar w:fldCharType="end"/>
            </w:r>
          </w:hyperlink>
        </w:p>
        <w:p w14:paraId="52EDDA33" w14:textId="6C0198EA" w:rsidR="009301E0" w:rsidRDefault="009301E0">
          <w:pPr>
            <w:pStyle w:val="TOC2"/>
            <w:tabs>
              <w:tab w:val="right" w:leader="dot" w:pos="9016"/>
            </w:tabs>
            <w:rPr>
              <w:noProof/>
            </w:rPr>
          </w:pPr>
          <w:hyperlink w:anchor="_Toc237612403" w:history="1">
            <w:r w:rsidRPr="005E7CD2">
              <w:rPr>
                <w:rStyle w:val="Hyperlink"/>
                <w:noProof/>
              </w:rPr>
              <w:t>Dementia in Wandsworth: Epidemiological Identification, Assessment and Management of a Major Public Health Problem</w:t>
            </w:r>
            <w:r>
              <w:rPr>
                <w:noProof/>
                <w:webHidden/>
              </w:rPr>
              <w:tab/>
            </w:r>
            <w:r>
              <w:rPr>
                <w:noProof/>
                <w:webHidden/>
              </w:rPr>
              <w:fldChar w:fldCharType="begin"/>
            </w:r>
            <w:r>
              <w:rPr>
                <w:noProof/>
                <w:webHidden/>
              </w:rPr>
              <w:instrText xml:space="preserve"> PAGEREF _Toc237612403 \h </w:instrText>
            </w:r>
            <w:r>
              <w:rPr>
                <w:noProof/>
                <w:webHidden/>
              </w:rPr>
            </w:r>
            <w:r>
              <w:rPr>
                <w:noProof/>
                <w:webHidden/>
              </w:rPr>
              <w:fldChar w:fldCharType="separate"/>
            </w:r>
            <w:r>
              <w:rPr>
                <w:noProof/>
                <w:webHidden/>
              </w:rPr>
              <w:t>5</w:t>
            </w:r>
            <w:r>
              <w:rPr>
                <w:noProof/>
                <w:webHidden/>
              </w:rPr>
              <w:fldChar w:fldCharType="end"/>
            </w:r>
          </w:hyperlink>
        </w:p>
        <w:p w14:paraId="09D8AA9A" w14:textId="7DAC6F44" w:rsidR="009301E0" w:rsidRDefault="009301E0">
          <w:pPr>
            <w:pStyle w:val="TOC3"/>
            <w:tabs>
              <w:tab w:val="right" w:leader="dot" w:pos="9016"/>
            </w:tabs>
            <w:rPr>
              <w:noProof/>
            </w:rPr>
          </w:pPr>
          <w:hyperlink w:anchor="_Toc237612404" w:history="1">
            <w:r w:rsidRPr="005E7CD2">
              <w:rPr>
                <w:rStyle w:val="Hyperlink"/>
                <w:noProof/>
              </w:rPr>
              <w:t>Introduction</w:t>
            </w:r>
            <w:r>
              <w:rPr>
                <w:noProof/>
                <w:webHidden/>
              </w:rPr>
              <w:tab/>
            </w:r>
            <w:r>
              <w:rPr>
                <w:noProof/>
                <w:webHidden/>
              </w:rPr>
              <w:fldChar w:fldCharType="begin"/>
            </w:r>
            <w:r>
              <w:rPr>
                <w:noProof/>
                <w:webHidden/>
              </w:rPr>
              <w:instrText xml:space="preserve"> PAGEREF _Toc237612404 \h </w:instrText>
            </w:r>
            <w:r>
              <w:rPr>
                <w:noProof/>
                <w:webHidden/>
              </w:rPr>
            </w:r>
            <w:r>
              <w:rPr>
                <w:noProof/>
                <w:webHidden/>
              </w:rPr>
              <w:fldChar w:fldCharType="separate"/>
            </w:r>
            <w:r>
              <w:rPr>
                <w:noProof/>
                <w:webHidden/>
              </w:rPr>
              <w:t>5</w:t>
            </w:r>
            <w:r>
              <w:rPr>
                <w:noProof/>
                <w:webHidden/>
              </w:rPr>
              <w:fldChar w:fldCharType="end"/>
            </w:r>
          </w:hyperlink>
        </w:p>
        <w:p w14:paraId="581581C7" w14:textId="2B82F61A" w:rsidR="009301E0" w:rsidRDefault="009301E0">
          <w:pPr>
            <w:pStyle w:val="TOC3"/>
            <w:tabs>
              <w:tab w:val="right" w:leader="dot" w:pos="9016"/>
            </w:tabs>
            <w:rPr>
              <w:noProof/>
            </w:rPr>
          </w:pPr>
          <w:hyperlink w:anchor="_Toc237612405" w:history="1">
            <w:r w:rsidRPr="005E7CD2">
              <w:rPr>
                <w:rStyle w:val="Hyperlink"/>
                <w:noProof/>
              </w:rPr>
              <w:t>Determinants and Risk Factors</w:t>
            </w:r>
            <w:r>
              <w:rPr>
                <w:noProof/>
                <w:webHidden/>
              </w:rPr>
              <w:tab/>
            </w:r>
            <w:r>
              <w:rPr>
                <w:noProof/>
                <w:webHidden/>
              </w:rPr>
              <w:fldChar w:fldCharType="begin"/>
            </w:r>
            <w:r>
              <w:rPr>
                <w:noProof/>
                <w:webHidden/>
              </w:rPr>
              <w:instrText xml:space="preserve"> PAGEREF _Toc237612405 \h </w:instrText>
            </w:r>
            <w:r>
              <w:rPr>
                <w:noProof/>
                <w:webHidden/>
              </w:rPr>
            </w:r>
            <w:r>
              <w:rPr>
                <w:noProof/>
                <w:webHidden/>
              </w:rPr>
              <w:fldChar w:fldCharType="separate"/>
            </w:r>
            <w:r>
              <w:rPr>
                <w:noProof/>
                <w:webHidden/>
              </w:rPr>
              <w:t>5</w:t>
            </w:r>
            <w:r>
              <w:rPr>
                <w:noProof/>
                <w:webHidden/>
              </w:rPr>
              <w:fldChar w:fldCharType="end"/>
            </w:r>
          </w:hyperlink>
        </w:p>
        <w:p w14:paraId="4C209319" w14:textId="4C8B92A3" w:rsidR="009301E0" w:rsidRDefault="009301E0">
          <w:pPr>
            <w:pStyle w:val="TOC3"/>
            <w:tabs>
              <w:tab w:val="right" w:leader="dot" w:pos="9016"/>
            </w:tabs>
            <w:rPr>
              <w:noProof/>
            </w:rPr>
          </w:pPr>
          <w:hyperlink w:anchor="_Toc237612406" w:history="1">
            <w:r w:rsidRPr="005E7CD2">
              <w:rPr>
                <w:rStyle w:val="Hyperlink"/>
                <w:noProof/>
              </w:rPr>
              <w:t>Health Needs Assessment and Identification of Those at Risk</w:t>
            </w:r>
            <w:r>
              <w:rPr>
                <w:noProof/>
                <w:webHidden/>
              </w:rPr>
              <w:tab/>
            </w:r>
            <w:r>
              <w:rPr>
                <w:noProof/>
                <w:webHidden/>
              </w:rPr>
              <w:fldChar w:fldCharType="begin"/>
            </w:r>
            <w:r>
              <w:rPr>
                <w:noProof/>
                <w:webHidden/>
              </w:rPr>
              <w:instrText xml:space="preserve"> PAGEREF _Toc237612406 \h </w:instrText>
            </w:r>
            <w:r>
              <w:rPr>
                <w:noProof/>
                <w:webHidden/>
              </w:rPr>
            </w:r>
            <w:r>
              <w:rPr>
                <w:noProof/>
                <w:webHidden/>
              </w:rPr>
              <w:fldChar w:fldCharType="separate"/>
            </w:r>
            <w:r>
              <w:rPr>
                <w:noProof/>
                <w:webHidden/>
              </w:rPr>
              <w:t>6</w:t>
            </w:r>
            <w:r>
              <w:rPr>
                <w:noProof/>
                <w:webHidden/>
              </w:rPr>
              <w:fldChar w:fldCharType="end"/>
            </w:r>
          </w:hyperlink>
        </w:p>
        <w:p w14:paraId="18B7FDD3" w14:textId="1116482F" w:rsidR="009301E0" w:rsidRDefault="009301E0">
          <w:pPr>
            <w:pStyle w:val="TOC3"/>
            <w:tabs>
              <w:tab w:val="right" w:leader="dot" w:pos="9016"/>
            </w:tabs>
            <w:rPr>
              <w:noProof/>
            </w:rPr>
          </w:pPr>
          <w:hyperlink w:anchor="_Toc237612407" w:history="1">
            <w:r w:rsidRPr="005E7CD2">
              <w:rPr>
                <w:rStyle w:val="Hyperlink"/>
                <w:noProof/>
              </w:rPr>
              <w:t>Epidemiological Studies and Their Use</w:t>
            </w:r>
            <w:r>
              <w:rPr>
                <w:noProof/>
                <w:webHidden/>
              </w:rPr>
              <w:tab/>
            </w:r>
            <w:r>
              <w:rPr>
                <w:noProof/>
                <w:webHidden/>
              </w:rPr>
              <w:fldChar w:fldCharType="begin"/>
            </w:r>
            <w:r>
              <w:rPr>
                <w:noProof/>
                <w:webHidden/>
              </w:rPr>
              <w:instrText xml:space="preserve"> PAGEREF _Toc237612407 \h </w:instrText>
            </w:r>
            <w:r>
              <w:rPr>
                <w:noProof/>
                <w:webHidden/>
              </w:rPr>
            </w:r>
            <w:r>
              <w:rPr>
                <w:noProof/>
                <w:webHidden/>
              </w:rPr>
              <w:fldChar w:fldCharType="separate"/>
            </w:r>
            <w:r>
              <w:rPr>
                <w:noProof/>
                <w:webHidden/>
              </w:rPr>
              <w:t>6</w:t>
            </w:r>
            <w:r>
              <w:rPr>
                <w:noProof/>
                <w:webHidden/>
              </w:rPr>
              <w:fldChar w:fldCharType="end"/>
            </w:r>
          </w:hyperlink>
        </w:p>
        <w:p w14:paraId="65915606" w14:textId="78C8F71E" w:rsidR="009301E0" w:rsidRDefault="009301E0">
          <w:pPr>
            <w:pStyle w:val="TOC3"/>
            <w:tabs>
              <w:tab w:val="right" w:leader="dot" w:pos="9016"/>
            </w:tabs>
            <w:rPr>
              <w:noProof/>
            </w:rPr>
          </w:pPr>
          <w:hyperlink w:anchor="_Toc237612408" w:history="1">
            <w:r w:rsidRPr="005E7CD2">
              <w:rPr>
                <w:rStyle w:val="Hyperlink"/>
                <w:noProof/>
              </w:rPr>
              <w:t>Public Health Measures Using the 3 Ps</w:t>
            </w:r>
            <w:r>
              <w:rPr>
                <w:noProof/>
                <w:webHidden/>
              </w:rPr>
              <w:tab/>
            </w:r>
            <w:r>
              <w:rPr>
                <w:noProof/>
                <w:webHidden/>
              </w:rPr>
              <w:fldChar w:fldCharType="begin"/>
            </w:r>
            <w:r>
              <w:rPr>
                <w:noProof/>
                <w:webHidden/>
              </w:rPr>
              <w:instrText xml:space="preserve"> PAGEREF _Toc237612408 \h </w:instrText>
            </w:r>
            <w:r>
              <w:rPr>
                <w:noProof/>
                <w:webHidden/>
              </w:rPr>
            </w:r>
            <w:r>
              <w:rPr>
                <w:noProof/>
                <w:webHidden/>
              </w:rPr>
              <w:fldChar w:fldCharType="separate"/>
            </w:r>
            <w:r>
              <w:rPr>
                <w:noProof/>
                <w:webHidden/>
              </w:rPr>
              <w:t>6</w:t>
            </w:r>
            <w:r>
              <w:rPr>
                <w:noProof/>
                <w:webHidden/>
              </w:rPr>
              <w:fldChar w:fldCharType="end"/>
            </w:r>
          </w:hyperlink>
        </w:p>
        <w:p w14:paraId="139E243C" w14:textId="081715DA" w:rsidR="009301E0" w:rsidRDefault="009301E0">
          <w:pPr>
            <w:pStyle w:val="TOC3"/>
            <w:tabs>
              <w:tab w:val="right" w:leader="dot" w:pos="9016"/>
            </w:tabs>
            <w:rPr>
              <w:noProof/>
            </w:rPr>
          </w:pPr>
          <w:hyperlink w:anchor="_Toc237612409" w:history="1">
            <w:r w:rsidRPr="005E7CD2">
              <w:rPr>
                <w:rStyle w:val="Hyperlink"/>
                <w:noProof/>
              </w:rPr>
              <w:t>Monitoring and Surveillance</w:t>
            </w:r>
            <w:r>
              <w:rPr>
                <w:noProof/>
                <w:webHidden/>
              </w:rPr>
              <w:tab/>
            </w:r>
            <w:r>
              <w:rPr>
                <w:noProof/>
                <w:webHidden/>
              </w:rPr>
              <w:fldChar w:fldCharType="begin"/>
            </w:r>
            <w:r>
              <w:rPr>
                <w:noProof/>
                <w:webHidden/>
              </w:rPr>
              <w:instrText xml:space="preserve"> PAGEREF _Toc237612409 \h </w:instrText>
            </w:r>
            <w:r>
              <w:rPr>
                <w:noProof/>
                <w:webHidden/>
              </w:rPr>
            </w:r>
            <w:r>
              <w:rPr>
                <w:noProof/>
                <w:webHidden/>
              </w:rPr>
              <w:fldChar w:fldCharType="separate"/>
            </w:r>
            <w:r>
              <w:rPr>
                <w:noProof/>
                <w:webHidden/>
              </w:rPr>
              <w:t>7</w:t>
            </w:r>
            <w:r>
              <w:rPr>
                <w:noProof/>
                <w:webHidden/>
              </w:rPr>
              <w:fldChar w:fldCharType="end"/>
            </w:r>
          </w:hyperlink>
        </w:p>
        <w:p w14:paraId="34E0D588" w14:textId="461C5C52" w:rsidR="009301E0" w:rsidRDefault="009301E0">
          <w:pPr>
            <w:pStyle w:val="TOC3"/>
            <w:tabs>
              <w:tab w:val="right" w:leader="dot" w:pos="9016"/>
            </w:tabs>
            <w:rPr>
              <w:noProof/>
            </w:rPr>
          </w:pPr>
          <w:hyperlink w:anchor="_Toc237612410" w:history="1">
            <w:r w:rsidRPr="005E7CD2">
              <w:rPr>
                <w:rStyle w:val="Hyperlink"/>
                <w:noProof/>
              </w:rPr>
              <w:t>Public Health Impact and Consequences</w:t>
            </w:r>
            <w:r>
              <w:rPr>
                <w:noProof/>
                <w:webHidden/>
              </w:rPr>
              <w:tab/>
            </w:r>
            <w:r>
              <w:rPr>
                <w:noProof/>
                <w:webHidden/>
              </w:rPr>
              <w:fldChar w:fldCharType="begin"/>
            </w:r>
            <w:r>
              <w:rPr>
                <w:noProof/>
                <w:webHidden/>
              </w:rPr>
              <w:instrText xml:space="preserve"> PAGEREF _Toc237612410 \h </w:instrText>
            </w:r>
            <w:r>
              <w:rPr>
                <w:noProof/>
                <w:webHidden/>
              </w:rPr>
            </w:r>
            <w:r>
              <w:rPr>
                <w:noProof/>
                <w:webHidden/>
              </w:rPr>
              <w:fldChar w:fldCharType="separate"/>
            </w:r>
            <w:r>
              <w:rPr>
                <w:noProof/>
                <w:webHidden/>
              </w:rPr>
              <w:t>7</w:t>
            </w:r>
            <w:r>
              <w:rPr>
                <w:noProof/>
                <w:webHidden/>
              </w:rPr>
              <w:fldChar w:fldCharType="end"/>
            </w:r>
          </w:hyperlink>
        </w:p>
        <w:p w14:paraId="306CA40A" w14:textId="4E69A801" w:rsidR="009301E0" w:rsidRDefault="009301E0">
          <w:pPr>
            <w:pStyle w:val="TOC3"/>
            <w:tabs>
              <w:tab w:val="right" w:leader="dot" w:pos="9016"/>
            </w:tabs>
            <w:rPr>
              <w:noProof/>
            </w:rPr>
          </w:pPr>
          <w:hyperlink w:anchor="_Toc237612411" w:history="1">
            <w:r w:rsidRPr="005E7CD2">
              <w:rPr>
                <w:rStyle w:val="Hyperlink"/>
                <w:noProof/>
              </w:rPr>
              <w:t>Proposed Health Intervention Programme</w:t>
            </w:r>
            <w:r>
              <w:rPr>
                <w:noProof/>
                <w:webHidden/>
              </w:rPr>
              <w:tab/>
            </w:r>
            <w:r>
              <w:rPr>
                <w:noProof/>
                <w:webHidden/>
              </w:rPr>
              <w:fldChar w:fldCharType="begin"/>
            </w:r>
            <w:r>
              <w:rPr>
                <w:noProof/>
                <w:webHidden/>
              </w:rPr>
              <w:instrText xml:space="preserve"> PAGEREF _Toc237612411 \h </w:instrText>
            </w:r>
            <w:r>
              <w:rPr>
                <w:noProof/>
                <w:webHidden/>
              </w:rPr>
            </w:r>
            <w:r>
              <w:rPr>
                <w:noProof/>
                <w:webHidden/>
              </w:rPr>
              <w:fldChar w:fldCharType="separate"/>
            </w:r>
            <w:r>
              <w:rPr>
                <w:noProof/>
                <w:webHidden/>
              </w:rPr>
              <w:t>8</w:t>
            </w:r>
            <w:r>
              <w:rPr>
                <w:noProof/>
                <w:webHidden/>
              </w:rPr>
              <w:fldChar w:fldCharType="end"/>
            </w:r>
          </w:hyperlink>
        </w:p>
        <w:p w14:paraId="52DDE11C" w14:textId="48CFED49" w:rsidR="009301E0" w:rsidRDefault="009301E0">
          <w:pPr>
            <w:pStyle w:val="TOC3"/>
            <w:tabs>
              <w:tab w:val="right" w:leader="dot" w:pos="9016"/>
            </w:tabs>
            <w:rPr>
              <w:noProof/>
            </w:rPr>
          </w:pPr>
          <w:hyperlink w:anchor="_Toc237612412" w:history="1">
            <w:r w:rsidRPr="005E7CD2">
              <w:rPr>
                <w:rStyle w:val="Hyperlink"/>
                <w:noProof/>
              </w:rPr>
              <w:t>Evaluation of the Intervention</w:t>
            </w:r>
            <w:r>
              <w:rPr>
                <w:noProof/>
                <w:webHidden/>
              </w:rPr>
              <w:tab/>
            </w:r>
            <w:r>
              <w:rPr>
                <w:noProof/>
                <w:webHidden/>
              </w:rPr>
              <w:fldChar w:fldCharType="begin"/>
            </w:r>
            <w:r>
              <w:rPr>
                <w:noProof/>
                <w:webHidden/>
              </w:rPr>
              <w:instrText xml:space="preserve"> PAGEREF _Toc237612412 \h </w:instrText>
            </w:r>
            <w:r>
              <w:rPr>
                <w:noProof/>
                <w:webHidden/>
              </w:rPr>
            </w:r>
            <w:r>
              <w:rPr>
                <w:noProof/>
                <w:webHidden/>
              </w:rPr>
              <w:fldChar w:fldCharType="separate"/>
            </w:r>
            <w:r>
              <w:rPr>
                <w:noProof/>
                <w:webHidden/>
              </w:rPr>
              <w:t>8</w:t>
            </w:r>
            <w:r>
              <w:rPr>
                <w:noProof/>
                <w:webHidden/>
              </w:rPr>
              <w:fldChar w:fldCharType="end"/>
            </w:r>
          </w:hyperlink>
        </w:p>
        <w:p w14:paraId="2511C1F8" w14:textId="78F5691C" w:rsidR="009301E0" w:rsidRDefault="009301E0">
          <w:pPr>
            <w:pStyle w:val="TOC3"/>
            <w:tabs>
              <w:tab w:val="right" w:leader="dot" w:pos="9016"/>
            </w:tabs>
            <w:rPr>
              <w:noProof/>
            </w:rPr>
          </w:pPr>
          <w:hyperlink w:anchor="_Toc237612413" w:history="1">
            <w:r w:rsidRPr="005E7CD2">
              <w:rPr>
                <w:rStyle w:val="Hyperlink"/>
                <w:noProof/>
              </w:rPr>
              <w:t>Strengths and Weaknesses of the Epidemiological Approach</w:t>
            </w:r>
            <w:r>
              <w:rPr>
                <w:noProof/>
                <w:webHidden/>
              </w:rPr>
              <w:tab/>
            </w:r>
            <w:r>
              <w:rPr>
                <w:noProof/>
                <w:webHidden/>
              </w:rPr>
              <w:fldChar w:fldCharType="begin"/>
            </w:r>
            <w:r>
              <w:rPr>
                <w:noProof/>
                <w:webHidden/>
              </w:rPr>
              <w:instrText xml:space="preserve"> PAGEREF _Toc237612413 \h </w:instrText>
            </w:r>
            <w:r>
              <w:rPr>
                <w:noProof/>
                <w:webHidden/>
              </w:rPr>
            </w:r>
            <w:r>
              <w:rPr>
                <w:noProof/>
                <w:webHidden/>
              </w:rPr>
              <w:fldChar w:fldCharType="separate"/>
            </w:r>
            <w:r>
              <w:rPr>
                <w:noProof/>
                <w:webHidden/>
              </w:rPr>
              <w:t>8</w:t>
            </w:r>
            <w:r>
              <w:rPr>
                <w:noProof/>
                <w:webHidden/>
              </w:rPr>
              <w:fldChar w:fldCharType="end"/>
            </w:r>
          </w:hyperlink>
        </w:p>
        <w:p w14:paraId="354B15EB" w14:textId="7C9BC860" w:rsidR="009301E0" w:rsidRDefault="009301E0">
          <w:pPr>
            <w:pStyle w:val="TOC3"/>
            <w:tabs>
              <w:tab w:val="right" w:leader="dot" w:pos="9016"/>
            </w:tabs>
            <w:rPr>
              <w:noProof/>
            </w:rPr>
          </w:pPr>
          <w:hyperlink w:anchor="_Toc237612414" w:history="1">
            <w:r w:rsidRPr="005E7CD2">
              <w:rPr>
                <w:rStyle w:val="Hyperlink"/>
                <w:noProof/>
              </w:rPr>
              <w:t>Conclusion</w:t>
            </w:r>
            <w:r>
              <w:rPr>
                <w:noProof/>
                <w:webHidden/>
              </w:rPr>
              <w:tab/>
            </w:r>
            <w:r>
              <w:rPr>
                <w:noProof/>
                <w:webHidden/>
              </w:rPr>
              <w:fldChar w:fldCharType="begin"/>
            </w:r>
            <w:r>
              <w:rPr>
                <w:noProof/>
                <w:webHidden/>
              </w:rPr>
              <w:instrText xml:space="preserve"> PAGEREF _Toc237612414 \h </w:instrText>
            </w:r>
            <w:r>
              <w:rPr>
                <w:noProof/>
                <w:webHidden/>
              </w:rPr>
            </w:r>
            <w:r>
              <w:rPr>
                <w:noProof/>
                <w:webHidden/>
              </w:rPr>
              <w:fldChar w:fldCharType="separate"/>
            </w:r>
            <w:r>
              <w:rPr>
                <w:noProof/>
                <w:webHidden/>
              </w:rPr>
              <w:t>9</w:t>
            </w:r>
            <w:r>
              <w:rPr>
                <w:noProof/>
                <w:webHidden/>
              </w:rPr>
              <w:fldChar w:fldCharType="end"/>
            </w:r>
          </w:hyperlink>
        </w:p>
        <w:p w14:paraId="1C94B582" w14:textId="1692C5AB" w:rsidR="009301E0" w:rsidRDefault="009301E0">
          <w:pPr>
            <w:pStyle w:val="TOC1"/>
            <w:tabs>
              <w:tab w:val="right" w:leader="dot" w:pos="9016"/>
            </w:tabs>
            <w:rPr>
              <w:noProof/>
            </w:rPr>
          </w:pPr>
          <w:hyperlink w:anchor="_Toc237612415" w:history="1">
            <w:r w:rsidRPr="005E7CD2">
              <w:rPr>
                <w:rStyle w:val="Hyperlink"/>
                <w:noProof/>
              </w:rPr>
              <w:t>References</w:t>
            </w:r>
            <w:r>
              <w:rPr>
                <w:noProof/>
                <w:webHidden/>
              </w:rPr>
              <w:tab/>
            </w:r>
            <w:r>
              <w:rPr>
                <w:noProof/>
                <w:webHidden/>
              </w:rPr>
              <w:fldChar w:fldCharType="begin"/>
            </w:r>
            <w:r>
              <w:rPr>
                <w:noProof/>
                <w:webHidden/>
              </w:rPr>
              <w:instrText xml:space="preserve"> PAGEREF _Toc237612415 \h </w:instrText>
            </w:r>
            <w:r>
              <w:rPr>
                <w:noProof/>
                <w:webHidden/>
              </w:rPr>
            </w:r>
            <w:r>
              <w:rPr>
                <w:noProof/>
                <w:webHidden/>
              </w:rPr>
              <w:fldChar w:fldCharType="separate"/>
            </w:r>
            <w:r>
              <w:rPr>
                <w:noProof/>
                <w:webHidden/>
              </w:rPr>
              <w:t>10</w:t>
            </w:r>
            <w:r>
              <w:rPr>
                <w:noProof/>
                <w:webHidden/>
              </w:rPr>
              <w:fldChar w:fldCharType="end"/>
            </w:r>
          </w:hyperlink>
        </w:p>
        <w:p w14:paraId="0F589280" w14:textId="10040D9A" w:rsidR="004107E7" w:rsidRDefault="004107E7">
          <w:r>
            <w:rPr>
              <w:b/>
              <w:bCs/>
              <w:noProof/>
            </w:rPr>
            <w:fldChar w:fldCharType="end"/>
          </w:r>
        </w:p>
      </w:sdtContent>
    </w:sdt>
    <w:p w14:paraId="063838BF" w14:textId="77777777" w:rsidR="00503C0C" w:rsidRPr="00046C10" w:rsidRDefault="00503C0C" w:rsidP="00046C10">
      <w:pPr>
        <w:pStyle w:val="p1"/>
        <w:spacing w:line="360" w:lineRule="auto"/>
        <w:rPr>
          <w:rStyle w:val="s1"/>
          <w:rFonts w:ascii="Arial" w:hAnsi="Arial" w:cs="Arial"/>
          <w:sz w:val="22"/>
          <w:szCs w:val="22"/>
        </w:rPr>
      </w:pPr>
    </w:p>
    <w:p w14:paraId="47208EB9" w14:textId="77777777" w:rsidR="00503C0C" w:rsidRPr="00046C10" w:rsidRDefault="00503C0C" w:rsidP="00046C10">
      <w:pPr>
        <w:pStyle w:val="p1"/>
        <w:spacing w:line="360" w:lineRule="auto"/>
        <w:rPr>
          <w:rStyle w:val="s1"/>
          <w:rFonts w:ascii="Arial" w:hAnsi="Arial" w:cs="Arial"/>
          <w:sz w:val="22"/>
          <w:szCs w:val="22"/>
        </w:rPr>
      </w:pPr>
    </w:p>
    <w:p w14:paraId="6F9895BC" w14:textId="77777777" w:rsidR="00A96F5F" w:rsidRPr="00A96F5F" w:rsidRDefault="00A96F5F" w:rsidP="00A96F5F">
      <w:pPr>
        <w:pStyle w:val="Heading1"/>
        <w:rPr>
          <w:rStyle w:val="s1"/>
          <w:rFonts w:asciiTheme="majorHAnsi" w:hAnsiTheme="majorHAnsi"/>
          <w:sz w:val="40"/>
          <w:szCs w:val="40"/>
        </w:rPr>
      </w:pPr>
      <w:bookmarkStart w:id="0" w:name="_Toc237612390"/>
      <w:r w:rsidRPr="00A96F5F">
        <w:rPr>
          <w:rStyle w:val="s1"/>
          <w:rFonts w:asciiTheme="majorHAnsi" w:hAnsiTheme="majorHAnsi"/>
          <w:sz w:val="40"/>
          <w:szCs w:val="40"/>
        </w:rPr>
        <w:t>Task 1: Social Epidemiological Analysis</w:t>
      </w:r>
      <w:bookmarkEnd w:id="0"/>
      <w:r w:rsidRPr="00A96F5F">
        <w:rPr>
          <w:rStyle w:val="s1"/>
          <w:rFonts w:asciiTheme="majorHAnsi" w:hAnsiTheme="majorHAnsi"/>
          <w:sz w:val="40"/>
          <w:szCs w:val="40"/>
        </w:rPr>
        <w:t xml:space="preserve"> </w:t>
      </w:r>
    </w:p>
    <w:p w14:paraId="36DE21D1" w14:textId="010FAB6E" w:rsidR="00BA19A8" w:rsidRPr="00A96F5F" w:rsidRDefault="00A96F5F" w:rsidP="00A96F5F">
      <w:pPr>
        <w:pStyle w:val="Heading2"/>
        <w:rPr>
          <w:rStyle w:val="s1"/>
          <w:rFonts w:asciiTheme="majorHAnsi" w:hAnsiTheme="majorHAnsi"/>
          <w:sz w:val="32"/>
          <w:szCs w:val="32"/>
        </w:rPr>
      </w:pPr>
      <w:bookmarkStart w:id="1" w:name="_Toc237612391"/>
      <w:r w:rsidRPr="00A96F5F">
        <w:rPr>
          <w:rStyle w:val="s1"/>
          <w:rFonts w:asciiTheme="majorHAnsi" w:hAnsiTheme="majorHAnsi"/>
          <w:sz w:val="32"/>
          <w:szCs w:val="32"/>
        </w:rPr>
        <w:t>Disability and Health Inequality in the United Kingdom: A Social Epidemiological Analysis</w:t>
      </w:r>
      <w:bookmarkEnd w:id="1"/>
      <w:r w:rsidRPr="00A96F5F">
        <w:rPr>
          <w:rStyle w:val="s1"/>
          <w:rFonts w:asciiTheme="majorHAnsi" w:hAnsiTheme="majorHAnsi"/>
          <w:sz w:val="32"/>
          <w:szCs w:val="32"/>
        </w:rPr>
        <w:t xml:space="preserve"> </w:t>
      </w:r>
    </w:p>
    <w:p w14:paraId="67A26E53" w14:textId="315F4612" w:rsidR="00C93B47" w:rsidRPr="004057CD" w:rsidRDefault="007B4A11" w:rsidP="00A96F5F">
      <w:pPr>
        <w:pStyle w:val="Heading3"/>
        <w:rPr>
          <w:rStyle w:val="s1"/>
          <w:rFonts w:ascii="Arial" w:hAnsi="Arial" w:cs="Arial"/>
          <w:sz w:val="36"/>
          <w:szCs w:val="36"/>
        </w:rPr>
      </w:pPr>
      <w:bookmarkStart w:id="2" w:name="_Toc237612392"/>
      <w:r w:rsidRPr="00A96F5F">
        <w:rPr>
          <w:rStyle w:val="s1"/>
          <w:rFonts w:asciiTheme="minorHAnsi" w:hAnsiTheme="minorHAnsi"/>
          <w:sz w:val="28"/>
          <w:szCs w:val="28"/>
        </w:rPr>
        <w:t>Introduction</w:t>
      </w:r>
      <w:bookmarkEnd w:id="2"/>
    </w:p>
    <w:p w14:paraId="068C6150" w14:textId="53D23991" w:rsidR="00034470" w:rsidRP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The target group is disabled people living in the United Kingdom. Under the Equality Act 2010, a person is disabled if they have a physical or mental impairment with a substantial and long-term negative effect on normal day-to-day activities (UK Government, 2010). Disability is common: one in four people in the UK </w:t>
      </w:r>
      <w:r w:rsidR="008121F6">
        <w:rPr>
          <w:rStyle w:val="s1"/>
          <w:rFonts w:ascii="Arial" w:hAnsi="Arial" w:cs="Arial"/>
          <w:sz w:val="22"/>
          <w:szCs w:val="22"/>
        </w:rPr>
        <w:t>was</w:t>
      </w:r>
      <w:r w:rsidRPr="00034470">
        <w:rPr>
          <w:rStyle w:val="s1"/>
          <w:rFonts w:ascii="Arial" w:hAnsi="Arial" w:cs="Arial"/>
          <w:sz w:val="22"/>
          <w:szCs w:val="22"/>
        </w:rPr>
        <w:t xml:space="preserve"> disabled in 2024/25 (Department for Work and Pensions, 2026). Disability does not inevitably cause poor health. Inequalities arise when impairment interacts with inaccessible services, discrimination, poverty, unemployment, unsuitable housing and restricted social participation. WHO (2022) describes many of these differences as avoidable, unfair and unjust. Social epidemiology is therefore useful because it examines how social conditions shape patterns of health and disease. Health inequality refers to systematic differences in health between population groups; the key concern is whether those differences are avoidable and socially produced. This perspective prevents disability from being treated only as an individual medical problem and instead highlights the role of environments, institutions and unequal access to resources. </w:t>
      </w:r>
    </w:p>
    <w:p w14:paraId="430BE472" w14:textId="77777777" w:rsidR="00034470" w:rsidRPr="0086152D" w:rsidRDefault="00034470" w:rsidP="00847D5B">
      <w:pPr>
        <w:pStyle w:val="Heading3"/>
        <w:divId w:val="598297075"/>
        <w:rPr>
          <w:rStyle w:val="s1"/>
          <w:rFonts w:asciiTheme="minorHAnsi" w:hAnsiTheme="minorHAnsi"/>
          <w:sz w:val="28"/>
          <w:szCs w:val="28"/>
        </w:rPr>
      </w:pPr>
      <w:bookmarkStart w:id="3" w:name="_Toc237612393"/>
      <w:r w:rsidRPr="0086152D">
        <w:rPr>
          <w:rStyle w:val="s1"/>
          <w:rFonts w:asciiTheme="minorHAnsi" w:hAnsiTheme="minorHAnsi"/>
          <w:sz w:val="28"/>
          <w:szCs w:val="28"/>
        </w:rPr>
        <w:t>Higher Rates of Depression and Anxiety</w:t>
      </w:r>
      <w:bookmarkEnd w:id="3"/>
      <w:r w:rsidRPr="0086152D">
        <w:rPr>
          <w:rStyle w:val="s1"/>
          <w:rFonts w:asciiTheme="minorHAnsi" w:hAnsiTheme="minorHAnsi"/>
          <w:sz w:val="28"/>
          <w:szCs w:val="28"/>
        </w:rPr>
        <w:t xml:space="preserve"> </w:t>
      </w:r>
    </w:p>
    <w:p w14:paraId="6C207D0B" w14:textId="77777777" w:rsid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Mental ill-health is a major inequality. ONS found that 35% of disabled adults experienced some form of depression compared with 7% of non-disabled adults (ONS, 2022a). Chronic pain, discrimination, social exclusion, insecure income and barriers to work can all contribute. Some mental health conditions are themselves disabling, so the relationship is bidirectional rather than simply causal. Inequality can be reduced through accessible psychological therapies, reasonable adjustments, flexible appointments and action on poverty and discrimination. </w:t>
      </w:r>
    </w:p>
    <w:p w14:paraId="4915C9D0" w14:textId="77777777" w:rsidR="00B44794" w:rsidRDefault="00B44794" w:rsidP="00034470">
      <w:pPr>
        <w:pStyle w:val="p1"/>
        <w:spacing w:line="360" w:lineRule="auto"/>
        <w:divId w:val="598297075"/>
        <w:rPr>
          <w:rStyle w:val="s1"/>
          <w:rFonts w:ascii="Arial" w:hAnsi="Arial" w:cs="Arial"/>
          <w:sz w:val="22"/>
          <w:szCs w:val="22"/>
        </w:rPr>
      </w:pPr>
    </w:p>
    <w:p w14:paraId="6F555A3D" w14:textId="5E6B339A" w:rsidR="00B44794" w:rsidRDefault="00EB4075" w:rsidP="00034470">
      <w:pPr>
        <w:pStyle w:val="p1"/>
        <w:spacing w:line="360" w:lineRule="auto"/>
        <w:divId w:val="598297075"/>
        <w:rPr>
          <w:rStyle w:val="s1"/>
          <w:rFonts w:ascii="Arial" w:hAnsi="Arial" w:cs="Arial"/>
          <w:sz w:val="22"/>
          <w:szCs w:val="22"/>
        </w:rPr>
      </w:pPr>
      <w:r>
        <w:rPr>
          <w:rFonts w:ascii="Arial" w:hAnsi="Arial" w:cs="Arial"/>
          <w:noProof/>
          <w:sz w:val="22"/>
          <w:szCs w:val="22"/>
          <w14:ligatures w14:val="standardContextual"/>
        </w:rPr>
        <w:drawing>
          <wp:inline distT="0" distB="0" distL="0" distR="0" wp14:anchorId="51A79561" wp14:editId="37D5849D">
            <wp:extent cx="5486400" cy="3200400"/>
            <wp:effectExtent l="0" t="0" r="0" b="0"/>
            <wp:docPr id="154547070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3FB2055" w14:textId="762BE9F5" w:rsidR="00976A45" w:rsidRPr="00D77322" w:rsidRDefault="00D77322" w:rsidP="00976A45">
      <w:pPr>
        <w:pStyle w:val="p1"/>
        <w:spacing w:line="360" w:lineRule="auto"/>
        <w:divId w:val="598297075"/>
        <w:rPr>
          <w:rFonts w:ascii="Arial" w:hAnsi="Arial" w:cs="Arial"/>
          <w:sz w:val="22"/>
          <w:szCs w:val="22"/>
        </w:rPr>
      </w:pPr>
      <w:r w:rsidRPr="00D77322">
        <w:rPr>
          <w:rFonts w:ascii="Arial" w:hAnsi="Arial" w:cs="Arial"/>
          <w:sz w:val="22"/>
          <w:szCs w:val="22"/>
        </w:rPr>
        <w:t>Figure 1:</w:t>
      </w:r>
      <w:r w:rsidR="00976A45" w:rsidRPr="00D77322">
        <w:rPr>
          <w:rFonts w:ascii="Arial" w:hAnsi="Arial" w:cs="Arial"/>
          <w:sz w:val="22"/>
          <w:szCs w:val="22"/>
        </w:rPr>
        <w:t xml:space="preserve"> Prevalence of depression among disabled and non-disabled adults</w:t>
      </w:r>
      <w:r w:rsidR="001C66FC" w:rsidRPr="00D77322">
        <w:rPr>
          <w:rFonts w:ascii="Arial" w:hAnsi="Arial" w:cs="Arial"/>
          <w:sz w:val="22"/>
          <w:szCs w:val="22"/>
        </w:rPr>
        <w:t xml:space="preserve"> (ONS, 20</w:t>
      </w:r>
      <w:r w:rsidR="00133E03" w:rsidRPr="00D77322">
        <w:rPr>
          <w:rFonts w:ascii="Arial" w:hAnsi="Arial" w:cs="Arial"/>
          <w:sz w:val="22"/>
          <w:szCs w:val="22"/>
        </w:rPr>
        <w:t>22a).</w:t>
      </w:r>
    </w:p>
    <w:p w14:paraId="403AB042" w14:textId="77777777" w:rsidR="00034470" w:rsidRPr="00847D5B" w:rsidRDefault="00034470" w:rsidP="00847D5B">
      <w:pPr>
        <w:pStyle w:val="Heading3"/>
        <w:divId w:val="598297075"/>
        <w:rPr>
          <w:rStyle w:val="s1"/>
          <w:rFonts w:asciiTheme="minorHAnsi" w:hAnsiTheme="minorHAnsi"/>
          <w:sz w:val="28"/>
          <w:szCs w:val="28"/>
        </w:rPr>
      </w:pPr>
      <w:bookmarkStart w:id="4" w:name="_Toc237612394"/>
      <w:r w:rsidRPr="00847D5B">
        <w:rPr>
          <w:rStyle w:val="s1"/>
          <w:rFonts w:asciiTheme="minorHAnsi" w:hAnsiTheme="minorHAnsi"/>
          <w:sz w:val="28"/>
          <w:szCs w:val="28"/>
        </w:rPr>
        <w:t>Higher Rates of Chronic Physical Illness</w:t>
      </w:r>
      <w:bookmarkEnd w:id="4"/>
      <w:r w:rsidRPr="00847D5B">
        <w:rPr>
          <w:rStyle w:val="s1"/>
          <w:rFonts w:asciiTheme="minorHAnsi" w:hAnsiTheme="minorHAnsi"/>
          <w:sz w:val="28"/>
          <w:szCs w:val="28"/>
        </w:rPr>
        <w:t xml:space="preserve"> </w:t>
      </w:r>
    </w:p>
    <w:p w14:paraId="6455DE89" w14:textId="77777777" w:rsid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Disabled people also experience a greater burden of secondary and chronic physical illness. WHO (2023) reports up to twice the risk of conditions including asthma, diabetes, stroke and obesity. One pathway is unequal opportunity for health-promoting activity: 43% of disabled people are physically inactive compared with 23% of non-disabled people (Sport England, 2026). Inaccessible facilities, transport, cost and pain can restrict participation. Inclusive physical-activity programmes, accessible preventive services, screening and support for self-management can reduce this inequality. </w:t>
      </w:r>
    </w:p>
    <w:p w14:paraId="6CADEABF" w14:textId="77777777" w:rsidR="00D77322" w:rsidRDefault="00D77322" w:rsidP="00034470">
      <w:pPr>
        <w:pStyle w:val="p1"/>
        <w:spacing w:line="360" w:lineRule="auto"/>
        <w:divId w:val="598297075"/>
        <w:rPr>
          <w:rStyle w:val="s1"/>
          <w:rFonts w:ascii="Arial" w:hAnsi="Arial" w:cs="Arial"/>
          <w:sz w:val="22"/>
          <w:szCs w:val="22"/>
        </w:rPr>
      </w:pPr>
    </w:p>
    <w:p w14:paraId="6A74FFFC" w14:textId="08025B3E" w:rsidR="0002215E" w:rsidRPr="00034470" w:rsidRDefault="0002215E" w:rsidP="00034470">
      <w:pPr>
        <w:pStyle w:val="p1"/>
        <w:spacing w:line="360" w:lineRule="auto"/>
        <w:divId w:val="598297075"/>
        <w:rPr>
          <w:rStyle w:val="s1"/>
          <w:rFonts w:ascii="Arial" w:hAnsi="Arial" w:cs="Arial"/>
          <w:sz w:val="22"/>
          <w:szCs w:val="22"/>
        </w:rPr>
      </w:pPr>
      <w:r>
        <w:rPr>
          <w:rFonts w:ascii="Arial" w:hAnsi="Arial" w:cs="Arial"/>
          <w:noProof/>
          <w:sz w:val="22"/>
          <w:szCs w:val="22"/>
          <w14:ligatures w14:val="standardContextual"/>
        </w:rPr>
        <w:drawing>
          <wp:inline distT="0" distB="0" distL="0" distR="0" wp14:anchorId="5D730AD3" wp14:editId="6E7AB21E">
            <wp:extent cx="5486400" cy="3200400"/>
            <wp:effectExtent l="0" t="0" r="0" b="0"/>
            <wp:docPr id="107920697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D471E9C" w14:textId="5D05DC24" w:rsidR="00034470" w:rsidRPr="00034470" w:rsidRDefault="00D77322" w:rsidP="00034470">
      <w:pPr>
        <w:pStyle w:val="p1"/>
        <w:spacing w:line="360" w:lineRule="auto"/>
        <w:divId w:val="598297075"/>
        <w:rPr>
          <w:rStyle w:val="s1"/>
          <w:rFonts w:ascii="Arial" w:hAnsi="Arial" w:cs="Arial"/>
          <w:sz w:val="22"/>
          <w:szCs w:val="22"/>
        </w:rPr>
      </w:pPr>
      <w:r w:rsidRPr="00D77322">
        <w:rPr>
          <w:rStyle w:val="s1"/>
          <w:rFonts w:ascii="Arial" w:hAnsi="Arial" w:cs="Arial"/>
          <w:sz w:val="22"/>
          <w:szCs w:val="22"/>
        </w:rPr>
        <w:t>Figure 2</w:t>
      </w:r>
      <w:r>
        <w:rPr>
          <w:rStyle w:val="s1"/>
          <w:rFonts w:ascii="Arial" w:hAnsi="Arial" w:cs="Arial"/>
          <w:sz w:val="22"/>
          <w:szCs w:val="22"/>
        </w:rPr>
        <w:t xml:space="preserve">: </w:t>
      </w:r>
      <w:r w:rsidRPr="00D77322">
        <w:rPr>
          <w:rStyle w:val="s1"/>
          <w:rFonts w:ascii="Arial" w:hAnsi="Arial" w:cs="Arial"/>
          <w:sz w:val="22"/>
          <w:szCs w:val="22"/>
        </w:rPr>
        <w:t>Physical inactivity among disabled and non-disabled people</w:t>
      </w:r>
      <w:r>
        <w:rPr>
          <w:rStyle w:val="s1"/>
          <w:rFonts w:ascii="Arial" w:hAnsi="Arial" w:cs="Arial"/>
          <w:sz w:val="22"/>
          <w:szCs w:val="22"/>
        </w:rPr>
        <w:t xml:space="preserve"> (WHO, 2023).</w:t>
      </w:r>
    </w:p>
    <w:p w14:paraId="3C6E35A4" w14:textId="77777777" w:rsidR="00034470" w:rsidRPr="00691F51" w:rsidRDefault="00034470" w:rsidP="00C41540">
      <w:pPr>
        <w:pStyle w:val="Heading3"/>
        <w:divId w:val="598297075"/>
        <w:rPr>
          <w:rStyle w:val="s1"/>
          <w:rFonts w:asciiTheme="minorHAnsi" w:hAnsiTheme="minorHAnsi"/>
          <w:sz w:val="28"/>
          <w:szCs w:val="28"/>
        </w:rPr>
      </w:pPr>
      <w:bookmarkStart w:id="5" w:name="_Toc237612395"/>
      <w:r w:rsidRPr="00691F51">
        <w:rPr>
          <w:rStyle w:val="s1"/>
          <w:rFonts w:asciiTheme="minorHAnsi" w:hAnsiTheme="minorHAnsi"/>
          <w:sz w:val="28"/>
          <w:szCs w:val="28"/>
        </w:rPr>
        <w:t>Premature Mortality</w:t>
      </w:r>
      <w:bookmarkEnd w:id="5"/>
      <w:r w:rsidRPr="00691F51">
        <w:rPr>
          <w:rStyle w:val="s1"/>
          <w:rFonts w:asciiTheme="minorHAnsi" w:hAnsiTheme="minorHAnsi"/>
          <w:sz w:val="28"/>
          <w:szCs w:val="28"/>
        </w:rPr>
        <w:t xml:space="preserve"> </w:t>
      </w:r>
    </w:p>
    <w:p w14:paraId="609A6FE5" w14:textId="77777777" w:rsidR="00034470" w:rsidRP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Premature mortality is one of the clearest health inequalities. WHO (2022) reports that some disabled people die up to 20 years earlier than people without disabilities. In England, LeDeR continues to identify preventable or treatable causes contributing to early deaths among people with learning disabilities (NHS England, 2025a). Diagnostic overshadowing, delayed recognition of illness, communication barriers and failure to make reasonable adjustments can contribute. Earlier investigation, annual health checks, accessible communication and better staff training are therefore important. </w:t>
      </w:r>
    </w:p>
    <w:p w14:paraId="2C61AC93" w14:textId="77777777" w:rsidR="00034470" w:rsidRPr="00691F51" w:rsidRDefault="00034470" w:rsidP="00C41540">
      <w:pPr>
        <w:pStyle w:val="Heading3"/>
        <w:divId w:val="598297075"/>
        <w:rPr>
          <w:rStyle w:val="s1"/>
          <w:rFonts w:asciiTheme="minorHAnsi" w:hAnsiTheme="minorHAnsi"/>
          <w:sz w:val="28"/>
          <w:szCs w:val="28"/>
        </w:rPr>
      </w:pPr>
      <w:bookmarkStart w:id="6" w:name="_Toc237612396"/>
      <w:r w:rsidRPr="00691F51">
        <w:rPr>
          <w:rStyle w:val="s1"/>
          <w:rFonts w:asciiTheme="minorHAnsi" w:hAnsiTheme="minorHAnsi"/>
          <w:sz w:val="28"/>
          <w:szCs w:val="28"/>
        </w:rPr>
        <w:t>Social Isolation and Loneliness</w:t>
      </w:r>
      <w:bookmarkEnd w:id="6"/>
      <w:r w:rsidRPr="00691F51">
        <w:rPr>
          <w:rStyle w:val="s1"/>
          <w:rFonts w:asciiTheme="minorHAnsi" w:hAnsiTheme="minorHAnsi"/>
          <w:sz w:val="28"/>
          <w:szCs w:val="28"/>
        </w:rPr>
        <w:t xml:space="preserve"> </w:t>
      </w:r>
    </w:p>
    <w:p w14:paraId="6D35A0CC" w14:textId="77777777" w:rsid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Disabled people experience substantially higher loneliness. In England, 15.1% of disabled people reported feeling lonely “often or always” compared with 3.6% of non-disabled people (ONS, 2022b). Inaccessible transport, public spaces, communication barriers, unemployment and stigma can reduce social contact. Loneliness can worsen mental wellbeing and reduce participation. Accessible transport, inclusive community activities, peer support and digital inclusion can help address this social inequality. </w:t>
      </w:r>
    </w:p>
    <w:p w14:paraId="4C7FE812" w14:textId="62635087" w:rsidR="00F07714" w:rsidRDefault="00D964E6" w:rsidP="00034470">
      <w:pPr>
        <w:pStyle w:val="p1"/>
        <w:spacing w:line="360" w:lineRule="auto"/>
        <w:divId w:val="598297075"/>
        <w:rPr>
          <w:rStyle w:val="s1"/>
          <w:rFonts w:ascii="Arial" w:hAnsi="Arial" w:cs="Arial"/>
          <w:sz w:val="22"/>
          <w:szCs w:val="22"/>
        </w:rPr>
      </w:pPr>
      <w:r>
        <w:rPr>
          <w:rFonts w:ascii="Arial" w:hAnsi="Arial" w:cs="Arial"/>
          <w:noProof/>
          <w:sz w:val="22"/>
          <w:szCs w:val="22"/>
          <w14:ligatures w14:val="standardContextual"/>
        </w:rPr>
        <w:drawing>
          <wp:inline distT="0" distB="0" distL="0" distR="0" wp14:anchorId="171539CA" wp14:editId="359B5B4D">
            <wp:extent cx="5486400" cy="3200400"/>
            <wp:effectExtent l="0" t="0" r="0" b="0"/>
            <wp:docPr id="154778482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0BCF93C" w14:textId="3651203B" w:rsidR="00C230ED" w:rsidRPr="00F275A4" w:rsidRDefault="00C230ED" w:rsidP="00C230ED">
      <w:pPr>
        <w:pStyle w:val="p1"/>
        <w:spacing w:line="360" w:lineRule="auto"/>
        <w:divId w:val="598297075"/>
        <w:rPr>
          <w:rFonts w:ascii="Arial" w:hAnsi="Arial" w:cs="Arial"/>
          <w:sz w:val="22"/>
          <w:szCs w:val="22"/>
        </w:rPr>
      </w:pPr>
      <w:r w:rsidRPr="00F275A4">
        <w:rPr>
          <w:rFonts w:ascii="Arial" w:hAnsi="Arial" w:cs="Arial"/>
          <w:sz w:val="22"/>
          <w:szCs w:val="22"/>
        </w:rPr>
        <w:t>Figure 3</w:t>
      </w:r>
      <w:r w:rsidR="00F275A4">
        <w:rPr>
          <w:rFonts w:ascii="Arial" w:hAnsi="Arial" w:cs="Arial"/>
          <w:sz w:val="22"/>
          <w:szCs w:val="22"/>
        </w:rPr>
        <w:t xml:space="preserve">: </w:t>
      </w:r>
      <w:r w:rsidRPr="00F275A4">
        <w:rPr>
          <w:rFonts w:ascii="Arial" w:hAnsi="Arial" w:cs="Arial"/>
          <w:sz w:val="22"/>
          <w:szCs w:val="22"/>
        </w:rPr>
        <w:t>Loneliness among disabled and non-disabled people in England</w:t>
      </w:r>
      <w:r w:rsidR="00F275A4" w:rsidRPr="00F275A4">
        <w:rPr>
          <w:rFonts w:ascii="Arial" w:hAnsi="Arial" w:cs="Arial"/>
          <w:sz w:val="22"/>
          <w:szCs w:val="22"/>
        </w:rPr>
        <w:t xml:space="preserve"> (</w:t>
      </w:r>
      <w:r w:rsidRPr="00F275A4">
        <w:rPr>
          <w:rFonts w:ascii="Arial" w:hAnsi="Arial" w:cs="Arial"/>
          <w:sz w:val="22"/>
          <w:szCs w:val="22"/>
        </w:rPr>
        <w:t>ONS</w:t>
      </w:r>
      <w:r w:rsidR="00F275A4" w:rsidRPr="00F275A4">
        <w:rPr>
          <w:rFonts w:ascii="Arial" w:hAnsi="Arial" w:cs="Arial"/>
          <w:sz w:val="22"/>
          <w:szCs w:val="22"/>
        </w:rPr>
        <w:t xml:space="preserve">, </w:t>
      </w:r>
      <w:r w:rsidRPr="00F275A4">
        <w:rPr>
          <w:rFonts w:ascii="Arial" w:hAnsi="Arial" w:cs="Arial"/>
          <w:sz w:val="22"/>
          <w:szCs w:val="22"/>
        </w:rPr>
        <w:t>2022b</w:t>
      </w:r>
      <w:r w:rsidR="00F275A4" w:rsidRPr="00F275A4">
        <w:rPr>
          <w:rFonts w:ascii="Arial" w:hAnsi="Arial" w:cs="Arial"/>
          <w:sz w:val="22"/>
          <w:szCs w:val="22"/>
        </w:rPr>
        <w:t>)</w:t>
      </w:r>
    </w:p>
    <w:p w14:paraId="240224C8" w14:textId="77777777" w:rsidR="00034470" w:rsidRPr="00691F51" w:rsidRDefault="00034470" w:rsidP="00C41540">
      <w:pPr>
        <w:pStyle w:val="Heading3"/>
        <w:divId w:val="598297075"/>
        <w:rPr>
          <w:rStyle w:val="s1"/>
          <w:rFonts w:asciiTheme="minorHAnsi" w:hAnsiTheme="minorHAnsi"/>
          <w:sz w:val="28"/>
          <w:szCs w:val="28"/>
        </w:rPr>
      </w:pPr>
      <w:bookmarkStart w:id="7" w:name="_Toc237612397"/>
      <w:r w:rsidRPr="00691F51">
        <w:rPr>
          <w:rStyle w:val="s1"/>
          <w:rFonts w:asciiTheme="minorHAnsi" w:hAnsiTheme="minorHAnsi"/>
          <w:sz w:val="28"/>
          <w:szCs w:val="28"/>
        </w:rPr>
        <w:t>Poverty and Unemployment</w:t>
      </w:r>
      <w:bookmarkEnd w:id="7"/>
      <w:r w:rsidRPr="00691F51">
        <w:rPr>
          <w:rStyle w:val="s1"/>
          <w:rFonts w:asciiTheme="minorHAnsi" w:hAnsiTheme="minorHAnsi"/>
          <w:sz w:val="28"/>
          <w:szCs w:val="28"/>
        </w:rPr>
        <w:t xml:space="preserve"> </w:t>
      </w:r>
    </w:p>
    <w:p w14:paraId="09591C1E" w14:textId="77777777" w:rsidR="00034470" w:rsidRP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Economic disadvantage is a major determinant of health. In quarter two of 2025, the disability employment rate was 52.8%, compared with 82.5% for non-disabled people (Department for Work and Pensions, 2025). Lower employment interacts with the extra costs of disability. Scope estimated in 2025 that disabled households required an additional £1,095 per month on average to achieve a similar living standard to non-disabled households (Scope, 2025). Financial strain can affect food, heating, transport and healthcare access. Workplace adjustments, accessible recruitment, flexible work, social security and Access to Work can reduce these pressures. </w:t>
      </w:r>
    </w:p>
    <w:p w14:paraId="51DBBCA2" w14:textId="603AC92D" w:rsidR="00034470" w:rsidRPr="00691F51" w:rsidRDefault="00034470" w:rsidP="00402E2D">
      <w:pPr>
        <w:pStyle w:val="Heading3"/>
        <w:divId w:val="598297075"/>
        <w:rPr>
          <w:rStyle w:val="s1"/>
          <w:rFonts w:asciiTheme="minorHAnsi" w:hAnsiTheme="minorHAnsi"/>
          <w:sz w:val="28"/>
          <w:szCs w:val="28"/>
        </w:rPr>
      </w:pPr>
      <w:bookmarkStart w:id="8" w:name="_Toc237612398"/>
      <w:r w:rsidRPr="00691F51">
        <w:rPr>
          <w:rStyle w:val="s1"/>
          <w:rFonts w:asciiTheme="minorHAnsi" w:hAnsiTheme="minorHAnsi"/>
          <w:sz w:val="28"/>
          <w:szCs w:val="28"/>
        </w:rPr>
        <w:t>Housing and Accessibility Issues</w:t>
      </w:r>
      <w:bookmarkEnd w:id="8"/>
      <w:r w:rsidRPr="00691F51">
        <w:rPr>
          <w:rStyle w:val="s1"/>
          <w:rFonts w:asciiTheme="minorHAnsi" w:hAnsiTheme="minorHAnsi"/>
          <w:sz w:val="28"/>
          <w:szCs w:val="28"/>
        </w:rPr>
        <w:t xml:space="preserve"> </w:t>
      </w:r>
    </w:p>
    <w:p w14:paraId="75E0826B" w14:textId="77777777" w:rsidR="00034470" w:rsidRP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Unsuitable housing can restrict independence and worsen health. A UK government evidence review found continuing barriers in the availability, suitability and affordability of housing for disabled people (UK Government, 2026). Homes without level access, adapted bathrooms or sufficient space can increase falls risk, pain and dependence on carers. Stronger accessible-housing standards, timely home adaptations, Disabled Facilities Grants and closer coordination between housing, health and social care are important solutions. </w:t>
      </w:r>
    </w:p>
    <w:p w14:paraId="0DD3516E" w14:textId="77777777" w:rsidR="00034470" w:rsidRPr="00691F51" w:rsidRDefault="00034470" w:rsidP="00402E2D">
      <w:pPr>
        <w:pStyle w:val="Heading3"/>
        <w:divId w:val="598297075"/>
        <w:rPr>
          <w:rStyle w:val="s1"/>
          <w:rFonts w:asciiTheme="minorHAnsi" w:hAnsiTheme="minorHAnsi"/>
          <w:sz w:val="28"/>
          <w:szCs w:val="28"/>
        </w:rPr>
      </w:pPr>
      <w:bookmarkStart w:id="9" w:name="_Toc237612399"/>
      <w:r w:rsidRPr="00691F51">
        <w:rPr>
          <w:rStyle w:val="s1"/>
          <w:rFonts w:asciiTheme="minorHAnsi" w:hAnsiTheme="minorHAnsi"/>
          <w:sz w:val="28"/>
          <w:szCs w:val="28"/>
        </w:rPr>
        <w:t>National Responses to Reduce Health Inequalities</w:t>
      </w:r>
      <w:bookmarkEnd w:id="9"/>
      <w:r w:rsidRPr="00691F51">
        <w:rPr>
          <w:rStyle w:val="s1"/>
          <w:rFonts w:asciiTheme="minorHAnsi" w:hAnsiTheme="minorHAnsi"/>
          <w:sz w:val="28"/>
          <w:szCs w:val="28"/>
        </w:rPr>
        <w:t xml:space="preserve"> </w:t>
      </w:r>
    </w:p>
    <w:p w14:paraId="17FE9421" w14:textId="77777777" w:rsidR="00034470" w:rsidRPr="0003447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The Equality Act 2010 is a central national response because it prohibits disability discrimination and requires reasonable adjustments where disabled people would otherwise be substantially disadvantaged (UK Government, 2010). In healthcare, NHS England’s Accessible Information Standard requires NHS and publicly funded adult social care services to identify, record, flag, share, meet and review disability-related information and communication needs (NHS England, 2025b). The Reasonable Adjustment Digital Flag is also being implemented so adjustments can follow patients across services. For people with learning disabilities, annual health checks provide targeted prevention; 79.9% of eligible people on GP learning-disability registers received one in 2024/25 (NHS England, 2025a). These policies are important, although effectiveness depends on consistent implementation. </w:t>
      </w:r>
    </w:p>
    <w:p w14:paraId="4445D640" w14:textId="77777777" w:rsidR="00034470" w:rsidRPr="00691F51" w:rsidRDefault="00034470" w:rsidP="00402E2D">
      <w:pPr>
        <w:pStyle w:val="Heading3"/>
        <w:divId w:val="598297075"/>
        <w:rPr>
          <w:rStyle w:val="s1"/>
          <w:rFonts w:asciiTheme="minorHAnsi" w:hAnsiTheme="minorHAnsi"/>
          <w:sz w:val="28"/>
          <w:szCs w:val="28"/>
        </w:rPr>
      </w:pPr>
      <w:bookmarkStart w:id="10" w:name="_Toc237612400"/>
      <w:r w:rsidRPr="00691F51">
        <w:rPr>
          <w:rStyle w:val="s1"/>
          <w:rFonts w:asciiTheme="minorHAnsi" w:hAnsiTheme="minorHAnsi"/>
          <w:sz w:val="28"/>
          <w:szCs w:val="28"/>
        </w:rPr>
        <w:t>Organisation Supporting the Chosen Group: Scope</w:t>
      </w:r>
      <w:bookmarkEnd w:id="10"/>
      <w:r w:rsidRPr="00691F51">
        <w:rPr>
          <w:rStyle w:val="s1"/>
          <w:rFonts w:asciiTheme="minorHAnsi" w:hAnsiTheme="minorHAnsi"/>
          <w:sz w:val="28"/>
          <w:szCs w:val="28"/>
        </w:rPr>
        <w:t xml:space="preserve"> </w:t>
      </w:r>
    </w:p>
    <w:p w14:paraId="16CAFC55" w14:textId="2D851A3E" w:rsidR="00034470" w:rsidRPr="00034470" w:rsidRDefault="00034470" w:rsidP="00402E2D">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Scope is a national disability equality charity providing advice, campaigning and research. It supports disabled people with information about rights, benefits, work and independent living, while also challenging structural discrimination. Its Disability Price Tag research quantifies the additional costs disabled households face and is used to influence policy and public debate (Scope, 2025). Scope’s wider goal is an equal future in which disabled people have the same opportunities as everyone else. Its combination of direct support, research and advocacy therefore addresses both individual need and wider social injustice. </w:t>
      </w:r>
    </w:p>
    <w:p w14:paraId="043F13A9" w14:textId="77777777" w:rsidR="00034470" w:rsidRPr="00402E2D" w:rsidRDefault="00034470" w:rsidP="00402E2D">
      <w:pPr>
        <w:pStyle w:val="Heading3"/>
        <w:divId w:val="598297075"/>
        <w:rPr>
          <w:rStyle w:val="s1"/>
          <w:rFonts w:asciiTheme="minorHAnsi" w:hAnsiTheme="minorHAnsi"/>
          <w:sz w:val="28"/>
          <w:szCs w:val="28"/>
        </w:rPr>
      </w:pPr>
      <w:bookmarkStart w:id="11" w:name="_Toc237612401"/>
      <w:r w:rsidRPr="00402E2D">
        <w:rPr>
          <w:rStyle w:val="s1"/>
          <w:rFonts w:asciiTheme="minorHAnsi" w:hAnsiTheme="minorHAnsi"/>
          <w:sz w:val="28"/>
          <w:szCs w:val="28"/>
        </w:rPr>
        <w:t>Conclusion</w:t>
      </w:r>
      <w:bookmarkEnd w:id="11"/>
      <w:r w:rsidRPr="00402E2D">
        <w:rPr>
          <w:rStyle w:val="s1"/>
          <w:rFonts w:asciiTheme="minorHAnsi" w:hAnsiTheme="minorHAnsi"/>
          <w:sz w:val="28"/>
          <w:szCs w:val="28"/>
        </w:rPr>
        <w:t xml:space="preserve"> </w:t>
      </w:r>
    </w:p>
    <w:p w14:paraId="4B574028" w14:textId="32078352" w:rsidR="009342A5" w:rsidRPr="00046C10" w:rsidRDefault="00034470" w:rsidP="00034470">
      <w:pPr>
        <w:pStyle w:val="p1"/>
        <w:spacing w:line="360" w:lineRule="auto"/>
        <w:divId w:val="598297075"/>
        <w:rPr>
          <w:rStyle w:val="s1"/>
          <w:rFonts w:ascii="Arial" w:hAnsi="Arial" w:cs="Arial"/>
          <w:sz w:val="22"/>
          <w:szCs w:val="22"/>
        </w:rPr>
      </w:pPr>
      <w:r w:rsidRPr="00034470">
        <w:rPr>
          <w:rStyle w:val="s1"/>
          <w:rFonts w:ascii="Arial" w:hAnsi="Arial" w:cs="Arial"/>
          <w:sz w:val="22"/>
          <w:szCs w:val="22"/>
        </w:rPr>
        <w:t xml:space="preserve">Disabled people in the UK experience interconnected health and social inequalities. Higher depression, chronic illness and premature mortality are reinforced by loneliness, poverty, employment disadvantage and inaccessible housing. These patterns cannot be explained by impairment alone. Equality law, accessible NHS standards, reasonable adjustments and targeted health checks can reduce barriers, while Scope contributes through support, evidence and campaigning. Long-term improvement requires action on healthcare access and the wider social determinants of health. In practice, this means measuring outcomes by disability status, involving disabled people in service design, and ensuring that national rights translate into consistent local access. </w:t>
      </w:r>
    </w:p>
    <w:p w14:paraId="698BB548" w14:textId="77777777" w:rsidR="001C2070" w:rsidRPr="001C2070" w:rsidRDefault="001C2070" w:rsidP="001C2070">
      <w:pPr>
        <w:pStyle w:val="Heading1"/>
        <w:divId w:val="1901597824"/>
        <w:rPr>
          <w:rStyle w:val="s1"/>
          <w:rFonts w:asciiTheme="majorHAnsi" w:hAnsiTheme="majorHAnsi"/>
          <w:sz w:val="40"/>
          <w:szCs w:val="40"/>
        </w:rPr>
      </w:pPr>
      <w:bookmarkStart w:id="12" w:name="_Toc237612402"/>
      <w:r w:rsidRPr="001C2070">
        <w:rPr>
          <w:rStyle w:val="s1"/>
          <w:rFonts w:asciiTheme="majorHAnsi" w:hAnsiTheme="majorHAnsi"/>
          <w:sz w:val="40"/>
          <w:szCs w:val="40"/>
        </w:rPr>
        <w:t>Task 2: Epidemiological Analysis</w:t>
      </w:r>
      <w:bookmarkEnd w:id="12"/>
      <w:r w:rsidRPr="001C2070">
        <w:rPr>
          <w:rStyle w:val="s1"/>
          <w:rFonts w:asciiTheme="majorHAnsi" w:hAnsiTheme="majorHAnsi"/>
          <w:sz w:val="40"/>
          <w:szCs w:val="40"/>
        </w:rPr>
        <w:t xml:space="preserve"> </w:t>
      </w:r>
    </w:p>
    <w:p w14:paraId="6811C8C3" w14:textId="77777777" w:rsidR="001C2070" w:rsidRPr="001C2070" w:rsidRDefault="001C2070" w:rsidP="001C2070">
      <w:pPr>
        <w:pStyle w:val="Heading2"/>
        <w:divId w:val="1901597824"/>
        <w:rPr>
          <w:rStyle w:val="s1"/>
          <w:rFonts w:asciiTheme="majorHAnsi" w:hAnsiTheme="majorHAnsi"/>
          <w:sz w:val="32"/>
          <w:szCs w:val="32"/>
        </w:rPr>
      </w:pPr>
      <w:bookmarkStart w:id="13" w:name="_Toc237612403"/>
      <w:r w:rsidRPr="001C2070">
        <w:rPr>
          <w:rStyle w:val="s1"/>
          <w:rFonts w:asciiTheme="majorHAnsi" w:hAnsiTheme="majorHAnsi"/>
          <w:sz w:val="32"/>
          <w:szCs w:val="32"/>
        </w:rPr>
        <w:t>Dementia in Wandsworth: Epidemiological Identification, Assessment and Management of a Major Public Health Problem</w:t>
      </w:r>
      <w:bookmarkEnd w:id="13"/>
      <w:r w:rsidRPr="001C2070">
        <w:rPr>
          <w:rStyle w:val="s1"/>
          <w:rFonts w:asciiTheme="majorHAnsi" w:hAnsiTheme="majorHAnsi"/>
          <w:sz w:val="32"/>
          <w:szCs w:val="32"/>
        </w:rPr>
        <w:t xml:space="preserve"> </w:t>
      </w:r>
    </w:p>
    <w:p w14:paraId="5F34A17F" w14:textId="65256E9F" w:rsidR="00875EBE" w:rsidRPr="001C2070" w:rsidRDefault="00875EBE" w:rsidP="001C2070">
      <w:pPr>
        <w:pStyle w:val="Heading3"/>
        <w:divId w:val="1901597824"/>
        <w:rPr>
          <w:rStyle w:val="s1"/>
          <w:rFonts w:asciiTheme="minorHAnsi" w:hAnsiTheme="minorHAnsi"/>
          <w:sz w:val="28"/>
          <w:szCs w:val="28"/>
        </w:rPr>
      </w:pPr>
      <w:bookmarkStart w:id="14" w:name="_Toc237612404"/>
      <w:r w:rsidRPr="001C2070">
        <w:rPr>
          <w:rStyle w:val="s1"/>
          <w:rFonts w:asciiTheme="minorHAnsi" w:hAnsiTheme="minorHAnsi"/>
          <w:sz w:val="28"/>
          <w:szCs w:val="28"/>
        </w:rPr>
        <w:t>Introduction</w:t>
      </w:r>
      <w:bookmarkEnd w:id="14"/>
    </w:p>
    <w:p w14:paraId="29C90EAC" w14:textId="0C967F7B"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Dementia is a syndrome caused by diseases and injuries affecting the brain, producing progressive impairment in memory, thinking, behaviour and everyday functioning. Alzheimer disease accounts for about 60–70% of cases (World Health </w:t>
      </w:r>
      <w:r w:rsidR="00742834">
        <w:rPr>
          <w:rFonts w:ascii="Arial" w:hAnsi="Arial" w:cs="Arial"/>
          <w:sz w:val="22"/>
          <w:szCs w:val="22"/>
        </w:rPr>
        <w:t>Organisation</w:t>
      </w:r>
      <w:r w:rsidRPr="00475A5E">
        <w:rPr>
          <w:rFonts w:ascii="Arial" w:hAnsi="Arial" w:cs="Arial"/>
          <w:sz w:val="22"/>
          <w:szCs w:val="22"/>
        </w:rPr>
        <w:t>, 2026). Dementia can lead to loss of independence, communication difficulties, hospitalisation and increasing dependence on unpaid and formal care. Families may experience emotional distress, lost employment and financial pressure. In epidemiology, prevalence describes all existing cases in a population at a specified time, whereas incidence measures new cases developing over a period. Globally, around 57 million people were living with dementia in 2021</w:t>
      </w:r>
      <w:r w:rsidR="001C2070">
        <w:rPr>
          <w:rFonts w:ascii="Arial" w:hAnsi="Arial" w:cs="Arial"/>
          <w:sz w:val="22"/>
          <w:szCs w:val="22"/>
        </w:rPr>
        <w:t>,</w:t>
      </w:r>
      <w:r w:rsidRPr="00475A5E">
        <w:rPr>
          <w:rFonts w:ascii="Arial" w:hAnsi="Arial" w:cs="Arial"/>
          <w:sz w:val="22"/>
          <w:szCs w:val="22"/>
        </w:rPr>
        <w:t xml:space="preserve"> and nearly 10 million new cases occur each year (WHO, 2026). Because local dementia incidence is not routinely measured as completely as recorded diagnoses, prevalence and diagnosis-rate indicators are especially important for borough-level planning. In the UK, about 982,000 people are estimated to live with dementia, projected to rise to 1.4 million by 2040 (Alzheimer’s Society, 2024a). Dementia and Alzheimer’s disease remained the leading cause of death in England and Wales in 2025, with 72,272 registered deaths (ONS, 2026). </w:t>
      </w:r>
    </w:p>
    <w:p w14:paraId="76E1F535" w14:textId="77777777" w:rsidR="003A5D84" w:rsidRDefault="003A5D84" w:rsidP="00475A5E">
      <w:pPr>
        <w:pStyle w:val="p1"/>
        <w:spacing w:line="360" w:lineRule="auto"/>
        <w:divId w:val="275262032"/>
        <w:rPr>
          <w:rFonts w:ascii="Arial" w:hAnsi="Arial" w:cs="Arial"/>
          <w:sz w:val="22"/>
          <w:szCs w:val="22"/>
        </w:rPr>
      </w:pPr>
    </w:p>
    <w:p w14:paraId="51D58BD9" w14:textId="6AF5E869" w:rsidR="00D65E5D"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This report focuses on adults aged 65+ in the London Borough of Wandsworth. Wandsworth had an estimated population of 331,456 in 2025; 6.7% were aged 66–79 and 2.6% were 80+ (Wandsworth Council, 2025). The local JSNA reports a dementia diagnosis rate of 78.1% among people aged 65+, representing 1,868 diagnosed residents in 2025 (Wandsworth Council, 2026a). Although this exceeds national performance, it also indicates that some residents with dementia remain undiagnosed. </w:t>
      </w:r>
    </w:p>
    <w:p w14:paraId="5BAD7D0B" w14:textId="77777777" w:rsidR="00475A5E" w:rsidRPr="00475A5E" w:rsidRDefault="00475A5E" w:rsidP="001C2070">
      <w:pPr>
        <w:pStyle w:val="Heading3"/>
        <w:divId w:val="275262032"/>
      </w:pPr>
      <w:bookmarkStart w:id="15" w:name="_Toc237612405"/>
      <w:r w:rsidRPr="00475A5E">
        <w:t>Determinants and Risk Factors</w:t>
      </w:r>
      <w:bookmarkEnd w:id="15"/>
      <w:r w:rsidRPr="00475A5E">
        <w:t xml:space="preserve"> </w:t>
      </w:r>
    </w:p>
    <w:p w14:paraId="6D82A09B"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Age is the strongest non-modifiable risk factor, although dementia is not an inevitable consequence of ageing. Genetic susceptibility also contributes. The 2024 Lancet Commission identified 14 potentially modifiable factors, including lower education, hearing loss, hypertension, smoking, obesity, depression, physical inactivity, diabetes, excessive alcohol, traumatic brain injury, air pollution, social isolation, untreated vision loss and high LDL cholesterol. Together they were estimated to account for around 45% of dementia cases globally (Livingston et al., 2024). These risks are socially patterned because income, housing, education and access to preventive care influence exposure and management. UK cohort evidence also supports a life-course approach; Whitehall II analyses linked poorer cardiovascular health and earlier multimorbidity with higher later dementia risk (Sabia et al., 2019; Ben Hassen et al., 2022). </w:t>
      </w:r>
    </w:p>
    <w:p w14:paraId="2050AAE6" w14:textId="77777777" w:rsidR="00475A5E" w:rsidRPr="001C2070" w:rsidRDefault="00475A5E" w:rsidP="001C2070">
      <w:pPr>
        <w:pStyle w:val="Heading3"/>
        <w:divId w:val="275262032"/>
      </w:pPr>
      <w:bookmarkStart w:id="16" w:name="_Toc237612406"/>
      <w:r w:rsidRPr="001C2070">
        <w:t>Health Needs Assessment and Identification of Those at Risk</w:t>
      </w:r>
      <w:bookmarkEnd w:id="16"/>
      <w:r w:rsidRPr="001C2070">
        <w:t xml:space="preserve"> </w:t>
      </w:r>
    </w:p>
    <w:p w14:paraId="3FD72D27"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A health needs assessment combines epidemiological, service-use and community information to identify unmet need and priorities. In Wandsworth, highest-risk groups include older adults, especially the oldest residents, and people with cardiovascular disease, diabetes, hearing or vision loss, smoking history, social isolation or socioeconomic disadvantage. Wandsworth’s population aged 65+ is projected to increase by about 38% by 2039, increasing future dementia-related need (Wandsworth Council, 2024). </w:t>
      </w:r>
    </w:p>
    <w:p w14:paraId="3CEC1845" w14:textId="77777777" w:rsidR="00475A5E" w:rsidRPr="00475A5E" w:rsidRDefault="00475A5E" w:rsidP="00475A5E">
      <w:pPr>
        <w:pStyle w:val="p1"/>
        <w:spacing w:line="360" w:lineRule="auto"/>
        <w:divId w:val="275262032"/>
        <w:rPr>
          <w:rFonts w:ascii="Arial" w:hAnsi="Arial" w:cs="Arial"/>
          <w:sz w:val="22"/>
          <w:szCs w:val="22"/>
        </w:rPr>
      </w:pPr>
    </w:p>
    <w:p w14:paraId="486BE682"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The HNA should compare expected prevalence with recorded diagnoses, map variation by GP practice and neighbourhood, and examine age, sex, ethnicity, deprivation and access to memory assessment. Wandsworth’s 78.1% diagnosis rate is positive, but it does not establish whether diagnoses are timely or equitable. This distinction matters because the local NHS trust has reported demand and staffing pressures affecting six-week memory-service performance, including Wandsworth (South West London and St George’s Mental Health NHS Trust, 2025). </w:t>
      </w:r>
    </w:p>
    <w:p w14:paraId="7BEC01B7" w14:textId="4B593A42" w:rsidR="00475A5E" w:rsidRPr="00475A5E" w:rsidRDefault="00475A5E" w:rsidP="001C2070">
      <w:pPr>
        <w:pStyle w:val="Heading3"/>
        <w:divId w:val="275262032"/>
      </w:pPr>
      <w:bookmarkStart w:id="17" w:name="_Toc237612407"/>
      <w:r w:rsidRPr="00475A5E">
        <w:t>Epidemiological Studies and Their Use</w:t>
      </w:r>
      <w:bookmarkEnd w:id="17"/>
      <w:r w:rsidRPr="00475A5E">
        <w:t xml:space="preserve"> </w:t>
      </w:r>
    </w:p>
    <w:p w14:paraId="280AC02B"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Cohort studies are valuable because dementia risk factors may act decades before diagnosis. The London-based Whitehall II cohort has examined cardiovascular health, alcohol, multimorbidity and later dementia. Its strengths are temporality and long follow-up, but participants were civil servants and may not represent Wandsworth’s whole population. Cross-sectional studies and routine primary-care data estimate current prevalence and service need but cannot establish causation. Case-control studies can examine previous exposures efficiently but may suffer recall bias. For local planning, evidence should therefore be triangulated: longitudinal research helps explain risk while local routine data describe current burden. </w:t>
      </w:r>
    </w:p>
    <w:p w14:paraId="6CD59229" w14:textId="77777777" w:rsidR="00475A5E" w:rsidRPr="00475A5E" w:rsidRDefault="00475A5E" w:rsidP="001C2070">
      <w:pPr>
        <w:pStyle w:val="Heading3"/>
        <w:divId w:val="275262032"/>
      </w:pPr>
      <w:bookmarkStart w:id="18" w:name="_Toc237612408"/>
      <w:r w:rsidRPr="00475A5E">
        <w:t>Public Health Measures Using the 3 Ps</w:t>
      </w:r>
      <w:bookmarkEnd w:id="18"/>
      <w:r w:rsidRPr="00475A5E">
        <w:t xml:space="preserve"> </w:t>
      </w:r>
    </w:p>
    <w:p w14:paraId="53DD87C8" w14:textId="77777777" w:rsid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Health promotion should focus on brain health across the life course through smoking cessation, physical activity, healthy weight, reduced harmful alcohol use, social participation, hearing and vision support and management of hypertension, cholesterol and diabetes. Outreach should be proportionate to need so that residents with poorer access to preventive services are not missed. </w:t>
      </w:r>
    </w:p>
    <w:p w14:paraId="4D6AADFB" w14:textId="77777777" w:rsidR="00685D70" w:rsidRPr="00475A5E" w:rsidRDefault="00685D70" w:rsidP="00475A5E">
      <w:pPr>
        <w:pStyle w:val="p1"/>
        <w:spacing w:line="360" w:lineRule="auto"/>
        <w:divId w:val="275262032"/>
        <w:rPr>
          <w:rFonts w:ascii="Arial" w:hAnsi="Arial" w:cs="Arial"/>
          <w:sz w:val="22"/>
          <w:szCs w:val="22"/>
        </w:rPr>
      </w:pPr>
    </w:p>
    <w:p w14:paraId="73A5009B"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Disease prevention includes primary, secondary and tertiary prevention. Primary prevention reduces modifiable risks before dementia develops. Secondary prevention focuses on timely recognition and diagnosis. Wandsworth’s Memory Assessment Service provides specialist cognitive assessment, diagnosis, investigations and post-diagnostic support following referral (South West London and St George’s Mental Health NHS Trust, 2026). The borough’s 2026 Dementia Guide also identifies post-diagnostic support, including a Life after Diagnosis programme and dementia support services, showing how secondary prevention links with ongoing social and clinical care (Wandsworth Council, 2026b). Tertiary prevention seeks to reduce complications and maintain quality of life through appropriate medication, cognitive stimulation, falls prevention, carer support, advance care planning and coordinated social care, consistent with NICE NG97 (NICE, 2018). </w:t>
      </w:r>
    </w:p>
    <w:p w14:paraId="1C1540CF" w14:textId="77777777" w:rsidR="00475A5E" w:rsidRPr="00475A5E" w:rsidRDefault="00475A5E" w:rsidP="00475A5E">
      <w:pPr>
        <w:pStyle w:val="p1"/>
        <w:spacing w:line="360" w:lineRule="auto"/>
        <w:divId w:val="275262032"/>
        <w:rPr>
          <w:rFonts w:ascii="Arial" w:hAnsi="Arial" w:cs="Arial"/>
          <w:sz w:val="22"/>
          <w:szCs w:val="22"/>
        </w:rPr>
      </w:pPr>
    </w:p>
    <w:p w14:paraId="7663FA78"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Health protection aims to prevent additional harm. People with dementia may be particularly vulnerable to infection, falls, medication errors, dehydration and safeguarding risks. Vaccination, infection prevention, medicines review, safe care environments and adult safeguarding are therefore essential components of dementia public health management. </w:t>
      </w:r>
    </w:p>
    <w:p w14:paraId="5997733B" w14:textId="77777777" w:rsidR="00475A5E" w:rsidRPr="00475A5E" w:rsidRDefault="00475A5E" w:rsidP="001C2070">
      <w:pPr>
        <w:pStyle w:val="Heading3"/>
        <w:divId w:val="275262032"/>
      </w:pPr>
      <w:bookmarkStart w:id="19" w:name="_Toc237612409"/>
      <w:r w:rsidRPr="00475A5E">
        <w:t>Monitoring and Surveillance</w:t>
      </w:r>
      <w:bookmarkEnd w:id="19"/>
      <w:r w:rsidRPr="00475A5E">
        <w:t xml:space="preserve"> </w:t>
      </w:r>
    </w:p>
    <w:p w14:paraId="20C3D372" w14:textId="35D2CC35"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Dementia surveillance should combine several systems. GP dementia registers and NHS primary-care datasets provide recorded diagnoses and diagnosis rates. OHID Fingertips and the Wandsworth JSNA enable comparison with London and England. Hospital Episode Statistics identify emergency admissions and inpatient use, while ONS death-registration data monitor mortality. Memory Assessment Service data can monitor referrals, waiting times and diagnostic activity, and local authority data can track social-care and carer-support demand. </w:t>
      </w:r>
      <w:r w:rsidR="00351565">
        <w:rPr>
          <w:rFonts w:ascii="Arial" w:hAnsi="Arial" w:cs="Arial"/>
          <w:sz w:val="22"/>
          <w:szCs w:val="22"/>
        </w:rPr>
        <w:t xml:space="preserve"> (NHS England, 2005c)</w:t>
      </w:r>
    </w:p>
    <w:p w14:paraId="13938938" w14:textId="77777777" w:rsidR="00475A5E" w:rsidRPr="00475A5E" w:rsidRDefault="00475A5E" w:rsidP="00475A5E">
      <w:pPr>
        <w:pStyle w:val="p1"/>
        <w:spacing w:line="360" w:lineRule="auto"/>
        <w:divId w:val="275262032"/>
        <w:rPr>
          <w:rFonts w:ascii="Arial" w:hAnsi="Arial" w:cs="Arial"/>
          <w:sz w:val="22"/>
          <w:szCs w:val="22"/>
        </w:rPr>
      </w:pPr>
    </w:p>
    <w:p w14:paraId="1E03E3CA"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Each source has limitations. Recorded diagnoses underestimate true prevalence when people remain undiagnosed. Hospital data measure service use rather than community burden, while death certification may omit or misclassify dementia. Changes in coding or population estimates can also create apparent trends. No single surveillance source should therefore be interpreted alone. </w:t>
      </w:r>
    </w:p>
    <w:p w14:paraId="2B266F97" w14:textId="77777777" w:rsidR="00475A5E" w:rsidRPr="00475A5E" w:rsidRDefault="00475A5E" w:rsidP="001C2070">
      <w:pPr>
        <w:pStyle w:val="Heading3"/>
        <w:divId w:val="275262032"/>
      </w:pPr>
      <w:bookmarkStart w:id="20" w:name="_Toc237612410"/>
      <w:r w:rsidRPr="00475A5E">
        <w:t>Public Health Impact and Consequences</w:t>
      </w:r>
      <w:bookmarkEnd w:id="20"/>
      <w:r w:rsidRPr="00475A5E">
        <w:t xml:space="preserve"> </w:t>
      </w:r>
    </w:p>
    <w:p w14:paraId="4B025176"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In the short term, dementia increases GP consultations, memory-service referrals, medication reviews, hospital use and demand for carers and community services. Wandsworth’s emergency admission rate among people aged 65+ with dementia was 4,820.4 per 100,000 in 2019/20 (Wandsworth Council, 2026a). Long-term effects include progressive disability, loss of independence, safeguarding risk, residential or nursing care and death. Wandsworth’s mortality rate from dementia and Alzheimer’s disease was 108.6 per 100,000 in 2021–23 (Wandsworth Council, 2026a). Nationally, dementia was forecast to cost the UK £42 billion in 2024, much of it borne by individuals and unpaid carers (Alzheimer’s Society, 2024b). These data justify continued local service planning. </w:t>
      </w:r>
    </w:p>
    <w:p w14:paraId="0542071F" w14:textId="77777777" w:rsidR="00475A5E" w:rsidRPr="00475A5E" w:rsidRDefault="00475A5E" w:rsidP="001C2070">
      <w:pPr>
        <w:pStyle w:val="Heading3"/>
        <w:divId w:val="275262032"/>
      </w:pPr>
      <w:bookmarkStart w:id="21" w:name="_Toc237612411"/>
      <w:r w:rsidRPr="00475A5E">
        <w:t>Proposed Health Intervention Programme</w:t>
      </w:r>
      <w:bookmarkEnd w:id="21"/>
      <w:r w:rsidRPr="00475A5E">
        <w:t xml:space="preserve"> </w:t>
      </w:r>
    </w:p>
    <w:p w14:paraId="1D8B4FB2"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A 12-month “Wandsworth Brain Health and Timely Diagnosis Programme” could target residents aged 60+ in practices or neighbourhoods with lower diagnosis or preventive-service uptake. It would provide community education on symptoms and modifiable risks; targeted cardiovascular-risk review; hearing and vision signposting; cognitive case-finding for symptomatic people rather than population screening; streamlined GP referral to the Memory Assessment Service; culturally appropriate information; and navigation to post-diagnostic and carer support. Delivery through GPs, pharmacies, libraries, community organisations and voluntary groups could increase reach. </w:t>
      </w:r>
    </w:p>
    <w:p w14:paraId="4F2B888A" w14:textId="77777777" w:rsidR="00475A5E" w:rsidRPr="00475A5E" w:rsidRDefault="00475A5E" w:rsidP="001C2070">
      <w:pPr>
        <w:pStyle w:val="Heading3"/>
        <w:divId w:val="275262032"/>
      </w:pPr>
      <w:bookmarkStart w:id="22" w:name="_Toc237612412"/>
      <w:r w:rsidRPr="00475A5E">
        <w:t>Evaluation of the Intervention</w:t>
      </w:r>
      <w:bookmarkEnd w:id="22"/>
      <w:r w:rsidRPr="00475A5E">
        <w:t xml:space="preserve"> </w:t>
      </w:r>
    </w:p>
    <w:p w14:paraId="37221C8F"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Evaluation should include process, outcome and equity indicators. Process measures would include attendance, cardiovascular reviews, referrals, assessment waiting times and uptake of post-diagnostic support. Outcomes would include improved dementia knowledge, earlier diagnosis, reduced inequalities in referral, fewer avoidable emergency admissions and improved patient or carer experience. Recorded prevalence may initially rise because better case-finding identifies previously undiagnosed cases, so this should not be misinterpreted as programme failure. A pre/post comparison with similar practices not initially receiving the enhanced programme would strengthen evaluation. </w:t>
      </w:r>
    </w:p>
    <w:p w14:paraId="672FF9FD" w14:textId="77777777" w:rsidR="00475A5E" w:rsidRPr="00475A5E" w:rsidRDefault="00475A5E" w:rsidP="001C2070">
      <w:pPr>
        <w:pStyle w:val="Heading3"/>
        <w:divId w:val="275262032"/>
      </w:pPr>
      <w:bookmarkStart w:id="23" w:name="_Toc237612413"/>
      <w:r w:rsidRPr="00475A5E">
        <w:t>Strengths and Weaknesses of the Epidemiological Approach</w:t>
      </w:r>
      <w:bookmarkEnd w:id="23"/>
      <w:r w:rsidRPr="00475A5E">
        <w:t xml:space="preserve"> </w:t>
      </w:r>
    </w:p>
    <w:p w14:paraId="3D25A2C0" w14:textId="77777777" w:rsidR="00475A5E" w:rsidRPr="00475A5E" w:rsidRDefault="00475A5E" w:rsidP="00475A5E">
      <w:pPr>
        <w:pStyle w:val="p1"/>
        <w:spacing w:line="360" w:lineRule="auto"/>
        <w:divId w:val="275262032"/>
        <w:rPr>
          <w:rFonts w:ascii="Arial" w:hAnsi="Arial" w:cs="Arial"/>
          <w:sz w:val="22"/>
          <w:szCs w:val="22"/>
        </w:rPr>
      </w:pPr>
      <w:r w:rsidRPr="00475A5E">
        <w:rPr>
          <w:rFonts w:ascii="Arial" w:hAnsi="Arial" w:cs="Arial"/>
          <w:sz w:val="22"/>
          <w:szCs w:val="22"/>
        </w:rPr>
        <w:t xml:space="preserve">A major strength is triangulation of international evidence, UK cohort research, local surveillance and service data. This supports risk identification, needs assessment and measurable evaluation at a scale relevant to commissioning. However, dementia has a long latent period, making causal interpretation difficult. Underdiagnosis biases prevalence estimates, risk-factor data in routine records may be incomplete, and people less connected to services may be underrepresented. Observational studies are vulnerable to confounding and reverse causation; reduced physical activity, for example, can be both a risk factor and an early consequence of disease. Results must therefore be interpreted cautiously and updated using multiple data sources. A further limitation is ecological inference: borough-level deprivation or ethnicity patterns cannot be assumed to describe the risk of every individual resident. Data quality audits and patient or carer feedback should therefore complement quantitative surveillance. </w:t>
      </w:r>
    </w:p>
    <w:p w14:paraId="4CE90B39" w14:textId="77777777" w:rsidR="00475A5E" w:rsidRPr="00475A5E" w:rsidRDefault="00475A5E" w:rsidP="001C2070">
      <w:pPr>
        <w:pStyle w:val="Heading3"/>
        <w:divId w:val="275262032"/>
      </w:pPr>
      <w:bookmarkStart w:id="24" w:name="_Toc237612414"/>
      <w:r w:rsidRPr="00475A5E">
        <w:t>Conclusion</w:t>
      </w:r>
      <w:bookmarkEnd w:id="24"/>
      <w:r w:rsidRPr="00475A5E">
        <w:t xml:space="preserve"> </w:t>
      </w:r>
    </w:p>
    <w:p w14:paraId="33F71625" w14:textId="0510FE1E" w:rsidR="00C93B47" w:rsidRDefault="00475A5E" w:rsidP="0086152D">
      <w:pPr>
        <w:pStyle w:val="p1"/>
        <w:spacing w:line="360" w:lineRule="auto"/>
        <w:divId w:val="275262032"/>
        <w:rPr>
          <w:rFonts w:ascii="Arial" w:hAnsi="Arial" w:cs="Arial"/>
          <w:sz w:val="22"/>
          <w:szCs w:val="22"/>
        </w:rPr>
      </w:pPr>
      <w:r w:rsidRPr="00475A5E">
        <w:rPr>
          <w:rFonts w:ascii="Arial" w:hAnsi="Arial" w:cs="Arial"/>
          <w:sz w:val="22"/>
          <w:szCs w:val="22"/>
        </w:rPr>
        <w:t xml:space="preserve">Dementia is a major and growing public health problem in Wandsworth. Epidemiology enables the borough to quantify burden, identify risk, assess unmet need, monitor services and evaluate interventions. Although Wandsworth’s diagnosis rate is comparatively high, population ageing, service pressures, emergency admissions and dementia-related mortality show continuing need. A life-course approach combining promotion, prevention, timely diagnosis, health protection and coordinated support, monitored through linked local data, offers the strongest basis for reducing future impact. </w:t>
      </w:r>
    </w:p>
    <w:p w14:paraId="1782B92E" w14:textId="300A5B12" w:rsidR="007537B2" w:rsidRDefault="007537B2" w:rsidP="001C2070">
      <w:pPr>
        <w:pStyle w:val="Heading1"/>
        <w:divId w:val="275262032"/>
        <w:rPr>
          <w:rStyle w:val="s1"/>
          <w:rFonts w:ascii="Arial" w:hAnsi="Arial" w:cs="Arial"/>
          <w:sz w:val="28"/>
          <w:szCs w:val="28"/>
        </w:rPr>
      </w:pPr>
      <w:bookmarkStart w:id="25" w:name="_Toc237612415"/>
      <w:r w:rsidRPr="001C2070">
        <w:t>References</w:t>
      </w:r>
      <w:bookmarkEnd w:id="25"/>
    </w:p>
    <w:p w14:paraId="5E746F74" w14:textId="149A2393"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Alzheimer’s Society (2024a) ‘How many people have dementia in the UK?’. Available at: https://www.alzheimers.org.uk/blog/how-many-people-have-dementia-uk (Accessed: 1</w:t>
      </w:r>
      <w:r w:rsidR="0022333F">
        <w:rPr>
          <w:rFonts w:ascii="Arial" w:hAnsi="Arial" w:cs="Arial"/>
          <w:sz w:val="22"/>
          <w:szCs w:val="22"/>
        </w:rPr>
        <w:t xml:space="preserve"> </w:t>
      </w:r>
      <w:r w:rsidRPr="0086152D">
        <w:rPr>
          <w:rFonts w:ascii="Arial" w:hAnsi="Arial" w:cs="Arial"/>
          <w:sz w:val="22"/>
          <w:szCs w:val="22"/>
        </w:rPr>
        <w:t xml:space="preserve">August 2026). </w:t>
      </w:r>
    </w:p>
    <w:p w14:paraId="67670A24" w14:textId="5446EE0F"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Alzheimer’s Society (2024b) ‘What are the costs of dementia diagnosis and care in the UK?’. Available at: https://www.alzheimers.org.uk/what-we-do/policy-and-influencing/dementia-scale-impact-numbers (Accessed: </w:t>
      </w:r>
      <w:r w:rsidR="00A73DAD">
        <w:rPr>
          <w:rFonts w:ascii="Arial" w:hAnsi="Arial" w:cs="Arial"/>
          <w:sz w:val="22"/>
          <w:szCs w:val="22"/>
        </w:rPr>
        <w:t>3</w:t>
      </w:r>
      <w:r w:rsidRPr="0086152D">
        <w:rPr>
          <w:rFonts w:ascii="Arial" w:hAnsi="Arial" w:cs="Arial"/>
          <w:sz w:val="22"/>
          <w:szCs w:val="22"/>
        </w:rPr>
        <w:t xml:space="preserve"> August 2026). </w:t>
      </w:r>
    </w:p>
    <w:p w14:paraId="5F8F5A8F" w14:textId="7FCE21C4"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Ben Hassen, C., Fayosse, A., Landré, B., Raggi, M., Bloomberg, M., Sabia, S. and Singh-Manoux, A. (2022) ‘Association between age at onset of multimorbidity and incidence of dementia: </w:t>
      </w:r>
      <w:proofErr w:type="gramStart"/>
      <w:r w:rsidRPr="0086152D">
        <w:rPr>
          <w:rFonts w:ascii="Arial" w:hAnsi="Arial" w:cs="Arial"/>
          <w:sz w:val="22"/>
          <w:szCs w:val="22"/>
        </w:rPr>
        <w:t>30 year</w:t>
      </w:r>
      <w:proofErr w:type="gramEnd"/>
      <w:r w:rsidRPr="0086152D">
        <w:rPr>
          <w:rFonts w:ascii="Arial" w:hAnsi="Arial" w:cs="Arial"/>
          <w:sz w:val="22"/>
          <w:szCs w:val="22"/>
        </w:rPr>
        <w:t xml:space="preserve"> follow-up in Whitehall II prospective cohort study’, BMJ, 376, e068005. doi:10.1136/bmj-2021-068005</w:t>
      </w:r>
      <w:r w:rsidR="006137DD">
        <w:rPr>
          <w:rFonts w:ascii="Arial" w:hAnsi="Arial" w:cs="Arial"/>
          <w:sz w:val="22"/>
          <w:szCs w:val="22"/>
        </w:rPr>
        <w:t>.</w:t>
      </w:r>
    </w:p>
    <w:p w14:paraId="0FEF0EA5" w14:textId="71BDFDFF"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Department for Work and Pensions (2025) The employment of disabled people 2025. Available at: https://www.gov.uk/government/statistics/the-employment-of-disabled-people-2025/the-employment-of-disabled-people-2025 (Accessed: </w:t>
      </w:r>
      <w:r w:rsidR="00354CD6">
        <w:rPr>
          <w:rFonts w:ascii="Arial" w:hAnsi="Arial" w:cs="Arial"/>
          <w:sz w:val="22"/>
          <w:szCs w:val="22"/>
        </w:rPr>
        <w:t>3</w:t>
      </w:r>
      <w:r w:rsidRPr="0086152D">
        <w:rPr>
          <w:rFonts w:ascii="Arial" w:hAnsi="Arial" w:cs="Arial"/>
          <w:sz w:val="22"/>
          <w:szCs w:val="22"/>
        </w:rPr>
        <w:t xml:space="preserve"> August 2026). </w:t>
      </w:r>
    </w:p>
    <w:p w14:paraId="78B4A87D" w14:textId="3C049F8C"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Department for Work and Pensions (2026) Family Resources Survey: financial year 2024 to 2025. Available at: https://www.gov.uk/government/statistics/family-resources-survey-financial-year-2024-to-2025/family-resources-survey-financial-year-2024-to-2025 (Accessed: </w:t>
      </w:r>
      <w:r w:rsidR="00AF21AD">
        <w:rPr>
          <w:rFonts w:ascii="Arial" w:hAnsi="Arial" w:cs="Arial"/>
          <w:sz w:val="22"/>
          <w:szCs w:val="22"/>
        </w:rPr>
        <w:t>5</w:t>
      </w:r>
      <w:r w:rsidRPr="0086152D">
        <w:rPr>
          <w:rFonts w:ascii="Arial" w:hAnsi="Arial" w:cs="Arial"/>
          <w:sz w:val="22"/>
          <w:szCs w:val="22"/>
        </w:rPr>
        <w:t xml:space="preserve"> August 2026). </w:t>
      </w:r>
    </w:p>
    <w:p w14:paraId="263F52F6" w14:textId="6AA50BE7"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Livingston, G., Huntley, J., Liu, K.Y., Costafreda, S.G., Selbæk, G., Alladi, S. et al. (2024) ‘Dementia prevention, intervention, and care: 2024 report of the Lancet standing Commission’, The Lancet, 404(10452), pp. 572–628. doi:10.1016/S0140-6736(24)01296-0. </w:t>
      </w:r>
    </w:p>
    <w:p w14:paraId="4F0BE867" w14:textId="629A4AB2"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National Institute for Health and Care Excellence (NICE) (2018) Dementia: assessment, management and support for people living with dementia and their carers (NG97). Available at: https://www.nice.org.uk/guidance/ng97 (Accessed: </w:t>
      </w:r>
      <w:r w:rsidR="00E7612C">
        <w:rPr>
          <w:rFonts w:ascii="Arial" w:hAnsi="Arial" w:cs="Arial"/>
          <w:sz w:val="22"/>
          <w:szCs w:val="22"/>
        </w:rPr>
        <w:t>5</w:t>
      </w:r>
      <w:r w:rsidRPr="0086152D">
        <w:rPr>
          <w:rFonts w:ascii="Arial" w:hAnsi="Arial" w:cs="Arial"/>
          <w:sz w:val="22"/>
          <w:szCs w:val="22"/>
        </w:rPr>
        <w:t xml:space="preserve"> August 2026). </w:t>
      </w:r>
    </w:p>
    <w:p w14:paraId="1D581A2C" w14:textId="1483F73E"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NHS England (2025a) Update on Learning Disability and Autism Programme. Available at: https://www.england.nhs.uk/long-read/update-on-learning-disability-and-autism-programme/ (Accessed: </w:t>
      </w:r>
      <w:r w:rsidR="00847C0B">
        <w:rPr>
          <w:rFonts w:ascii="Arial" w:hAnsi="Arial" w:cs="Arial"/>
          <w:sz w:val="22"/>
          <w:szCs w:val="22"/>
        </w:rPr>
        <w:t>5</w:t>
      </w:r>
      <w:r w:rsidRPr="0086152D">
        <w:rPr>
          <w:rFonts w:ascii="Arial" w:hAnsi="Arial" w:cs="Arial"/>
          <w:sz w:val="22"/>
          <w:szCs w:val="22"/>
        </w:rPr>
        <w:t xml:space="preserve"> August 2026). </w:t>
      </w:r>
    </w:p>
    <w:p w14:paraId="4BBAB15B" w14:textId="41DDD730" w:rsid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NHS England (2025b) Accessible Information Standard – requirements (DAPB1605). Available at: https://www.england.nhs.uk/long-read/accessible-information-standard-requirements-dapb1605/ (Accessed: </w:t>
      </w:r>
      <w:r w:rsidR="00847C0B">
        <w:rPr>
          <w:rFonts w:ascii="Arial" w:hAnsi="Arial" w:cs="Arial"/>
          <w:sz w:val="22"/>
          <w:szCs w:val="22"/>
        </w:rPr>
        <w:t>6</w:t>
      </w:r>
      <w:r w:rsidRPr="0086152D">
        <w:rPr>
          <w:rFonts w:ascii="Arial" w:hAnsi="Arial" w:cs="Arial"/>
          <w:sz w:val="22"/>
          <w:szCs w:val="22"/>
        </w:rPr>
        <w:t xml:space="preserve"> August 2026). </w:t>
      </w:r>
    </w:p>
    <w:p w14:paraId="67F4F36F" w14:textId="42E05CFA" w:rsidR="00351565" w:rsidRDefault="00351565" w:rsidP="00F32265">
      <w:pPr>
        <w:pStyle w:val="p1"/>
        <w:spacing w:line="360" w:lineRule="auto"/>
        <w:divId w:val="275262032"/>
        <w:rPr>
          <w:rFonts w:ascii="Arial" w:hAnsi="Arial" w:cs="Arial"/>
          <w:sz w:val="22"/>
          <w:szCs w:val="22"/>
        </w:rPr>
      </w:pPr>
      <w:r w:rsidRPr="00351565">
        <w:rPr>
          <w:rFonts w:ascii="Arial" w:hAnsi="Arial" w:cs="Arial"/>
          <w:sz w:val="22"/>
          <w:szCs w:val="22"/>
        </w:rPr>
        <w:t>NHS England (2025</w:t>
      </w:r>
      <w:r>
        <w:rPr>
          <w:rFonts w:ascii="Arial" w:hAnsi="Arial" w:cs="Arial"/>
          <w:sz w:val="22"/>
          <w:szCs w:val="22"/>
        </w:rPr>
        <w:t>c</w:t>
      </w:r>
      <w:r w:rsidRPr="00351565">
        <w:rPr>
          <w:rFonts w:ascii="Arial" w:hAnsi="Arial" w:cs="Arial"/>
          <w:sz w:val="22"/>
          <w:szCs w:val="22"/>
        </w:rPr>
        <w:t>) Hospital Episode Statistics (HES). Available at: https://digital.nhs.uk/data-and-information/data-tools-and-services/data-services/hospital-episode-statistics (Accessed: 1</w:t>
      </w:r>
      <w:r w:rsidR="00C97FFD">
        <w:rPr>
          <w:rFonts w:ascii="Arial" w:hAnsi="Arial" w:cs="Arial"/>
          <w:sz w:val="22"/>
          <w:szCs w:val="22"/>
        </w:rPr>
        <w:t>1</w:t>
      </w:r>
      <w:r w:rsidRPr="00351565">
        <w:rPr>
          <w:rFonts w:ascii="Arial" w:hAnsi="Arial" w:cs="Arial"/>
          <w:sz w:val="22"/>
          <w:szCs w:val="22"/>
        </w:rPr>
        <w:t xml:space="preserve"> August 2026).</w:t>
      </w:r>
    </w:p>
    <w:p w14:paraId="4094D7B8" w14:textId="24B08FFF" w:rsidR="00C97FFD" w:rsidRDefault="00C97FFD" w:rsidP="00F32265">
      <w:pPr>
        <w:pStyle w:val="p1"/>
        <w:spacing w:line="360" w:lineRule="auto"/>
        <w:divId w:val="275262032"/>
        <w:rPr>
          <w:rFonts w:ascii="Arial" w:hAnsi="Arial" w:cs="Arial"/>
          <w:sz w:val="22"/>
          <w:szCs w:val="22"/>
        </w:rPr>
      </w:pPr>
      <w:r w:rsidRPr="00C97FFD">
        <w:rPr>
          <w:rFonts w:ascii="Arial" w:hAnsi="Arial" w:cs="Arial"/>
          <w:sz w:val="22"/>
          <w:szCs w:val="22"/>
        </w:rPr>
        <w:t>NHS England (2025) Quality and Outcomes Framework (QOF): Dementia. Available at: https://digital.nhs.uk/data-and-information/data-tools-and-services/data-services/general-practice-data-hub/quality-outcomes-framework-qof (Accessed: 1</w:t>
      </w:r>
      <w:r>
        <w:rPr>
          <w:rFonts w:ascii="Arial" w:hAnsi="Arial" w:cs="Arial"/>
          <w:sz w:val="22"/>
          <w:szCs w:val="22"/>
        </w:rPr>
        <w:t>1</w:t>
      </w:r>
      <w:r w:rsidRPr="00C97FFD">
        <w:rPr>
          <w:rFonts w:ascii="Arial" w:hAnsi="Arial" w:cs="Arial"/>
          <w:sz w:val="22"/>
          <w:szCs w:val="22"/>
        </w:rPr>
        <w:t xml:space="preserve"> August 2026).</w:t>
      </w:r>
    </w:p>
    <w:p w14:paraId="73287EF9" w14:textId="1371B7F9" w:rsidR="00F776A7" w:rsidRDefault="00F776A7" w:rsidP="00F32265">
      <w:pPr>
        <w:pStyle w:val="p1"/>
        <w:spacing w:line="360" w:lineRule="auto"/>
        <w:divId w:val="275262032"/>
        <w:rPr>
          <w:rFonts w:ascii="Arial" w:hAnsi="Arial" w:cs="Arial"/>
          <w:sz w:val="22"/>
          <w:szCs w:val="22"/>
        </w:rPr>
      </w:pPr>
      <w:r w:rsidRPr="00F776A7">
        <w:rPr>
          <w:rFonts w:ascii="Arial" w:hAnsi="Arial" w:cs="Arial"/>
          <w:sz w:val="22"/>
          <w:szCs w:val="22"/>
        </w:rPr>
        <w:t xml:space="preserve">Office for Health Improvement and Disparities (OHID) (2025) Fingertips Public Health Profiles. Available at: https://fingertips.phe.org.uk/ (Accessed: </w:t>
      </w:r>
      <w:r>
        <w:rPr>
          <w:rFonts w:ascii="Arial" w:hAnsi="Arial" w:cs="Arial"/>
          <w:sz w:val="22"/>
          <w:szCs w:val="22"/>
        </w:rPr>
        <w:t>10</w:t>
      </w:r>
      <w:r w:rsidRPr="00F776A7">
        <w:rPr>
          <w:rFonts w:ascii="Arial" w:hAnsi="Arial" w:cs="Arial"/>
          <w:sz w:val="22"/>
          <w:szCs w:val="22"/>
        </w:rPr>
        <w:t xml:space="preserve"> August 2026).</w:t>
      </w:r>
    </w:p>
    <w:p w14:paraId="3AE5B4D3" w14:textId="63081733"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Office for National Statistics (ONS) (2022a) Cost of living and depression in adults, Great Britain: 29 September to 23 October 2022. Available at: https://www.ons.gov.uk/peoplepopulationandcommunity/healthandsocialcare/mentalhealth/articles/costoflivinganddepressioninadultsgreatbritain/29septemberto23october2022 (Accessed: </w:t>
      </w:r>
      <w:r w:rsidR="00847C0B">
        <w:rPr>
          <w:rFonts w:ascii="Arial" w:hAnsi="Arial" w:cs="Arial"/>
          <w:sz w:val="22"/>
          <w:szCs w:val="22"/>
        </w:rPr>
        <w:t>6</w:t>
      </w:r>
      <w:r w:rsidRPr="0086152D">
        <w:rPr>
          <w:rFonts w:ascii="Arial" w:hAnsi="Arial" w:cs="Arial"/>
          <w:sz w:val="22"/>
          <w:szCs w:val="22"/>
        </w:rPr>
        <w:t xml:space="preserve"> August 2026). </w:t>
      </w:r>
    </w:p>
    <w:p w14:paraId="3144E2C1" w14:textId="5BB842BE" w:rsid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Office for National Statistics (ONS) (2022b) Outcomes for disabled people in the UK: 2021. Available at: https://www.ons.gov.uk/peoplepopulationandcommunity/healthandsocialcare/disability/articles/outcomesfordisabledpeopleintheuk/2021 (Accessed: </w:t>
      </w:r>
      <w:r w:rsidR="006E640F">
        <w:rPr>
          <w:rFonts w:ascii="Arial" w:hAnsi="Arial" w:cs="Arial"/>
          <w:sz w:val="22"/>
          <w:szCs w:val="22"/>
        </w:rPr>
        <w:t>6</w:t>
      </w:r>
      <w:r w:rsidRPr="0086152D">
        <w:rPr>
          <w:rFonts w:ascii="Arial" w:hAnsi="Arial" w:cs="Arial"/>
          <w:sz w:val="22"/>
          <w:szCs w:val="22"/>
        </w:rPr>
        <w:t xml:space="preserve"> August 2026). </w:t>
      </w:r>
    </w:p>
    <w:p w14:paraId="1A890CFB" w14:textId="2F096BF7" w:rsidR="00A336BF" w:rsidRPr="0086152D" w:rsidRDefault="00A336BF" w:rsidP="00F32265">
      <w:pPr>
        <w:pStyle w:val="p1"/>
        <w:spacing w:line="360" w:lineRule="auto"/>
        <w:divId w:val="275262032"/>
        <w:rPr>
          <w:rFonts w:ascii="Arial" w:hAnsi="Arial" w:cs="Arial"/>
          <w:sz w:val="22"/>
          <w:szCs w:val="22"/>
        </w:rPr>
      </w:pPr>
      <w:r w:rsidRPr="00A336BF">
        <w:rPr>
          <w:rFonts w:ascii="Arial" w:hAnsi="Arial" w:cs="Arial"/>
          <w:sz w:val="22"/>
          <w:szCs w:val="22"/>
        </w:rPr>
        <w:t xml:space="preserve">Office for National Statistics (ONS) (2025) Deaths registered in England and Wales. Newport: ONS. Available at: https://www.ons.gov.uk/ (Accessed: </w:t>
      </w:r>
      <w:r>
        <w:rPr>
          <w:rFonts w:ascii="Arial" w:hAnsi="Arial" w:cs="Arial"/>
          <w:sz w:val="22"/>
          <w:szCs w:val="22"/>
        </w:rPr>
        <w:t>6</w:t>
      </w:r>
      <w:r w:rsidRPr="00A336BF">
        <w:rPr>
          <w:rFonts w:ascii="Arial" w:hAnsi="Arial" w:cs="Arial"/>
          <w:sz w:val="22"/>
          <w:szCs w:val="22"/>
        </w:rPr>
        <w:t xml:space="preserve"> August 2026).</w:t>
      </w:r>
    </w:p>
    <w:p w14:paraId="509A72B5" w14:textId="0E5C094B"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Office for National Statistics (ONS) (2026) Death registration summary statistics, England and Wales: 2025. Available at:</w:t>
      </w:r>
      <w:r w:rsidR="00806A54">
        <w:rPr>
          <w:rFonts w:ascii="Arial" w:hAnsi="Arial" w:cs="Arial"/>
          <w:sz w:val="22"/>
          <w:szCs w:val="22"/>
        </w:rPr>
        <w:t xml:space="preserve"> </w:t>
      </w:r>
      <w:r w:rsidRPr="0086152D">
        <w:rPr>
          <w:rFonts w:ascii="Arial" w:hAnsi="Arial" w:cs="Arial"/>
          <w:sz w:val="22"/>
          <w:szCs w:val="22"/>
        </w:rPr>
        <w:t xml:space="preserve">https://www.ons.gov.uk/peoplepopulationandcommunity/birthsdeathsandmarriages/deaths/bulletins/deathregistrationsummarystatisticsenglandandwales/2025 (Accessed: </w:t>
      </w:r>
      <w:r w:rsidR="00861562">
        <w:rPr>
          <w:rFonts w:ascii="Arial" w:hAnsi="Arial" w:cs="Arial"/>
          <w:sz w:val="22"/>
          <w:szCs w:val="22"/>
        </w:rPr>
        <w:t>6</w:t>
      </w:r>
      <w:r w:rsidRPr="0086152D">
        <w:rPr>
          <w:rFonts w:ascii="Arial" w:hAnsi="Arial" w:cs="Arial"/>
          <w:sz w:val="22"/>
          <w:szCs w:val="22"/>
        </w:rPr>
        <w:t xml:space="preserve"> August 2026). </w:t>
      </w:r>
    </w:p>
    <w:p w14:paraId="43494432" w14:textId="58C69241"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Sabia, S., Fayosse, A., Dumurgier, J., Schnitzler, A., Empana, J-P., Ebmeier, K.P., Dugravot, A., Kivimäki, M. and Singh-Manoux, A. (2019) ‘Association of ideal cardiovascular health at age 50 with incidence of dementia: </w:t>
      </w:r>
      <w:proofErr w:type="gramStart"/>
      <w:r w:rsidRPr="0086152D">
        <w:rPr>
          <w:rFonts w:ascii="Arial" w:hAnsi="Arial" w:cs="Arial"/>
          <w:sz w:val="22"/>
          <w:szCs w:val="22"/>
        </w:rPr>
        <w:t>25 year</w:t>
      </w:r>
      <w:proofErr w:type="gramEnd"/>
      <w:r w:rsidRPr="0086152D">
        <w:rPr>
          <w:rFonts w:ascii="Arial" w:hAnsi="Arial" w:cs="Arial"/>
          <w:sz w:val="22"/>
          <w:szCs w:val="22"/>
        </w:rPr>
        <w:t xml:space="preserve"> follow-up of Whitehall II cohort study’, BMJ, 366, l4414. doi:10.1136/bmj.l4414. </w:t>
      </w:r>
    </w:p>
    <w:p w14:paraId="1D63BDBD" w14:textId="77777777"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Scope (2025) Disability Price Tag 2025. Available at: https://www.scope.org.uk/campaigns/disability-price-tag (Accessed: 14 August 2026). </w:t>
      </w:r>
    </w:p>
    <w:p w14:paraId="48FAA048" w14:textId="44AFA021" w:rsidR="0086152D" w:rsidRPr="0086152D" w:rsidRDefault="0086152D" w:rsidP="00F32265">
      <w:pPr>
        <w:pStyle w:val="p1"/>
        <w:spacing w:line="360" w:lineRule="auto"/>
        <w:divId w:val="275262032"/>
        <w:rPr>
          <w:rFonts w:ascii="Arial" w:hAnsi="Arial" w:cs="Arial"/>
          <w:sz w:val="22"/>
          <w:szCs w:val="22"/>
        </w:rPr>
      </w:pPr>
      <w:proofErr w:type="gramStart"/>
      <w:r w:rsidRPr="0086152D">
        <w:rPr>
          <w:rFonts w:ascii="Arial" w:hAnsi="Arial" w:cs="Arial"/>
          <w:sz w:val="22"/>
          <w:szCs w:val="22"/>
        </w:rPr>
        <w:t>South West</w:t>
      </w:r>
      <w:proofErr w:type="gramEnd"/>
      <w:r w:rsidRPr="0086152D">
        <w:rPr>
          <w:rFonts w:ascii="Arial" w:hAnsi="Arial" w:cs="Arial"/>
          <w:sz w:val="22"/>
          <w:szCs w:val="22"/>
        </w:rPr>
        <w:t xml:space="preserve"> London and St George’s Mental Health NHS Trust (2025) Performance analysis. Available at: https://swlstg.nhs.uk/annual-report-performance-analysis (Accessed: </w:t>
      </w:r>
      <w:r w:rsidR="00577679">
        <w:rPr>
          <w:rFonts w:ascii="Arial" w:hAnsi="Arial" w:cs="Arial"/>
          <w:sz w:val="22"/>
          <w:szCs w:val="22"/>
        </w:rPr>
        <w:t>6</w:t>
      </w:r>
      <w:r w:rsidRPr="0086152D">
        <w:rPr>
          <w:rFonts w:ascii="Arial" w:hAnsi="Arial" w:cs="Arial"/>
          <w:sz w:val="22"/>
          <w:szCs w:val="22"/>
        </w:rPr>
        <w:t xml:space="preserve"> August 2026). </w:t>
      </w:r>
    </w:p>
    <w:p w14:paraId="2C3E8427" w14:textId="1274CAB2" w:rsidR="0086152D" w:rsidRPr="0086152D" w:rsidRDefault="0086152D" w:rsidP="00F32265">
      <w:pPr>
        <w:pStyle w:val="p1"/>
        <w:spacing w:line="360" w:lineRule="auto"/>
        <w:divId w:val="275262032"/>
        <w:rPr>
          <w:rFonts w:ascii="Arial" w:hAnsi="Arial" w:cs="Arial"/>
          <w:sz w:val="22"/>
          <w:szCs w:val="22"/>
        </w:rPr>
      </w:pPr>
      <w:proofErr w:type="gramStart"/>
      <w:r w:rsidRPr="0086152D">
        <w:rPr>
          <w:rFonts w:ascii="Arial" w:hAnsi="Arial" w:cs="Arial"/>
          <w:sz w:val="22"/>
          <w:szCs w:val="22"/>
        </w:rPr>
        <w:t>South West</w:t>
      </w:r>
      <w:proofErr w:type="gramEnd"/>
      <w:r w:rsidRPr="0086152D">
        <w:rPr>
          <w:rFonts w:ascii="Arial" w:hAnsi="Arial" w:cs="Arial"/>
          <w:sz w:val="22"/>
          <w:szCs w:val="22"/>
        </w:rPr>
        <w:t xml:space="preserve"> London and St George’s Mental Health NHS Trust (2026) Wandsworth Older Adults Services. Available at: https://swlstg.nhs.uk/service-detail/service/wandsworth-older-adults-services-186/ (Accessed: </w:t>
      </w:r>
      <w:r w:rsidR="00823EE3">
        <w:rPr>
          <w:rFonts w:ascii="Arial" w:hAnsi="Arial" w:cs="Arial"/>
          <w:sz w:val="22"/>
          <w:szCs w:val="22"/>
        </w:rPr>
        <w:t>6</w:t>
      </w:r>
      <w:r w:rsidRPr="0086152D">
        <w:rPr>
          <w:rFonts w:ascii="Arial" w:hAnsi="Arial" w:cs="Arial"/>
          <w:sz w:val="22"/>
          <w:szCs w:val="22"/>
        </w:rPr>
        <w:t xml:space="preserve"> August 2026). </w:t>
      </w:r>
    </w:p>
    <w:p w14:paraId="1486122A" w14:textId="6A018B2E"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Sport England (2026) Disabled people. Available at: https://www.sportengland.org/research-and-data/research/disabled-people (Accessed: </w:t>
      </w:r>
      <w:r w:rsidR="00323165">
        <w:rPr>
          <w:rFonts w:ascii="Arial" w:hAnsi="Arial" w:cs="Arial"/>
          <w:sz w:val="22"/>
          <w:szCs w:val="22"/>
        </w:rPr>
        <w:t>6</w:t>
      </w:r>
      <w:r w:rsidRPr="0086152D">
        <w:rPr>
          <w:rFonts w:ascii="Arial" w:hAnsi="Arial" w:cs="Arial"/>
          <w:sz w:val="22"/>
          <w:szCs w:val="22"/>
        </w:rPr>
        <w:t xml:space="preserve"> August 2026). </w:t>
      </w:r>
    </w:p>
    <w:p w14:paraId="4B624E2C" w14:textId="0E8274D2"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UK Government (2010) Equality Act 2010. London: The Stationery Office. Available at: https://www.legislation.gov.uk/ukpga/2010/15/contents (Accessed: </w:t>
      </w:r>
      <w:r w:rsidR="00323165">
        <w:rPr>
          <w:rFonts w:ascii="Arial" w:hAnsi="Arial" w:cs="Arial"/>
          <w:sz w:val="22"/>
          <w:szCs w:val="22"/>
        </w:rPr>
        <w:t>6</w:t>
      </w:r>
      <w:r w:rsidRPr="0086152D">
        <w:rPr>
          <w:rFonts w:ascii="Arial" w:hAnsi="Arial" w:cs="Arial"/>
          <w:sz w:val="22"/>
          <w:szCs w:val="22"/>
        </w:rPr>
        <w:t xml:space="preserve"> August 2026). </w:t>
      </w:r>
    </w:p>
    <w:p w14:paraId="4B152C52" w14:textId="21EE76B5"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UK Government (2026) Disabled </w:t>
      </w:r>
      <w:proofErr w:type="gramStart"/>
      <w:r w:rsidRPr="0086152D">
        <w:rPr>
          <w:rFonts w:ascii="Arial" w:hAnsi="Arial" w:cs="Arial"/>
          <w:sz w:val="22"/>
          <w:szCs w:val="22"/>
        </w:rPr>
        <w:t>people’s</w:t>
      </w:r>
      <w:proofErr w:type="gramEnd"/>
      <w:r w:rsidRPr="0086152D">
        <w:rPr>
          <w:rFonts w:ascii="Arial" w:hAnsi="Arial" w:cs="Arial"/>
          <w:sz w:val="22"/>
          <w:szCs w:val="22"/>
        </w:rPr>
        <w:t xml:space="preserve"> lived experience of housing in the UK: an evidence </w:t>
      </w:r>
      <w:proofErr w:type="gramStart"/>
      <w:r w:rsidRPr="0086152D">
        <w:rPr>
          <w:rFonts w:ascii="Arial" w:hAnsi="Arial" w:cs="Arial"/>
          <w:sz w:val="22"/>
          <w:szCs w:val="22"/>
        </w:rPr>
        <w:t>review</w:t>
      </w:r>
      <w:proofErr w:type="gramEnd"/>
      <w:r w:rsidRPr="0086152D">
        <w:rPr>
          <w:rFonts w:ascii="Arial" w:hAnsi="Arial" w:cs="Arial"/>
          <w:sz w:val="22"/>
          <w:szCs w:val="22"/>
        </w:rPr>
        <w:t xml:space="preserve">. Available at: https://www.gov.uk/government/publications/disabled-peoples-lived-experience-of-housing-in-the-uk/disabled-peoples-lived-experience-of-housing-in-the-uk-an-evidence-review (Accessed: </w:t>
      </w:r>
      <w:r w:rsidR="00323165">
        <w:rPr>
          <w:rFonts w:ascii="Arial" w:hAnsi="Arial" w:cs="Arial"/>
          <w:sz w:val="22"/>
          <w:szCs w:val="22"/>
        </w:rPr>
        <w:t>6</w:t>
      </w:r>
      <w:r w:rsidRPr="0086152D">
        <w:rPr>
          <w:rFonts w:ascii="Arial" w:hAnsi="Arial" w:cs="Arial"/>
          <w:sz w:val="22"/>
          <w:szCs w:val="22"/>
        </w:rPr>
        <w:t xml:space="preserve"> August 2026). </w:t>
      </w:r>
    </w:p>
    <w:p w14:paraId="1A9C523F" w14:textId="37B31E55"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Wandsworth Council (2024) Market Position Statement Evidence Base 2024. Available at: https://www.wandsworth.gov.uk/media/e4flhsur/mps_evidence_base.pdf (Accessed: </w:t>
      </w:r>
      <w:r w:rsidR="00323165">
        <w:rPr>
          <w:rFonts w:ascii="Arial" w:hAnsi="Arial" w:cs="Arial"/>
          <w:sz w:val="22"/>
          <w:szCs w:val="22"/>
        </w:rPr>
        <w:t xml:space="preserve">6 </w:t>
      </w:r>
      <w:r w:rsidRPr="0086152D">
        <w:rPr>
          <w:rFonts w:ascii="Arial" w:hAnsi="Arial" w:cs="Arial"/>
          <w:sz w:val="22"/>
          <w:szCs w:val="22"/>
        </w:rPr>
        <w:t xml:space="preserve">August 2026). </w:t>
      </w:r>
    </w:p>
    <w:p w14:paraId="36AD387E" w14:textId="5040BF22"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Wandsworth Council (2025) Pharmaceutical Needs Assessment 2025 to 2028. Available at: https://www.wandsworth.gov.uk/media/hi3digxa/pharmaceutical_needs_assessment_2025_to_2028.pdf (Accessed: </w:t>
      </w:r>
      <w:r w:rsidR="009E18BF">
        <w:rPr>
          <w:rFonts w:ascii="Arial" w:hAnsi="Arial" w:cs="Arial"/>
          <w:sz w:val="22"/>
          <w:szCs w:val="22"/>
        </w:rPr>
        <w:t>6</w:t>
      </w:r>
      <w:r w:rsidRPr="0086152D">
        <w:rPr>
          <w:rFonts w:ascii="Arial" w:hAnsi="Arial" w:cs="Arial"/>
          <w:sz w:val="22"/>
          <w:szCs w:val="22"/>
        </w:rPr>
        <w:t xml:space="preserve"> August 2026). </w:t>
      </w:r>
    </w:p>
    <w:p w14:paraId="42EBC989" w14:textId="2507C033"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Wandsworth Council (2026a) Joint Strategic Needs Assessment: Age Well. Available at: https://www.wandsworth.gov.uk/health-and-social-care/public-health/public-health-publications/jsna/jsna-age-well/ (Accessed: </w:t>
      </w:r>
      <w:r w:rsidR="009E18BF">
        <w:rPr>
          <w:rFonts w:ascii="Arial" w:hAnsi="Arial" w:cs="Arial"/>
          <w:sz w:val="22"/>
          <w:szCs w:val="22"/>
        </w:rPr>
        <w:t>7</w:t>
      </w:r>
      <w:r w:rsidRPr="0086152D">
        <w:rPr>
          <w:rFonts w:ascii="Arial" w:hAnsi="Arial" w:cs="Arial"/>
          <w:sz w:val="22"/>
          <w:szCs w:val="22"/>
        </w:rPr>
        <w:t xml:space="preserve"> August 2026). </w:t>
      </w:r>
    </w:p>
    <w:p w14:paraId="01107643" w14:textId="4FCC55BD"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Wandsworth Council (2026b) Dementia services in Wandsworth. Available at: https://www.wandsworth.gov.uk/media/9566/dementia_services_in_wandsworth.pdf (Accessed: </w:t>
      </w:r>
      <w:r w:rsidR="009E18BF">
        <w:rPr>
          <w:rFonts w:ascii="Arial" w:hAnsi="Arial" w:cs="Arial"/>
          <w:sz w:val="22"/>
          <w:szCs w:val="22"/>
        </w:rPr>
        <w:t>7</w:t>
      </w:r>
      <w:r w:rsidRPr="0086152D">
        <w:rPr>
          <w:rFonts w:ascii="Arial" w:hAnsi="Arial" w:cs="Arial"/>
          <w:sz w:val="22"/>
          <w:szCs w:val="22"/>
        </w:rPr>
        <w:t xml:space="preserve"> August 2026). </w:t>
      </w:r>
    </w:p>
    <w:p w14:paraId="57488C76" w14:textId="5DF81180"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World Health </w:t>
      </w:r>
      <w:r w:rsidR="00742834">
        <w:rPr>
          <w:rFonts w:ascii="Arial" w:hAnsi="Arial" w:cs="Arial"/>
          <w:sz w:val="22"/>
          <w:szCs w:val="22"/>
        </w:rPr>
        <w:t>Organisation</w:t>
      </w:r>
      <w:r w:rsidRPr="0086152D">
        <w:rPr>
          <w:rFonts w:ascii="Arial" w:hAnsi="Arial" w:cs="Arial"/>
          <w:sz w:val="22"/>
          <w:szCs w:val="22"/>
        </w:rPr>
        <w:t xml:space="preserve"> (WHO) (2022) Global report on health equity for persons with disabilities. Geneva: World Health </w:t>
      </w:r>
      <w:r w:rsidR="00742834">
        <w:rPr>
          <w:rFonts w:ascii="Arial" w:hAnsi="Arial" w:cs="Arial"/>
          <w:sz w:val="22"/>
          <w:szCs w:val="22"/>
        </w:rPr>
        <w:t>Organisation</w:t>
      </w:r>
      <w:r w:rsidRPr="0086152D">
        <w:rPr>
          <w:rFonts w:ascii="Arial" w:hAnsi="Arial" w:cs="Arial"/>
          <w:sz w:val="22"/>
          <w:szCs w:val="22"/>
        </w:rPr>
        <w:t xml:space="preserve">. Available at: https://www.who.int/publications/i/item/9789240063600 (Accessed: </w:t>
      </w:r>
      <w:r w:rsidR="00A5302D">
        <w:rPr>
          <w:rFonts w:ascii="Arial" w:hAnsi="Arial" w:cs="Arial"/>
          <w:sz w:val="22"/>
          <w:szCs w:val="22"/>
        </w:rPr>
        <w:t>7</w:t>
      </w:r>
      <w:r w:rsidRPr="0086152D">
        <w:rPr>
          <w:rFonts w:ascii="Arial" w:hAnsi="Arial" w:cs="Arial"/>
          <w:sz w:val="22"/>
          <w:szCs w:val="22"/>
        </w:rPr>
        <w:t xml:space="preserve"> August 2026). </w:t>
      </w:r>
    </w:p>
    <w:p w14:paraId="0D339237" w14:textId="553BB9E0" w:rsidR="0086152D" w:rsidRPr="0086152D"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World Health </w:t>
      </w:r>
      <w:r w:rsidR="00742834">
        <w:rPr>
          <w:rFonts w:ascii="Arial" w:hAnsi="Arial" w:cs="Arial"/>
          <w:sz w:val="22"/>
          <w:szCs w:val="22"/>
        </w:rPr>
        <w:t>Organisation</w:t>
      </w:r>
      <w:r w:rsidRPr="0086152D">
        <w:rPr>
          <w:rFonts w:ascii="Arial" w:hAnsi="Arial" w:cs="Arial"/>
          <w:sz w:val="22"/>
          <w:szCs w:val="22"/>
        </w:rPr>
        <w:t xml:space="preserve"> (WHO) (2023) Disability. Available at: https://www.who.int/news-room/fact-sheets/detail/disability-and-health (Accessed: </w:t>
      </w:r>
      <w:r w:rsidR="00A5302D">
        <w:rPr>
          <w:rFonts w:ascii="Arial" w:hAnsi="Arial" w:cs="Arial"/>
          <w:sz w:val="22"/>
          <w:szCs w:val="22"/>
        </w:rPr>
        <w:t>7</w:t>
      </w:r>
      <w:r w:rsidRPr="0086152D">
        <w:rPr>
          <w:rFonts w:ascii="Arial" w:hAnsi="Arial" w:cs="Arial"/>
          <w:sz w:val="22"/>
          <w:szCs w:val="22"/>
        </w:rPr>
        <w:t xml:space="preserve"> August 2026). </w:t>
      </w:r>
    </w:p>
    <w:p w14:paraId="08BC2CFE" w14:textId="659415CC" w:rsidR="00355862" w:rsidRPr="00046C10" w:rsidRDefault="0086152D" w:rsidP="00F32265">
      <w:pPr>
        <w:pStyle w:val="p1"/>
        <w:spacing w:line="360" w:lineRule="auto"/>
        <w:divId w:val="275262032"/>
        <w:rPr>
          <w:rFonts w:ascii="Arial" w:hAnsi="Arial" w:cs="Arial"/>
          <w:sz w:val="22"/>
          <w:szCs w:val="22"/>
        </w:rPr>
      </w:pPr>
      <w:r w:rsidRPr="0086152D">
        <w:rPr>
          <w:rFonts w:ascii="Arial" w:hAnsi="Arial" w:cs="Arial"/>
          <w:sz w:val="22"/>
          <w:szCs w:val="22"/>
        </w:rPr>
        <w:t xml:space="preserve">World Health </w:t>
      </w:r>
      <w:r w:rsidR="00742834">
        <w:rPr>
          <w:rFonts w:ascii="Arial" w:hAnsi="Arial" w:cs="Arial"/>
          <w:sz w:val="22"/>
          <w:szCs w:val="22"/>
        </w:rPr>
        <w:t>Organisation</w:t>
      </w:r>
      <w:r w:rsidRPr="0086152D">
        <w:rPr>
          <w:rFonts w:ascii="Arial" w:hAnsi="Arial" w:cs="Arial"/>
          <w:sz w:val="22"/>
          <w:szCs w:val="22"/>
        </w:rPr>
        <w:t xml:space="preserve"> (WHO) (2026) Dementia. Available at: https://www.who.int/news-room/fact-sheets/detail/dementia (Accessed: </w:t>
      </w:r>
      <w:r w:rsidR="00A5302D">
        <w:rPr>
          <w:rFonts w:ascii="Arial" w:hAnsi="Arial" w:cs="Arial"/>
          <w:sz w:val="22"/>
          <w:szCs w:val="22"/>
        </w:rPr>
        <w:t>7</w:t>
      </w:r>
      <w:r w:rsidRPr="0086152D">
        <w:rPr>
          <w:rFonts w:ascii="Arial" w:hAnsi="Arial" w:cs="Arial"/>
          <w:sz w:val="22"/>
          <w:szCs w:val="22"/>
        </w:rPr>
        <w:t xml:space="preserve"> August 2026). </w:t>
      </w:r>
    </w:p>
    <w:sectPr w:rsidR="00355862" w:rsidRPr="00046C10" w:rsidSect="00EE093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1937"/>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D89028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6055FC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A307509"/>
    <w:multiLevelType w:val="hybridMultilevel"/>
    <w:tmpl w:val="5748C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0F53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FB4253"/>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7D4F1BB3"/>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812137895">
    <w:abstractNumId w:val="4"/>
  </w:num>
  <w:num w:numId="2" w16cid:durableId="1475216192">
    <w:abstractNumId w:val="6"/>
  </w:num>
  <w:num w:numId="3" w16cid:durableId="60905658">
    <w:abstractNumId w:val="0"/>
  </w:num>
  <w:num w:numId="4" w16cid:durableId="1708793465">
    <w:abstractNumId w:val="2"/>
  </w:num>
  <w:num w:numId="5" w16cid:durableId="661666853">
    <w:abstractNumId w:val="1"/>
  </w:num>
  <w:num w:numId="6" w16cid:durableId="798574849">
    <w:abstractNumId w:val="5"/>
  </w:num>
  <w:num w:numId="7" w16cid:durableId="751318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B47"/>
    <w:rsid w:val="00000960"/>
    <w:rsid w:val="00011C23"/>
    <w:rsid w:val="0002215E"/>
    <w:rsid w:val="00022B81"/>
    <w:rsid w:val="000326BB"/>
    <w:rsid w:val="00034470"/>
    <w:rsid w:val="00046C10"/>
    <w:rsid w:val="000471DB"/>
    <w:rsid w:val="00050FD0"/>
    <w:rsid w:val="00071391"/>
    <w:rsid w:val="000727EA"/>
    <w:rsid w:val="000732FF"/>
    <w:rsid w:val="00075A24"/>
    <w:rsid w:val="000771DA"/>
    <w:rsid w:val="00081D48"/>
    <w:rsid w:val="00084627"/>
    <w:rsid w:val="0008620C"/>
    <w:rsid w:val="00087936"/>
    <w:rsid w:val="00093517"/>
    <w:rsid w:val="000A3B27"/>
    <w:rsid w:val="000B5CDF"/>
    <w:rsid w:val="000B6982"/>
    <w:rsid w:val="000B7649"/>
    <w:rsid w:val="000C22C0"/>
    <w:rsid w:val="000D4358"/>
    <w:rsid w:val="000E0432"/>
    <w:rsid w:val="000E3C55"/>
    <w:rsid w:val="000F1F4A"/>
    <w:rsid w:val="000F48B8"/>
    <w:rsid w:val="000F4909"/>
    <w:rsid w:val="00115FB1"/>
    <w:rsid w:val="0013328D"/>
    <w:rsid w:val="00133E03"/>
    <w:rsid w:val="00143570"/>
    <w:rsid w:val="00145ACA"/>
    <w:rsid w:val="0015177D"/>
    <w:rsid w:val="00151D63"/>
    <w:rsid w:val="001626D8"/>
    <w:rsid w:val="001657EF"/>
    <w:rsid w:val="00167B36"/>
    <w:rsid w:val="00170970"/>
    <w:rsid w:val="00174502"/>
    <w:rsid w:val="001765BF"/>
    <w:rsid w:val="00183F6B"/>
    <w:rsid w:val="00186799"/>
    <w:rsid w:val="0019350E"/>
    <w:rsid w:val="001956B2"/>
    <w:rsid w:val="001A3CBB"/>
    <w:rsid w:val="001A60C4"/>
    <w:rsid w:val="001C2070"/>
    <w:rsid w:val="001C30FF"/>
    <w:rsid w:val="001C66FC"/>
    <w:rsid w:val="001D05EF"/>
    <w:rsid w:val="001D5B22"/>
    <w:rsid w:val="001F0CF5"/>
    <w:rsid w:val="001F2FCB"/>
    <w:rsid w:val="00202477"/>
    <w:rsid w:val="00202740"/>
    <w:rsid w:val="002056BB"/>
    <w:rsid w:val="00210B32"/>
    <w:rsid w:val="0022333F"/>
    <w:rsid w:val="00227523"/>
    <w:rsid w:val="00230545"/>
    <w:rsid w:val="002324A2"/>
    <w:rsid w:val="00234767"/>
    <w:rsid w:val="0024018F"/>
    <w:rsid w:val="002428F5"/>
    <w:rsid w:val="00251441"/>
    <w:rsid w:val="00251A3D"/>
    <w:rsid w:val="00263336"/>
    <w:rsid w:val="00272FBD"/>
    <w:rsid w:val="002758BF"/>
    <w:rsid w:val="00276B13"/>
    <w:rsid w:val="00277AFF"/>
    <w:rsid w:val="00290589"/>
    <w:rsid w:val="002958E4"/>
    <w:rsid w:val="00296A34"/>
    <w:rsid w:val="0029762A"/>
    <w:rsid w:val="002A31B9"/>
    <w:rsid w:val="002A3D77"/>
    <w:rsid w:val="002B60B3"/>
    <w:rsid w:val="002C208C"/>
    <w:rsid w:val="002C4732"/>
    <w:rsid w:val="002C5A6C"/>
    <w:rsid w:val="002E22A5"/>
    <w:rsid w:val="002E2349"/>
    <w:rsid w:val="002E23CF"/>
    <w:rsid w:val="002E5B1E"/>
    <w:rsid w:val="002F00C3"/>
    <w:rsid w:val="00306AD4"/>
    <w:rsid w:val="00311772"/>
    <w:rsid w:val="00323165"/>
    <w:rsid w:val="003251D1"/>
    <w:rsid w:val="00332435"/>
    <w:rsid w:val="00341763"/>
    <w:rsid w:val="00344709"/>
    <w:rsid w:val="003513D2"/>
    <w:rsid w:val="00351565"/>
    <w:rsid w:val="0035287D"/>
    <w:rsid w:val="003536F5"/>
    <w:rsid w:val="00354B6C"/>
    <w:rsid w:val="00354CD6"/>
    <w:rsid w:val="00355862"/>
    <w:rsid w:val="003616FC"/>
    <w:rsid w:val="00362123"/>
    <w:rsid w:val="00365979"/>
    <w:rsid w:val="00371C2C"/>
    <w:rsid w:val="00373A6C"/>
    <w:rsid w:val="00374CAA"/>
    <w:rsid w:val="00374D28"/>
    <w:rsid w:val="00376306"/>
    <w:rsid w:val="00383AB3"/>
    <w:rsid w:val="0038427F"/>
    <w:rsid w:val="003873EA"/>
    <w:rsid w:val="00393FD0"/>
    <w:rsid w:val="003978D4"/>
    <w:rsid w:val="003A1545"/>
    <w:rsid w:val="003A247D"/>
    <w:rsid w:val="003A2F8E"/>
    <w:rsid w:val="003A4C99"/>
    <w:rsid w:val="003A539B"/>
    <w:rsid w:val="003A5D84"/>
    <w:rsid w:val="003B59F8"/>
    <w:rsid w:val="003B7AD4"/>
    <w:rsid w:val="003C295F"/>
    <w:rsid w:val="003C6B10"/>
    <w:rsid w:val="003D3523"/>
    <w:rsid w:val="003D573E"/>
    <w:rsid w:val="003E1915"/>
    <w:rsid w:val="003E273F"/>
    <w:rsid w:val="003E28C8"/>
    <w:rsid w:val="003E3108"/>
    <w:rsid w:val="00401A26"/>
    <w:rsid w:val="00402E2D"/>
    <w:rsid w:val="004057CD"/>
    <w:rsid w:val="00405C2B"/>
    <w:rsid w:val="00410696"/>
    <w:rsid w:val="004107E7"/>
    <w:rsid w:val="0041753B"/>
    <w:rsid w:val="00420250"/>
    <w:rsid w:val="00420DB7"/>
    <w:rsid w:val="00435A08"/>
    <w:rsid w:val="00437337"/>
    <w:rsid w:val="004502C3"/>
    <w:rsid w:val="00461E2F"/>
    <w:rsid w:val="00465C8A"/>
    <w:rsid w:val="00475A5E"/>
    <w:rsid w:val="00476164"/>
    <w:rsid w:val="00482D28"/>
    <w:rsid w:val="00486BE9"/>
    <w:rsid w:val="00491644"/>
    <w:rsid w:val="004A1161"/>
    <w:rsid w:val="004C079E"/>
    <w:rsid w:val="004C583C"/>
    <w:rsid w:val="004C6E60"/>
    <w:rsid w:val="004E4F7D"/>
    <w:rsid w:val="004F5F8E"/>
    <w:rsid w:val="00503C0C"/>
    <w:rsid w:val="00520275"/>
    <w:rsid w:val="005263DC"/>
    <w:rsid w:val="00527F4E"/>
    <w:rsid w:val="005375C1"/>
    <w:rsid w:val="0054295D"/>
    <w:rsid w:val="005429DA"/>
    <w:rsid w:val="005651F1"/>
    <w:rsid w:val="00566802"/>
    <w:rsid w:val="00570AC6"/>
    <w:rsid w:val="00573AAD"/>
    <w:rsid w:val="00577679"/>
    <w:rsid w:val="0058098C"/>
    <w:rsid w:val="00583CBC"/>
    <w:rsid w:val="005A4C4E"/>
    <w:rsid w:val="005A5964"/>
    <w:rsid w:val="005A63C8"/>
    <w:rsid w:val="005B0CBE"/>
    <w:rsid w:val="005B1D82"/>
    <w:rsid w:val="005B6CA6"/>
    <w:rsid w:val="005C3DE3"/>
    <w:rsid w:val="005C57B6"/>
    <w:rsid w:val="005D1F4C"/>
    <w:rsid w:val="005E0940"/>
    <w:rsid w:val="005E0EB5"/>
    <w:rsid w:val="005E43B5"/>
    <w:rsid w:val="005E4F98"/>
    <w:rsid w:val="005E7D89"/>
    <w:rsid w:val="006034C7"/>
    <w:rsid w:val="006054FB"/>
    <w:rsid w:val="00607E72"/>
    <w:rsid w:val="00612305"/>
    <w:rsid w:val="006137DD"/>
    <w:rsid w:val="00615E64"/>
    <w:rsid w:val="0061773D"/>
    <w:rsid w:val="00621EF6"/>
    <w:rsid w:val="006237F8"/>
    <w:rsid w:val="00637926"/>
    <w:rsid w:val="00645574"/>
    <w:rsid w:val="006457FB"/>
    <w:rsid w:val="00663A04"/>
    <w:rsid w:val="00664DDB"/>
    <w:rsid w:val="006800A6"/>
    <w:rsid w:val="006807B6"/>
    <w:rsid w:val="0068280C"/>
    <w:rsid w:val="00683B96"/>
    <w:rsid w:val="00685D70"/>
    <w:rsid w:val="006866AB"/>
    <w:rsid w:val="006913CD"/>
    <w:rsid w:val="00691F51"/>
    <w:rsid w:val="006A2248"/>
    <w:rsid w:val="006A26C7"/>
    <w:rsid w:val="006B72F8"/>
    <w:rsid w:val="006C47D9"/>
    <w:rsid w:val="006C5E42"/>
    <w:rsid w:val="006D075E"/>
    <w:rsid w:val="006D1FF6"/>
    <w:rsid w:val="006D6846"/>
    <w:rsid w:val="006D7417"/>
    <w:rsid w:val="006E640F"/>
    <w:rsid w:val="006E68EF"/>
    <w:rsid w:val="00706216"/>
    <w:rsid w:val="00711E2F"/>
    <w:rsid w:val="00722DDD"/>
    <w:rsid w:val="007234E6"/>
    <w:rsid w:val="00730921"/>
    <w:rsid w:val="00742834"/>
    <w:rsid w:val="00746968"/>
    <w:rsid w:val="007537B2"/>
    <w:rsid w:val="00755A31"/>
    <w:rsid w:val="00755B5D"/>
    <w:rsid w:val="00763517"/>
    <w:rsid w:val="00763571"/>
    <w:rsid w:val="007753D7"/>
    <w:rsid w:val="00792A9C"/>
    <w:rsid w:val="00792F46"/>
    <w:rsid w:val="007A41A7"/>
    <w:rsid w:val="007A6970"/>
    <w:rsid w:val="007A7AE3"/>
    <w:rsid w:val="007B4A11"/>
    <w:rsid w:val="007B5A61"/>
    <w:rsid w:val="007D4EEE"/>
    <w:rsid w:val="007E44BE"/>
    <w:rsid w:val="007E53D5"/>
    <w:rsid w:val="007E73D3"/>
    <w:rsid w:val="007F21E8"/>
    <w:rsid w:val="007F5794"/>
    <w:rsid w:val="00805245"/>
    <w:rsid w:val="00806A54"/>
    <w:rsid w:val="008076A4"/>
    <w:rsid w:val="008121F6"/>
    <w:rsid w:val="0081634F"/>
    <w:rsid w:val="00822684"/>
    <w:rsid w:val="00823DAE"/>
    <w:rsid w:val="00823EE3"/>
    <w:rsid w:val="00827600"/>
    <w:rsid w:val="00834B9E"/>
    <w:rsid w:val="008370A5"/>
    <w:rsid w:val="00845C6B"/>
    <w:rsid w:val="00847C0B"/>
    <w:rsid w:val="00847D5B"/>
    <w:rsid w:val="0085325C"/>
    <w:rsid w:val="008532C4"/>
    <w:rsid w:val="0086152D"/>
    <w:rsid w:val="00861562"/>
    <w:rsid w:val="008627C7"/>
    <w:rsid w:val="00874EA8"/>
    <w:rsid w:val="00875EBE"/>
    <w:rsid w:val="00882C23"/>
    <w:rsid w:val="0088694B"/>
    <w:rsid w:val="008914A8"/>
    <w:rsid w:val="008947C2"/>
    <w:rsid w:val="00894E05"/>
    <w:rsid w:val="00897451"/>
    <w:rsid w:val="008B6058"/>
    <w:rsid w:val="008C4E9F"/>
    <w:rsid w:val="008C6CF3"/>
    <w:rsid w:val="008D2251"/>
    <w:rsid w:val="008D3D1D"/>
    <w:rsid w:val="008E2A86"/>
    <w:rsid w:val="008E3390"/>
    <w:rsid w:val="008F5AB4"/>
    <w:rsid w:val="009209A5"/>
    <w:rsid w:val="00922A3B"/>
    <w:rsid w:val="009301E0"/>
    <w:rsid w:val="009342A5"/>
    <w:rsid w:val="00935918"/>
    <w:rsid w:val="00944969"/>
    <w:rsid w:val="00952AC3"/>
    <w:rsid w:val="00965EB0"/>
    <w:rsid w:val="00976A45"/>
    <w:rsid w:val="00977B1B"/>
    <w:rsid w:val="00991DBF"/>
    <w:rsid w:val="009971FA"/>
    <w:rsid w:val="009A00DD"/>
    <w:rsid w:val="009B0C10"/>
    <w:rsid w:val="009C2AB3"/>
    <w:rsid w:val="009C499E"/>
    <w:rsid w:val="009E18BF"/>
    <w:rsid w:val="009E3EC0"/>
    <w:rsid w:val="009E4D86"/>
    <w:rsid w:val="009F581C"/>
    <w:rsid w:val="00A00AB6"/>
    <w:rsid w:val="00A12799"/>
    <w:rsid w:val="00A221C8"/>
    <w:rsid w:val="00A221CA"/>
    <w:rsid w:val="00A329D9"/>
    <w:rsid w:val="00A336BF"/>
    <w:rsid w:val="00A40A03"/>
    <w:rsid w:val="00A40D41"/>
    <w:rsid w:val="00A411D1"/>
    <w:rsid w:val="00A52856"/>
    <w:rsid w:val="00A5302D"/>
    <w:rsid w:val="00A55FFF"/>
    <w:rsid w:val="00A63B3B"/>
    <w:rsid w:val="00A71188"/>
    <w:rsid w:val="00A73DAD"/>
    <w:rsid w:val="00A75726"/>
    <w:rsid w:val="00A75A06"/>
    <w:rsid w:val="00A92D66"/>
    <w:rsid w:val="00A95E3A"/>
    <w:rsid w:val="00A96F5F"/>
    <w:rsid w:val="00AB499A"/>
    <w:rsid w:val="00AB5C9F"/>
    <w:rsid w:val="00AB6B5F"/>
    <w:rsid w:val="00AC2383"/>
    <w:rsid w:val="00AC7731"/>
    <w:rsid w:val="00AC784B"/>
    <w:rsid w:val="00AD4827"/>
    <w:rsid w:val="00AE3008"/>
    <w:rsid w:val="00AF21AD"/>
    <w:rsid w:val="00AF3424"/>
    <w:rsid w:val="00AF40F8"/>
    <w:rsid w:val="00B0027D"/>
    <w:rsid w:val="00B05029"/>
    <w:rsid w:val="00B06B52"/>
    <w:rsid w:val="00B147B3"/>
    <w:rsid w:val="00B231A3"/>
    <w:rsid w:val="00B24A11"/>
    <w:rsid w:val="00B3395D"/>
    <w:rsid w:val="00B41771"/>
    <w:rsid w:val="00B44794"/>
    <w:rsid w:val="00B5051E"/>
    <w:rsid w:val="00B52BC9"/>
    <w:rsid w:val="00B6465F"/>
    <w:rsid w:val="00B64CED"/>
    <w:rsid w:val="00B72570"/>
    <w:rsid w:val="00B8258F"/>
    <w:rsid w:val="00BA19A8"/>
    <w:rsid w:val="00BA339B"/>
    <w:rsid w:val="00BA749C"/>
    <w:rsid w:val="00BB21BE"/>
    <w:rsid w:val="00BB2663"/>
    <w:rsid w:val="00BB3658"/>
    <w:rsid w:val="00BB564A"/>
    <w:rsid w:val="00BC5719"/>
    <w:rsid w:val="00BC6BE3"/>
    <w:rsid w:val="00BD4109"/>
    <w:rsid w:val="00BD786A"/>
    <w:rsid w:val="00BE6FD0"/>
    <w:rsid w:val="00BF00F8"/>
    <w:rsid w:val="00C00FDE"/>
    <w:rsid w:val="00C07F2C"/>
    <w:rsid w:val="00C10B6A"/>
    <w:rsid w:val="00C125A0"/>
    <w:rsid w:val="00C15F61"/>
    <w:rsid w:val="00C17569"/>
    <w:rsid w:val="00C230ED"/>
    <w:rsid w:val="00C25422"/>
    <w:rsid w:val="00C2585A"/>
    <w:rsid w:val="00C30A3C"/>
    <w:rsid w:val="00C327BE"/>
    <w:rsid w:val="00C33BE3"/>
    <w:rsid w:val="00C362D6"/>
    <w:rsid w:val="00C41540"/>
    <w:rsid w:val="00C42D0C"/>
    <w:rsid w:val="00C5227E"/>
    <w:rsid w:val="00C66D7B"/>
    <w:rsid w:val="00C71172"/>
    <w:rsid w:val="00C71881"/>
    <w:rsid w:val="00C75D79"/>
    <w:rsid w:val="00C834D4"/>
    <w:rsid w:val="00C93B47"/>
    <w:rsid w:val="00C97FFD"/>
    <w:rsid w:val="00CA242D"/>
    <w:rsid w:val="00CB17AC"/>
    <w:rsid w:val="00CC583A"/>
    <w:rsid w:val="00CF2D91"/>
    <w:rsid w:val="00CF4AD8"/>
    <w:rsid w:val="00D0044C"/>
    <w:rsid w:val="00D00E3C"/>
    <w:rsid w:val="00D01295"/>
    <w:rsid w:val="00D03225"/>
    <w:rsid w:val="00D051E0"/>
    <w:rsid w:val="00D05AD9"/>
    <w:rsid w:val="00D11968"/>
    <w:rsid w:val="00D11C14"/>
    <w:rsid w:val="00D17F34"/>
    <w:rsid w:val="00D20C32"/>
    <w:rsid w:val="00D25002"/>
    <w:rsid w:val="00D2665B"/>
    <w:rsid w:val="00D34B35"/>
    <w:rsid w:val="00D46DC7"/>
    <w:rsid w:val="00D6051A"/>
    <w:rsid w:val="00D62578"/>
    <w:rsid w:val="00D65E5D"/>
    <w:rsid w:val="00D77322"/>
    <w:rsid w:val="00D8072B"/>
    <w:rsid w:val="00D81641"/>
    <w:rsid w:val="00D918AE"/>
    <w:rsid w:val="00D91BE4"/>
    <w:rsid w:val="00D964E6"/>
    <w:rsid w:val="00DA212C"/>
    <w:rsid w:val="00DA2EAB"/>
    <w:rsid w:val="00DA314B"/>
    <w:rsid w:val="00DA53E2"/>
    <w:rsid w:val="00DA6A3E"/>
    <w:rsid w:val="00DB464A"/>
    <w:rsid w:val="00DB6750"/>
    <w:rsid w:val="00DC1172"/>
    <w:rsid w:val="00DC43E4"/>
    <w:rsid w:val="00DC7C04"/>
    <w:rsid w:val="00DD6443"/>
    <w:rsid w:val="00DD6B77"/>
    <w:rsid w:val="00DF492E"/>
    <w:rsid w:val="00E03A0E"/>
    <w:rsid w:val="00E1216A"/>
    <w:rsid w:val="00E23476"/>
    <w:rsid w:val="00E24563"/>
    <w:rsid w:val="00E2605B"/>
    <w:rsid w:val="00E30453"/>
    <w:rsid w:val="00E32EAA"/>
    <w:rsid w:val="00E40835"/>
    <w:rsid w:val="00E522AB"/>
    <w:rsid w:val="00E62C88"/>
    <w:rsid w:val="00E663C8"/>
    <w:rsid w:val="00E67010"/>
    <w:rsid w:val="00E73C22"/>
    <w:rsid w:val="00E7612C"/>
    <w:rsid w:val="00E7680B"/>
    <w:rsid w:val="00E76B98"/>
    <w:rsid w:val="00E86362"/>
    <w:rsid w:val="00E877A4"/>
    <w:rsid w:val="00E9144A"/>
    <w:rsid w:val="00E9572C"/>
    <w:rsid w:val="00EA3996"/>
    <w:rsid w:val="00EB32DC"/>
    <w:rsid w:val="00EB4075"/>
    <w:rsid w:val="00EB5527"/>
    <w:rsid w:val="00EB5CAD"/>
    <w:rsid w:val="00ED3C12"/>
    <w:rsid w:val="00ED5A64"/>
    <w:rsid w:val="00ED7C88"/>
    <w:rsid w:val="00EE0939"/>
    <w:rsid w:val="00EE39DF"/>
    <w:rsid w:val="00EF319A"/>
    <w:rsid w:val="00EF4559"/>
    <w:rsid w:val="00F01395"/>
    <w:rsid w:val="00F03251"/>
    <w:rsid w:val="00F07714"/>
    <w:rsid w:val="00F163C7"/>
    <w:rsid w:val="00F275A4"/>
    <w:rsid w:val="00F32265"/>
    <w:rsid w:val="00F35A0C"/>
    <w:rsid w:val="00F370ED"/>
    <w:rsid w:val="00F43BE9"/>
    <w:rsid w:val="00F511EF"/>
    <w:rsid w:val="00F53EA5"/>
    <w:rsid w:val="00F56D90"/>
    <w:rsid w:val="00F673F3"/>
    <w:rsid w:val="00F72DF7"/>
    <w:rsid w:val="00F751F0"/>
    <w:rsid w:val="00F776A7"/>
    <w:rsid w:val="00F83A8D"/>
    <w:rsid w:val="00FA4CB4"/>
    <w:rsid w:val="00FA7039"/>
    <w:rsid w:val="00FB2845"/>
    <w:rsid w:val="00FC339A"/>
    <w:rsid w:val="00FD3B2D"/>
    <w:rsid w:val="00FD4E51"/>
    <w:rsid w:val="00FE08B7"/>
    <w:rsid w:val="00FE4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95E05"/>
  <w15:chartTrackingRefBased/>
  <w15:docId w15:val="{5725CB90-8D80-4296-87F3-B837D0CC2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B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3B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3B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B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B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B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B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B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B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B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3B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3B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B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B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B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B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B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B47"/>
    <w:rPr>
      <w:rFonts w:eastAsiaTheme="majorEastAsia" w:cstheme="majorBidi"/>
      <w:color w:val="272727" w:themeColor="text1" w:themeTint="D8"/>
    </w:rPr>
  </w:style>
  <w:style w:type="paragraph" w:styleId="Title">
    <w:name w:val="Title"/>
    <w:basedOn w:val="Normal"/>
    <w:next w:val="Normal"/>
    <w:link w:val="TitleChar"/>
    <w:uiPriority w:val="10"/>
    <w:qFormat/>
    <w:rsid w:val="00C93B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B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B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B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B47"/>
    <w:pPr>
      <w:spacing w:before="160"/>
      <w:jc w:val="center"/>
    </w:pPr>
    <w:rPr>
      <w:i/>
      <w:iCs/>
      <w:color w:val="404040" w:themeColor="text1" w:themeTint="BF"/>
    </w:rPr>
  </w:style>
  <w:style w:type="character" w:customStyle="1" w:styleId="QuoteChar">
    <w:name w:val="Quote Char"/>
    <w:basedOn w:val="DefaultParagraphFont"/>
    <w:link w:val="Quote"/>
    <w:uiPriority w:val="29"/>
    <w:rsid w:val="00C93B47"/>
    <w:rPr>
      <w:i/>
      <w:iCs/>
      <w:color w:val="404040" w:themeColor="text1" w:themeTint="BF"/>
    </w:rPr>
  </w:style>
  <w:style w:type="paragraph" w:styleId="ListParagraph">
    <w:name w:val="List Paragraph"/>
    <w:basedOn w:val="Normal"/>
    <w:uiPriority w:val="34"/>
    <w:qFormat/>
    <w:rsid w:val="00C93B47"/>
    <w:pPr>
      <w:ind w:left="720"/>
      <w:contextualSpacing/>
    </w:pPr>
  </w:style>
  <w:style w:type="character" w:styleId="IntenseEmphasis">
    <w:name w:val="Intense Emphasis"/>
    <w:basedOn w:val="DefaultParagraphFont"/>
    <w:uiPriority w:val="21"/>
    <w:qFormat/>
    <w:rsid w:val="00C93B47"/>
    <w:rPr>
      <w:i/>
      <w:iCs/>
      <w:color w:val="0F4761" w:themeColor="accent1" w:themeShade="BF"/>
    </w:rPr>
  </w:style>
  <w:style w:type="paragraph" w:styleId="IntenseQuote">
    <w:name w:val="Intense Quote"/>
    <w:basedOn w:val="Normal"/>
    <w:next w:val="Normal"/>
    <w:link w:val="IntenseQuoteChar"/>
    <w:uiPriority w:val="30"/>
    <w:qFormat/>
    <w:rsid w:val="00C93B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B47"/>
    <w:rPr>
      <w:i/>
      <w:iCs/>
      <w:color w:val="0F4761" w:themeColor="accent1" w:themeShade="BF"/>
    </w:rPr>
  </w:style>
  <w:style w:type="character" w:styleId="IntenseReference">
    <w:name w:val="Intense Reference"/>
    <w:basedOn w:val="DefaultParagraphFont"/>
    <w:uiPriority w:val="32"/>
    <w:qFormat/>
    <w:rsid w:val="00C93B47"/>
    <w:rPr>
      <w:b/>
      <w:bCs/>
      <w:smallCaps/>
      <w:color w:val="0F4761" w:themeColor="accent1" w:themeShade="BF"/>
      <w:spacing w:val="5"/>
    </w:rPr>
  </w:style>
  <w:style w:type="paragraph" w:customStyle="1" w:styleId="p1">
    <w:name w:val="p1"/>
    <w:basedOn w:val="Normal"/>
    <w:rsid w:val="00C93B47"/>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C93B47"/>
    <w:rPr>
      <w:rFonts w:ascii="Helvetica" w:hAnsi="Helvetica" w:hint="default"/>
      <w:b w:val="0"/>
      <w:bCs w:val="0"/>
      <w:i w:val="0"/>
      <w:iCs w:val="0"/>
      <w:sz w:val="18"/>
      <w:szCs w:val="18"/>
    </w:rPr>
  </w:style>
  <w:style w:type="paragraph" w:customStyle="1" w:styleId="li1">
    <w:name w:val="li1"/>
    <w:basedOn w:val="Normal"/>
    <w:rsid w:val="00503C0C"/>
    <w:pPr>
      <w:spacing w:after="0" w:line="240" w:lineRule="auto"/>
    </w:pPr>
    <w:rPr>
      <w:rFonts w:ascii="Helvetica" w:hAnsi="Helvetica" w:cs="Times New Roman"/>
      <w:kern w:val="0"/>
      <w:sz w:val="18"/>
      <w:szCs w:val="18"/>
      <w14:ligatures w14:val="none"/>
    </w:rPr>
  </w:style>
  <w:style w:type="paragraph" w:styleId="NoSpacing">
    <w:name w:val="No Spacing"/>
    <w:link w:val="NoSpacingChar"/>
    <w:uiPriority w:val="1"/>
    <w:qFormat/>
    <w:rsid w:val="00EE0939"/>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EE0939"/>
    <w:rPr>
      <w:kern w:val="0"/>
      <w:sz w:val="22"/>
      <w:szCs w:val="22"/>
      <w:lang w:val="en-US" w:eastAsia="en-US"/>
      <w14:ligatures w14:val="none"/>
    </w:rPr>
  </w:style>
  <w:style w:type="paragraph" w:styleId="TOCHeading">
    <w:name w:val="TOC Heading"/>
    <w:basedOn w:val="Heading1"/>
    <w:next w:val="Normal"/>
    <w:uiPriority w:val="39"/>
    <w:unhideWhenUsed/>
    <w:qFormat/>
    <w:rsid w:val="004107E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107E7"/>
    <w:pPr>
      <w:spacing w:after="100"/>
    </w:pPr>
  </w:style>
  <w:style w:type="character" w:styleId="Hyperlink">
    <w:name w:val="Hyperlink"/>
    <w:basedOn w:val="DefaultParagraphFont"/>
    <w:uiPriority w:val="99"/>
    <w:unhideWhenUsed/>
    <w:rsid w:val="004107E7"/>
    <w:rPr>
      <w:color w:val="467886" w:themeColor="hyperlink"/>
      <w:u w:val="single"/>
    </w:rPr>
  </w:style>
  <w:style w:type="paragraph" w:styleId="TOC2">
    <w:name w:val="toc 2"/>
    <w:basedOn w:val="Normal"/>
    <w:next w:val="Normal"/>
    <w:autoRedefine/>
    <w:uiPriority w:val="39"/>
    <w:unhideWhenUsed/>
    <w:rsid w:val="009301E0"/>
    <w:pPr>
      <w:spacing w:after="100"/>
      <w:ind w:left="240"/>
    </w:pPr>
  </w:style>
  <w:style w:type="paragraph" w:styleId="TOC3">
    <w:name w:val="toc 3"/>
    <w:basedOn w:val="Normal"/>
    <w:next w:val="Normal"/>
    <w:autoRedefine/>
    <w:uiPriority w:val="39"/>
    <w:unhideWhenUsed/>
    <w:rsid w:val="009301E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47594">
      <w:bodyDiv w:val="1"/>
      <w:marLeft w:val="0"/>
      <w:marRight w:val="0"/>
      <w:marTop w:val="0"/>
      <w:marBottom w:val="0"/>
      <w:divBdr>
        <w:top w:val="none" w:sz="0" w:space="0" w:color="auto"/>
        <w:left w:val="none" w:sz="0" w:space="0" w:color="auto"/>
        <w:bottom w:val="none" w:sz="0" w:space="0" w:color="auto"/>
        <w:right w:val="none" w:sz="0" w:space="0" w:color="auto"/>
      </w:divBdr>
    </w:div>
    <w:div w:id="563443762">
      <w:marLeft w:val="0"/>
      <w:marRight w:val="0"/>
      <w:marTop w:val="0"/>
      <w:marBottom w:val="0"/>
      <w:divBdr>
        <w:top w:val="none" w:sz="0" w:space="0" w:color="auto"/>
        <w:left w:val="none" w:sz="0" w:space="0" w:color="auto"/>
        <w:bottom w:val="none" w:sz="0" w:space="0" w:color="auto"/>
        <w:right w:val="none" w:sz="0" w:space="0" w:color="auto"/>
      </w:divBdr>
      <w:divsChild>
        <w:div w:id="46222317">
          <w:marLeft w:val="0"/>
          <w:marRight w:val="0"/>
          <w:marTop w:val="0"/>
          <w:marBottom w:val="0"/>
          <w:divBdr>
            <w:top w:val="none" w:sz="0" w:space="0" w:color="auto"/>
            <w:left w:val="none" w:sz="0" w:space="0" w:color="auto"/>
            <w:bottom w:val="none" w:sz="0" w:space="0" w:color="auto"/>
            <w:right w:val="none" w:sz="0" w:space="0" w:color="auto"/>
          </w:divBdr>
          <w:divsChild>
            <w:div w:id="972515506">
              <w:marLeft w:val="0"/>
              <w:marRight w:val="0"/>
              <w:marTop w:val="0"/>
              <w:marBottom w:val="0"/>
              <w:divBdr>
                <w:top w:val="none" w:sz="0" w:space="0" w:color="auto"/>
                <w:left w:val="none" w:sz="0" w:space="0" w:color="auto"/>
                <w:bottom w:val="none" w:sz="0" w:space="0" w:color="auto"/>
                <w:right w:val="none" w:sz="0" w:space="0" w:color="auto"/>
              </w:divBdr>
            </w:div>
            <w:div w:id="1275748869">
              <w:marLeft w:val="0"/>
              <w:marRight w:val="0"/>
              <w:marTop w:val="0"/>
              <w:marBottom w:val="0"/>
              <w:divBdr>
                <w:top w:val="none" w:sz="0" w:space="0" w:color="auto"/>
                <w:left w:val="none" w:sz="0" w:space="0" w:color="auto"/>
                <w:bottom w:val="none" w:sz="0" w:space="0" w:color="auto"/>
                <w:right w:val="none" w:sz="0" w:space="0" w:color="auto"/>
              </w:divBdr>
            </w:div>
            <w:div w:id="1810173192">
              <w:marLeft w:val="0"/>
              <w:marRight w:val="0"/>
              <w:marTop w:val="0"/>
              <w:marBottom w:val="0"/>
              <w:divBdr>
                <w:top w:val="none" w:sz="0" w:space="0" w:color="auto"/>
                <w:left w:val="none" w:sz="0" w:space="0" w:color="auto"/>
                <w:bottom w:val="none" w:sz="0" w:space="0" w:color="auto"/>
                <w:right w:val="none" w:sz="0" w:space="0" w:color="auto"/>
              </w:divBdr>
              <w:divsChild>
                <w:div w:id="349454163">
                  <w:marLeft w:val="0"/>
                  <w:marRight w:val="0"/>
                  <w:marTop w:val="0"/>
                  <w:marBottom w:val="0"/>
                  <w:divBdr>
                    <w:top w:val="none" w:sz="0" w:space="0" w:color="auto"/>
                    <w:left w:val="none" w:sz="0" w:space="0" w:color="auto"/>
                    <w:bottom w:val="none" w:sz="0" w:space="0" w:color="auto"/>
                    <w:right w:val="none" w:sz="0" w:space="0" w:color="auto"/>
                  </w:divBdr>
                  <w:divsChild>
                    <w:div w:id="485173317">
                      <w:marLeft w:val="0"/>
                      <w:marRight w:val="0"/>
                      <w:marTop w:val="0"/>
                      <w:marBottom w:val="0"/>
                      <w:divBdr>
                        <w:top w:val="none" w:sz="0" w:space="0" w:color="auto"/>
                        <w:left w:val="none" w:sz="0" w:space="0" w:color="auto"/>
                        <w:bottom w:val="none" w:sz="0" w:space="0" w:color="auto"/>
                        <w:right w:val="none" w:sz="0" w:space="0" w:color="auto"/>
                      </w:divBdr>
                    </w:div>
                    <w:div w:id="650599787">
                      <w:marLeft w:val="0"/>
                      <w:marRight w:val="0"/>
                      <w:marTop w:val="0"/>
                      <w:marBottom w:val="0"/>
                      <w:divBdr>
                        <w:top w:val="none" w:sz="0" w:space="0" w:color="auto"/>
                        <w:left w:val="none" w:sz="0" w:space="0" w:color="auto"/>
                        <w:bottom w:val="none" w:sz="0" w:space="0" w:color="auto"/>
                        <w:right w:val="none" w:sz="0" w:space="0" w:color="auto"/>
                      </w:divBdr>
                      <w:divsChild>
                        <w:div w:id="490482988">
                          <w:marLeft w:val="0"/>
                          <w:marRight w:val="0"/>
                          <w:marTop w:val="0"/>
                          <w:marBottom w:val="0"/>
                          <w:divBdr>
                            <w:top w:val="none" w:sz="0" w:space="0" w:color="auto"/>
                            <w:left w:val="none" w:sz="0" w:space="0" w:color="auto"/>
                            <w:bottom w:val="none" w:sz="0" w:space="0" w:color="auto"/>
                            <w:right w:val="none" w:sz="0" w:space="0" w:color="auto"/>
                          </w:divBdr>
                        </w:div>
                      </w:divsChild>
                    </w:div>
                    <w:div w:id="2038776954">
                      <w:marLeft w:val="0"/>
                      <w:marRight w:val="0"/>
                      <w:marTop w:val="0"/>
                      <w:marBottom w:val="0"/>
                      <w:divBdr>
                        <w:top w:val="none" w:sz="0" w:space="0" w:color="auto"/>
                        <w:left w:val="none" w:sz="0" w:space="0" w:color="auto"/>
                        <w:bottom w:val="none" w:sz="0" w:space="0" w:color="auto"/>
                        <w:right w:val="none" w:sz="0" w:space="0" w:color="auto"/>
                      </w:divBdr>
                      <w:divsChild>
                        <w:div w:id="830101212">
                          <w:marLeft w:val="0"/>
                          <w:marRight w:val="0"/>
                          <w:marTop w:val="0"/>
                          <w:marBottom w:val="0"/>
                          <w:divBdr>
                            <w:top w:val="none" w:sz="0" w:space="0" w:color="auto"/>
                            <w:left w:val="none" w:sz="0" w:space="0" w:color="auto"/>
                            <w:bottom w:val="none" w:sz="0" w:space="0" w:color="auto"/>
                            <w:right w:val="none" w:sz="0" w:space="0" w:color="auto"/>
                          </w:divBdr>
                        </w:div>
                        <w:div w:id="1285313022">
                          <w:marLeft w:val="0"/>
                          <w:marRight w:val="0"/>
                          <w:marTop w:val="0"/>
                          <w:marBottom w:val="0"/>
                          <w:divBdr>
                            <w:top w:val="none" w:sz="0" w:space="0" w:color="auto"/>
                            <w:left w:val="none" w:sz="0" w:space="0" w:color="auto"/>
                            <w:bottom w:val="none" w:sz="0" w:space="0" w:color="auto"/>
                            <w:right w:val="none" w:sz="0" w:space="0" w:color="auto"/>
                          </w:divBdr>
                        </w:div>
                      </w:divsChild>
                    </w:div>
                    <w:div w:id="2133207604">
                      <w:marLeft w:val="0"/>
                      <w:marRight w:val="0"/>
                      <w:marTop w:val="0"/>
                      <w:marBottom w:val="0"/>
                      <w:divBdr>
                        <w:top w:val="none" w:sz="0" w:space="0" w:color="auto"/>
                        <w:left w:val="none" w:sz="0" w:space="0" w:color="auto"/>
                        <w:bottom w:val="none" w:sz="0" w:space="0" w:color="auto"/>
                        <w:right w:val="none" w:sz="0" w:space="0" w:color="auto"/>
                      </w:divBdr>
                      <w:divsChild>
                        <w:div w:id="58380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400425">
          <w:marLeft w:val="0"/>
          <w:marRight w:val="0"/>
          <w:marTop w:val="0"/>
          <w:marBottom w:val="0"/>
          <w:divBdr>
            <w:top w:val="none" w:sz="0" w:space="0" w:color="auto"/>
            <w:left w:val="none" w:sz="0" w:space="0" w:color="auto"/>
            <w:bottom w:val="none" w:sz="0" w:space="0" w:color="auto"/>
            <w:right w:val="none" w:sz="0" w:space="0" w:color="auto"/>
          </w:divBdr>
        </w:div>
        <w:div w:id="1850826031">
          <w:marLeft w:val="0"/>
          <w:marRight w:val="0"/>
          <w:marTop w:val="0"/>
          <w:marBottom w:val="0"/>
          <w:divBdr>
            <w:top w:val="none" w:sz="0" w:space="0" w:color="auto"/>
            <w:left w:val="none" w:sz="0" w:space="0" w:color="auto"/>
            <w:bottom w:val="none" w:sz="0" w:space="0" w:color="auto"/>
            <w:right w:val="none" w:sz="0" w:space="0" w:color="auto"/>
          </w:divBdr>
          <w:divsChild>
            <w:div w:id="128773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66198">
      <w:bodyDiv w:val="1"/>
      <w:marLeft w:val="0"/>
      <w:marRight w:val="0"/>
      <w:marTop w:val="0"/>
      <w:marBottom w:val="0"/>
      <w:divBdr>
        <w:top w:val="none" w:sz="0" w:space="0" w:color="auto"/>
        <w:left w:val="none" w:sz="0" w:space="0" w:color="auto"/>
        <w:bottom w:val="none" w:sz="0" w:space="0" w:color="auto"/>
        <w:right w:val="none" w:sz="0" w:space="0" w:color="auto"/>
      </w:divBdr>
      <w:divsChild>
        <w:div w:id="1215893410">
          <w:marLeft w:val="0"/>
          <w:marRight w:val="0"/>
          <w:marTop w:val="0"/>
          <w:marBottom w:val="0"/>
          <w:divBdr>
            <w:top w:val="none" w:sz="0" w:space="0" w:color="auto"/>
            <w:left w:val="none" w:sz="0" w:space="0" w:color="auto"/>
            <w:bottom w:val="none" w:sz="0" w:space="0" w:color="auto"/>
            <w:right w:val="none" w:sz="0" w:space="0" w:color="auto"/>
          </w:divBdr>
          <w:divsChild>
            <w:div w:id="629239910">
              <w:marLeft w:val="0"/>
              <w:marRight w:val="0"/>
              <w:marTop w:val="0"/>
              <w:marBottom w:val="0"/>
              <w:divBdr>
                <w:top w:val="none" w:sz="0" w:space="0" w:color="auto"/>
                <w:left w:val="none" w:sz="0" w:space="0" w:color="auto"/>
                <w:bottom w:val="none" w:sz="0" w:space="0" w:color="auto"/>
                <w:right w:val="none" w:sz="0" w:space="0" w:color="auto"/>
              </w:divBdr>
            </w:div>
            <w:div w:id="763375749">
              <w:marLeft w:val="0"/>
              <w:marRight w:val="0"/>
              <w:marTop w:val="0"/>
              <w:marBottom w:val="0"/>
              <w:divBdr>
                <w:top w:val="none" w:sz="0" w:space="0" w:color="auto"/>
                <w:left w:val="none" w:sz="0" w:space="0" w:color="auto"/>
                <w:bottom w:val="none" w:sz="0" w:space="0" w:color="auto"/>
                <w:right w:val="none" w:sz="0" w:space="0" w:color="auto"/>
              </w:divBdr>
              <w:divsChild>
                <w:div w:id="598297075">
                  <w:marLeft w:val="0"/>
                  <w:marRight w:val="0"/>
                  <w:marTop w:val="0"/>
                  <w:marBottom w:val="0"/>
                  <w:divBdr>
                    <w:top w:val="none" w:sz="0" w:space="0" w:color="auto"/>
                    <w:left w:val="none" w:sz="0" w:space="0" w:color="auto"/>
                    <w:bottom w:val="none" w:sz="0" w:space="0" w:color="auto"/>
                    <w:right w:val="none" w:sz="0" w:space="0" w:color="auto"/>
                  </w:divBdr>
                  <w:divsChild>
                    <w:div w:id="1901597824">
                      <w:marLeft w:val="0"/>
                      <w:marRight w:val="0"/>
                      <w:marTop w:val="0"/>
                      <w:marBottom w:val="0"/>
                      <w:divBdr>
                        <w:top w:val="none" w:sz="0" w:space="0" w:color="auto"/>
                        <w:left w:val="none" w:sz="0" w:space="0" w:color="auto"/>
                        <w:bottom w:val="none" w:sz="0" w:space="0" w:color="auto"/>
                        <w:right w:val="none" w:sz="0" w:space="0" w:color="auto"/>
                      </w:divBdr>
                      <w:divsChild>
                        <w:div w:id="766585430">
                          <w:marLeft w:val="0"/>
                          <w:marRight w:val="0"/>
                          <w:marTop w:val="0"/>
                          <w:marBottom w:val="0"/>
                          <w:divBdr>
                            <w:top w:val="none" w:sz="0" w:space="0" w:color="auto"/>
                            <w:left w:val="none" w:sz="0" w:space="0" w:color="auto"/>
                            <w:bottom w:val="none" w:sz="0" w:space="0" w:color="auto"/>
                            <w:right w:val="none" w:sz="0" w:space="0" w:color="auto"/>
                          </w:divBdr>
                          <w:divsChild>
                            <w:div w:id="231543681">
                              <w:marLeft w:val="0"/>
                              <w:marRight w:val="0"/>
                              <w:marTop w:val="0"/>
                              <w:marBottom w:val="0"/>
                              <w:divBdr>
                                <w:top w:val="none" w:sz="0" w:space="0" w:color="auto"/>
                                <w:left w:val="none" w:sz="0" w:space="0" w:color="auto"/>
                                <w:bottom w:val="none" w:sz="0" w:space="0" w:color="auto"/>
                                <w:right w:val="none" w:sz="0" w:space="0" w:color="auto"/>
                              </w:divBdr>
                            </w:div>
                            <w:div w:id="274026104">
                              <w:marLeft w:val="0"/>
                              <w:marRight w:val="0"/>
                              <w:marTop w:val="0"/>
                              <w:marBottom w:val="0"/>
                              <w:divBdr>
                                <w:top w:val="none" w:sz="0" w:space="0" w:color="auto"/>
                                <w:left w:val="none" w:sz="0" w:space="0" w:color="auto"/>
                                <w:bottom w:val="none" w:sz="0" w:space="0" w:color="auto"/>
                                <w:right w:val="none" w:sz="0" w:space="0" w:color="auto"/>
                              </w:divBdr>
                            </w:div>
                            <w:div w:id="275262032">
                              <w:marLeft w:val="0"/>
                              <w:marRight w:val="0"/>
                              <w:marTop w:val="0"/>
                              <w:marBottom w:val="0"/>
                              <w:divBdr>
                                <w:top w:val="none" w:sz="0" w:space="0" w:color="auto"/>
                                <w:left w:val="none" w:sz="0" w:space="0" w:color="auto"/>
                                <w:bottom w:val="none" w:sz="0" w:space="0" w:color="auto"/>
                                <w:right w:val="none" w:sz="0" w:space="0" w:color="auto"/>
                              </w:divBdr>
                            </w:div>
                            <w:div w:id="1393505662">
                              <w:marLeft w:val="0"/>
                              <w:marRight w:val="0"/>
                              <w:marTop w:val="0"/>
                              <w:marBottom w:val="0"/>
                              <w:divBdr>
                                <w:top w:val="none" w:sz="0" w:space="0" w:color="auto"/>
                                <w:left w:val="none" w:sz="0" w:space="0" w:color="auto"/>
                                <w:bottom w:val="none" w:sz="0" w:space="0" w:color="auto"/>
                                <w:right w:val="none" w:sz="0" w:space="0" w:color="auto"/>
                              </w:divBdr>
                              <w:divsChild>
                                <w:div w:id="294483828">
                                  <w:marLeft w:val="0"/>
                                  <w:marRight w:val="0"/>
                                  <w:marTop w:val="0"/>
                                  <w:marBottom w:val="0"/>
                                  <w:divBdr>
                                    <w:top w:val="none" w:sz="0" w:space="0" w:color="auto"/>
                                    <w:left w:val="none" w:sz="0" w:space="0" w:color="auto"/>
                                    <w:bottom w:val="none" w:sz="0" w:space="0" w:color="auto"/>
                                    <w:right w:val="none" w:sz="0" w:space="0" w:color="auto"/>
                                  </w:divBdr>
                                </w:div>
                                <w:div w:id="1197616345">
                                  <w:marLeft w:val="0"/>
                                  <w:marRight w:val="0"/>
                                  <w:marTop w:val="0"/>
                                  <w:marBottom w:val="0"/>
                                  <w:divBdr>
                                    <w:top w:val="none" w:sz="0" w:space="0" w:color="auto"/>
                                    <w:left w:val="none" w:sz="0" w:space="0" w:color="auto"/>
                                    <w:bottom w:val="none" w:sz="0" w:space="0" w:color="auto"/>
                                    <w:right w:val="none" w:sz="0" w:space="0" w:color="auto"/>
                                  </w:divBdr>
                                </w:div>
                                <w:div w:id="1428039733">
                                  <w:marLeft w:val="0"/>
                                  <w:marRight w:val="0"/>
                                  <w:marTop w:val="0"/>
                                  <w:marBottom w:val="0"/>
                                  <w:divBdr>
                                    <w:top w:val="none" w:sz="0" w:space="0" w:color="auto"/>
                                    <w:left w:val="none" w:sz="0" w:space="0" w:color="auto"/>
                                    <w:bottom w:val="none" w:sz="0" w:space="0" w:color="auto"/>
                                    <w:right w:val="none" w:sz="0" w:space="0" w:color="auto"/>
                                  </w:divBdr>
                                </w:div>
                              </w:divsChild>
                            </w:div>
                            <w:div w:id="295572838">
                              <w:marLeft w:val="0"/>
                              <w:marRight w:val="0"/>
                              <w:marTop w:val="0"/>
                              <w:marBottom w:val="0"/>
                              <w:divBdr>
                                <w:top w:val="none" w:sz="0" w:space="0" w:color="auto"/>
                                <w:left w:val="none" w:sz="0" w:space="0" w:color="auto"/>
                                <w:bottom w:val="none" w:sz="0" w:space="0" w:color="auto"/>
                                <w:right w:val="none" w:sz="0" w:space="0" w:color="auto"/>
                              </w:divBdr>
                            </w:div>
                            <w:div w:id="446045282">
                              <w:marLeft w:val="0"/>
                              <w:marRight w:val="0"/>
                              <w:marTop w:val="0"/>
                              <w:marBottom w:val="0"/>
                              <w:divBdr>
                                <w:top w:val="none" w:sz="0" w:space="0" w:color="auto"/>
                                <w:left w:val="none" w:sz="0" w:space="0" w:color="auto"/>
                                <w:bottom w:val="none" w:sz="0" w:space="0" w:color="auto"/>
                                <w:right w:val="none" w:sz="0" w:space="0" w:color="auto"/>
                              </w:divBdr>
                            </w:div>
                            <w:div w:id="645089761">
                              <w:marLeft w:val="0"/>
                              <w:marRight w:val="0"/>
                              <w:marTop w:val="0"/>
                              <w:marBottom w:val="0"/>
                              <w:divBdr>
                                <w:top w:val="none" w:sz="0" w:space="0" w:color="auto"/>
                                <w:left w:val="none" w:sz="0" w:space="0" w:color="auto"/>
                                <w:bottom w:val="none" w:sz="0" w:space="0" w:color="auto"/>
                                <w:right w:val="none" w:sz="0" w:space="0" w:color="auto"/>
                              </w:divBdr>
                            </w:div>
                            <w:div w:id="797912929">
                              <w:marLeft w:val="0"/>
                              <w:marRight w:val="0"/>
                              <w:marTop w:val="0"/>
                              <w:marBottom w:val="0"/>
                              <w:divBdr>
                                <w:top w:val="none" w:sz="0" w:space="0" w:color="auto"/>
                                <w:left w:val="none" w:sz="0" w:space="0" w:color="auto"/>
                                <w:bottom w:val="none" w:sz="0" w:space="0" w:color="auto"/>
                                <w:right w:val="none" w:sz="0" w:space="0" w:color="auto"/>
                              </w:divBdr>
                            </w:div>
                            <w:div w:id="912352542">
                              <w:marLeft w:val="0"/>
                              <w:marRight w:val="0"/>
                              <w:marTop w:val="0"/>
                              <w:marBottom w:val="0"/>
                              <w:divBdr>
                                <w:top w:val="none" w:sz="0" w:space="0" w:color="auto"/>
                                <w:left w:val="none" w:sz="0" w:space="0" w:color="auto"/>
                                <w:bottom w:val="none" w:sz="0" w:space="0" w:color="auto"/>
                                <w:right w:val="none" w:sz="0" w:space="0" w:color="auto"/>
                              </w:divBdr>
                            </w:div>
                            <w:div w:id="1065493196">
                              <w:marLeft w:val="0"/>
                              <w:marRight w:val="0"/>
                              <w:marTop w:val="0"/>
                              <w:marBottom w:val="0"/>
                              <w:divBdr>
                                <w:top w:val="none" w:sz="0" w:space="0" w:color="auto"/>
                                <w:left w:val="none" w:sz="0" w:space="0" w:color="auto"/>
                                <w:bottom w:val="none" w:sz="0" w:space="0" w:color="auto"/>
                                <w:right w:val="none" w:sz="0" w:space="0" w:color="auto"/>
                              </w:divBdr>
                            </w:div>
                            <w:div w:id="1069302340">
                              <w:marLeft w:val="0"/>
                              <w:marRight w:val="0"/>
                              <w:marTop w:val="0"/>
                              <w:marBottom w:val="0"/>
                              <w:divBdr>
                                <w:top w:val="none" w:sz="0" w:space="0" w:color="auto"/>
                                <w:left w:val="none" w:sz="0" w:space="0" w:color="auto"/>
                                <w:bottom w:val="none" w:sz="0" w:space="0" w:color="auto"/>
                                <w:right w:val="none" w:sz="0" w:space="0" w:color="auto"/>
                              </w:divBdr>
                            </w:div>
                            <w:div w:id="1071777553">
                              <w:marLeft w:val="0"/>
                              <w:marRight w:val="0"/>
                              <w:marTop w:val="0"/>
                              <w:marBottom w:val="0"/>
                              <w:divBdr>
                                <w:top w:val="none" w:sz="0" w:space="0" w:color="auto"/>
                                <w:left w:val="none" w:sz="0" w:space="0" w:color="auto"/>
                                <w:bottom w:val="none" w:sz="0" w:space="0" w:color="auto"/>
                                <w:right w:val="none" w:sz="0" w:space="0" w:color="auto"/>
                              </w:divBdr>
                            </w:div>
                            <w:div w:id="1306734717">
                              <w:marLeft w:val="0"/>
                              <w:marRight w:val="0"/>
                              <w:marTop w:val="0"/>
                              <w:marBottom w:val="0"/>
                              <w:divBdr>
                                <w:top w:val="none" w:sz="0" w:space="0" w:color="auto"/>
                                <w:left w:val="none" w:sz="0" w:space="0" w:color="auto"/>
                                <w:bottom w:val="none" w:sz="0" w:space="0" w:color="auto"/>
                                <w:right w:val="none" w:sz="0" w:space="0" w:color="auto"/>
                              </w:divBdr>
                            </w:div>
                            <w:div w:id="1435439231">
                              <w:marLeft w:val="0"/>
                              <w:marRight w:val="0"/>
                              <w:marTop w:val="0"/>
                              <w:marBottom w:val="0"/>
                              <w:divBdr>
                                <w:top w:val="none" w:sz="0" w:space="0" w:color="auto"/>
                                <w:left w:val="none" w:sz="0" w:space="0" w:color="auto"/>
                                <w:bottom w:val="none" w:sz="0" w:space="0" w:color="auto"/>
                                <w:right w:val="none" w:sz="0" w:space="0" w:color="auto"/>
                              </w:divBdr>
                            </w:div>
                            <w:div w:id="1482625066">
                              <w:marLeft w:val="0"/>
                              <w:marRight w:val="0"/>
                              <w:marTop w:val="0"/>
                              <w:marBottom w:val="0"/>
                              <w:divBdr>
                                <w:top w:val="none" w:sz="0" w:space="0" w:color="auto"/>
                                <w:left w:val="none" w:sz="0" w:space="0" w:color="auto"/>
                                <w:bottom w:val="none" w:sz="0" w:space="0" w:color="auto"/>
                                <w:right w:val="none" w:sz="0" w:space="0" w:color="auto"/>
                              </w:divBdr>
                            </w:div>
                            <w:div w:id="1508784707">
                              <w:marLeft w:val="0"/>
                              <w:marRight w:val="0"/>
                              <w:marTop w:val="0"/>
                              <w:marBottom w:val="0"/>
                              <w:divBdr>
                                <w:top w:val="none" w:sz="0" w:space="0" w:color="auto"/>
                                <w:left w:val="none" w:sz="0" w:space="0" w:color="auto"/>
                                <w:bottom w:val="none" w:sz="0" w:space="0" w:color="auto"/>
                                <w:right w:val="none" w:sz="0" w:space="0" w:color="auto"/>
                              </w:divBdr>
                            </w:div>
                            <w:div w:id="1874149292">
                              <w:marLeft w:val="0"/>
                              <w:marRight w:val="0"/>
                              <w:marTop w:val="0"/>
                              <w:marBottom w:val="0"/>
                              <w:divBdr>
                                <w:top w:val="none" w:sz="0" w:space="0" w:color="auto"/>
                                <w:left w:val="none" w:sz="0" w:space="0" w:color="auto"/>
                                <w:bottom w:val="none" w:sz="0" w:space="0" w:color="auto"/>
                                <w:right w:val="none" w:sz="0" w:space="0" w:color="auto"/>
                              </w:divBdr>
                            </w:div>
                            <w:div w:id="1938757473">
                              <w:marLeft w:val="0"/>
                              <w:marRight w:val="0"/>
                              <w:marTop w:val="0"/>
                              <w:marBottom w:val="0"/>
                              <w:divBdr>
                                <w:top w:val="none" w:sz="0" w:space="0" w:color="auto"/>
                                <w:left w:val="none" w:sz="0" w:space="0" w:color="auto"/>
                                <w:bottom w:val="none" w:sz="0" w:space="0" w:color="auto"/>
                                <w:right w:val="none" w:sz="0" w:space="0" w:color="auto"/>
                              </w:divBdr>
                            </w:div>
                            <w:div w:id="194965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123925">
      <w:bodyDiv w:val="1"/>
      <w:marLeft w:val="0"/>
      <w:marRight w:val="0"/>
      <w:marTop w:val="0"/>
      <w:marBottom w:val="0"/>
      <w:divBdr>
        <w:top w:val="none" w:sz="0" w:space="0" w:color="auto"/>
        <w:left w:val="none" w:sz="0" w:space="0" w:color="auto"/>
        <w:bottom w:val="none" w:sz="0" w:space="0" w:color="auto"/>
        <w:right w:val="none" w:sz="0" w:space="0" w:color="auto"/>
      </w:divBdr>
    </w:div>
    <w:div w:id="1731952376">
      <w:bodyDiv w:val="1"/>
      <w:marLeft w:val="0"/>
      <w:marRight w:val="0"/>
      <w:marTop w:val="0"/>
      <w:marBottom w:val="0"/>
      <w:divBdr>
        <w:top w:val="none" w:sz="0" w:space="0" w:color="auto"/>
        <w:left w:val="none" w:sz="0" w:space="0" w:color="auto"/>
        <w:bottom w:val="none" w:sz="0" w:space="0" w:color="auto"/>
        <w:right w:val="none" w:sz="0" w:space="0" w:color="auto"/>
      </w:divBdr>
    </w:div>
    <w:div w:id="1877691785">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957370811">
      <w:bodyDiv w:val="1"/>
      <w:marLeft w:val="0"/>
      <w:marRight w:val="0"/>
      <w:marTop w:val="0"/>
      <w:marBottom w:val="0"/>
      <w:divBdr>
        <w:top w:val="none" w:sz="0" w:space="0" w:color="auto"/>
        <w:left w:val="none" w:sz="0" w:space="0" w:color="auto"/>
        <w:bottom w:val="none" w:sz="0" w:space="0" w:color="auto"/>
        <w:right w:val="none" w:sz="0" w:space="0" w:color="auto"/>
      </w:divBdr>
    </w:div>
    <w:div w:id="2017728642">
      <w:bodyDiv w:val="1"/>
      <w:marLeft w:val="0"/>
      <w:marRight w:val="0"/>
      <w:marTop w:val="0"/>
      <w:marBottom w:val="0"/>
      <w:divBdr>
        <w:top w:val="none" w:sz="0" w:space="0" w:color="auto"/>
        <w:left w:val="none" w:sz="0" w:space="0" w:color="auto"/>
        <w:bottom w:val="none" w:sz="0" w:space="0" w:color="auto"/>
        <w:right w:val="none" w:sz="0" w:space="0" w:color="auto"/>
      </w:divBdr>
    </w:div>
    <w:div w:id="213267307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Adults experiencing some form of depression %</c:v>
                </c:pt>
              </c:strCache>
            </c:strRef>
          </c:tx>
          <c:spPr>
            <a:solidFill>
              <a:schemeClr val="accent1"/>
            </a:solidFill>
            <a:ln>
              <a:noFill/>
            </a:ln>
            <a:effectLst/>
          </c:spPr>
          <c:invertIfNegative val="0"/>
          <c:cat>
            <c:strRef>
              <c:f>Sheet1!$A$2:$A$3</c:f>
              <c:strCache>
                <c:ptCount val="2"/>
                <c:pt idx="0">
                  <c:v>Disabled Adults</c:v>
                </c:pt>
                <c:pt idx="1">
                  <c:v>Non-Disabled Adults</c:v>
                </c:pt>
              </c:strCache>
            </c:strRef>
          </c:cat>
          <c:val>
            <c:numRef>
              <c:f>Sheet1!$B$2:$B$3</c:f>
              <c:numCache>
                <c:formatCode>General</c:formatCode>
                <c:ptCount val="2"/>
                <c:pt idx="0">
                  <c:v>35</c:v>
                </c:pt>
                <c:pt idx="1">
                  <c:v>7</c:v>
                </c:pt>
              </c:numCache>
            </c:numRef>
          </c:val>
          <c:extLst>
            <c:ext xmlns:c16="http://schemas.microsoft.com/office/drawing/2014/chart" uri="{C3380CC4-5D6E-409C-BE32-E72D297353CC}">
              <c16:uniqueId val="{00000000-F661-449B-9130-4B33A4DE3D12}"/>
            </c:ext>
          </c:extLst>
        </c:ser>
        <c:dLbls>
          <c:showLegendKey val="0"/>
          <c:showVal val="0"/>
          <c:showCatName val="0"/>
          <c:showSerName val="0"/>
          <c:showPercent val="0"/>
          <c:showBubbleSize val="0"/>
        </c:dLbls>
        <c:gapWidth val="219"/>
        <c:overlap val="-27"/>
        <c:axId val="1748463471"/>
        <c:axId val="1638435919"/>
      </c:barChart>
      <c:catAx>
        <c:axId val="1748463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8435919"/>
        <c:crosses val="autoZero"/>
        <c:auto val="1"/>
        <c:lblAlgn val="ctr"/>
        <c:lblOffset val="100"/>
        <c:noMultiLvlLbl val="0"/>
      </c:catAx>
      <c:valAx>
        <c:axId val="16384359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84634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Physical inactivity among disabled and non-disabled people</c:v>
                </c:pt>
              </c:strCache>
            </c:strRef>
          </c:tx>
          <c:spPr>
            <a:solidFill>
              <a:schemeClr val="accent1"/>
            </a:solidFill>
            <a:ln>
              <a:noFill/>
            </a:ln>
            <a:effectLst/>
          </c:spPr>
          <c:invertIfNegative val="0"/>
          <c:cat>
            <c:strRef>
              <c:f>Sheet1!$A$2:$A$3</c:f>
              <c:strCache>
                <c:ptCount val="2"/>
                <c:pt idx="0">
                  <c:v>Disabled Adults</c:v>
                </c:pt>
                <c:pt idx="1">
                  <c:v>Non-Disabled Adults</c:v>
                </c:pt>
              </c:strCache>
            </c:strRef>
          </c:cat>
          <c:val>
            <c:numRef>
              <c:f>Sheet1!$B$2:$B$3</c:f>
              <c:numCache>
                <c:formatCode>General</c:formatCode>
                <c:ptCount val="2"/>
                <c:pt idx="0">
                  <c:v>43</c:v>
                </c:pt>
                <c:pt idx="1">
                  <c:v>23</c:v>
                </c:pt>
              </c:numCache>
            </c:numRef>
          </c:val>
          <c:extLst>
            <c:ext xmlns:c16="http://schemas.microsoft.com/office/drawing/2014/chart" uri="{C3380CC4-5D6E-409C-BE32-E72D297353CC}">
              <c16:uniqueId val="{00000000-E75D-4113-9F09-0F94151852F6}"/>
            </c:ext>
          </c:extLst>
        </c:ser>
        <c:dLbls>
          <c:showLegendKey val="0"/>
          <c:showVal val="0"/>
          <c:showCatName val="0"/>
          <c:showSerName val="0"/>
          <c:showPercent val="0"/>
          <c:showBubbleSize val="0"/>
        </c:dLbls>
        <c:gapWidth val="219"/>
        <c:overlap val="-27"/>
        <c:axId val="1717149007"/>
        <c:axId val="1638663919"/>
      </c:barChart>
      <c:catAx>
        <c:axId val="17171490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8663919"/>
        <c:crosses val="autoZero"/>
        <c:auto val="1"/>
        <c:lblAlgn val="ctr"/>
        <c:lblOffset val="100"/>
        <c:noMultiLvlLbl val="0"/>
      </c:catAx>
      <c:valAx>
        <c:axId val="16386639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71490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Reported feeling lonely "often or always"</c:v>
                </c:pt>
              </c:strCache>
            </c:strRef>
          </c:tx>
          <c:spPr>
            <a:solidFill>
              <a:schemeClr val="accent1"/>
            </a:solidFill>
            <a:ln>
              <a:noFill/>
            </a:ln>
            <a:effectLst/>
          </c:spPr>
          <c:invertIfNegative val="0"/>
          <c:cat>
            <c:strRef>
              <c:f>Sheet1!$A$2:$A$3</c:f>
              <c:strCache>
                <c:ptCount val="2"/>
                <c:pt idx="0">
                  <c:v>Disabled people</c:v>
                </c:pt>
                <c:pt idx="1">
                  <c:v>Non-disabled people</c:v>
                </c:pt>
              </c:strCache>
            </c:strRef>
          </c:cat>
          <c:val>
            <c:numRef>
              <c:f>Sheet1!$B$2:$B$3</c:f>
              <c:numCache>
                <c:formatCode>0.00%</c:formatCode>
                <c:ptCount val="2"/>
                <c:pt idx="0">
                  <c:v>0.151</c:v>
                </c:pt>
                <c:pt idx="1">
                  <c:v>3.5999999999999997E-2</c:v>
                </c:pt>
              </c:numCache>
            </c:numRef>
          </c:val>
          <c:extLst>
            <c:ext xmlns:c16="http://schemas.microsoft.com/office/drawing/2014/chart" uri="{C3380CC4-5D6E-409C-BE32-E72D297353CC}">
              <c16:uniqueId val="{00000000-CFBF-443B-A420-EE19A568C390}"/>
            </c:ext>
          </c:extLst>
        </c:ser>
        <c:dLbls>
          <c:showLegendKey val="0"/>
          <c:showVal val="0"/>
          <c:showCatName val="0"/>
          <c:showSerName val="0"/>
          <c:showPercent val="0"/>
          <c:showBubbleSize val="0"/>
        </c:dLbls>
        <c:gapWidth val="182"/>
        <c:axId val="1748441199"/>
        <c:axId val="1638478639"/>
      </c:barChart>
      <c:catAx>
        <c:axId val="17484411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8478639"/>
        <c:crosses val="autoZero"/>
        <c:auto val="1"/>
        <c:lblAlgn val="ctr"/>
        <c:lblOffset val="100"/>
        <c:noMultiLvlLbl val="0"/>
      </c:catAx>
      <c:valAx>
        <c:axId val="1638478639"/>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84411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Muhammad Aliyu</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9491</TotalTime>
  <Pages>1</Pages>
  <Words>4233</Words>
  <Characters>24134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Lecturer</Company>
  <LinksUpToDate>false</LinksUpToDate>
  <CharactersWithSpaces>28311</CharactersWithSpaces>
  <SharedDoc>false</SharedDoc>
  <HLinks>
    <vt:vector size="156" baseType="variant">
      <vt:variant>
        <vt:i4>1114160</vt:i4>
      </vt:variant>
      <vt:variant>
        <vt:i4>152</vt:i4>
      </vt:variant>
      <vt:variant>
        <vt:i4>0</vt:i4>
      </vt:variant>
      <vt:variant>
        <vt:i4>5</vt:i4>
      </vt:variant>
      <vt:variant>
        <vt:lpwstr/>
      </vt:variant>
      <vt:variant>
        <vt:lpwstr>_Toc237612415</vt:lpwstr>
      </vt:variant>
      <vt:variant>
        <vt:i4>1114160</vt:i4>
      </vt:variant>
      <vt:variant>
        <vt:i4>146</vt:i4>
      </vt:variant>
      <vt:variant>
        <vt:i4>0</vt:i4>
      </vt:variant>
      <vt:variant>
        <vt:i4>5</vt:i4>
      </vt:variant>
      <vt:variant>
        <vt:lpwstr/>
      </vt:variant>
      <vt:variant>
        <vt:lpwstr>_Toc237612414</vt:lpwstr>
      </vt:variant>
      <vt:variant>
        <vt:i4>1114160</vt:i4>
      </vt:variant>
      <vt:variant>
        <vt:i4>140</vt:i4>
      </vt:variant>
      <vt:variant>
        <vt:i4>0</vt:i4>
      </vt:variant>
      <vt:variant>
        <vt:i4>5</vt:i4>
      </vt:variant>
      <vt:variant>
        <vt:lpwstr/>
      </vt:variant>
      <vt:variant>
        <vt:lpwstr>_Toc237612413</vt:lpwstr>
      </vt:variant>
      <vt:variant>
        <vt:i4>1114160</vt:i4>
      </vt:variant>
      <vt:variant>
        <vt:i4>134</vt:i4>
      </vt:variant>
      <vt:variant>
        <vt:i4>0</vt:i4>
      </vt:variant>
      <vt:variant>
        <vt:i4>5</vt:i4>
      </vt:variant>
      <vt:variant>
        <vt:lpwstr/>
      </vt:variant>
      <vt:variant>
        <vt:lpwstr>_Toc237612412</vt:lpwstr>
      </vt:variant>
      <vt:variant>
        <vt:i4>1114160</vt:i4>
      </vt:variant>
      <vt:variant>
        <vt:i4>128</vt:i4>
      </vt:variant>
      <vt:variant>
        <vt:i4>0</vt:i4>
      </vt:variant>
      <vt:variant>
        <vt:i4>5</vt:i4>
      </vt:variant>
      <vt:variant>
        <vt:lpwstr/>
      </vt:variant>
      <vt:variant>
        <vt:lpwstr>_Toc237612411</vt:lpwstr>
      </vt:variant>
      <vt:variant>
        <vt:i4>1114160</vt:i4>
      </vt:variant>
      <vt:variant>
        <vt:i4>122</vt:i4>
      </vt:variant>
      <vt:variant>
        <vt:i4>0</vt:i4>
      </vt:variant>
      <vt:variant>
        <vt:i4>5</vt:i4>
      </vt:variant>
      <vt:variant>
        <vt:lpwstr/>
      </vt:variant>
      <vt:variant>
        <vt:lpwstr>_Toc237612410</vt:lpwstr>
      </vt:variant>
      <vt:variant>
        <vt:i4>1048624</vt:i4>
      </vt:variant>
      <vt:variant>
        <vt:i4>116</vt:i4>
      </vt:variant>
      <vt:variant>
        <vt:i4>0</vt:i4>
      </vt:variant>
      <vt:variant>
        <vt:i4>5</vt:i4>
      </vt:variant>
      <vt:variant>
        <vt:lpwstr/>
      </vt:variant>
      <vt:variant>
        <vt:lpwstr>_Toc237612409</vt:lpwstr>
      </vt:variant>
      <vt:variant>
        <vt:i4>1048624</vt:i4>
      </vt:variant>
      <vt:variant>
        <vt:i4>110</vt:i4>
      </vt:variant>
      <vt:variant>
        <vt:i4>0</vt:i4>
      </vt:variant>
      <vt:variant>
        <vt:i4>5</vt:i4>
      </vt:variant>
      <vt:variant>
        <vt:lpwstr/>
      </vt:variant>
      <vt:variant>
        <vt:lpwstr>_Toc237612408</vt:lpwstr>
      </vt:variant>
      <vt:variant>
        <vt:i4>1048624</vt:i4>
      </vt:variant>
      <vt:variant>
        <vt:i4>104</vt:i4>
      </vt:variant>
      <vt:variant>
        <vt:i4>0</vt:i4>
      </vt:variant>
      <vt:variant>
        <vt:i4>5</vt:i4>
      </vt:variant>
      <vt:variant>
        <vt:lpwstr/>
      </vt:variant>
      <vt:variant>
        <vt:lpwstr>_Toc237612407</vt:lpwstr>
      </vt:variant>
      <vt:variant>
        <vt:i4>1048624</vt:i4>
      </vt:variant>
      <vt:variant>
        <vt:i4>98</vt:i4>
      </vt:variant>
      <vt:variant>
        <vt:i4>0</vt:i4>
      </vt:variant>
      <vt:variant>
        <vt:i4>5</vt:i4>
      </vt:variant>
      <vt:variant>
        <vt:lpwstr/>
      </vt:variant>
      <vt:variant>
        <vt:lpwstr>_Toc237612406</vt:lpwstr>
      </vt:variant>
      <vt:variant>
        <vt:i4>1048624</vt:i4>
      </vt:variant>
      <vt:variant>
        <vt:i4>92</vt:i4>
      </vt:variant>
      <vt:variant>
        <vt:i4>0</vt:i4>
      </vt:variant>
      <vt:variant>
        <vt:i4>5</vt:i4>
      </vt:variant>
      <vt:variant>
        <vt:lpwstr/>
      </vt:variant>
      <vt:variant>
        <vt:lpwstr>_Toc237612405</vt:lpwstr>
      </vt:variant>
      <vt:variant>
        <vt:i4>1048624</vt:i4>
      </vt:variant>
      <vt:variant>
        <vt:i4>86</vt:i4>
      </vt:variant>
      <vt:variant>
        <vt:i4>0</vt:i4>
      </vt:variant>
      <vt:variant>
        <vt:i4>5</vt:i4>
      </vt:variant>
      <vt:variant>
        <vt:lpwstr/>
      </vt:variant>
      <vt:variant>
        <vt:lpwstr>_Toc237612404</vt:lpwstr>
      </vt:variant>
      <vt:variant>
        <vt:i4>1048624</vt:i4>
      </vt:variant>
      <vt:variant>
        <vt:i4>80</vt:i4>
      </vt:variant>
      <vt:variant>
        <vt:i4>0</vt:i4>
      </vt:variant>
      <vt:variant>
        <vt:i4>5</vt:i4>
      </vt:variant>
      <vt:variant>
        <vt:lpwstr/>
      </vt:variant>
      <vt:variant>
        <vt:lpwstr>_Toc237612403</vt:lpwstr>
      </vt:variant>
      <vt:variant>
        <vt:i4>1048624</vt:i4>
      </vt:variant>
      <vt:variant>
        <vt:i4>74</vt:i4>
      </vt:variant>
      <vt:variant>
        <vt:i4>0</vt:i4>
      </vt:variant>
      <vt:variant>
        <vt:i4>5</vt:i4>
      </vt:variant>
      <vt:variant>
        <vt:lpwstr/>
      </vt:variant>
      <vt:variant>
        <vt:lpwstr>_Toc237612402</vt:lpwstr>
      </vt:variant>
      <vt:variant>
        <vt:i4>1048624</vt:i4>
      </vt:variant>
      <vt:variant>
        <vt:i4>68</vt:i4>
      </vt:variant>
      <vt:variant>
        <vt:i4>0</vt:i4>
      </vt:variant>
      <vt:variant>
        <vt:i4>5</vt:i4>
      </vt:variant>
      <vt:variant>
        <vt:lpwstr/>
      </vt:variant>
      <vt:variant>
        <vt:lpwstr>_Toc237612401</vt:lpwstr>
      </vt:variant>
      <vt:variant>
        <vt:i4>1048624</vt:i4>
      </vt:variant>
      <vt:variant>
        <vt:i4>62</vt:i4>
      </vt:variant>
      <vt:variant>
        <vt:i4>0</vt:i4>
      </vt:variant>
      <vt:variant>
        <vt:i4>5</vt:i4>
      </vt:variant>
      <vt:variant>
        <vt:lpwstr/>
      </vt:variant>
      <vt:variant>
        <vt:lpwstr>_Toc237612400</vt:lpwstr>
      </vt:variant>
      <vt:variant>
        <vt:i4>1638455</vt:i4>
      </vt:variant>
      <vt:variant>
        <vt:i4>56</vt:i4>
      </vt:variant>
      <vt:variant>
        <vt:i4>0</vt:i4>
      </vt:variant>
      <vt:variant>
        <vt:i4>5</vt:i4>
      </vt:variant>
      <vt:variant>
        <vt:lpwstr/>
      </vt:variant>
      <vt:variant>
        <vt:lpwstr>_Toc237612399</vt:lpwstr>
      </vt:variant>
      <vt:variant>
        <vt:i4>1638455</vt:i4>
      </vt:variant>
      <vt:variant>
        <vt:i4>50</vt:i4>
      </vt:variant>
      <vt:variant>
        <vt:i4>0</vt:i4>
      </vt:variant>
      <vt:variant>
        <vt:i4>5</vt:i4>
      </vt:variant>
      <vt:variant>
        <vt:lpwstr/>
      </vt:variant>
      <vt:variant>
        <vt:lpwstr>_Toc237612398</vt:lpwstr>
      </vt:variant>
      <vt:variant>
        <vt:i4>1638455</vt:i4>
      </vt:variant>
      <vt:variant>
        <vt:i4>44</vt:i4>
      </vt:variant>
      <vt:variant>
        <vt:i4>0</vt:i4>
      </vt:variant>
      <vt:variant>
        <vt:i4>5</vt:i4>
      </vt:variant>
      <vt:variant>
        <vt:lpwstr/>
      </vt:variant>
      <vt:variant>
        <vt:lpwstr>_Toc237612397</vt:lpwstr>
      </vt:variant>
      <vt:variant>
        <vt:i4>1638455</vt:i4>
      </vt:variant>
      <vt:variant>
        <vt:i4>38</vt:i4>
      </vt:variant>
      <vt:variant>
        <vt:i4>0</vt:i4>
      </vt:variant>
      <vt:variant>
        <vt:i4>5</vt:i4>
      </vt:variant>
      <vt:variant>
        <vt:lpwstr/>
      </vt:variant>
      <vt:variant>
        <vt:lpwstr>_Toc237612396</vt:lpwstr>
      </vt:variant>
      <vt:variant>
        <vt:i4>1638455</vt:i4>
      </vt:variant>
      <vt:variant>
        <vt:i4>32</vt:i4>
      </vt:variant>
      <vt:variant>
        <vt:i4>0</vt:i4>
      </vt:variant>
      <vt:variant>
        <vt:i4>5</vt:i4>
      </vt:variant>
      <vt:variant>
        <vt:lpwstr/>
      </vt:variant>
      <vt:variant>
        <vt:lpwstr>_Toc237612395</vt:lpwstr>
      </vt:variant>
      <vt:variant>
        <vt:i4>1638455</vt:i4>
      </vt:variant>
      <vt:variant>
        <vt:i4>26</vt:i4>
      </vt:variant>
      <vt:variant>
        <vt:i4>0</vt:i4>
      </vt:variant>
      <vt:variant>
        <vt:i4>5</vt:i4>
      </vt:variant>
      <vt:variant>
        <vt:lpwstr/>
      </vt:variant>
      <vt:variant>
        <vt:lpwstr>_Toc237612394</vt:lpwstr>
      </vt:variant>
      <vt:variant>
        <vt:i4>1638455</vt:i4>
      </vt:variant>
      <vt:variant>
        <vt:i4>20</vt:i4>
      </vt:variant>
      <vt:variant>
        <vt:i4>0</vt:i4>
      </vt:variant>
      <vt:variant>
        <vt:i4>5</vt:i4>
      </vt:variant>
      <vt:variant>
        <vt:lpwstr/>
      </vt:variant>
      <vt:variant>
        <vt:lpwstr>_Toc237612393</vt:lpwstr>
      </vt:variant>
      <vt:variant>
        <vt:i4>1638455</vt:i4>
      </vt:variant>
      <vt:variant>
        <vt:i4>14</vt:i4>
      </vt:variant>
      <vt:variant>
        <vt:i4>0</vt:i4>
      </vt:variant>
      <vt:variant>
        <vt:i4>5</vt:i4>
      </vt:variant>
      <vt:variant>
        <vt:lpwstr/>
      </vt:variant>
      <vt:variant>
        <vt:lpwstr>_Toc237612392</vt:lpwstr>
      </vt:variant>
      <vt:variant>
        <vt:i4>1638455</vt:i4>
      </vt:variant>
      <vt:variant>
        <vt:i4>8</vt:i4>
      </vt:variant>
      <vt:variant>
        <vt:i4>0</vt:i4>
      </vt:variant>
      <vt:variant>
        <vt:i4>5</vt:i4>
      </vt:variant>
      <vt:variant>
        <vt:lpwstr/>
      </vt:variant>
      <vt:variant>
        <vt:lpwstr>_Toc237612391</vt:lpwstr>
      </vt:variant>
      <vt:variant>
        <vt:i4>1638455</vt:i4>
      </vt:variant>
      <vt:variant>
        <vt:i4>2</vt:i4>
      </vt:variant>
      <vt:variant>
        <vt:i4>0</vt:i4>
      </vt:variant>
      <vt:variant>
        <vt:i4>5</vt:i4>
      </vt:variant>
      <vt:variant>
        <vt:lpwstr/>
      </vt:variant>
      <vt:variant>
        <vt:lpwstr>_Toc237612390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LCHS7000</dc:subject>
  <dc:creator>Emilia Milewska (2245525)</dc:creator>
  <cp:keywords/>
  <dc:description/>
  <cp:lastModifiedBy>Emilia Milewska (2245525)</cp:lastModifiedBy>
  <cp:revision>343</cp:revision>
  <dcterms:created xsi:type="dcterms:W3CDTF">2026-07-28T21:08:00Z</dcterms:created>
  <dcterms:modified xsi:type="dcterms:W3CDTF">2026-08-14T14:57:00Z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19a21c9d-2f1c-4995-ab71-5a509d391349</vt:lpwstr>
  </property>
</Properties>
</file>