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4C764" w14:textId="5D0B1E1A" w:rsidR="001A5BE1" w:rsidRDefault="001A5BE1" w:rsidP="001A5BE1">
      <w:pPr>
        <w:jc w:val="center"/>
        <w:rPr>
          <w:rFonts w:ascii="Arial" w:hAnsi="Arial" w:cs="Arial"/>
          <w:sz w:val="24"/>
          <w:szCs w:val="24"/>
        </w:rPr>
      </w:pPr>
      <w:r>
        <w:rPr>
          <w:rFonts w:ascii="Arial" w:hAnsi="Arial" w:cs="Arial"/>
          <w:sz w:val="24"/>
          <w:szCs w:val="24"/>
        </w:rPr>
        <w:t>2117150</w:t>
      </w:r>
    </w:p>
    <w:p w14:paraId="0E8EAAAF" w14:textId="62437EBE" w:rsidR="001A5BE1" w:rsidRDefault="001A5BE1" w:rsidP="001A5BE1">
      <w:pPr>
        <w:jc w:val="center"/>
        <w:rPr>
          <w:rFonts w:ascii="Arial" w:hAnsi="Arial" w:cs="Arial"/>
          <w:sz w:val="24"/>
          <w:szCs w:val="24"/>
        </w:rPr>
      </w:pPr>
      <w:r>
        <w:rPr>
          <w:rFonts w:ascii="Arial" w:hAnsi="Arial" w:cs="Arial"/>
          <w:sz w:val="24"/>
          <w:szCs w:val="24"/>
        </w:rPr>
        <w:t>Learning In The Digital Era</w:t>
      </w:r>
    </w:p>
    <w:p w14:paraId="52622C7E" w14:textId="213E5C18" w:rsidR="001A5BE1" w:rsidRDefault="001A5BE1" w:rsidP="001A5BE1">
      <w:pPr>
        <w:jc w:val="center"/>
        <w:rPr>
          <w:rFonts w:ascii="Arial" w:hAnsi="Arial" w:cs="Arial"/>
          <w:sz w:val="24"/>
          <w:szCs w:val="24"/>
        </w:rPr>
      </w:pPr>
      <w:r>
        <w:rPr>
          <w:rFonts w:ascii="Arial" w:hAnsi="Arial" w:cs="Arial"/>
          <w:sz w:val="24"/>
          <w:szCs w:val="24"/>
        </w:rPr>
        <w:t>ECGE4005P</w:t>
      </w:r>
    </w:p>
    <w:p w14:paraId="705FBB6A" w14:textId="34A26DE0" w:rsidR="001A5BE1" w:rsidRDefault="001A5BE1" w:rsidP="001A5BE1">
      <w:pPr>
        <w:jc w:val="center"/>
        <w:rPr>
          <w:rFonts w:ascii="Arial" w:hAnsi="Arial" w:cs="Arial"/>
          <w:sz w:val="24"/>
          <w:szCs w:val="24"/>
        </w:rPr>
      </w:pPr>
      <w:r>
        <w:rPr>
          <w:rFonts w:ascii="Arial" w:hAnsi="Arial" w:cs="Arial"/>
          <w:sz w:val="24"/>
          <w:szCs w:val="24"/>
        </w:rPr>
        <w:t>Assignment One</w:t>
      </w:r>
    </w:p>
    <w:p w14:paraId="565E081C" w14:textId="7069FCED" w:rsidR="001A5BE1" w:rsidRDefault="001A5BE1" w:rsidP="001A5BE1">
      <w:pPr>
        <w:jc w:val="center"/>
        <w:rPr>
          <w:rFonts w:ascii="Arial" w:hAnsi="Arial" w:cs="Arial"/>
          <w:sz w:val="24"/>
          <w:szCs w:val="24"/>
        </w:rPr>
      </w:pPr>
    </w:p>
    <w:p w14:paraId="2D18F960" w14:textId="3223934B" w:rsidR="001A5BE1" w:rsidRDefault="001A5BE1" w:rsidP="001A5BE1">
      <w:pPr>
        <w:jc w:val="center"/>
        <w:rPr>
          <w:rFonts w:ascii="Arial" w:hAnsi="Arial" w:cs="Arial"/>
          <w:sz w:val="24"/>
          <w:szCs w:val="24"/>
        </w:rPr>
      </w:pPr>
    </w:p>
    <w:p w14:paraId="19D67FA9" w14:textId="54EC40F2" w:rsidR="001A5BE1" w:rsidRDefault="001A5BE1" w:rsidP="001A5BE1">
      <w:pPr>
        <w:jc w:val="center"/>
        <w:rPr>
          <w:rFonts w:ascii="Arial" w:hAnsi="Arial" w:cs="Arial"/>
          <w:sz w:val="24"/>
          <w:szCs w:val="24"/>
        </w:rPr>
      </w:pPr>
    </w:p>
    <w:p w14:paraId="068479DB" w14:textId="2343764A" w:rsidR="001A5BE1" w:rsidRDefault="001A5BE1" w:rsidP="001A5BE1">
      <w:pPr>
        <w:jc w:val="center"/>
        <w:rPr>
          <w:rFonts w:ascii="Arial" w:hAnsi="Arial" w:cs="Arial"/>
          <w:sz w:val="24"/>
          <w:szCs w:val="24"/>
        </w:rPr>
      </w:pPr>
    </w:p>
    <w:p w14:paraId="6E1DC368" w14:textId="06DE5469" w:rsidR="001A5BE1" w:rsidRDefault="001A5BE1" w:rsidP="001A5BE1">
      <w:pPr>
        <w:jc w:val="center"/>
        <w:rPr>
          <w:rFonts w:ascii="Arial" w:hAnsi="Arial" w:cs="Arial"/>
          <w:sz w:val="24"/>
          <w:szCs w:val="24"/>
        </w:rPr>
      </w:pPr>
    </w:p>
    <w:p w14:paraId="1A58FBB7" w14:textId="62BD5E77" w:rsidR="001A5BE1" w:rsidRDefault="001A5BE1" w:rsidP="001A5BE1">
      <w:pPr>
        <w:jc w:val="center"/>
        <w:rPr>
          <w:rFonts w:ascii="Arial" w:hAnsi="Arial" w:cs="Arial"/>
          <w:sz w:val="24"/>
          <w:szCs w:val="24"/>
        </w:rPr>
      </w:pPr>
    </w:p>
    <w:p w14:paraId="15DDE3E8" w14:textId="7C7D0B9A" w:rsidR="001A5BE1" w:rsidRDefault="001A5BE1" w:rsidP="001A5BE1">
      <w:pPr>
        <w:jc w:val="center"/>
        <w:rPr>
          <w:rFonts w:ascii="Arial" w:hAnsi="Arial" w:cs="Arial"/>
          <w:sz w:val="24"/>
          <w:szCs w:val="24"/>
        </w:rPr>
      </w:pPr>
    </w:p>
    <w:p w14:paraId="6433085B" w14:textId="19A3CC07" w:rsidR="001A5BE1" w:rsidRDefault="001A5BE1" w:rsidP="001A5BE1">
      <w:pPr>
        <w:jc w:val="center"/>
        <w:rPr>
          <w:rFonts w:ascii="Arial" w:hAnsi="Arial" w:cs="Arial"/>
          <w:sz w:val="24"/>
          <w:szCs w:val="24"/>
        </w:rPr>
      </w:pPr>
    </w:p>
    <w:p w14:paraId="3BD6F39F" w14:textId="7313A529" w:rsidR="00CC4B4D" w:rsidRDefault="00CC4B4D" w:rsidP="00CC4B4D">
      <w:pPr>
        <w:rPr>
          <w:rFonts w:ascii="Arial" w:hAnsi="Arial" w:cs="Arial"/>
          <w:sz w:val="24"/>
          <w:szCs w:val="24"/>
        </w:rPr>
      </w:pPr>
    </w:p>
    <w:p w14:paraId="53B413C1" w14:textId="3E66BAE4" w:rsidR="0049104C" w:rsidRDefault="0049104C" w:rsidP="00CC4B4D">
      <w:pPr>
        <w:rPr>
          <w:rFonts w:ascii="Arial" w:hAnsi="Arial" w:cs="Arial"/>
          <w:sz w:val="24"/>
          <w:szCs w:val="24"/>
        </w:rPr>
      </w:pPr>
    </w:p>
    <w:p w14:paraId="061C8643" w14:textId="0F576C1E" w:rsidR="0049104C" w:rsidRDefault="0049104C" w:rsidP="00CC4B4D">
      <w:pPr>
        <w:rPr>
          <w:rFonts w:ascii="Arial" w:hAnsi="Arial" w:cs="Arial"/>
          <w:sz w:val="24"/>
          <w:szCs w:val="24"/>
        </w:rPr>
      </w:pPr>
    </w:p>
    <w:p w14:paraId="27DB8215" w14:textId="2B1A2889" w:rsidR="0049104C" w:rsidRDefault="0049104C" w:rsidP="00CC4B4D">
      <w:pPr>
        <w:rPr>
          <w:rFonts w:ascii="Arial" w:hAnsi="Arial" w:cs="Arial"/>
          <w:sz w:val="24"/>
          <w:szCs w:val="24"/>
        </w:rPr>
      </w:pPr>
    </w:p>
    <w:p w14:paraId="2591DF7F" w14:textId="6837C8CD" w:rsidR="0049104C" w:rsidRDefault="0049104C" w:rsidP="00CC4B4D">
      <w:pPr>
        <w:rPr>
          <w:rFonts w:ascii="Arial" w:hAnsi="Arial" w:cs="Arial"/>
          <w:sz w:val="24"/>
          <w:szCs w:val="24"/>
        </w:rPr>
      </w:pPr>
    </w:p>
    <w:p w14:paraId="3F1F4D1E" w14:textId="2EDE6046" w:rsidR="0049104C" w:rsidRDefault="0049104C" w:rsidP="00CC4B4D">
      <w:pPr>
        <w:rPr>
          <w:rFonts w:ascii="Arial" w:hAnsi="Arial" w:cs="Arial"/>
          <w:sz w:val="24"/>
          <w:szCs w:val="24"/>
        </w:rPr>
      </w:pPr>
    </w:p>
    <w:p w14:paraId="2420383F" w14:textId="031A8210" w:rsidR="0049104C" w:rsidRDefault="0049104C" w:rsidP="00CC4B4D">
      <w:pPr>
        <w:rPr>
          <w:rFonts w:ascii="Arial" w:hAnsi="Arial" w:cs="Arial"/>
          <w:sz w:val="24"/>
          <w:szCs w:val="24"/>
        </w:rPr>
      </w:pPr>
    </w:p>
    <w:p w14:paraId="2AFC43A1" w14:textId="2ABB4A96" w:rsidR="0049104C" w:rsidRDefault="0049104C" w:rsidP="00CC4B4D">
      <w:pPr>
        <w:rPr>
          <w:rFonts w:ascii="Arial" w:hAnsi="Arial" w:cs="Arial"/>
          <w:sz w:val="24"/>
          <w:szCs w:val="24"/>
        </w:rPr>
      </w:pPr>
    </w:p>
    <w:p w14:paraId="6E2937D4" w14:textId="4EC5883B" w:rsidR="0049104C" w:rsidRDefault="0049104C" w:rsidP="00CC4B4D">
      <w:pPr>
        <w:rPr>
          <w:rFonts w:ascii="Arial" w:hAnsi="Arial" w:cs="Arial"/>
          <w:sz w:val="24"/>
          <w:szCs w:val="24"/>
        </w:rPr>
      </w:pPr>
    </w:p>
    <w:p w14:paraId="0B081861" w14:textId="509BE5A7" w:rsidR="00787312" w:rsidRDefault="00787312" w:rsidP="00CC4B4D">
      <w:pPr>
        <w:rPr>
          <w:rFonts w:ascii="Arial" w:hAnsi="Arial" w:cs="Arial"/>
          <w:sz w:val="24"/>
          <w:szCs w:val="24"/>
        </w:rPr>
      </w:pPr>
    </w:p>
    <w:p w14:paraId="07C61C27" w14:textId="5632A788" w:rsidR="00787312" w:rsidRDefault="00787312" w:rsidP="00CC4B4D">
      <w:pPr>
        <w:rPr>
          <w:rFonts w:ascii="Arial" w:hAnsi="Arial" w:cs="Arial"/>
          <w:sz w:val="24"/>
          <w:szCs w:val="24"/>
        </w:rPr>
      </w:pPr>
    </w:p>
    <w:p w14:paraId="7052026A" w14:textId="15339FEF" w:rsidR="00787312" w:rsidRDefault="00787312" w:rsidP="00CC4B4D">
      <w:pPr>
        <w:rPr>
          <w:rFonts w:ascii="Arial" w:hAnsi="Arial" w:cs="Arial"/>
          <w:sz w:val="24"/>
          <w:szCs w:val="24"/>
        </w:rPr>
      </w:pPr>
    </w:p>
    <w:p w14:paraId="788B5E60" w14:textId="15B07ED1" w:rsidR="00787312" w:rsidRDefault="00787312" w:rsidP="00CC4B4D">
      <w:pPr>
        <w:rPr>
          <w:rFonts w:ascii="Arial" w:hAnsi="Arial" w:cs="Arial"/>
          <w:sz w:val="24"/>
          <w:szCs w:val="24"/>
        </w:rPr>
      </w:pPr>
    </w:p>
    <w:p w14:paraId="2EFDC7CE" w14:textId="58E7064C" w:rsidR="00787312" w:rsidRDefault="00787312" w:rsidP="00CC4B4D">
      <w:pPr>
        <w:rPr>
          <w:rFonts w:ascii="Arial" w:hAnsi="Arial" w:cs="Arial"/>
          <w:sz w:val="24"/>
          <w:szCs w:val="24"/>
        </w:rPr>
      </w:pPr>
    </w:p>
    <w:p w14:paraId="31E970FF" w14:textId="63A0A2E1" w:rsidR="00787312" w:rsidRDefault="00787312" w:rsidP="00CC4B4D">
      <w:pPr>
        <w:rPr>
          <w:rFonts w:ascii="Arial" w:hAnsi="Arial" w:cs="Arial"/>
          <w:sz w:val="24"/>
          <w:szCs w:val="24"/>
        </w:rPr>
      </w:pPr>
    </w:p>
    <w:p w14:paraId="24956D14" w14:textId="13865BDB" w:rsidR="00787312" w:rsidRDefault="00787312" w:rsidP="00CC4B4D">
      <w:pPr>
        <w:rPr>
          <w:rFonts w:ascii="Arial" w:hAnsi="Arial" w:cs="Arial"/>
          <w:sz w:val="24"/>
          <w:szCs w:val="24"/>
        </w:rPr>
      </w:pPr>
    </w:p>
    <w:p w14:paraId="247E8DE4" w14:textId="2616398C" w:rsidR="00787312" w:rsidRDefault="00787312" w:rsidP="00CC4B4D">
      <w:pPr>
        <w:rPr>
          <w:rFonts w:ascii="Arial" w:hAnsi="Arial" w:cs="Arial"/>
          <w:sz w:val="24"/>
          <w:szCs w:val="24"/>
        </w:rPr>
      </w:pPr>
    </w:p>
    <w:p w14:paraId="3C7E4076" w14:textId="06CBC7A4" w:rsidR="00787312" w:rsidRDefault="00787312" w:rsidP="00CC4B4D">
      <w:pPr>
        <w:rPr>
          <w:rFonts w:ascii="Arial" w:hAnsi="Arial" w:cs="Arial"/>
          <w:sz w:val="24"/>
          <w:szCs w:val="24"/>
        </w:rPr>
      </w:pPr>
    </w:p>
    <w:p w14:paraId="52B6859D" w14:textId="76AE8CEF" w:rsidR="00787312" w:rsidRDefault="00E66898" w:rsidP="00CC4B4D">
      <w:pPr>
        <w:rPr>
          <w:rFonts w:ascii="Arial" w:hAnsi="Arial" w:cs="Arial"/>
          <w:sz w:val="24"/>
          <w:szCs w:val="24"/>
        </w:rPr>
      </w:pPr>
      <w:r>
        <w:rPr>
          <w:rFonts w:ascii="Arial" w:hAnsi="Arial" w:cs="Arial"/>
          <w:sz w:val="24"/>
          <w:szCs w:val="24"/>
        </w:rPr>
        <w:lastRenderedPageBreak/>
        <w:t>Part One:</w:t>
      </w:r>
    </w:p>
    <w:p w14:paraId="190B3BF9" w14:textId="77777777" w:rsidR="00C852B3" w:rsidRPr="0056381B" w:rsidRDefault="00C852B3" w:rsidP="00C852B3">
      <w:pPr>
        <w:rPr>
          <w:rFonts w:ascii="Arial" w:hAnsi="Arial" w:cs="Arial"/>
          <w:sz w:val="24"/>
          <w:szCs w:val="24"/>
        </w:rPr>
      </w:pPr>
      <w:r w:rsidRPr="0056381B">
        <w:rPr>
          <w:rFonts w:ascii="Arial" w:hAnsi="Arial" w:cs="Arial"/>
          <w:sz w:val="24"/>
          <w:szCs w:val="24"/>
        </w:rPr>
        <w:t xml:space="preserve">In Iceland and other Nordic countries, great emphasis is placed on the importance of outside play for children. Curriculum guidelines in Iceland emphasise the use of the outdoors as a learning environment. According to </w:t>
      </w:r>
      <w:proofErr w:type="spellStart"/>
      <w:r w:rsidRPr="0056381B">
        <w:rPr>
          <w:rFonts w:ascii="Arial" w:hAnsi="Arial" w:cs="Arial"/>
          <w:sz w:val="24"/>
          <w:szCs w:val="24"/>
        </w:rPr>
        <w:t>Nor</w:t>
      </w:r>
      <w:r>
        <w:rPr>
          <w:rFonts w:ascii="Arial" w:hAnsi="Arial" w:cs="Arial"/>
          <w:sz w:val="24"/>
          <w:szCs w:val="24"/>
        </w:rPr>
        <w:t>a</w:t>
      </w:r>
      <w:r w:rsidRPr="0056381B">
        <w:rPr>
          <w:rFonts w:ascii="Arial" w:hAnsi="Arial" w:cs="Arial"/>
          <w:sz w:val="24"/>
          <w:szCs w:val="24"/>
        </w:rPr>
        <w:t>dahl</w:t>
      </w:r>
      <w:proofErr w:type="spellEnd"/>
      <w:r w:rsidRPr="0056381B">
        <w:rPr>
          <w:rFonts w:ascii="Arial" w:hAnsi="Arial" w:cs="Arial"/>
          <w:sz w:val="24"/>
          <w:szCs w:val="24"/>
        </w:rPr>
        <w:t xml:space="preserve"> and </w:t>
      </w:r>
      <w:proofErr w:type="spellStart"/>
      <w:r w:rsidRPr="0056381B">
        <w:rPr>
          <w:rFonts w:ascii="Arial" w:hAnsi="Arial" w:cs="Arial"/>
          <w:sz w:val="24"/>
          <w:szCs w:val="24"/>
        </w:rPr>
        <w:t>Johannesson</w:t>
      </w:r>
      <w:proofErr w:type="spellEnd"/>
      <w:r w:rsidRPr="0056381B">
        <w:rPr>
          <w:rFonts w:ascii="Arial" w:hAnsi="Arial" w:cs="Arial"/>
          <w:sz w:val="24"/>
          <w:szCs w:val="24"/>
        </w:rPr>
        <w:t xml:space="preserve"> (2013) outdoor play can be an effective tool for use in aiding children to develop a positive attitude to the natural world, exercise and healthy living.</w:t>
      </w:r>
    </w:p>
    <w:p w14:paraId="5F088F8E" w14:textId="77777777" w:rsidR="00C852B3" w:rsidRPr="0056381B" w:rsidRDefault="00C852B3" w:rsidP="00C852B3">
      <w:pPr>
        <w:rPr>
          <w:rFonts w:ascii="Arial" w:hAnsi="Arial" w:cs="Arial"/>
          <w:sz w:val="24"/>
          <w:szCs w:val="24"/>
        </w:rPr>
      </w:pPr>
      <w:proofErr w:type="spellStart"/>
      <w:r w:rsidRPr="0056381B">
        <w:rPr>
          <w:rFonts w:ascii="Arial" w:hAnsi="Arial" w:cs="Arial"/>
          <w:sz w:val="24"/>
          <w:szCs w:val="24"/>
        </w:rPr>
        <w:t>Oladottir</w:t>
      </w:r>
      <w:proofErr w:type="spellEnd"/>
      <w:r w:rsidRPr="0056381B">
        <w:rPr>
          <w:rFonts w:ascii="Arial" w:hAnsi="Arial" w:cs="Arial"/>
          <w:sz w:val="24"/>
          <w:szCs w:val="24"/>
        </w:rPr>
        <w:t xml:space="preserve"> (2008) states that in Icelandic pre-schools, this focus on the natural world is long-standing. Children play outside every day as an element of lesson time. However, once compulsory school age is reached, the only form of outdoor play accessible to children during school time is at breaktimes.</w:t>
      </w:r>
    </w:p>
    <w:p w14:paraId="66781B17" w14:textId="77777777" w:rsidR="00C852B3" w:rsidRPr="0056381B" w:rsidRDefault="00C852B3" w:rsidP="00C852B3">
      <w:pPr>
        <w:rPr>
          <w:rFonts w:ascii="Arial" w:hAnsi="Arial" w:cs="Arial"/>
          <w:sz w:val="24"/>
          <w:szCs w:val="24"/>
        </w:rPr>
      </w:pPr>
      <w:r w:rsidRPr="0056381B">
        <w:rPr>
          <w:rFonts w:ascii="Arial" w:hAnsi="Arial" w:cs="Arial"/>
          <w:sz w:val="24"/>
          <w:szCs w:val="24"/>
        </w:rPr>
        <w:t xml:space="preserve">Not much is known about what teachers do to aid and encourage outdoor learning, and there is potential for this to vary greatly, both between schools and even individual teachers. However, there are signs that teachers are making far more use of natural resources and learning environments than previously – in the Icelandic capital, Reykjavik, 70% of schools are </w:t>
      </w:r>
      <w:r>
        <w:rPr>
          <w:rFonts w:ascii="Arial" w:hAnsi="Arial" w:cs="Arial"/>
          <w:sz w:val="24"/>
          <w:szCs w:val="24"/>
        </w:rPr>
        <w:t xml:space="preserve">now </w:t>
      </w:r>
      <w:r w:rsidRPr="0056381B">
        <w:rPr>
          <w:rFonts w:ascii="Arial" w:hAnsi="Arial" w:cs="Arial"/>
          <w:sz w:val="24"/>
          <w:szCs w:val="24"/>
        </w:rPr>
        <w:t>making use of the outdoors as a learning environment (</w:t>
      </w:r>
      <w:proofErr w:type="spellStart"/>
      <w:r w:rsidRPr="0056381B">
        <w:rPr>
          <w:rFonts w:ascii="Arial" w:hAnsi="Arial" w:cs="Arial"/>
          <w:sz w:val="24"/>
          <w:szCs w:val="24"/>
        </w:rPr>
        <w:t>Oladottir</w:t>
      </w:r>
      <w:proofErr w:type="spellEnd"/>
      <w:r w:rsidRPr="0056381B">
        <w:rPr>
          <w:rFonts w:ascii="Arial" w:hAnsi="Arial" w:cs="Arial"/>
          <w:sz w:val="24"/>
          <w:szCs w:val="24"/>
        </w:rPr>
        <w:t>, 2008</w:t>
      </w:r>
      <w:r>
        <w:rPr>
          <w:rFonts w:ascii="Arial" w:hAnsi="Arial" w:cs="Arial"/>
          <w:sz w:val="24"/>
          <w:szCs w:val="24"/>
        </w:rPr>
        <w:t xml:space="preserve">, cited in </w:t>
      </w:r>
      <w:proofErr w:type="spellStart"/>
      <w:r>
        <w:rPr>
          <w:rFonts w:ascii="Arial" w:hAnsi="Arial" w:cs="Arial"/>
          <w:sz w:val="24"/>
          <w:szCs w:val="24"/>
        </w:rPr>
        <w:t>Noradahl</w:t>
      </w:r>
      <w:proofErr w:type="spellEnd"/>
      <w:r>
        <w:rPr>
          <w:rFonts w:ascii="Arial" w:hAnsi="Arial" w:cs="Arial"/>
          <w:sz w:val="24"/>
          <w:szCs w:val="24"/>
        </w:rPr>
        <w:t xml:space="preserve"> and </w:t>
      </w:r>
      <w:proofErr w:type="spellStart"/>
      <w:r>
        <w:rPr>
          <w:rFonts w:ascii="Arial" w:hAnsi="Arial" w:cs="Arial"/>
          <w:sz w:val="24"/>
          <w:szCs w:val="24"/>
        </w:rPr>
        <w:t>Johannesson</w:t>
      </w:r>
      <w:proofErr w:type="spellEnd"/>
      <w:r>
        <w:rPr>
          <w:rFonts w:ascii="Arial" w:hAnsi="Arial" w:cs="Arial"/>
          <w:sz w:val="24"/>
          <w:szCs w:val="24"/>
        </w:rPr>
        <w:t>, 2014)</w:t>
      </w:r>
      <w:r w:rsidRPr="0056381B">
        <w:rPr>
          <w:rFonts w:ascii="Arial" w:hAnsi="Arial" w:cs="Arial"/>
          <w:sz w:val="24"/>
          <w:szCs w:val="24"/>
        </w:rPr>
        <w:t>.</w:t>
      </w:r>
    </w:p>
    <w:p w14:paraId="28B43FC3" w14:textId="77777777" w:rsidR="00C852B3" w:rsidRPr="0056381B" w:rsidRDefault="00C852B3" w:rsidP="00C852B3">
      <w:pPr>
        <w:rPr>
          <w:rFonts w:ascii="Arial" w:hAnsi="Arial" w:cs="Arial"/>
          <w:sz w:val="24"/>
          <w:szCs w:val="24"/>
        </w:rPr>
      </w:pPr>
      <w:r w:rsidRPr="0056381B">
        <w:rPr>
          <w:rFonts w:ascii="Arial" w:hAnsi="Arial" w:cs="Arial"/>
          <w:sz w:val="24"/>
          <w:szCs w:val="24"/>
        </w:rPr>
        <w:t>Adapted from:</w:t>
      </w:r>
    </w:p>
    <w:p w14:paraId="25FEDFBA" w14:textId="77777777" w:rsidR="00C852B3" w:rsidRDefault="00C852B3" w:rsidP="00C852B3">
      <w:pPr>
        <w:rPr>
          <w:rFonts w:ascii="Arial" w:hAnsi="Arial" w:cs="Arial"/>
          <w:sz w:val="24"/>
          <w:szCs w:val="24"/>
        </w:rPr>
      </w:pPr>
      <w:proofErr w:type="spellStart"/>
      <w:r w:rsidRPr="0056381B">
        <w:rPr>
          <w:rFonts w:ascii="Arial" w:hAnsi="Arial" w:cs="Arial"/>
          <w:sz w:val="24"/>
          <w:szCs w:val="24"/>
        </w:rPr>
        <w:t>Nor</w:t>
      </w:r>
      <w:r>
        <w:rPr>
          <w:rFonts w:ascii="Arial" w:hAnsi="Arial" w:cs="Arial"/>
          <w:sz w:val="24"/>
          <w:szCs w:val="24"/>
        </w:rPr>
        <w:t>a</w:t>
      </w:r>
      <w:r w:rsidRPr="0056381B">
        <w:rPr>
          <w:rFonts w:ascii="Arial" w:hAnsi="Arial" w:cs="Arial"/>
          <w:sz w:val="24"/>
          <w:szCs w:val="24"/>
        </w:rPr>
        <w:t>dahl</w:t>
      </w:r>
      <w:proofErr w:type="spellEnd"/>
      <w:r w:rsidRPr="0056381B">
        <w:rPr>
          <w:rFonts w:ascii="Arial" w:hAnsi="Arial" w:cs="Arial"/>
          <w:sz w:val="24"/>
          <w:szCs w:val="24"/>
        </w:rPr>
        <w:t xml:space="preserve">, K. and </w:t>
      </w:r>
      <w:proofErr w:type="spellStart"/>
      <w:r w:rsidRPr="0056381B">
        <w:rPr>
          <w:rFonts w:ascii="Arial" w:hAnsi="Arial" w:cs="Arial"/>
          <w:sz w:val="24"/>
          <w:szCs w:val="24"/>
        </w:rPr>
        <w:t>Johannesson</w:t>
      </w:r>
      <w:proofErr w:type="spellEnd"/>
      <w:r w:rsidRPr="0056381B">
        <w:rPr>
          <w:rFonts w:ascii="Arial" w:hAnsi="Arial" w:cs="Arial"/>
          <w:sz w:val="24"/>
          <w:szCs w:val="24"/>
        </w:rPr>
        <w:t xml:space="preserve">, I. (2014) ‘Icelandic teachers’ views of using the outdoors’ </w:t>
      </w:r>
      <w:r w:rsidRPr="0056381B">
        <w:rPr>
          <w:rFonts w:ascii="Arial" w:hAnsi="Arial" w:cs="Arial"/>
          <w:i/>
          <w:iCs/>
          <w:sz w:val="24"/>
          <w:szCs w:val="24"/>
        </w:rPr>
        <w:t xml:space="preserve">Education 3-13: International Journal of Primary, Elementary and Early Years Education. </w:t>
      </w:r>
      <w:r w:rsidRPr="0056381B">
        <w:rPr>
          <w:rFonts w:ascii="Arial" w:hAnsi="Arial" w:cs="Arial"/>
          <w:sz w:val="24"/>
          <w:szCs w:val="24"/>
        </w:rPr>
        <w:t>Vol 44, No. 4, September 2014, 391-406</w:t>
      </w:r>
    </w:p>
    <w:p w14:paraId="2161B0DA" w14:textId="140A9B82" w:rsidR="00E66898" w:rsidRDefault="00E66898" w:rsidP="00CC4B4D">
      <w:pPr>
        <w:rPr>
          <w:rFonts w:ascii="Arial" w:hAnsi="Arial" w:cs="Arial"/>
          <w:sz w:val="24"/>
          <w:szCs w:val="24"/>
        </w:rPr>
      </w:pPr>
    </w:p>
    <w:p w14:paraId="75FC78FB" w14:textId="717E3B30" w:rsidR="002900FD" w:rsidRDefault="002900FD" w:rsidP="00CC4B4D">
      <w:pPr>
        <w:rPr>
          <w:rFonts w:ascii="Arial" w:hAnsi="Arial" w:cs="Arial"/>
          <w:sz w:val="24"/>
          <w:szCs w:val="24"/>
        </w:rPr>
      </w:pPr>
      <w:r>
        <w:rPr>
          <w:rFonts w:ascii="Arial" w:hAnsi="Arial" w:cs="Arial"/>
          <w:sz w:val="24"/>
          <w:szCs w:val="24"/>
        </w:rPr>
        <w:t>Part Two</w:t>
      </w:r>
      <w:r w:rsidR="00BF52E6">
        <w:rPr>
          <w:rFonts w:ascii="Arial" w:hAnsi="Arial" w:cs="Arial"/>
          <w:sz w:val="24"/>
          <w:szCs w:val="24"/>
        </w:rPr>
        <w:t xml:space="preserve"> (a)</w:t>
      </w:r>
      <w:r>
        <w:rPr>
          <w:rFonts w:ascii="Arial" w:hAnsi="Arial" w:cs="Arial"/>
          <w:sz w:val="24"/>
          <w:szCs w:val="24"/>
        </w:rPr>
        <w:t>:</w:t>
      </w:r>
    </w:p>
    <w:p w14:paraId="120396DB" w14:textId="77777777" w:rsidR="00E6604C" w:rsidRDefault="00E6604C" w:rsidP="00E6604C">
      <w:pPr>
        <w:rPr>
          <w:rFonts w:ascii="Arial" w:hAnsi="Arial" w:cs="Arial"/>
          <w:sz w:val="24"/>
          <w:szCs w:val="24"/>
        </w:rPr>
      </w:pPr>
      <w:r>
        <w:rPr>
          <w:rFonts w:ascii="Arial" w:hAnsi="Arial" w:cs="Arial"/>
          <w:sz w:val="24"/>
          <w:szCs w:val="24"/>
        </w:rPr>
        <w:t>This essay will explore the impact of forest schools in England and Wales.  The Forest School England Network (2005) states that a forest school is:</w:t>
      </w:r>
    </w:p>
    <w:p w14:paraId="2EBF03EF" w14:textId="77777777" w:rsidR="00E6604C" w:rsidRPr="003F6996" w:rsidRDefault="00E6604C" w:rsidP="00E6604C">
      <w:pPr>
        <w:ind w:left="720"/>
        <w:rPr>
          <w:rFonts w:ascii="Arial" w:hAnsi="Arial" w:cs="Arial"/>
          <w:sz w:val="24"/>
          <w:szCs w:val="24"/>
        </w:rPr>
      </w:pPr>
      <w:r>
        <w:rPr>
          <w:rFonts w:ascii="Arial" w:hAnsi="Arial" w:cs="Arial"/>
          <w:sz w:val="24"/>
          <w:szCs w:val="24"/>
        </w:rPr>
        <w:t>An inspirational process that offers children, young people and adults regular opportunities to achieve, and develop confidence and self-esteem through hands on learning experience in a woodland environment.</w:t>
      </w:r>
    </w:p>
    <w:p w14:paraId="7106C063" w14:textId="77777777" w:rsidR="00E6604C" w:rsidRDefault="00E6604C" w:rsidP="00E6604C">
      <w:pPr>
        <w:jc w:val="right"/>
        <w:rPr>
          <w:rFonts w:ascii="Arial" w:hAnsi="Arial" w:cs="Arial"/>
          <w:sz w:val="24"/>
          <w:szCs w:val="24"/>
        </w:rPr>
      </w:pPr>
      <w:r>
        <w:rPr>
          <w:rFonts w:ascii="Arial" w:hAnsi="Arial" w:cs="Arial"/>
          <w:sz w:val="24"/>
          <w:szCs w:val="24"/>
        </w:rPr>
        <w:t>(Forest School England Network, (2005), quoted in O’Brien and Murray, (2006), p. 6)</w:t>
      </w:r>
    </w:p>
    <w:p w14:paraId="2B0F8AA1" w14:textId="77777777" w:rsidR="00E6604C" w:rsidRDefault="00E6604C" w:rsidP="00E6604C">
      <w:pPr>
        <w:rPr>
          <w:rFonts w:ascii="Arial" w:hAnsi="Arial" w:cs="Arial"/>
          <w:sz w:val="24"/>
          <w:szCs w:val="24"/>
        </w:rPr>
      </w:pPr>
      <w:r>
        <w:rPr>
          <w:rFonts w:ascii="Arial" w:hAnsi="Arial" w:cs="Arial"/>
          <w:sz w:val="24"/>
          <w:szCs w:val="24"/>
        </w:rPr>
        <w:t xml:space="preserve">According to O’Brien and Murray (2006) there is general concern that schools are not facilitating children’s interaction with natural environments as much as they may have in the past. This may be due to a more varied range of activities to occupy children inside than previously, coupled with anxiety for their safety in an uncontrolled environment. </w:t>
      </w:r>
    </w:p>
    <w:p w14:paraId="0E46154A" w14:textId="77777777" w:rsidR="00E6604C" w:rsidRDefault="00E6604C" w:rsidP="00E6604C">
      <w:pPr>
        <w:rPr>
          <w:rFonts w:ascii="Arial" w:hAnsi="Arial" w:cs="Arial"/>
          <w:sz w:val="24"/>
          <w:szCs w:val="24"/>
        </w:rPr>
      </w:pPr>
      <w:r>
        <w:rPr>
          <w:rFonts w:ascii="Arial" w:hAnsi="Arial" w:cs="Arial"/>
          <w:sz w:val="24"/>
          <w:szCs w:val="24"/>
        </w:rPr>
        <w:t xml:space="preserve">Ward Thompson </w:t>
      </w:r>
      <w:r>
        <w:rPr>
          <w:rFonts w:ascii="Arial" w:hAnsi="Arial" w:cs="Arial"/>
          <w:i/>
          <w:iCs/>
          <w:sz w:val="24"/>
          <w:szCs w:val="24"/>
        </w:rPr>
        <w:t>et al</w:t>
      </w:r>
      <w:r>
        <w:rPr>
          <w:rFonts w:ascii="Arial" w:hAnsi="Arial" w:cs="Arial"/>
          <w:sz w:val="24"/>
          <w:szCs w:val="24"/>
        </w:rPr>
        <w:t>. (2004) found that exposure to the outdoors at a young age sets the tone for the rest of the child’s life. If children do not interact with the natural environment then they are less likely to want to as adults, and will therefore miss out on all the physical and emotional benefits that access to nature can provide.</w:t>
      </w:r>
    </w:p>
    <w:p w14:paraId="31AB6058" w14:textId="77777777" w:rsidR="00E6604C" w:rsidRDefault="00E6604C" w:rsidP="00E6604C">
      <w:pPr>
        <w:rPr>
          <w:rFonts w:ascii="Arial" w:hAnsi="Arial" w:cs="Arial"/>
          <w:sz w:val="24"/>
          <w:szCs w:val="24"/>
        </w:rPr>
      </w:pPr>
      <w:r>
        <w:rPr>
          <w:rFonts w:ascii="Arial" w:hAnsi="Arial" w:cs="Arial"/>
          <w:sz w:val="24"/>
          <w:szCs w:val="24"/>
        </w:rPr>
        <w:t xml:space="preserve">More emphasis is now being placed on outdoor learning and how it differs from a classroom environment, with teachers being encouraged to implement the use of </w:t>
      </w:r>
      <w:r>
        <w:rPr>
          <w:rFonts w:ascii="Arial" w:hAnsi="Arial" w:cs="Arial"/>
          <w:sz w:val="24"/>
          <w:szCs w:val="24"/>
        </w:rPr>
        <w:lastRenderedPageBreak/>
        <w:t>forest schools, especially for foundation phase learners (Welsh Assembly Government, 2009).</w:t>
      </w:r>
    </w:p>
    <w:p w14:paraId="22682698" w14:textId="77777777" w:rsidR="00E6604C" w:rsidRDefault="00E6604C" w:rsidP="00E6604C">
      <w:pPr>
        <w:rPr>
          <w:rFonts w:ascii="Arial" w:hAnsi="Arial" w:cs="Arial"/>
          <w:sz w:val="24"/>
          <w:szCs w:val="24"/>
        </w:rPr>
      </w:pPr>
    </w:p>
    <w:p w14:paraId="109D4DA5" w14:textId="77777777" w:rsidR="00E6604C" w:rsidRDefault="00E6604C" w:rsidP="00E6604C">
      <w:pPr>
        <w:rPr>
          <w:rFonts w:ascii="Arial" w:hAnsi="Arial" w:cs="Arial"/>
          <w:sz w:val="24"/>
          <w:szCs w:val="24"/>
        </w:rPr>
      </w:pPr>
      <w:r>
        <w:rPr>
          <w:rFonts w:ascii="Arial" w:hAnsi="Arial" w:cs="Arial"/>
          <w:sz w:val="24"/>
          <w:szCs w:val="24"/>
        </w:rPr>
        <w:t xml:space="preserve">O’Brien, E. and Murray, R. (2006) </w:t>
      </w:r>
      <w:r>
        <w:rPr>
          <w:rFonts w:ascii="Arial" w:hAnsi="Arial" w:cs="Arial"/>
          <w:i/>
          <w:iCs/>
          <w:sz w:val="24"/>
          <w:szCs w:val="24"/>
        </w:rPr>
        <w:t>A marvellous opportunity for children to learn: A participatory evaluation of Forest School in England and Wales.</w:t>
      </w:r>
      <w:r>
        <w:rPr>
          <w:rFonts w:ascii="Arial" w:hAnsi="Arial" w:cs="Arial"/>
          <w:sz w:val="24"/>
          <w:szCs w:val="24"/>
        </w:rPr>
        <w:t xml:space="preserve"> Farnham: Forest Research.</w:t>
      </w:r>
    </w:p>
    <w:p w14:paraId="7DB85DCC" w14:textId="77777777" w:rsidR="00E6604C" w:rsidRDefault="00E6604C" w:rsidP="00E6604C">
      <w:pPr>
        <w:rPr>
          <w:rFonts w:ascii="Arial" w:hAnsi="Arial" w:cs="Arial"/>
          <w:sz w:val="24"/>
          <w:szCs w:val="24"/>
        </w:rPr>
      </w:pPr>
      <w:r>
        <w:rPr>
          <w:rFonts w:ascii="Arial" w:hAnsi="Arial" w:cs="Arial"/>
          <w:sz w:val="24"/>
          <w:szCs w:val="24"/>
        </w:rPr>
        <w:t xml:space="preserve">Ward Thompson, C., Aspinall, P., Bell, S., Findlay, C., </w:t>
      </w:r>
      <w:proofErr w:type="spellStart"/>
      <w:r>
        <w:rPr>
          <w:rFonts w:ascii="Arial" w:hAnsi="Arial" w:cs="Arial"/>
          <w:sz w:val="24"/>
          <w:szCs w:val="24"/>
        </w:rPr>
        <w:t>Wherrett</w:t>
      </w:r>
      <w:proofErr w:type="spellEnd"/>
      <w:r>
        <w:rPr>
          <w:rFonts w:ascii="Arial" w:hAnsi="Arial" w:cs="Arial"/>
          <w:sz w:val="24"/>
          <w:szCs w:val="24"/>
        </w:rPr>
        <w:t xml:space="preserve">, J., and </w:t>
      </w:r>
      <w:proofErr w:type="spellStart"/>
      <w:r>
        <w:rPr>
          <w:rFonts w:ascii="Arial" w:hAnsi="Arial" w:cs="Arial"/>
          <w:sz w:val="24"/>
          <w:szCs w:val="24"/>
        </w:rPr>
        <w:t>Travlou</w:t>
      </w:r>
      <w:proofErr w:type="spellEnd"/>
      <w:r>
        <w:rPr>
          <w:rFonts w:ascii="Arial" w:hAnsi="Arial" w:cs="Arial"/>
          <w:sz w:val="24"/>
          <w:szCs w:val="24"/>
        </w:rPr>
        <w:t xml:space="preserve">, P. (2004) </w:t>
      </w:r>
      <w:r>
        <w:rPr>
          <w:rFonts w:ascii="Arial" w:hAnsi="Arial" w:cs="Arial"/>
          <w:i/>
          <w:iCs/>
          <w:sz w:val="24"/>
          <w:szCs w:val="24"/>
        </w:rPr>
        <w:t>Open Space and Social Inclusion: Local Woodland Use in Central Scotland.</w:t>
      </w:r>
      <w:r>
        <w:rPr>
          <w:rFonts w:ascii="Arial" w:hAnsi="Arial" w:cs="Arial"/>
          <w:sz w:val="24"/>
          <w:szCs w:val="24"/>
        </w:rPr>
        <w:t xml:space="preserve"> Edinburgh: Forestry Commission.</w:t>
      </w:r>
    </w:p>
    <w:p w14:paraId="24F3576B" w14:textId="77777777" w:rsidR="00E6604C" w:rsidRDefault="00E6604C" w:rsidP="00E6604C">
      <w:pPr>
        <w:rPr>
          <w:rFonts w:ascii="Arial" w:hAnsi="Arial" w:cs="Arial"/>
          <w:sz w:val="24"/>
          <w:szCs w:val="24"/>
        </w:rPr>
      </w:pPr>
      <w:r>
        <w:rPr>
          <w:rFonts w:ascii="Arial" w:hAnsi="Arial" w:cs="Arial"/>
          <w:sz w:val="24"/>
          <w:szCs w:val="24"/>
        </w:rPr>
        <w:t xml:space="preserve">Welsh Assembly Government. (2009) </w:t>
      </w:r>
      <w:r>
        <w:rPr>
          <w:rFonts w:ascii="Arial" w:hAnsi="Arial" w:cs="Arial"/>
          <w:i/>
          <w:iCs/>
          <w:sz w:val="24"/>
          <w:szCs w:val="24"/>
        </w:rPr>
        <w:t>Outdoor Learning Handbook.</w:t>
      </w:r>
      <w:r>
        <w:rPr>
          <w:rFonts w:ascii="Arial" w:hAnsi="Arial" w:cs="Arial"/>
          <w:sz w:val="24"/>
          <w:szCs w:val="24"/>
        </w:rPr>
        <w:t xml:space="preserve"> Cardiff: Welsh Assembly Government.</w:t>
      </w:r>
    </w:p>
    <w:p w14:paraId="04AF66E5" w14:textId="2D9B24D1" w:rsidR="00D81FF1" w:rsidRDefault="00D81FF1" w:rsidP="00CC4B4D">
      <w:pPr>
        <w:rPr>
          <w:rFonts w:ascii="Arial" w:hAnsi="Arial" w:cs="Arial"/>
          <w:sz w:val="24"/>
          <w:szCs w:val="24"/>
        </w:rPr>
      </w:pPr>
    </w:p>
    <w:p w14:paraId="33E0320E" w14:textId="3AED0B8B" w:rsidR="00FC356C" w:rsidRDefault="00FC356C" w:rsidP="00CC4B4D">
      <w:pPr>
        <w:rPr>
          <w:rFonts w:ascii="Arial" w:hAnsi="Arial" w:cs="Arial"/>
          <w:sz w:val="24"/>
          <w:szCs w:val="24"/>
        </w:rPr>
      </w:pPr>
    </w:p>
    <w:p w14:paraId="32E09FC6" w14:textId="652E9A2A" w:rsidR="00FC356C" w:rsidRDefault="00FC356C" w:rsidP="00CC4B4D">
      <w:pPr>
        <w:rPr>
          <w:rFonts w:ascii="Arial" w:hAnsi="Arial" w:cs="Arial"/>
          <w:sz w:val="24"/>
          <w:szCs w:val="24"/>
        </w:rPr>
      </w:pPr>
      <w:r>
        <w:rPr>
          <w:rFonts w:ascii="Arial" w:hAnsi="Arial" w:cs="Arial"/>
          <w:sz w:val="24"/>
          <w:szCs w:val="24"/>
        </w:rPr>
        <w:t>Part Two (B):</w:t>
      </w:r>
    </w:p>
    <w:p w14:paraId="47DD3059" w14:textId="77777777" w:rsidR="00465530" w:rsidRDefault="00465530" w:rsidP="00CC4B4D">
      <w:pPr>
        <w:rPr>
          <w:rFonts w:ascii="Arial" w:hAnsi="Arial" w:cs="Arial"/>
          <w:sz w:val="24"/>
          <w:szCs w:val="24"/>
        </w:rPr>
      </w:pPr>
    </w:p>
    <w:p w14:paraId="305E3A63" w14:textId="77777777" w:rsidR="00DD0E98" w:rsidRDefault="00DD0E98" w:rsidP="00DD0E98">
      <w:pPr>
        <w:rPr>
          <w:rFonts w:ascii="Arial" w:hAnsi="Arial" w:cs="Arial"/>
          <w:sz w:val="24"/>
          <w:szCs w:val="24"/>
        </w:rPr>
      </w:pPr>
      <w:r w:rsidRPr="005C6139">
        <w:rPr>
          <w:rFonts w:ascii="Arial" w:hAnsi="Arial" w:cs="Arial"/>
          <w:sz w:val="24"/>
          <w:szCs w:val="24"/>
        </w:rPr>
        <w:t xml:space="preserve">Failing to acknowledge the source of </w:t>
      </w:r>
      <w:r>
        <w:rPr>
          <w:rFonts w:ascii="Arial" w:hAnsi="Arial" w:cs="Arial"/>
          <w:sz w:val="24"/>
          <w:szCs w:val="24"/>
        </w:rPr>
        <w:t>the</w:t>
      </w:r>
      <w:r w:rsidRPr="005C6139">
        <w:rPr>
          <w:rFonts w:ascii="Arial" w:hAnsi="Arial" w:cs="Arial"/>
          <w:sz w:val="24"/>
          <w:szCs w:val="24"/>
        </w:rPr>
        <w:t xml:space="preserve"> information in a piece of academic writing is known as plagiarism</w:t>
      </w:r>
      <w:r>
        <w:rPr>
          <w:rFonts w:ascii="Arial" w:hAnsi="Arial" w:cs="Arial"/>
          <w:sz w:val="24"/>
          <w:szCs w:val="24"/>
        </w:rPr>
        <w:t>. Avoiding plagiarism is deeply important to maintain academic honesty and integrity, as it is not right to claim someone else’s work or ideas as one’s own concepts. This applies both to the specific sphere of academics and as a general moral code. Plagiarism may also come under the heading of an academic crime, which can sometimes lead to very serious consequences for higher education students. Whilst plagiarism does not solely apply to students, and anyone can be guilty of it, it can be a major issue in academic circles. However, when it comes to students, if instances of plagiarism are serious and repeated often enough, they can even lead to the removal of a student from their course (Neville, 2010).</w:t>
      </w:r>
    </w:p>
    <w:p w14:paraId="29F2AAE1" w14:textId="77777777" w:rsidR="00DD0E98" w:rsidRPr="00A32E19" w:rsidRDefault="00DD0E98" w:rsidP="00DD0E98">
      <w:pPr>
        <w:rPr>
          <w:rFonts w:ascii="Arial" w:hAnsi="Arial" w:cs="Arial"/>
          <w:sz w:val="24"/>
          <w:szCs w:val="24"/>
        </w:rPr>
      </w:pPr>
      <w:r>
        <w:rPr>
          <w:rFonts w:ascii="Arial" w:hAnsi="Arial" w:cs="Arial"/>
        </w:rPr>
        <w:t xml:space="preserve">Neville, C. (2010) </w:t>
      </w:r>
      <w:r>
        <w:rPr>
          <w:rFonts w:ascii="Arial" w:hAnsi="Arial" w:cs="Arial"/>
          <w:i/>
          <w:iCs/>
        </w:rPr>
        <w:t>The complete guide to referencing and avoiding plagiarism.</w:t>
      </w:r>
      <w:r>
        <w:rPr>
          <w:rFonts w:ascii="Arial" w:hAnsi="Arial" w:cs="Arial"/>
        </w:rPr>
        <w:t xml:space="preserve"> </w:t>
      </w:r>
      <w:r w:rsidRPr="00537E31">
        <w:rPr>
          <w:rFonts w:ascii="Arial" w:hAnsi="Arial" w:cs="Arial"/>
        </w:rPr>
        <w:t>2</w:t>
      </w:r>
      <w:r w:rsidRPr="00537E31">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Pr="00537E31">
        <w:rPr>
          <w:rFonts w:ascii="Arial" w:hAnsi="Arial" w:cs="Arial"/>
        </w:rPr>
        <w:t>Berkshire</w:t>
      </w:r>
      <w:r>
        <w:rPr>
          <w:rFonts w:ascii="Arial" w:hAnsi="Arial" w:cs="Arial"/>
        </w:rPr>
        <w:t>; Open University Press.</w:t>
      </w:r>
    </w:p>
    <w:p w14:paraId="126849C4" w14:textId="56D2A8B7" w:rsidR="00FC356C" w:rsidRDefault="00FC356C" w:rsidP="00CC4B4D">
      <w:pPr>
        <w:rPr>
          <w:rFonts w:ascii="Arial" w:hAnsi="Arial" w:cs="Arial"/>
          <w:sz w:val="24"/>
          <w:szCs w:val="24"/>
        </w:rPr>
      </w:pPr>
    </w:p>
    <w:p w14:paraId="75A7DE97" w14:textId="77777777" w:rsidR="00E50FFC" w:rsidRDefault="00E50FFC" w:rsidP="00E50FFC">
      <w:pPr>
        <w:rPr>
          <w:rFonts w:ascii="Arial" w:hAnsi="Arial" w:cs="Arial"/>
          <w:sz w:val="24"/>
          <w:szCs w:val="24"/>
        </w:rPr>
      </w:pPr>
      <w:r>
        <w:rPr>
          <w:rFonts w:ascii="Arial" w:hAnsi="Arial" w:cs="Arial"/>
          <w:sz w:val="24"/>
          <w:szCs w:val="24"/>
        </w:rPr>
        <w:t>Any concept put forward that is not one’s own must be referenced accurately, whether the information includes a direct quote or not. Any material used that is accessible to others should be referenced in the proper format for the item, as in part, references exist as a tool to check for the validity of research or statements. Another function of a reference is to support academic honesty – in order to avoid plagiarism, however unintentional, all information, concepts or materials should be credited to the appropriate author, with no room for ambiguity (Neville, 2010).</w:t>
      </w:r>
    </w:p>
    <w:p w14:paraId="44134DE0" w14:textId="77777777" w:rsidR="00E50FFC" w:rsidRDefault="00E50FFC" w:rsidP="00E50FFC">
      <w:pPr>
        <w:rPr>
          <w:rFonts w:ascii="Arial" w:hAnsi="Arial" w:cs="Arial"/>
          <w:sz w:val="24"/>
          <w:szCs w:val="24"/>
        </w:rPr>
      </w:pPr>
    </w:p>
    <w:p w14:paraId="339F7081" w14:textId="77777777" w:rsidR="00E50FFC" w:rsidRPr="00635416" w:rsidRDefault="00E50FFC" w:rsidP="00E50FFC">
      <w:pPr>
        <w:rPr>
          <w:rFonts w:ascii="Arial" w:hAnsi="Arial" w:cs="Arial"/>
        </w:rPr>
      </w:pPr>
      <w:r>
        <w:rPr>
          <w:rFonts w:ascii="Arial" w:hAnsi="Arial" w:cs="Arial"/>
        </w:rPr>
        <w:t xml:space="preserve">Neville, C. (2010) </w:t>
      </w:r>
      <w:r>
        <w:rPr>
          <w:rFonts w:ascii="Arial" w:hAnsi="Arial" w:cs="Arial"/>
          <w:i/>
          <w:iCs/>
        </w:rPr>
        <w:t>The complete guide to referencing and avoiding plagiarism.</w:t>
      </w:r>
      <w:r>
        <w:rPr>
          <w:rFonts w:ascii="Arial" w:hAnsi="Arial" w:cs="Arial"/>
        </w:rPr>
        <w:t xml:space="preserve"> </w:t>
      </w:r>
      <w:r w:rsidRPr="00537E31">
        <w:rPr>
          <w:rFonts w:ascii="Arial" w:hAnsi="Arial" w:cs="Arial"/>
        </w:rPr>
        <w:t>2</w:t>
      </w:r>
      <w:r w:rsidRPr="00537E31">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Pr="00537E31">
        <w:rPr>
          <w:rFonts w:ascii="Arial" w:hAnsi="Arial" w:cs="Arial"/>
        </w:rPr>
        <w:t>Berkshire</w:t>
      </w:r>
      <w:r>
        <w:rPr>
          <w:rFonts w:ascii="Arial" w:hAnsi="Arial" w:cs="Arial"/>
        </w:rPr>
        <w:t>; Open University Press.</w:t>
      </w:r>
    </w:p>
    <w:p w14:paraId="6A9F46AD" w14:textId="06ABCE72" w:rsidR="00E50FFC" w:rsidRDefault="00E50FFC" w:rsidP="00CC4B4D">
      <w:pPr>
        <w:rPr>
          <w:rFonts w:ascii="Arial" w:hAnsi="Arial" w:cs="Arial"/>
          <w:sz w:val="24"/>
          <w:szCs w:val="24"/>
        </w:rPr>
      </w:pPr>
    </w:p>
    <w:p w14:paraId="3C7D49A5" w14:textId="77777777" w:rsidR="006875AD" w:rsidRDefault="006875AD" w:rsidP="006875AD">
      <w:pPr>
        <w:rPr>
          <w:rFonts w:ascii="Arial" w:hAnsi="Arial" w:cs="Arial"/>
          <w:sz w:val="24"/>
          <w:szCs w:val="24"/>
        </w:rPr>
      </w:pPr>
      <w:r>
        <w:rPr>
          <w:rFonts w:ascii="Arial" w:hAnsi="Arial" w:cs="Arial"/>
          <w:sz w:val="24"/>
          <w:szCs w:val="24"/>
        </w:rPr>
        <w:lastRenderedPageBreak/>
        <w:t>According to Cottrell (2019), Wikipedia may not necessarily be a good or reliable source of academic information. This is largely due to the fact that the site has no particular sanctions on editing rights and is open to edit by anybody, which can result in misinformation being assumed to be truth or fact, if appropriate assessment of sources is not carried out. There may not be any academic research or reasoning to support statements made on Wikipedia, and there is often a danger that opinions may get mixed with fact.  Wikipedia may however be a good place to start when first looking into subjects or topics, providing that a critical assessment is always made of the information presented. A reference list may be attached, which can be a major aid in finding research pathways.</w:t>
      </w:r>
    </w:p>
    <w:p w14:paraId="2D7F21EC" w14:textId="77777777" w:rsidR="006875AD" w:rsidRDefault="006875AD" w:rsidP="006875AD">
      <w:pPr>
        <w:rPr>
          <w:rFonts w:ascii="Arial" w:hAnsi="Arial" w:cs="Arial"/>
          <w:sz w:val="24"/>
          <w:szCs w:val="24"/>
        </w:rPr>
      </w:pPr>
      <w:r>
        <w:rPr>
          <w:rFonts w:ascii="Arial" w:hAnsi="Arial" w:cs="Arial"/>
          <w:sz w:val="24"/>
          <w:szCs w:val="24"/>
        </w:rPr>
        <w:t xml:space="preserve">Cottrell, S. (2019) </w:t>
      </w:r>
      <w:r>
        <w:rPr>
          <w:rFonts w:ascii="Arial" w:hAnsi="Arial" w:cs="Arial"/>
          <w:i/>
          <w:iCs/>
          <w:sz w:val="24"/>
          <w:szCs w:val="24"/>
        </w:rPr>
        <w:t>The Study Skills Handbook.</w:t>
      </w:r>
      <w:r>
        <w:rPr>
          <w:rFonts w:ascii="Arial" w:hAnsi="Arial" w:cs="Arial"/>
          <w:sz w:val="24"/>
          <w:szCs w:val="24"/>
        </w:rPr>
        <w:t xml:space="preserve"> 5</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Red Globe Press</w:t>
      </w:r>
    </w:p>
    <w:p w14:paraId="081BAD21" w14:textId="2FD05500" w:rsidR="00E50FFC" w:rsidRDefault="00E50FFC" w:rsidP="00CC4B4D">
      <w:pPr>
        <w:rPr>
          <w:rFonts w:ascii="Arial" w:hAnsi="Arial" w:cs="Arial"/>
          <w:sz w:val="24"/>
          <w:szCs w:val="24"/>
        </w:rPr>
      </w:pPr>
    </w:p>
    <w:p w14:paraId="690EC980" w14:textId="77777777" w:rsidR="003A4DB6" w:rsidRDefault="003A4DB6" w:rsidP="003A4DB6">
      <w:pPr>
        <w:rPr>
          <w:rFonts w:ascii="Arial" w:hAnsi="Arial" w:cs="Arial"/>
          <w:sz w:val="24"/>
          <w:szCs w:val="24"/>
        </w:rPr>
      </w:pPr>
      <w:r>
        <w:rPr>
          <w:rFonts w:ascii="Arial" w:hAnsi="Arial" w:cs="Arial"/>
          <w:sz w:val="24"/>
          <w:szCs w:val="24"/>
        </w:rPr>
        <w:t>Any quotation that consists of more than two lines or thirty words is known as a long quotation. It should be included as a separate and indented paragraph to the main body of the work, with the surname of the author, published year, and page number included within round brackets at the bottom of the quote. Unlike short quotations, quotation marks should not be used for a long quote (University of Wales Trinity Saint David, 2022).</w:t>
      </w:r>
    </w:p>
    <w:p w14:paraId="7755331A" w14:textId="77777777" w:rsidR="003A4DB6" w:rsidRDefault="003A4DB6" w:rsidP="003A4DB6">
      <w:pPr>
        <w:rPr>
          <w:rFonts w:ascii="Arial" w:hAnsi="Arial" w:cs="Arial"/>
          <w:sz w:val="24"/>
          <w:szCs w:val="24"/>
        </w:rPr>
      </w:pPr>
      <w:r>
        <w:rPr>
          <w:rFonts w:ascii="Arial" w:hAnsi="Arial" w:cs="Arial"/>
          <w:sz w:val="24"/>
          <w:szCs w:val="24"/>
        </w:rPr>
        <w:t xml:space="preserve">University of Wales Trinity Saint David. (2022) </w:t>
      </w:r>
      <w:r>
        <w:rPr>
          <w:rFonts w:ascii="Arial" w:hAnsi="Arial" w:cs="Arial"/>
          <w:i/>
          <w:iCs/>
          <w:sz w:val="24"/>
          <w:szCs w:val="24"/>
        </w:rPr>
        <w:t>Referencing Handbook: Harvard.</w:t>
      </w:r>
      <w:r>
        <w:rPr>
          <w:rFonts w:ascii="Arial" w:hAnsi="Arial" w:cs="Arial"/>
          <w:sz w:val="24"/>
          <w:szCs w:val="24"/>
        </w:rPr>
        <w:t xml:space="preserve"> Available at: </w:t>
      </w:r>
      <w:hyperlink r:id="rId7" w:history="1">
        <w:r w:rsidRPr="00E15CD3">
          <w:rPr>
            <w:rStyle w:val="Hyperlink"/>
            <w:rFonts w:ascii="Arial" w:hAnsi="Arial" w:cs="Arial"/>
            <w:sz w:val="24"/>
            <w:szCs w:val="24"/>
          </w:rPr>
          <w:t>https://moodle.uwtsd.ac.uk/pluginfile.php/636668/mod_resource/content/1/Harvard-eng_v.1.2.pdf?redirect=1</w:t>
        </w:r>
      </w:hyperlink>
      <w:r>
        <w:rPr>
          <w:rFonts w:ascii="Arial" w:hAnsi="Arial" w:cs="Arial"/>
          <w:sz w:val="24"/>
          <w:szCs w:val="24"/>
        </w:rPr>
        <w:t xml:space="preserve"> </w:t>
      </w:r>
    </w:p>
    <w:p w14:paraId="1A96531A" w14:textId="04A85F37" w:rsidR="003A4DB6" w:rsidRDefault="003A4DB6" w:rsidP="003A4DB6">
      <w:pPr>
        <w:rPr>
          <w:rFonts w:ascii="Arial" w:hAnsi="Arial" w:cs="Arial"/>
          <w:sz w:val="24"/>
          <w:szCs w:val="24"/>
        </w:rPr>
      </w:pPr>
      <w:r>
        <w:rPr>
          <w:rFonts w:ascii="Arial" w:hAnsi="Arial" w:cs="Arial"/>
          <w:sz w:val="24"/>
          <w:szCs w:val="24"/>
        </w:rPr>
        <w:t>(Accessed: 21/10/2022)</w:t>
      </w:r>
    </w:p>
    <w:p w14:paraId="4A5976C7" w14:textId="77777777" w:rsidR="00465530" w:rsidRDefault="00465530" w:rsidP="003A4DB6">
      <w:pPr>
        <w:rPr>
          <w:rFonts w:ascii="Arial" w:hAnsi="Arial" w:cs="Arial"/>
          <w:sz w:val="24"/>
          <w:szCs w:val="24"/>
        </w:rPr>
      </w:pPr>
    </w:p>
    <w:p w14:paraId="57167A8D" w14:textId="77777777" w:rsidR="00465530" w:rsidRDefault="00465530" w:rsidP="00465530">
      <w:pPr>
        <w:rPr>
          <w:rFonts w:ascii="Arial" w:hAnsi="Arial" w:cs="Arial"/>
          <w:sz w:val="24"/>
          <w:szCs w:val="24"/>
        </w:rPr>
      </w:pPr>
      <w:r>
        <w:rPr>
          <w:rFonts w:ascii="Arial" w:hAnsi="Arial" w:cs="Arial"/>
          <w:sz w:val="24"/>
          <w:szCs w:val="24"/>
        </w:rPr>
        <w:t>Cottrell (2019) states that one of the best ways to begin research for an academic assignment is to start with the reading list provided – reading these sources and then investigating further into the works referenced. This will help to build back upon previous knowledge and can illustrate the development of knowledge and research, as well as highlighting well respected authors and voices within the field. However, research sources do not have to be limited to just the reading list provided, and respectable research avenues can include sources such as a university’s library database, and Google Scholar, which is one of the biggest free online databases available. Online journal articles can also be a good place to start,  as they provide reliable, peer reviewed academic information which will often be free for students through their institutes. Another good source, especially for policy based research, can be government publications or websites (</w:t>
      </w:r>
      <w:proofErr w:type="spellStart"/>
      <w:r>
        <w:rPr>
          <w:rFonts w:ascii="Arial" w:hAnsi="Arial" w:cs="Arial"/>
          <w:sz w:val="24"/>
          <w:szCs w:val="24"/>
        </w:rPr>
        <w:t>url</w:t>
      </w:r>
      <w:proofErr w:type="spellEnd"/>
      <w:r>
        <w:rPr>
          <w:rFonts w:ascii="Arial" w:hAnsi="Arial" w:cs="Arial"/>
          <w:sz w:val="24"/>
          <w:szCs w:val="24"/>
        </w:rPr>
        <w:t xml:space="preserve"> ending in .gov).</w:t>
      </w:r>
    </w:p>
    <w:p w14:paraId="1468699D" w14:textId="77777777" w:rsidR="00465530" w:rsidRDefault="00465530" w:rsidP="00465530">
      <w:pPr>
        <w:rPr>
          <w:rFonts w:ascii="Arial" w:hAnsi="Arial" w:cs="Arial"/>
          <w:sz w:val="24"/>
          <w:szCs w:val="24"/>
        </w:rPr>
      </w:pPr>
      <w:r>
        <w:rPr>
          <w:rFonts w:ascii="Arial" w:hAnsi="Arial" w:cs="Arial"/>
          <w:sz w:val="24"/>
          <w:szCs w:val="24"/>
        </w:rPr>
        <w:t xml:space="preserve">Cottrell, S. (2019) </w:t>
      </w:r>
      <w:r>
        <w:rPr>
          <w:rFonts w:ascii="Arial" w:hAnsi="Arial" w:cs="Arial"/>
          <w:i/>
          <w:iCs/>
          <w:sz w:val="24"/>
          <w:szCs w:val="24"/>
        </w:rPr>
        <w:t>The Study Skills Handbook.</w:t>
      </w:r>
      <w:r>
        <w:rPr>
          <w:rFonts w:ascii="Arial" w:hAnsi="Arial" w:cs="Arial"/>
          <w:sz w:val="24"/>
          <w:szCs w:val="24"/>
        </w:rPr>
        <w:t xml:space="preserve"> 5</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Red Globe Press</w:t>
      </w:r>
    </w:p>
    <w:p w14:paraId="66599D2A" w14:textId="77777777" w:rsidR="003A4DB6" w:rsidRDefault="003A4DB6" w:rsidP="00CC4B4D">
      <w:pPr>
        <w:rPr>
          <w:rFonts w:ascii="Arial" w:hAnsi="Arial" w:cs="Arial"/>
          <w:sz w:val="24"/>
          <w:szCs w:val="24"/>
        </w:rPr>
      </w:pPr>
    </w:p>
    <w:p w14:paraId="309FB97F" w14:textId="409D1D90" w:rsidR="008F5241" w:rsidRDefault="008F5241" w:rsidP="00CC4B4D">
      <w:pPr>
        <w:rPr>
          <w:rFonts w:ascii="Arial" w:hAnsi="Arial" w:cs="Arial"/>
          <w:sz w:val="24"/>
          <w:szCs w:val="24"/>
          <w:shd w:val="clear" w:color="auto" w:fill="FFFFFF"/>
        </w:rPr>
      </w:pPr>
    </w:p>
    <w:p w14:paraId="66840011" w14:textId="3A1381FA" w:rsidR="008F5241" w:rsidRDefault="008F5241" w:rsidP="00CC4B4D">
      <w:pPr>
        <w:rPr>
          <w:rFonts w:ascii="Arial" w:hAnsi="Arial" w:cs="Arial"/>
          <w:sz w:val="24"/>
          <w:szCs w:val="24"/>
        </w:rPr>
      </w:pPr>
    </w:p>
    <w:p w14:paraId="196E38F0" w14:textId="2892E113" w:rsidR="00751FA5" w:rsidRDefault="00751FA5" w:rsidP="00CC4B4D">
      <w:pPr>
        <w:rPr>
          <w:rFonts w:ascii="Arial" w:hAnsi="Arial" w:cs="Arial"/>
          <w:sz w:val="24"/>
          <w:szCs w:val="24"/>
        </w:rPr>
      </w:pPr>
      <w:r>
        <w:rPr>
          <w:rFonts w:ascii="Arial" w:hAnsi="Arial" w:cs="Arial"/>
          <w:sz w:val="24"/>
          <w:szCs w:val="24"/>
        </w:rPr>
        <w:lastRenderedPageBreak/>
        <w:t>Part Three:</w:t>
      </w:r>
    </w:p>
    <w:p w14:paraId="25D15405" w14:textId="77777777" w:rsidR="00C37852" w:rsidRDefault="00C37852" w:rsidP="00CC4B4D">
      <w:pPr>
        <w:rPr>
          <w:rFonts w:ascii="Arial" w:hAnsi="Arial" w:cs="Arial"/>
          <w:sz w:val="24"/>
          <w:szCs w:val="24"/>
        </w:rPr>
      </w:pPr>
    </w:p>
    <w:p w14:paraId="506E7DB6" w14:textId="77777777" w:rsidR="009A417A" w:rsidRDefault="009A417A" w:rsidP="009A417A">
      <w:pPr>
        <w:rPr>
          <w:rFonts w:ascii="Arial" w:hAnsi="Arial" w:cs="Arial"/>
          <w:sz w:val="24"/>
          <w:szCs w:val="24"/>
        </w:rPr>
      </w:pPr>
      <w:r>
        <w:rPr>
          <w:rFonts w:ascii="Arial" w:hAnsi="Arial" w:cs="Arial"/>
          <w:sz w:val="24"/>
          <w:szCs w:val="24"/>
        </w:rPr>
        <w:t>The article “Schooled to Fail? The underachievement debate in Wales” explores the Welsh education system, and whether students in Wales really are being failed by this system. Authored in 2005 by Emma Smith, a York university graduate, it explores comparisons between English and Welsh schools, going on to examine trends in GCSE performance in Wales. The aim of the article seems clear – to explore and understand Welsh school performance and discover whether, as a nation, Wales truly is underachieving.</w:t>
      </w:r>
    </w:p>
    <w:p w14:paraId="39D98044" w14:textId="77777777" w:rsidR="009A417A" w:rsidRDefault="009A417A" w:rsidP="009A417A">
      <w:pPr>
        <w:rPr>
          <w:rFonts w:ascii="Arial" w:hAnsi="Arial" w:cs="Arial"/>
          <w:sz w:val="24"/>
          <w:szCs w:val="24"/>
        </w:rPr>
      </w:pPr>
      <w:r>
        <w:rPr>
          <w:rFonts w:ascii="Arial" w:hAnsi="Arial" w:cs="Arial"/>
          <w:sz w:val="24"/>
          <w:szCs w:val="24"/>
        </w:rPr>
        <w:t>The main argument used concerns the comparison of Wales to England - the author argues that if economic playing fields were level then Wales would not appear so educationally poor. This is done by comparing Wales to only the North East – the most economically similar region of England, and finds that Wales is actually doing better in regard to GCSE results, suggesting that they are “not only at least as good as those in England but are superior to those of the North East” (Smith, 2005, p.88). Whilst it is stated from the beginning that the article is written from the Welsh perspective, it appears that the author would like for Wales to look good at all costs. The overall argument presented seems consistent throughout the article, but individual arguments used tend to often present irrelevancies. One example of this is the discussion of new curricular emphasis on vocational qualifications. It is hard to see where this fits into evidence based on English and Maths exam performances, and gives the impression that the author simply wants to present information that helps to portray Wales in a positive light, regardless of whether it is specifically relevant or not.</w:t>
      </w:r>
    </w:p>
    <w:p w14:paraId="681A7FAD" w14:textId="77777777" w:rsidR="009A417A" w:rsidRDefault="009A417A" w:rsidP="009A417A">
      <w:pPr>
        <w:rPr>
          <w:rFonts w:ascii="Arial" w:hAnsi="Arial" w:cs="Arial"/>
          <w:sz w:val="24"/>
          <w:szCs w:val="24"/>
        </w:rPr>
      </w:pPr>
      <w:r>
        <w:rPr>
          <w:rFonts w:ascii="Arial" w:hAnsi="Arial" w:cs="Arial"/>
          <w:sz w:val="24"/>
          <w:szCs w:val="24"/>
        </w:rPr>
        <w:t>The author presents a large visual element within the article, implementing plenty of tables of statistics throughout the body of the work. Visuals such as tables are used as a counterpart to the text, usually to enhance the reader’s understanding of the topic and support points made within the text (Day, 2018). The inclusion of this information is helpful to demonstrate that appropriate research has been carried out to inform the article. However, an excess of visual data such as tables can be deeply confusing, and may lead to the reader becoming lost in the data. Whilst it is important to support statements with evidence, the frequent use of statistics throughout the article may add to any confusion. Cottrell (2019) suggests careful selection of what data to include in order to avoid confusion, and whilst the author has clearly employed some form of selection, evidenced by the inclusion of an appendix, it may have made the article overall easier to digest if a little more ruthless selection had been applied to the main body of the work.</w:t>
      </w:r>
    </w:p>
    <w:p w14:paraId="5BA0FAEB" w14:textId="77777777" w:rsidR="009A417A" w:rsidRDefault="009A417A" w:rsidP="009A417A">
      <w:pPr>
        <w:rPr>
          <w:rFonts w:ascii="Arial" w:hAnsi="Arial" w:cs="Arial"/>
          <w:sz w:val="24"/>
          <w:szCs w:val="24"/>
        </w:rPr>
      </w:pPr>
      <w:r>
        <w:rPr>
          <w:rFonts w:ascii="Arial" w:hAnsi="Arial" w:cs="Arial"/>
          <w:sz w:val="24"/>
          <w:szCs w:val="24"/>
        </w:rPr>
        <w:t xml:space="preserve">The article featured in The Welsh Journal of Education, and the language used seems to be appropriately formal for the intended audience. In the introduction, the author also refers to the results of large international assessments, such as the Programme for International School Assessments (PISA). It is not mentioned specifically what those results were, which suggests that the author assumes the reader will hold some knowledge on the subject, and have a general idea of the educational standards debate at that time. However, emotive words and phrases </w:t>
      </w:r>
      <w:r>
        <w:rPr>
          <w:rFonts w:ascii="Arial" w:hAnsi="Arial" w:cs="Arial"/>
          <w:sz w:val="24"/>
          <w:szCs w:val="24"/>
        </w:rPr>
        <w:lastRenderedPageBreak/>
        <w:t xml:space="preserve">feature throughout the text, which is usually frowned upon in academic writing – the language used should show that the author is removed from the situation and does not have a subjective viewpoint (Moore et al, 2010). Specifically, the phrase “all is not well with our schools” (Smith, 2005, pp. 86) may draw on the reader and appeal to their sense of belonging, and suggests that there is more to the author’s own biases than may first appear. </w:t>
      </w:r>
    </w:p>
    <w:p w14:paraId="49C6F8DD" w14:textId="77777777" w:rsidR="009A417A" w:rsidRPr="000D1B30" w:rsidRDefault="009A417A" w:rsidP="009A417A">
      <w:pPr>
        <w:rPr>
          <w:rFonts w:ascii="Arial" w:hAnsi="Arial" w:cs="Arial"/>
          <w:sz w:val="24"/>
          <w:szCs w:val="24"/>
        </w:rPr>
      </w:pPr>
    </w:p>
    <w:p w14:paraId="71461AE9" w14:textId="77777777" w:rsidR="009A417A" w:rsidRDefault="009A417A" w:rsidP="009A417A">
      <w:pPr>
        <w:rPr>
          <w:rFonts w:ascii="Arial" w:hAnsi="Arial" w:cs="Arial"/>
          <w:sz w:val="24"/>
          <w:szCs w:val="24"/>
        </w:rPr>
      </w:pPr>
      <w:r>
        <w:rPr>
          <w:rFonts w:ascii="Arial" w:hAnsi="Arial" w:cs="Arial"/>
          <w:sz w:val="24"/>
          <w:szCs w:val="24"/>
        </w:rPr>
        <w:t>The author presents a clear problem, which is refuted throughout the text, using arguments such as economic regional comparisons between England and Wales, which are supported largely by statistical evidence. The sources for these statistics tend to be published by organisations who are national authorities in the field, such as the Office of National Statistics, the Department for Education and Skills, and the National Assembly of Wales. Most of the statistics used within the article were also published within four or five years of the publication of Smith’s article. These two factors lend validity to the author’s statements and increase the credibility of the article greatly (Godfrey, 2013). However, evidence seems to get a little lost after this point, and the article becomes confusing to read. Frequently, the author will make a point, and then refute it or state that it is irrelevant to the debate. For example, three pages are devoted to comparisons of the North East of England to Wales, where the author eventually concludes that Wales is performing actually slightly better than economically expected to, but then states that “this gets us no closer to telling us anything more about what is happening in Welsh schools.” (Smith, 2005, pp. 89). In other instances, the author appears to go on a tangent, such as where Wales’s need to adapt to changing labour and employment circumstances is discussed. The author suggests that potential changes to the National Curriculum are in response to this situation, referencing more vocational possibilities at GCSE level. However, all evidence cited within the article refers to English, Maths and Welsh qualifications, which have very little bearing on vocational GCSEs, making it hard to see where this information fits into the debate. The article concludes that Wales is no longer underachieving, referring to GCSE pass grade percentages and national target English levels in 2002 – however providing no data from previous years to compare these results to. This begs the question, how can it possibly be stated that Wales is no longer underachieving when no evidence is supplied to support such a bold statement?</w:t>
      </w:r>
    </w:p>
    <w:p w14:paraId="29835AAD" w14:textId="77777777" w:rsidR="009A417A" w:rsidRDefault="009A417A" w:rsidP="009A417A">
      <w:pPr>
        <w:rPr>
          <w:rFonts w:ascii="Arial" w:hAnsi="Arial" w:cs="Arial"/>
          <w:sz w:val="24"/>
          <w:szCs w:val="24"/>
        </w:rPr>
      </w:pPr>
      <w:r>
        <w:rPr>
          <w:rFonts w:ascii="Arial" w:hAnsi="Arial" w:cs="Arial"/>
          <w:sz w:val="24"/>
          <w:szCs w:val="24"/>
        </w:rPr>
        <w:t>In conclusion, whilst the article generally relies on trusted, current sources to support statements and has employed appropriately formal language, it suffers when it comes to consistently supporting an argument. One recommendation could be to select one solid argument to make, rather than employing lots of different points, as whilst the overall argument made is certainly not redundant, not every point was necessarily relevant. This could have made the article less confusing and far easier to read. Overall, the article was not as strong as there was potential for.</w:t>
      </w:r>
    </w:p>
    <w:p w14:paraId="63C6E071" w14:textId="1DE1729B" w:rsidR="00751FA5" w:rsidRDefault="00751FA5" w:rsidP="00CC4B4D">
      <w:pPr>
        <w:rPr>
          <w:rFonts w:ascii="Arial" w:hAnsi="Arial" w:cs="Arial"/>
          <w:sz w:val="24"/>
          <w:szCs w:val="24"/>
        </w:rPr>
      </w:pPr>
    </w:p>
    <w:p w14:paraId="2B7EE133" w14:textId="77777777" w:rsidR="000904EE" w:rsidRDefault="000904EE" w:rsidP="000904EE">
      <w:pPr>
        <w:rPr>
          <w:rFonts w:ascii="Arial" w:hAnsi="Arial" w:cs="Arial"/>
          <w:sz w:val="24"/>
          <w:szCs w:val="24"/>
        </w:rPr>
      </w:pPr>
      <w:r>
        <w:rPr>
          <w:rFonts w:ascii="Arial" w:hAnsi="Arial" w:cs="Arial"/>
          <w:sz w:val="24"/>
          <w:szCs w:val="24"/>
        </w:rPr>
        <w:t>REFERENCES</w:t>
      </w:r>
    </w:p>
    <w:p w14:paraId="3D92336D" w14:textId="77777777" w:rsidR="000904EE" w:rsidRDefault="000904EE" w:rsidP="000904EE">
      <w:pPr>
        <w:rPr>
          <w:rFonts w:ascii="Arial" w:hAnsi="Arial" w:cs="Arial"/>
          <w:sz w:val="24"/>
          <w:szCs w:val="24"/>
        </w:rPr>
      </w:pPr>
      <w:r>
        <w:rPr>
          <w:rFonts w:ascii="Arial" w:hAnsi="Arial" w:cs="Arial"/>
          <w:sz w:val="24"/>
          <w:szCs w:val="24"/>
        </w:rPr>
        <w:lastRenderedPageBreak/>
        <w:t xml:space="preserve">Cottrell, S. (2019) </w:t>
      </w:r>
      <w:r>
        <w:rPr>
          <w:rFonts w:ascii="Arial" w:hAnsi="Arial" w:cs="Arial"/>
          <w:i/>
          <w:iCs/>
          <w:sz w:val="24"/>
          <w:szCs w:val="24"/>
        </w:rPr>
        <w:t>The Study Skills Handbook.</w:t>
      </w:r>
      <w:r>
        <w:rPr>
          <w:rFonts w:ascii="Arial" w:hAnsi="Arial" w:cs="Arial"/>
          <w:sz w:val="24"/>
          <w:szCs w:val="24"/>
        </w:rPr>
        <w:t xml:space="preserve"> 5</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Red Globe Press</w:t>
      </w:r>
    </w:p>
    <w:p w14:paraId="2CCBA488" w14:textId="77777777" w:rsidR="000904EE" w:rsidRDefault="000904EE" w:rsidP="000904EE">
      <w:pPr>
        <w:rPr>
          <w:rFonts w:ascii="Arial" w:hAnsi="Arial" w:cs="Arial"/>
          <w:sz w:val="24"/>
          <w:szCs w:val="24"/>
        </w:rPr>
      </w:pPr>
      <w:r>
        <w:rPr>
          <w:rFonts w:ascii="Arial" w:hAnsi="Arial" w:cs="Arial"/>
          <w:sz w:val="24"/>
          <w:szCs w:val="24"/>
        </w:rPr>
        <w:t xml:space="preserve">Day, T. (2018) </w:t>
      </w:r>
      <w:r>
        <w:rPr>
          <w:rFonts w:ascii="Arial" w:hAnsi="Arial" w:cs="Arial"/>
          <w:i/>
          <w:iCs/>
          <w:sz w:val="24"/>
          <w:szCs w:val="24"/>
        </w:rPr>
        <w:t>Success in Academic Writing.</w:t>
      </w:r>
      <w:r>
        <w:rPr>
          <w:rFonts w:ascii="Arial" w:hAnsi="Arial" w:cs="Arial"/>
          <w:sz w:val="24"/>
          <w:szCs w:val="24"/>
        </w:rPr>
        <w:t xml:space="preserve"> 2</w:t>
      </w:r>
      <w:r>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Bloomsbury Publishing Plc</w:t>
      </w:r>
    </w:p>
    <w:p w14:paraId="1B73B745" w14:textId="77777777" w:rsidR="000904EE" w:rsidRPr="000904EE" w:rsidRDefault="000904EE" w:rsidP="000904EE">
      <w:pPr>
        <w:rPr>
          <w:rFonts w:ascii="Arial" w:hAnsi="Arial" w:cs="Arial"/>
          <w:sz w:val="24"/>
          <w:szCs w:val="24"/>
          <w:lang w:val="fr-FR"/>
        </w:rPr>
      </w:pPr>
      <w:r>
        <w:rPr>
          <w:rFonts w:ascii="Arial" w:hAnsi="Arial" w:cs="Arial"/>
          <w:sz w:val="24"/>
          <w:szCs w:val="24"/>
        </w:rPr>
        <w:t xml:space="preserve">Godfrey, J. (2013) </w:t>
      </w:r>
      <w:r>
        <w:rPr>
          <w:rFonts w:ascii="Arial" w:hAnsi="Arial" w:cs="Arial"/>
          <w:i/>
          <w:iCs/>
          <w:sz w:val="24"/>
          <w:szCs w:val="24"/>
        </w:rPr>
        <w:t>How to use your reading in your essays.</w:t>
      </w:r>
      <w:r>
        <w:rPr>
          <w:rFonts w:ascii="Arial" w:hAnsi="Arial" w:cs="Arial"/>
          <w:sz w:val="24"/>
          <w:szCs w:val="24"/>
        </w:rPr>
        <w:t xml:space="preserve"> </w:t>
      </w:r>
      <w:r w:rsidRPr="00800B92">
        <w:rPr>
          <w:rFonts w:ascii="Arial" w:hAnsi="Arial" w:cs="Arial"/>
          <w:sz w:val="24"/>
          <w:szCs w:val="24"/>
          <w:lang w:val="fr-FR"/>
        </w:rPr>
        <w:t>2</w:t>
      </w:r>
      <w:r w:rsidRPr="00800B92">
        <w:rPr>
          <w:rFonts w:ascii="Arial" w:hAnsi="Arial" w:cs="Arial"/>
          <w:sz w:val="24"/>
          <w:szCs w:val="24"/>
          <w:vertAlign w:val="superscript"/>
          <w:lang w:val="fr-FR"/>
        </w:rPr>
        <w:t>nd</w:t>
      </w:r>
      <w:r w:rsidRPr="00800B92">
        <w:rPr>
          <w:rFonts w:ascii="Arial" w:hAnsi="Arial" w:cs="Arial"/>
          <w:sz w:val="24"/>
          <w:szCs w:val="24"/>
          <w:lang w:val="fr-FR"/>
        </w:rPr>
        <w:t xml:space="preserve"> </w:t>
      </w:r>
      <w:proofErr w:type="spellStart"/>
      <w:r w:rsidRPr="00800B92">
        <w:rPr>
          <w:rFonts w:ascii="Arial" w:hAnsi="Arial" w:cs="Arial"/>
          <w:sz w:val="24"/>
          <w:szCs w:val="24"/>
          <w:lang w:val="fr-FR"/>
        </w:rPr>
        <w:t>edn</w:t>
      </w:r>
      <w:proofErr w:type="spellEnd"/>
      <w:r w:rsidRPr="00800B92">
        <w:rPr>
          <w:rFonts w:ascii="Arial" w:hAnsi="Arial" w:cs="Arial"/>
          <w:sz w:val="24"/>
          <w:szCs w:val="24"/>
          <w:lang w:val="fr-FR"/>
        </w:rPr>
        <w:t xml:space="preserve">. </w:t>
      </w:r>
      <w:r w:rsidRPr="000904EE">
        <w:rPr>
          <w:rFonts w:ascii="Arial" w:hAnsi="Arial" w:cs="Arial"/>
          <w:sz w:val="24"/>
          <w:szCs w:val="24"/>
          <w:lang w:val="fr-FR"/>
        </w:rPr>
        <w:t xml:space="preserve">Hampshire: </w:t>
      </w:r>
      <w:proofErr w:type="spellStart"/>
      <w:r w:rsidRPr="000904EE">
        <w:rPr>
          <w:rFonts w:ascii="Arial" w:hAnsi="Arial" w:cs="Arial"/>
          <w:sz w:val="24"/>
          <w:szCs w:val="24"/>
          <w:lang w:val="fr-FR"/>
        </w:rPr>
        <w:t>Palgrave</w:t>
      </w:r>
      <w:proofErr w:type="spellEnd"/>
      <w:r w:rsidRPr="000904EE">
        <w:rPr>
          <w:rFonts w:ascii="Arial" w:hAnsi="Arial" w:cs="Arial"/>
          <w:sz w:val="24"/>
          <w:szCs w:val="24"/>
          <w:lang w:val="fr-FR"/>
        </w:rPr>
        <w:t xml:space="preserve"> Macmillan.</w:t>
      </w:r>
    </w:p>
    <w:p w14:paraId="414A9EF1" w14:textId="77777777" w:rsidR="000904EE" w:rsidRPr="00AE5598" w:rsidRDefault="000904EE" w:rsidP="000904EE">
      <w:pPr>
        <w:rPr>
          <w:rFonts w:ascii="Arial" w:hAnsi="Arial" w:cs="Arial"/>
          <w:sz w:val="24"/>
          <w:szCs w:val="24"/>
        </w:rPr>
      </w:pPr>
      <w:r>
        <w:rPr>
          <w:rFonts w:ascii="Arial" w:hAnsi="Arial" w:cs="Arial"/>
          <w:sz w:val="24"/>
          <w:szCs w:val="24"/>
        </w:rPr>
        <w:t xml:space="preserve">Moore, S., Neville, C., Murphy, M., and Connolly, C. (2010) </w:t>
      </w:r>
      <w:r>
        <w:rPr>
          <w:rFonts w:ascii="Arial" w:hAnsi="Arial" w:cs="Arial"/>
          <w:i/>
          <w:iCs/>
          <w:sz w:val="24"/>
          <w:szCs w:val="24"/>
        </w:rPr>
        <w:t>The Ultimate Study Skills Handbook.</w:t>
      </w:r>
      <w:r>
        <w:rPr>
          <w:rFonts w:ascii="Arial" w:hAnsi="Arial" w:cs="Arial"/>
          <w:sz w:val="24"/>
          <w:szCs w:val="24"/>
        </w:rPr>
        <w:t xml:space="preserve"> Berkshire: Open University Press.</w:t>
      </w:r>
    </w:p>
    <w:p w14:paraId="66C06B53" w14:textId="77777777" w:rsidR="000904EE" w:rsidRDefault="000904EE" w:rsidP="000904EE">
      <w:pPr>
        <w:rPr>
          <w:rFonts w:ascii="Arial" w:hAnsi="Arial" w:cs="Arial"/>
          <w:sz w:val="24"/>
          <w:szCs w:val="24"/>
        </w:rPr>
      </w:pPr>
      <w:r>
        <w:rPr>
          <w:rFonts w:ascii="Arial" w:hAnsi="Arial" w:cs="Arial"/>
          <w:sz w:val="24"/>
          <w:szCs w:val="24"/>
        </w:rPr>
        <w:t xml:space="preserve">Smith, E. (2005) ‘Schooled to Fail? The underachievement debate in Wales’, </w:t>
      </w:r>
      <w:r>
        <w:rPr>
          <w:rFonts w:ascii="Arial" w:hAnsi="Arial" w:cs="Arial"/>
          <w:i/>
          <w:iCs/>
          <w:sz w:val="24"/>
          <w:szCs w:val="24"/>
        </w:rPr>
        <w:t>The Welsh Journal of Education,</w:t>
      </w:r>
      <w:r>
        <w:rPr>
          <w:rFonts w:ascii="Arial" w:hAnsi="Arial" w:cs="Arial"/>
          <w:sz w:val="24"/>
          <w:szCs w:val="24"/>
        </w:rPr>
        <w:t xml:space="preserve"> 13(2), pp. 84-102.</w:t>
      </w:r>
    </w:p>
    <w:p w14:paraId="6CF6662B" w14:textId="77777777" w:rsidR="000904EE" w:rsidRDefault="000904EE" w:rsidP="00CC4B4D">
      <w:pPr>
        <w:rPr>
          <w:rFonts w:ascii="Arial" w:hAnsi="Arial" w:cs="Arial"/>
          <w:sz w:val="24"/>
          <w:szCs w:val="24"/>
        </w:rPr>
      </w:pPr>
    </w:p>
    <w:p w14:paraId="2E6F7F63" w14:textId="77777777" w:rsidR="00751FA5" w:rsidRPr="00352E94" w:rsidRDefault="00751FA5" w:rsidP="00CC4B4D">
      <w:pPr>
        <w:rPr>
          <w:rFonts w:ascii="Arial" w:hAnsi="Arial" w:cs="Arial"/>
          <w:sz w:val="24"/>
          <w:szCs w:val="24"/>
        </w:rPr>
      </w:pPr>
    </w:p>
    <w:sectPr w:rsidR="00751FA5" w:rsidRPr="0035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BE1"/>
    <w:rsid w:val="000904EE"/>
    <w:rsid w:val="001A5BE1"/>
    <w:rsid w:val="002900FD"/>
    <w:rsid w:val="00352E94"/>
    <w:rsid w:val="003A4DB6"/>
    <w:rsid w:val="00465530"/>
    <w:rsid w:val="0049104C"/>
    <w:rsid w:val="006875AD"/>
    <w:rsid w:val="00751FA5"/>
    <w:rsid w:val="00787312"/>
    <w:rsid w:val="008F5241"/>
    <w:rsid w:val="009A417A"/>
    <w:rsid w:val="00BF52E6"/>
    <w:rsid w:val="00C37852"/>
    <w:rsid w:val="00C852B3"/>
    <w:rsid w:val="00CC4B4D"/>
    <w:rsid w:val="00D81FF1"/>
    <w:rsid w:val="00DD0E98"/>
    <w:rsid w:val="00E35322"/>
    <w:rsid w:val="00E50FFC"/>
    <w:rsid w:val="00E6604C"/>
    <w:rsid w:val="00E66898"/>
    <w:rsid w:val="00E7257E"/>
    <w:rsid w:val="00FC3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68A0C"/>
  <w15:chartTrackingRefBased/>
  <w15:docId w15:val="{E51B5418-7098-456B-925C-A72773076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322"/>
    <w:rPr>
      <w:color w:val="0563C1" w:themeColor="hyperlink"/>
      <w:u w:val="single"/>
    </w:rPr>
  </w:style>
  <w:style w:type="character" w:styleId="UnresolvedMention">
    <w:name w:val="Unresolved Mention"/>
    <w:basedOn w:val="DefaultParagraphFont"/>
    <w:uiPriority w:val="99"/>
    <w:semiHidden/>
    <w:unhideWhenUsed/>
    <w:rsid w:val="00E353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moodle.uwtsd.ac.uk/pluginfile.php/636668/mod_resource/content/1/Harvard-eng_v.1.2.pdf?redirect=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0057E4-0EFD-49FC-A18D-27FFBFCEC0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3D136B-C538-4C1B-842F-14F64E5089D1}">
  <ds:schemaRefs>
    <ds:schemaRef ds:uri="http://schemas.microsoft.com/sharepoint/v3/contenttype/forms"/>
  </ds:schemaRefs>
</ds:datastoreItem>
</file>

<file path=customXml/itemProps3.xml><?xml version="1.0" encoding="utf-8"?>
<ds:datastoreItem xmlns:ds="http://schemas.openxmlformats.org/officeDocument/2006/customXml" ds:itemID="{1674EACB-CCE5-4AE1-BB77-7B04DD54C9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2208</Words>
  <Characters>12587</Characters>
  <Application>Microsoft Office Word</Application>
  <DocSecurity>0</DocSecurity>
  <Lines>104</Lines>
  <Paragraphs>29</Paragraphs>
  <ScaleCrop>false</ScaleCrop>
  <Company/>
  <LinksUpToDate>false</LinksUpToDate>
  <CharactersWithSpaces>14766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Thorn (2117150)</dc:creator>
  <cp:keywords/>
  <dc:description/>
  <cp:lastModifiedBy>Angharad Thorn (2117150)</cp:lastModifiedBy>
  <cp:revision>24</cp:revision>
  <dcterms:created xsi:type="dcterms:W3CDTF">2022-10-26T13:11:00Z</dcterms:created>
  <dcterms:modified xsi:type="dcterms:W3CDTF">2022-10-26T14:13:00Z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