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1"/>
        <w:numPr>
          <w:ilvl w:val="0"/>
          <w:numId w:val="0"/>
        </w:numPr>
        <w:ind w:left="720" w:hanging="0"/>
        <w:jc w:val="center"/>
        <w:rPr>
          <w:rFonts w:ascii="Arial" w:hAnsi="Arial" w:eastAsia="Times New Roman" w:cs="Times New Roman"/>
          <w:sz w:val="28"/>
          <w:szCs w:val="28"/>
        </w:rPr>
      </w:pPr>
      <w:r>
        <w:rPr/>
      </w:r>
    </w:p>
    <w:p>
      <w:pPr>
        <w:pStyle w:val="Normal1"/>
        <w:numPr>
          <w:ilvl w:val="0"/>
          <w:numId w:val="0"/>
        </w:numPr>
        <w:ind w:left="720" w:hanging="0"/>
        <w:jc w:val="center"/>
        <w:rPr/>
      </w:pPr>
      <w:r>
        <w:rPr>
          <w:rFonts w:eastAsia="Times New Roman" w:cs="Times New Roman" w:ascii="Arial" w:hAnsi="Arial"/>
          <w:color w:val="000000"/>
          <w:sz w:val="40"/>
          <w:szCs w:val="40"/>
        </w:rPr>
        <w:t xml:space="preserve">Offences Against the Person Act [1861] and whether it is suited to crime of a modern society. </w:t>
      </w:r>
    </w:p>
    <w:p>
      <w:pPr>
        <w:pStyle w:val="Normal1"/>
        <w:jc w:val="center"/>
        <w:rPr>
          <w:rFonts w:ascii="Arial" w:hAnsi="Arial" w:eastAsia="Times New Roman" w:cs="Times New Roman"/>
          <w:color w:val="000000"/>
          <w:sz w:val="40"/>
          <w:szCs w:val="40"/>
        </w:rPr>
      </w:pPr>
      <w:r>
        <w:rPr/>
      </w:r>
    </w:p>
    <w:p>
      <w:pPr>
        <w:pStyle w:val="Normal1"/>
        <w:numPr>
          <w:ilvl w:val="0"/>
          <w:numId w:val="0"/>
        </w:numPr>
        <w:ind w:left="720" w:hanging="0"/>
        <w:jc w:val="right"/>
        <w:rPr/>
      </w:pPr>
      <w:r>
        <w:rPr>
          <w:rFonts w:eastAsia="Times New Roman" w:cs="Times New Roman" w:ascii="Arial" w:hAnsi="Arial"/>
          <w:color w:val="000000"/>
          <w:sz w:val="40"/>
          <w:szCs w:val="40"/>
        </w:rPr>
        <w:t>By: Yordanka Ivanova</w:t>
      </w:r>
    </w:p>
    <w:p>
      <w:pPr>
        <w:pStyle w:val="Normal1"/>
        <w:numPr>
          <w:ilvl w:val="0"/>
          <w:numId w:val="0"/>
        </w:numPr>
        <w:ind w:left="720" w:hanging="0"/>
        <w:jc w:val="right"/>
        <w:rPr>
          <w:rFonts w:ascii="Arial" w:hAnsi="Arial" w:eastAsia="Times New Roman" w:cs="Times New Roman"/>
          <w:color w:val="000000"/>
          <w:sz w:val="40"/>
          <w:szCs w:val="40"/>
        </w:rPr>
      </w:pPr>
      <w:r>
        <w:rPr/>
      </w:r>
    </w:p>
    <w:p>
      <w:pPr>
        <w:pStyle w:val="Normal1"/>
        <w:jc w:val="center"/>
        <w:rPr>
          <w:rFonts w:ascii="Arial" w:hAnsi="Arial" w:eastAsia="Times New Roman" w:cs="Times New Roman"/>
          <w:color w:val="000000"/>
          <w:sz w:val="40"/>
          <w:szCs w:val="40"/>
        </w:rPr>
      </w:pPr>
      <w:r>
        <w:rPr/>
      </w:r>
    </w:p>
    <w:p>
      <w:pPr>
        <w:pStyle w:val="Normal1"/>
        <w:jc w:val="left"/>
        <w:rPr/>
      </w:pPr>
      <w:r>
        <w:rPr>
          <w:rFonts w:eastAsia="Times New Roman" w:cs="Times New Roman" w:ascii="Arial" w:hAnsi="Arial"/>
          <w:sz w:val="28"/>
          <w:szCs w:val="28"/>
        </w:rPr>
        <w:t>The offenses against the person act of 1861 prohibited certain violent, nonfatal actions against an individual. This law still governs criminal prosecutions for offences such as battery, assault, and verbal threats to this day. In 2015, the Law Commision published an opinion advocating for the replacement and reformation of the offenses against the person act because it is outdated and imprecise. The one hundred and fifty year old law is in need of reform because it contains obsolete laws, uses outdated and unclear language, prohibits activity which does not occur in contemporary life and utilizes an disorganized hierarchy of offences.</w:t>
        <w:br/>
        <w:t xml:space="preserve"> The terms used in the offenses against the person act are archaic and unclear, creating uncertainty about their meaning. For example, the Commission pointed to the unclear distinction between the crime of assault and battery and the crime of common assault (Stavros, pg. 190, 2016). Under current law, common assault is defined as conduct which intentionally and recklessly causes another person to fear immediate violence. On the other hand, assault and battery consists of the same conduct as common assault coupled with actual physical force being applied to the victim. Although the difference in </w:t>
      </w:r>
      <w:r>
        <w:rPr>
          <w:rFonts w:eastAsia="Times New Roman" w:cs="Times New Roman" w:ascii="Arial" w:hAnsi="Arial"/>
          <w:i/>
          <w:sz w:val="28"/>
          <w:szCs w:val="28"/>
        </w:rPr>
        <w:t>actus reus</w:t>
      </w:r>
      <w:r>
        <w:rPr>
          <w:rFonts w:eastAsia="Times New Roman" w:cs="Times New Roman" w:ascii="Arial" w:hAnsi="Arial"/>
          <w:sz w:val="28"/>
          <w:szCs w:val="28"/>
        </w:rPr>
        <w:t xml:space="preserve">, or guilty action, seems apparent, confusion arises over the presence of the term “assault” in both offenses. In modern day vernacular, common assault and assault are used interchangeably while the term “battery” is rarely used. This leads to consternation over the exact meaning of both offenses. In order to remedy this muddled terminology, the Commission suggested changing the terms common assault and assault and battery to threatened assault and physical assault respectively (Eugenicos, pg. 28, 2017). Furthermore, the statute does not account for the role consent plays in certain nonfatal violent crimes against a person (Eugenicos, pg. 26, 2017). For example, a non fatal violent crime that occurs during an activity that by its’ very nature includes a risk of harm should not be criminalized. The case </w:t>
      </w:r>
      <w:r>
        <w:rPr>
          <w:rFonts w:eastAsia="Times New Roman" w:cs="Times New Roman" w:ascii="Arial" w:hAnsi="Arial"/>
          <w:i/>
          <w:sz w:val="28"/>
          <w:szCs w:val="28"/>
        </w:rPr>
        <w:t>R v. Brown</w:t>
      </w:r>
      <w:r>
        <w:rPr>
          <w:rFonts w:eastAsia="Times New Roman" w:cs="Times New Roman" w:ascii="Arial" w:hAnsi="Arial"/>
          <w:sz w:val="28"/>
          <w:szCs w:val="28"/>
        </w:rPr>
        <w:t xml:space="preserve"> (2011) held that an assault did not occur when the victim agreed to participate in a game of rugby that carried an inherent risk of violence. (Eugenicos, pg. 27, 2017) Furthermore, the statute governing threats to kill does not clarify which type of threats satisfy the elements of the crime. Specifically, the statute does not explicitly prohibit threats of bodily injury or threats of actions that could lead to death. On its face, the statute seems to merely prohibit the use of the word “kill”. Also, the statute does not specify whether conditional threats can be criminalized. The Law Commission suggests reforming the name of this law to threats of death or great bodily injury in order to criminalize a broader set of conduct than the initial law suggests (Eugenicos, pg. 27, 2017). Adding on to this, the crime of making threats does not specify whether the threat must be believed or carried out by the defendant. Instead, it merely states the victim must believe it would be carried out. The Law Commission suggests changing the elements to present a clearer definition of the intention of the defendant rather than focusing on the perception of the victim.</w:t>
        <w:br/>
        <w:tab/>
        <w:t xml:space="preserve">In addition, the statute is unclear what conduct constitutes “harm”, a necessary element of assault that results in actual bodily harm. The case of </w:t>
      </w:r>
      <w:r>
        <w:rPr>
          <w:rFonts w:eastAsia="Times New Roman" w:cs="Times New Roman" w:ascii="Arial" w:hAnsi="Arial"/>
          <w:i/>
          <w:sz w:val="28"/>
          <w:szCs w:val="28"/>
        </w:rPr>
        <w:t>R v. Ireland and Burstow</w:t>
      </w:r>
      <w:r>
        <w:rPr>
          <w:rFonts w:eastAsia="Times New Roman" w:cs="Times New Roman" w:ascii="Arial" w:hAnsi="Arial"/>
          <w:sz w:val="28"/>
          <w:szCs w:val="28"/>
        </w:rPr>
        <w:t xml:space="preserve"> (1997) held that harm could refer to psychological harm as well as physical harm. This case illustrates the unclear language of the offenses against person act. Although judicial opinions have remedied this deficiency, the statute would be more adept at addressing present day issues by providing a specific definition of harm. A related deficiency in the statute is whether psychological harm must be diagnosed by an expert as permanent and severe or if the psychological harm can be fleeting and transient. The case of </w:t>
      </w:r>
      <w:r>
        <w:rPr>
          <w:rFonts w:eastAsia="Times New Roman" w:cs="Times New Roman" w:ascii="Arial" w:hAnsi="Arial"/>
          <w:i/>
          <w:color w:val="212529"/>
          <w:sz w:val="28"/>
          <w:szCs w:val="28"/>
        </w:rPr>
        <w:t xml:space="preserve">R v. Chan Fook </w:t>
      </w:r>
      <w:r>
        <w:rPr>
          <w:rFonts w:eastAsia="Times New Roman" w:cs="Times New Roman" w:ascii="Arial" w:hAnsi="Arial"/>
          <w:color w:val="212529"/>
          <w:sz w:val="28"/>
          <w:szCs w:val="28"/>
        </w:rPr>
        <w:t xml:space="preserve">(1994) held that the psychological harm should be diagnosed by an expert and does not include fleeting mental states such as anxiety, fear or depression. </w:t>
      </w:r>
      <w:r>
        <w:rPr>
          <w:rFonts w:eastAsia="Times New Roman" w:cs="Times New Roman" w:ascii="Arial" w:hAnsi="Arial"/>
          <w:i/>
          <w:color w:val="212529"/>
          <w:sz w:val="28"/>
          <w:szCs w:val="28"/>
        </w:rPr>
        <w:t>R v. Miller</w:t>
      </w:r>
      <w:r>
        <w:rPr>
          <w:rFonts w:eastAsia="Times New Roman" w:cs="Times New Roman" w:ascii="Arial" w:hAnsi="Arial"/>
          <w:color w:val="212529"/>
          <w:sz w:val="28"/>
          <w:szCs w:val="28"/>
        </w:rPr>
        <w:t xml:space="preserve"> (1954) expanded upon this by holding that nervous hysteria was not a fleeting mental state and could constitute harm in an assault case. These case laws further the argument that the offense against persons act does not have a perfectly constructed definition of the elements of the crime of assault. </w:t>
      </w:r>
      <w:r>
        <w:rPr>
          <w:rFonts w:eastAsia="Times New Roman" w:cs="Times New Roman" w:ascii="Arial" w:hAnsi="Arial"/>
          <w:sz w:val="28"/>
          <w:szCs w:val="28"/>
        </w:rPr>
        <w:t xml:space="preserve">Along the same vein, the statute does not provide an adequate definition of assault which doesn't involve the use of physical force. This is shown in the case of </w:t>
      </w:r>
      <w:r>
        <w:rPr>
          <w:rFonts w:eastAsia="Times New Roman" w:cs="Times New Roman" w:ascii="Arial" w:hAnsi="Arial"/>
          <w:i/>
          <w:sz w:val="28"/>
          <w:szCs w:val="28"/>
        </w:rPr>
        <w:t>R v. Constanza</w:t>
      </w:r>
      <w:r>
        <w:rPr>
          <w:rFonts w:eastAsia="Times New Roman" w:cs="Times New Roman" w:ascii="Arial" w:hAnsi="Arial"/>
          <w:sz w:val="28"/>
          <w:szCs w:val="28"/>
        </w:rPr>
        <w:t xml:space="preserve"> (1997) which held that spoken words can constitute assault by instilling a fear of immediate violence. </w:t>
        <w:br/>
        <w:tab/>
        <w:t>The offenses against the person act prohibits conduct that is already prohibited by other statutes or rarely occurs in modern society. For example, the Law Commission criticized the crime of preventing an individual from escaping a shipwreck as redundant. In order to prevent an individual from escaping a shipwreck, a general injury offense is required. The Law Commission argues that an action should not be criminalized more than once. In order to reform the law, preventing an individual from escaping a shipwreck should be repealed and replaced with the appropriate general injury offense (Stavros, pg. 190, 2016). Furthermore, the crime of preventing an individual from escaping a shipwreck has never been prosecuted. This shows the social utility of this codified sanction is low. In addition, the Law Commission denounced the crime of not providing food to apprentices and servants. Due to changing socioeconomic conditions, employees rarely provide food to apprentices or servants in modern occupational practices. The Law Commission argues this crime should be abolished because it does not serve a legitimate purpose in the modern world. Furthermore, the crime of poisoning is redundant and obsolete. Legislation occurring after the offense against the person act prohibits conduct which results in harm to another person. Consistent with their approach to abolishing escaping a shipwreck, the Commission argues that no action should be criminalized twice. In addition, poisoning can sometimes lead to a fatality. This is inconsistent with the purpose of the act which aims to prohibit nonfatal crimes against the person. In addition, the statute provides an unclear definition of what constitutes administering a poison. The statute does not clarify that the defendant must be aware that they provided the victim with noxious substances. This means a defendant can be prosecuted for accidentally releasing a poisonous substance into the victims atmosphere even though they were unaware the substance was toxic (2015) Law Com No 361. For these reasons, the Commission suggests abolishing the law against poisoning and allowing modern laws against causing harm to take its place.</w:t>
        <w:br/>
        <w:tab/>
        <w:t xml:space="preserve">The offenses against the person act contain a faulty hierarchy of crimes which fails to distinguish between severe crimes which deserve greater blameworthiness and punishments in comparison to less severe crimes. First, the Law Commission argues there is an unclear distinction between each offense (Eugenicos, pg. 30, 2017). For example, the crimes of assault resulting in great bodily injury and actual bodily injury both carry the same maximum penalty of five years imprisonment despite drastically different standards of injury to the victim. On one hand, great bodily injury involves harm that is serious in nature, such as a broken bone or stabbing. On the other, actual bodily injury refers to transient and trifling injuries such as a scrape or light bruising. The Commission argues it is difficult to differentiate the blameworthiness of each crime since they both carry the same maximum sentence. As a remedy, the Commission suggested the maximum penalty for a crime resulting in great bodily injury be raised from five to seven years in order to delineate this crime as more severe than a crime involving actual bodily injury. In addition, there is a wide gap between crimes of a lesser nature and more severe crimes, with no appropriate intermediary crime. For example, the crime of assault carries a six month sentence whereas the crime of assault resulting in actual bodily harm carries a five year penalty (Eugenicos, pg. 29, 2017). Prosecutors are forced to choose between charging the defendant with two different crimes carrying significantly different punishments based on the severity of injury. However, the language of the law does not provide a clear distinction between the amount of injury required for an assault charge to be elevated to charge of assault resulting in actual bodily injury. In some cases, prosecutors are forced to rely on the status and physical prowess of the victim in determining the severity of harm. The case </w:t>
      </w:r>
      <w:r>
        <w:rPr>
          <w:rFonts w:eastAsia="Times New Roman" w:cs="Times New Roman" w:ascii="Arial" w:hAnsi="Arial"/>
          <w:i/>
          <w:color w:val="212529"/>
          <w:sz w:val="28"/>
          <w:szCs w:val="28"/>
        </w:rPr>
        <w:t>R v Bollom</w:t>
      </w:r>
      <w:r>
        <w:rPr>
          <w:rFonts w:eastAsia="Times New Roman" w:cs="Times New Roman" w:ascii="Arial" w:hAnsi="Arial"/>
          <w:color w:val="212529"/>
          <w:sz w:val="28"/>
          <w:szCs w:val="28"/>
        </w:rPr>
        <w:t xml:space="preserve"> (2003) held that the victims sensitivities and physical characteristics could be used as criteria in determining whether to charge a crime as assault resulting in actual bodily harm or assault resulting in great bodily injury. The defendant inflicted injuries to a seventeen month old child that would normally amount to actual bodily harm instead of great bodily injury. However, because of the victims age and lack of physical strength, the defendant could be convicted of great bodily injury. </w:t>
      </w:r>
      <w:r>
        <w:rPr>
          <w:rFonts w:eastAsia="Times New Roman" w:cs="Times New Roman" w:ascii="Arial" w:hAnsi="Arial"/>
          <w:sz w:val="28"/>
          <w:szCs w:val="28"/>
        </w:rPr>
        <w:t>This means the prosecution relies on characteristics and criteria for assessing harm that may be arbitrary or unclear. To remedy this, the Law Commission suggests an intermediary charge, such as aggravated assault, should be introduced to narrow the gap between these two charges. This would allow conduct that is more severe than assault but less severe than assault resulting in actual bodily harm to be charged appropriately.</w:t>
        <w:br/>
        <w:tab/>
        <w:t xml:space="preserve">The offenses against the person act runs afoul of the correspondence principle by prohibiting conduct that merely amounts to constructive liability. The correspondence principle is based on the notion that a defendant should only be punished for what he intended to do. Before a defendant’s action can be criminalized, it should be shown that a defendant acted with a mental purpose, or </w:t>
      </w:r>
      <w:r>
        <w:rPr>
          <w:rFonts w:eastAsia="Times New Roman" w:cs="Times New Roman" w:ascii="Arial" w:hAnsi="Arial"/>
          <w:i/>
          <w:sz w:val="28"/>
          <w:szCs w:val="28"/>
        </w:rPr>
        <w:t>mens rea</w:t>
      </w:r>
      <w:r>
        <w:rPr>
          <w:rFonts w:eastAsia="Times New Roman" w:cs="Times New Roman" w:ascii="Arial" w:hAnsi="Arial"/>
          <w:sz w:val="28"/>
          <w:szCs w:val="28"/>
        </w:rPr>
        <w:t>,</w:t>
      </w:r>
      <w:r>
        <w:rPr>
          <w:rFonts w:eastAsia="Times New Roman" w:cs="Times New Roman" w:ascii="Arial" w:hAnsi="Arial"/>
          <w:i/>
          <w:sz w:val="28"/>
          <w:szCs w:val="28"/>
        </w:rPr>
        <w:t xml:space="preserve"> </w:t>
      </w:r>
      <w:r>
        <w:rPr>
          <w:rFonts w:eastAsia="Times New Roman" w:cs="Times New Roman" w:ascii="Arial" w:hAnsi="Arial"/>
          <w:sz w:val="28"/>
          <w:szCs w:val="28"/>
        </w:rPr>
        <w:t xml:space="preserve">to produce that specific action. However, the Law Commission argues that certain crimes codified in the offense against the person act fail to establish a causal link between the defendant’s intent and the result of their actions (Stavros, pg. 193, 2016). For example, a conviction for common assault which results in actual bodily harm can be secured even though the defendant did not intend to commit actual bodily harm. A prosecutor simply needs to prove that a defendant intended to commit common assault in order to attach liability to the actual bodily harm. In this case, the correspondence principle is substituted for constructive liability, or the practice of using a lesser degree of intent to a more severe consequence. An illustrative case is </w:t>
      </w:r>
      <w:r>
        <w:rPr>
          <w:rFonts w:eastAsia="Times New Roman" w:cs="Times New Roman" w:ascii="Arial" w:hAnsi="Arial"/>
          <w:i/>
          <w:color w:val="212529"/>
          <w:sz w:val="28"/>
          <w:szCs w:val="28"/>
        </w:rPr>
        <w:t>DPP v Smith</w:t>
      </w:r>
      <w:r>
        <w:rPr>
          <w:rFonts w:eastAsia="Times New Roman" w:cs="Times New Roman" w:ascii="Arial" w:hAnsi="Arial"/>
          <w:color w:val="212529"/>
          <w:sz w:val="28"/>
          <w:szCs w:val="28"/>
        </w:rPr>
        <w:t xml:space="preserve"> (1961) which held that murder requires an objective intent rather than subjective </w:t>
      </w:r>
      <w:r>
        <w:rPr>
          <w:rFonts w:eastAsia="Times New Roman" w:cs="Times New Roman" w:ascii="Arial" w:hAnsi="Arial"/>
          <w:i/>
          <w:color w:val="212529"/>
          <w:sz w:val="28"/>
          <w:szCs w:val="28"/>
        </w:rPr>
        <w:t>mens rea</w:t>
      </w:r>
      <w:r>
        <w:rPr>
          <w:rFonts w:eastAsia="Times New Roman" w:cs="Times New Roman" w:ascii="Arial" w:hAnsi="Arial"/>
          <w:color w:val="212529"/>
          <w:sz w:val="28"/>
          <w:szCs w:val="28"/>
        </w:rPr>
        <w:t>. After the defendant was pulled over with stolen goods inside his vehicle</w:t>
      </w:r>
      <w:r>
        <w:rPr>
          <w:rFonts w:eastAsia="Times New Roman" w:cs="Times New Roman" w:ascii="Arial" w:hAnsi="Arial"/>
          <w:sz w:val="28"/>
          <w:szCs w:val="28"/>
        </w:rPr>
        <w:t xml:space="preserve">, the defendant attempted to flee the police by accelerating his vehicle. When the officer jumped onto the vehicle in an effort to stop the defendant from fleeing, the officer was thrown from the car and fatally wounded by another vehicle. The defendant argued that he is not guilty of murder because he did not intend to murder the police officer. However, the court ruling was consistent with the constructive liability principle in holding that he did not need to possess a subjective purpose to kill the police officer. Instead, he only needed to engage in conduct that a reasonable person would conclude could lead to the officer’s death. In other words, his conduct merely needed to be reckless rather than predetermined. The Law Commission argues constructive liability should be abandoned because it fails to provide adequate notice to the defendant of conduct that is prohibited. In addition, it falls short of the educational and punitive goals of criminal law. Indeed, a defendant can not be educated about their wrong doing if they did not intend that criminal action in the first place. Another example of unclear </w:t>
      </w:r>
      <w:r>
        <w:rPr>
          <w:rFonts w:eastAsia="Times New Roman" w:cs="Times New Roman" w:ascii="Arial" w:hAnsi="Arial"/>
          <w:i/>
          <w:sz w:val="28"/>
          <w:szCs w:val="28"/>
        </w:rPr>
        <w:t xml:space="preserve">mens rea </w:t>
      </w:r>
      <w:r>
        <w:rPr>
          <w:rFonts w:eastAsia="Times New Roman" w:cs="Times New Roman" w:ascii="Arial" w:hAnsi="Arial"/>
          <w:sz w:val="28"/>
          <w:szCs w:val="28"/>
        </w:rPr>
        <w:t xml:space="preserve">requirements focuses on solicitation for murder (Eugenicos, pg. 30, 2017). The statute does not specify whether the defendant intends for his encouragement of a third party to murder an individual to actually lead to murder. This means that a defendant can be charged with solicitation of murder even if when the defendant advocates for the murder of another but fails to manifest an intention for his advocacy to lead to a homicide. The Law Commission adovcates for changing soliciation of murder to encouragement of murder. </w:t>
        <w:br/>
        <w:tab/>
        <w:t xml:space="preserve">In conclusion, the offenses against persons act is faulty for several reasons. First, a large number of terms are unclear in their definition, leading to confusion about their applicability to certain fact scenarios. Some crimes carrying significantly different punishments carry the same names. In extreme cases, the statute is silent about the precise definition of important elements such as harm. Further, the statute does not properly incorporate the correspondence doctrine which seeks to punish defendants only for criminal actions they intended to commit. Continuing on, the hierarchy of crimes is unclear, leading many crimes that are more severe and blameworthy to be categorized at the same level of less severe crimes. Lastly, many of the crimes codified in the statute have no use in the modern day or have been rendered obsolete by subsequent legislation. </w:t>
      </w:r>
      <w:r>
        <w:rPr/>
        <w:br/>
        <w:br/>
      </w:r>
      <w:r>
        <w:rPr>
          <w:sz w:val="32"/>
          <w:szCs w:val="32"/>
        </w:rPr>
        <w:t>Works Cited</w:t>
      </w:r>
    </w:p>
    <w:p>
      <w:pPr>
        <w:pStyle w:val="Normal1"/>
        <w:numPr>
          <w:ilvl w:val="0"/>
          <w:numId w:val="1"/>
        </w:numPr>
        <w:rPr/>
      </w:pPr>
      <w:r>
        <w:rPr/>
      </w:r>
    </w:p>
    <w:p>
      <w:pPr>
        <w:pStyle w:val="Normal1"/>
        <w:numPr>
          <w:ilvl w:val="0"/>
          <w:numId w:val="1"/>
        </w:numPr>
        <w:rPr/>
      </w:pPr>
      <w:r>
        <w:rPr/>
        <w:br/>
        <w:t>‘’</w:t>
      </w:r>
      <w:r>
        <w:rPr>
          <w:rFonts w:ascii="Arial" w:hAnsi="Arial"/>
        </w:rPr>
        <w:t>Criminal law , text, cases  and materials sixth edition’’ by Jonathan Herring</w:t>
      </w:r>
      <w:r>
        <w:rPr>
          <w:rFonts w:ascii="Arial" w:hAnsi="Arial"/>
        </w:rPr>
        <w:br/>
      </w:r>
    </w:p>
    <w:p>
      <w:pPr>
        <w:pStyle w:val="Normal1"/>
        <w:numPr>
          <w:ilvl w:val="0"/>
          <w:numId w:val="1"/>
        </w:numPr>
        <w:rPr>
          <w:rFonts w:ascii="Arial" w:hAnsi="Arial"/>
        </w:rPr>
      </w:pPr>
      <w:r>
        <w:rPr>
          <w:rFonts w:ascii="Arial" w:hAnsi="Arial"/>
        </w:rPr>
        <w:t>‘’</w:t>
      </w:r>
      <w:r>
        <w:rPr>
          <w:rFonts w:ascii="Arial" w:hAnsi="Arial"/>
        </w:rPr>
        <w:t>Smith, Hogan ans Ormerod’s Essential of Criminal Law ‘’ by John Child and David Ormerod</w:t>
      </w:r>
      <w:r>
        <w:rPr>
          <w:rFonts w:ascii="Arial" w:hAnsi="Arial"/>
        </w:rPr>
        <w:br/>
        <w:t xml:space="preserve">Stavros, D (2016), </w:t>
      </w:r>
      <w:r>
        <w:rPr>
          <w:rFonts w:ascii="Arial" w:hAnsi="Arial"/>
          <w:i/>
        </w:rPr>
        <w:t>The Journal of Criminal Law</w:t>
      </w:r>
      <w:r>
        <w:rPr>
          <w:rFonts w:ascii="Arial" w:hAnsi="Arial"/>
        </w:rPr>
        <w:t>, 80(3) 188-200</w:t>
      </w:r>
    </w:p>
    <w:p>
      <w:pPr>
        <w:pStyle w:val="Normal1"/>
        <w:numPr>
          <w:ilvl w:val="0"/>
          <w:numId w:val="1"/>
        </w:numPr>
        <w:rPr/>
      </w:pPr>
      <w:r>
        <w:rPr>
          <w:rFonts w:ascii="Arial" w:hAnsi="Arial"/>
        </w:rPr>
        <w:br/>
        <w:t>Eugenicos, A (2017The Journal of Criminal Law 2017, Vol. 81(1) 26–32</w:t>
        <w:br/>
        <w:br/>
        <w:t>Overview of Reform of Offences Against the Person (2015) Law Com No 361</w:t>
        <w:br/>
        <w:br/>
        <w:br/>
      </w:r>
      <w:r>
        <w:rPr>
          <w:rFonts w:ascii="Arial" w:hAnsi="Arial"/>
          <w:i/>
        </w:rPr>
        <w:t>R v. Ireland and Burstow</w:t>
      </w:r>
      <w:r>
        <w:rPr>
          <w:rFonts w:ascii="Arial" w:hAnsi="Arial"/>
        </w:rPr>
        <w:t xml:space="preserve"> (1997) UKHL 34 </w:t>
      </w:r>
      <w:hyperlink r:id="rId2">
        <w:r>
          <w:rPr>
            <w:rFonts w:ascii="Arial" w:hAnsi="Arial"/>
            <w:color w:val="1155CC"/>
            <w:u w:val="single"/>
          </w:rPr>
          <w:t>R v Ireland and Burstow (lawteacher.net)</w:t>
        </w:r>
      </w:hyperlink>
      <w:r>
        <w:rPr>
          <w:rFonts w:ascii="Arial" w:hAnsi="Arial"/>
        </w:rPr>
        <w:br/>
        <w:br/>
      </w:r>
      <w:r>
        <w:rPr>
          <w:rFonts w:eastAsia="Roboto" w:cs="Roboto" w:ascii="Arial" w:hAnsi="Arial"/>
          <w:i/>
          <w:color w:val="212529"/>
        </w:rPr>
        <w:t>R v. Constanza</w:t>
      </w:r>
      <w:r>
        <w:rPr>
          <w:rFonts w:eastAsia="Roboto" w:cs="Roboto" w:ascii="Arial" w:hAnsi="Arial"/>
          <w:color w:val="212529"/>
        </w:rPr>
        <w:t xml:space="preserve"> [1997] Crim LR 576 </w:t>
      </w:r>
      <w:hyperlink r:id="rId3">
        <w:r>
          <w:rPr>
            <w:rFonts w:eastAsia="Roboto" w:cs="Roboto" w:ascii="Arial" w:hAnsi="Arial"/>
            <w:color w:val="1155CC"/>
            <w:u w:val="single"/>
          </w:rPr>
          <w:t>R v Constanza - 1997 (lawteacher.net)</w:t>
        </w:r>
      </w:hyperlink>
    </w:p>
    <w:p>
      <w:pPr>
        <w:pStyle w:val="Normal1"/>
        <w:numPr>
          <w:ilvl w:val="0"/>
          <w:numId w:val="1"/>
        </w:numPr>
        <w:rPr/>
      </w:pPr>
      <w:r>
        <w:rPr>
          <w:rFonts w:ascii="Arial" w:hAnsi="Arial"/>
        </w:rPr>
        <w:br/>
      </w:r>
      <w:r>
        <w:rPr>
          <w:rFonts w:ascii="Arial" w:hAnsi="Arial"/>
          <w:color w:val="212529"/>
        </w:rPr>
        <w:t xml:space="preserve">R v Chan Fook [1994] 1 WLR 689 </w:t>
      </w:r>
      <w:hyperlink r:id="rId4">
        <w:r>
          <w:rPr>
            <w:rFonts w:ascii="Arial" w:hAnsi="Arial"/>
            <w:color w:val="1155CC"/>
            <w:u w:val="single"/>
          </w:rPr>
          <w:t>R v Chan Fook (lawteacher.net)</w:t>
        </w:r>
      </w:hyperlink>
    </w:p>
    <w:p>
      <w:pPr>
        <w:pStyle w:val="Normal1"/>
        <w:numPr>
          <w:ilvl w:val="0"/>
          <w:numId w:val="1"/>
        </w:numPr>
        <w:rPr/>
      </w:pPr>
      <w:r>
        <w:rPr>
          <w:rFonts w:ascii="Arial" w:hAnsi="Arial"/>
        </w:rPr>
        <w:br/>
      </w:r>
      <w:r>
        <w:rPr>
          <w:rFonts w:eastAsia="Roboto" w:cs="Roboto" w:ascii="Arial" w:hAnsi="Arial"/>
          <w:color w:val="212529"/>
        </w:rPr>
        <w:t xml:space="preserve">DPP v Smith [1961] AC 290 </w:t>
      </w:r>
      <w:hyperlink r:id="rId5">
        <w:r>
          <w:rPr>
            <w:rFonts w:eastAsia="Roboto" w:cs="Roboto" w:ascii="Arial" w:hAnsi="Arial"/>
            <w:color w:val="1155CC"/>
            <w:u w:val="single"/>
          </w:rPr>
          <w:t>DPP v Smith - 1961 (lawteacher.net)</w:t>
        </w:r>
      </w:hyperlink>
    </w:p>
    <w:p>
      <w:pPr>
        <w:pStyle w:val="Normal1"/>
        <w:numPr>
          <w:ilvl w:val="0"/>
          <w:numId w:val="1"/>
        </w:numPr>
        <w:rPr/>
      </w:pPr>
      <w:r>
        <w:rPr>
          <w:rFonts w:ascii="Arial" w:hAnsi="Arial"/>
        </w:rPr>
        <w:br/>
        <w:t>R v Brown [2011] EWCA Crim 786</w:t>
        <w:br/>
        <w:br/>
      </w:r>
      <w:r>
        <w:rPr>
          <w:rFonts w:ascii="Arial" w:hAnsi="Arial"/>
          <w:color w:val="212529"/>
        </w:rPr>
        <w:t xml:space="preserve">R v Bollom [2003] EWCA Crim 2846 </w:t>
      </w:r>
      <w:hyperlink r:id="rId6">
        <w:r>
          <w:rPr>
            <w:rFonts w:ascii="Arial" w:hAnsi="Arial"/>
            <w:color w:val="1155CC"/>
            <w:u w:val="single"/>
          </w:rPr>
          <w:t>R v Bollom (lawteacher.net)</w:t>
        </w:r>
      </w:hyperlink>
    </w:p>
    <w:p>
      <w:pPr>
        <w:pStyle w:val="Normal1"/>
        <w:numPr>
          <w:ilvl w:val="0"/>
          <w:numId w:val="1"/>
        </w:numPr>
        <w:rPr>
          <w:rFonts w:ascii="Arial" w:hAnsi="Arial"/>
        </w:rPr>
      </w:pPr>
      <w:r>
        <w:rPr>
          <w:rFonts w:ascii="Arial" w:hAnsi="Arial"/>
        </w:rPr>
      </w:r>
    </w:p>
    <w:p>
      <w:pPr>
        <w:pStyle w:val="Heading1"/>
        <w:keepNext w:val="false"/>
        <w:keepLines w:val="false"/>
        <w:numPr>
          <w:ilvl w:val="0"/>
          <w:numId w:val="1"/>
        </w:numPr>
        <w:shd w:val="clear" w:fill="FFFFFF"/>
        <w:spacing w:lineRule="auto" w:line="288" w:before="0" w:after="120"/>
        <w:rPr/>
      </w:pPr>
      <w:bookmarkStart w:id="0" w:name="_53tzxz9ovpo5"/>
      <w:bookmarkEnd w:id="0"/>
      <w:r>
        <w:rPr>
          <w:rFonts w:ascii="Arial" w:hAnsi="Arial"/>
          <w:color w:val="212529"/>
          <w:sz w:val="22"/>
          <w:szCs w:val="22"/>
        </w:rPr>
        <w:t xml:space="preserve">R v Miller [1954] 2 Q.B. 282 </w:t>
      </w:r>
      <w:hyperlink r:id="rId7">
        <w:r>
          <w:rPr>
            <w:rFonts w:ascii="Arial" w:hAnsi="Arial"/>
            <w:color w:val="1155CC"/>
            <w:sz w:val="22"/>
            <w:szCs w:val="22"/>
            <w:u w:val="single"/>
          </w:rPr>
          <w:t>R v Miller - 1954 (lawteacher.net)</w:t>
        </w:r>
      </w:hyperlink>
    </w:p>
    <w:p>
      <w:pPr>
        <w:pStyle w:val="Normal1"/>
        <w:numPr>
          <w:ilvl w:val="0"/>
          <w:numId w:val="1"/>
        </w:numPr>
        <w:rPr>
          <w:rFonts w:ascii="Arial" w:hAnsi="Arial"/>
        </w:rPr>
      </w:pPr>
      <w:r>
        <w:rPr>
          <w:rFonts w:ascii="Arial" w:hAnsi="Arial"/>
        </w:rPr>
      </w:r>
    </w:p>
    <w:sectPr>
      <w:type w:val="nextPage"/>
      <w:pgSz w:w="12240" w:h="15840"/>
      <w:pgMar w:left="1440" w:right="1440" w:header="0" w:top="1440" w:footer="0" w:bottom="1440" w:gutter="0"/>
      <w:pgNumType w:start="1" w:fmt="decimal"/>
      <w:formProt w:val="false"/>
      <w:textDirection w:val="lrTb"/>
      <w:docGrid w:type="default" w:linePitch="10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Arial">
    <w:charset w:val="00"/>
    <w:family w:val="roman"/>
    <w:pitch w:val="variable"/>
  </w:font>
  <w:font w:name="OpenSymbol">
    <w:altName w:val="Arial Unicode MS"/>
    <w:charset w:val="02"/>
    <w:family w:val="auto"/>
    <w:pitch w:val="default"/>
  </w:font>
  <w:font w:name="Liberation Sans">
    <w:altName w:val="Arial"/>
    <w:charset w:val="00"/>
    <w:family w:val="swiss"/>
    <w:pitch w:val="variable"/>
  </w:font>
  <w:font w:name="Arial">
    <w:charset w:val="01"/>
    <w:family w:val="swiss"/>
    <w:pitch w:val="variable"/>
  </w:font>
  <w:font w:name="Symbol">
    <w:charset w:val="02"/>
    <w:family w:val="auto"/>
    <w:pitch w:val="default"/>
  </w:font>
  <w:font w:name="OpenSymbol">
    <w:altName w:val="Arial Unicode MS"/>
    <w:charset w:val="01"/>
    <w:family w:val="auto"/>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88"/>
  <w:defaultTabStop w:val="720"/>
  <w:autoHyphenation w:val="true"/>
  <w:compat>
    <w:compatSetting w:name="compatibilityMode" w:uri="http://schemas.microsoft.com/office/word" w:val="15"/>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rial" w:hAnsi="Arial" w:eastAsia="Arial" w:cs="Arial"/>
        <w:sz w:val="22"/>
        <w:szCs w:val="22"/>
        <w:lang w:val="en" w:eastAsia="zh-CN" w:bidi="hi-IN"/>
      </w:rPr>
    </w:rPrDefault>
    <w:pPrDefault>
      <w:pPr>
        <w:suppressAutoHyphens w:val="true"/>
      </w:pPr>
    </w:pPrDefault>
  </w:docDefaults>
  <w:style w:type="paragraph" w:styleId="Normal">
    <w:name w:val="Normal"/>
    <w:qFormat/>
    <w:pPr>
      <w:widowControl/>
      <w:bidi w:val="0"/>
      <w:spacing w:lineRule="auto" w:line="276" w:before="0" w:after="0"/>
      <w:jc w:val="left"/>
    </w:pPr>
    <w:rPr>
      <w:rFonts w:ascii="Arial" w:hAnsi="Arial" w:eastAsia="Arial" w:cs="Arial"/>
      <w:color w:val="auto"/>
      <w:kern w:val="0"/>
      <w:sz w:val="22"/>
      <w:szCs w:val="22"/>
      <w:lang w:val="en" w:eastAsia="zh-CN" w:bidi="hi-IN"/>
    </w:rPr>
  </w:style>
  <w:style w:type="paragraph" w:styleId="Heading1">
    <w:name w:val="Heading 1"/>
    <w:basedOn w:val="Normal1"/>
    <w:next w:val="Normal1"/>
    <w:qFormat/>
    <w:pPr>
      <w:keepNext w:val="true"/>
      <w:keepLines/>
      <w:spacing w:lineRule="auto" w:line="240" w:before="400" w:after="120"/>
    </w:pPr>
    <w:rPr>
      <w:sz w:val="40"/>
      <w:szCs w:val="40"/>
    </w:rPr>
  </w:style>
  <w:style w:type="paragraph" w:styleId="Heading2">
    <w:name w:val="Heading 2"/>
    <w:basedOn w:val="Normal1"/>
    <w:next w:val="Normal1"/>
    <w:qFormat/>
    <w:pPr>
      <w:keepNext w:val="true"/>
      <w:keepLines/>
      <w:spacing w:lineRule="auto" w:line="240" w:before="360" w:after="120"/>
    </w:pPr>
    <w:rPr>
      <w:b w:val="false"/>
      <w:sz w:val="32"/>
      <w:szCs w:val="32"/>
    </w:rPr>
  </w:style>
  <w:style w:type="paragraph" w:styleId="Heading3">
    <w:name w:val="Heading 3"/>
    <w:basedOn w:val="Normal1"/>
    <w:next w:val="Normal1"/>
    <w:qFormat/>
    <w:pPr>
      <w:keepNext w:val="true"/>
      <w:keepLines/>
      <w:spacing w:lineRule="auto" w:line="240" w:before="320" w:after="80"/>
    </w:pPr>
    <w:rPr>
      <w:b w:val="false"/>
      <w:color w:val="434343"/>
      <w:sz w:val="28"/>
      <w:szCs w:val="28"/>
    </w:rPr>
  </w:style>
  <w:style w:type="paragraph" w:styleId="Heading4">
    <w:name w:val="Heading 4"/>
    <w:basedOn w:val="Normal1"/>
    <w:next w:val="Normal1"/>
    <w:qFormat/>
    <w:pPr>
      <w:keepNext w:val="true"/>
      <w:keepLines/>
      <w:spacing w:lineRule="auto" w:line="240" w:before="280" w:after="80"/>
    </w:pPr>
    <w:rPr>
      <w:color w:val="666666"/>
      <w:sz w:val="24"/>
      <w:szCs w:val="24"/>
    </w:rPr>
  </w:style>
  <w:style w:type="paragraph" w:styleId="Heading5">
    <w:name w:val="Heading 5"/>
    <w:basedOn w:val="Normal1"/>
    <w:next w:val="Normal1"/>
    <w:qFormat/>
    <w:pPr>
      <w:keepNext w:val="true"/>
      <w:keepLines/>
      <w:spacing w:lineRule="auto" w:line="240" w:before="240" w:after="80"/>
    </w:pPr>
    <w:rPr>
      <w:color w:val="666666"/>
      <w:sz w:val="22"/>
      <w:szCs w:val="22"/>
    </w:rPr>
  </w:style>
  <w:style w:type="paragraph" w:styleId="Heading6">
    <w:name w:val="Heading 6"/>
    <w:basedOn w:val="Normal1"/>
    <w:next w:val="Normal1"/>
    <w:qFormat/>
    <w:pPr>
      <w:keepNext w:val="true"/>
      <w:keepLines/>
      <w:spacing w:lineRule="auto" w:line="240" w:before="240" w:after="80"/>
    </w:pPr>
    <w:rPr>
      <w:i/>
      <w:color w:val="666666"/>
      <w:sz w:val="22"/>
      <w:szCs w:val="22"/>
    </w:rPr>
  </w:style>
  <w:style w:type="character" w:styleId="InternetLink">
    <w:name w:val="Hyperlink"/>
    <w:rPr>
      <w:color w:val="000080"/>
      <w:u w:val="single"/>
      <w:lang w:val="zxx" w:eastAsia="zxx" w:bidi="zxx"/>
    </w:rPr>
  </w:style>
  <w:style w:type="character" w:styleId="Bullets">
    <w:name w:val="Bullets"/>
    <w:qFormat/>
    <w:rPr>
      <w:rFonts w:ascii="OpenSymbol" w:hAnsi="OpenSymbol" w:eastAsia="OpenSymbol" w:cs="OpenSymbol"/>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Normal1" w:default="1">
    <w:name w:val="LO-normal"/>
    <w:qFormat/>
    <w:pPr>
      <w:widowControl/>
      <w:bidi w:val="0"/>
      <w:spacing w:lineRule="auto" w:line="276" w:before="0" w:after="0"/>
      <w:jc w:val="left"/>
    </w:pPr>
    <w:rPr>
      <w:rFonts w:ascii="Arial" w:hAnsi="Arial" w:eastAsia="Arial" w:cs="Arial"/>
      <w:color w:val="auto"/>
      <w:kern w:val="0"/>
      <w:sz w:val="22"/>
      <w:szCs w:val="22"/>
      <w:lang w:val="en" w:eastAsia="zh-CN" w:bidi="hi-IN"/>
    </w:rPr>
  </w:style>
  <w:style w:type="paragraph" w:styleId="Title">
    <w:name w:val="Title"/>
    <w:basedOn w:val="Normal1"/>
    <w:next w:val="Normal1"/>
    <w:qFormat/>
    <w:pPr>
      <w:keepNext w:val="true"/>
      <w:keepLines/>
      <w:spacing w:lineRule="auto" w:line="240" w:before="0" w:after="60"/>
    </w:pPr>
    <w:rPr>
      <w:sz w:val="52"/>
      <w:szCs w:val="52"/>
    </w:rPr>
  </w:style>
  <w:style w:type="paragraph" w:styleId="Subtitle">
    <w:name w:val="Subtitle"/>
    <w:basedOn w:val="Normal1"/>
    <w:next w:val="Normal1"/>
    <w:qFormat/>
    <w:pPr>
      <w:keepNext w:val="true"/>
      <w:keepLines/>
      <w:spacing w:lineRule="auto" w:line="240" w:before="0" w:after="320"/>
    </w:pPr>
    <w:rPr>
      <w:rFonts w:ascii="Arial" w:hAnsi="Arial" w:eastAsia="Arial" w:cs="Arial"/>
      <w:i w:val="false"/>
      <w:color w:val="666666"/>
      <w:sz w:val="30"/>
      <w:szCs w:val="30"/>
    </w:rPr>
  </w:style>
  <w:style w:type="table" w:default="1" w:styleId="TableNormal">
    <w:name w:val="Table Normal"/>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lawteacher.net/cases/r-v-ireland-and-burstow.php" TargetMode="External"/><Relationship Id="rId3" Type="http://schemas.openxmlformats.org/officeDocument/2006/relationships/hyperlink" Target="https://www.lawteacher.net/cases/r-v-constanza.php" TargetMode="External"/><Relationship Id="rId4" Type="http://schemas.openxmlformats.org/officeDocument/2006/relationships/hyperlink" Target="https://www.lawteacher.net/cases/r-v-chan-fook.php" TargetMode="External"/><Relationship Id="rId5" Type="http://schemas.openxmlformats.org/officeDocument/2006/relationships/hyperlink" Target="https://www.lawteacher.net/cases/dpp-v-smith.php" TargetMode="External"/><Relationship Id="rId6" Type="http://schemas.openxmlformats.org/officeDocument/2006/relationships/hyperlink" Target="https://www.lawteacher.net/cases/r-v-bollom.php" TargetMode="External"/><Relationship Id="rId7" Type="http://schemas.openxmlformats.org/officeDocument/2006/relationships/hyperlink" Target="https://www.lawteacher.net/cases/r-v-miller-1954.php" TargetMode="External"/><Relationship Id="rId8" Type="http://schemas.openxmlformats.org/officeDocument/2006/relationships/numbering" Target="numbering.xml"/><Relationship Id="rId9" Type="http://schemas.openxmlformats.org/officeDocument/2006/relationships/fontTable" Target="fontTable.xml"/><Relationship Id="rId10" Type="http://schemas.openxmlformats.org/officeDocument/2006/relationships/settings" Target="settings.xml"/><Relationship Id="rId11"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
  <TotalTime>3</TotalTime>
  <Application>LibreOffice/7.0.1.2$Windows_X86_64 LibreOffice_project/7cbcfc562f6eb6708b5ff7d7397325de9e764452</Application>
  <Pages>7</Pages>
  <Words>2371</Words>
  <Characters>12240</Characters>
  <CharactersWithSpaces>14609</CharactersWithSpaces>
  <Paragraphs>15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description/>
  <dc:language>en-GB</dc:language>
  <cp:lastModifiedBy/>
  <dcterms:modified xsi:type="dcterms:W3CDTF">2021-03-05T23:47:15Z</dcterms:modified>
  <cp:revision>1</cp:revision>
  <dc:subject/>
  <dc:title/>
</cp:coreProperties>
</file>