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AF3066" w:rsidP="16AF3066" w:rsidRDefault="16AF3066" w14:paraId="718E6D78" w14:textId="6EEA0317">
      <w:pPr>
        <w:pStyle w:val="Normal"/>
        <w:spacing w:line="480" w:lineRule="exact"/>
        <w:jc w:val="center"/>
      </w:pPr>
      <w:r>
        <w:drawing>
          <wp:inline wp14:editId="1A258A42" wp14:anchorId="42C7E27E">
            <wp:extent cx="4286250" cy="1371600"/>
            <wp:effectExtent l="0" t="0" r="0" b="0"/>
            <wp:docPr id="1992603861" name="" title="Image result for Yr Athrofa UWTSD"/>
            <wp:cNvGraphicFramePr>
              <a:graphicFrameLocks noChangeAspect="1"/>
            </wp:cNvGraphicFramePr>
            <a:graphic>
              <a:graphicData uri="http://schemas.openxmlformats.org/drawingml/2006/picture">
                <pic:pic>
                  <pic:nvPicPr>
                    <pic:cNvPr id="0" name=""/>
                    <pic:cNvPicPr/>
                  </pic:nvPicPr>
                  <pic:blipFill>
                    <a:blip r:embed="R2079c039bde54a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86250" cy="1371600"/>
                    </a:xfrm>
                    <a:prstGeom prst="rect">
                      <a:avLst/>
                    </a:prstGeom>
                  </pic:spPr>
                </pic:pic>
              </a:graphicData>
            </a:graphic>
          </wp:inline>
        </w:drawing>
      </w:r>
    </w:p>
    <w:p w:rsidR="76B71B42" w:rsidP="76B71B42" w:rsidRDefault="76B71B42" w14:noSpellErr="1" w14:paraId="3648A5E0" w14:textId="1D2EA2AB">
      <w:pPr>
        <w:pStyle w:val="Normal"/>
        <w:spacing w:line="480" w:lineRule="exact"/>
        <w:jc w:val="center"/>
      </w:pPr>
      <w:r w:rsidRPr="76B71B42" w:rsidR="76B71B42">
        <w:rPr>
          <w:rFonts w:ascii="Arial" w:hAnsi="Arial" w:eastAsia="Arial" w:cs="Arial"/>
          <w:b w:val="1"/>
          <w:bCs w:val="1"/>
          <w:noProof w:val="0"/>
          <w:color w:val="1F4E79"/>
          <w:sz w:val="32"/>
          <w:szCs w:val="32"/>
          <w:lang w:val="en-GB"/>
        </w:rPr>
        <w:t>Academic Discipline of Social Justice and Inclusion</w:t>
      </w:r>
    </w:p>
    <w:p w:rsidR="76B71B42" w:rsidP="76B71B42" w:rsidRDefault="76B71B42" w14:paraId="20C2BA43" w14:textId="7EE75E6A">
      <w:pPr>
        <w:spacing w:line="480" w:lineRule="exact"/>
        <w:jc w:val="center"/>
      </w:pPr>
      <w:proofErr w:type="spellStart"/>
      <w:r w:rsidRPr="76B71B42" w:rsidR="76B71B42">
        <w:rPr>
          <w:rFonts w:ascii="Arial" w:hAnsi="Arial" w:eastAsia="Arial" w:cs="Arial"/>
          <w:b w:val="1"/>
          <w:bCs w:val="1"/>
          <w:noProof w:val="0"/>
          <w:color w:val="1F4E79"/>
          <w:sz w:val="32"/>
          <w:szCs w:val="32"/>
          <w:lang w:val="en-GB"/>
        </w:rPr>
        <w:t>MArts</w:t>
      </w:r>
      <w:proofErr w:type="spellEnd"/>
      <w:r w:rsidRPr="76B71B42" w:rsidR="76B71B42">
        <w:rPr>
          <w:rFonts w:ascii="Arial" w:hAnsi="Arial" w:eastAsia="Arial" w:cs="Arial"/>
          <w:b w:val="1"/>
          <w:bCs w:val="1"/>
          <w:noProof w:val="0"/>
          <w:color w:val="1F4E79"/>
          <w:sz w:val="32"/>
          <w:szCs w:val="32"/>
          <w:lang w:val="en-GB"/>
        </w:rPr>
        <w:t>/BA Humanistic Counselling Practice</w:t>
      </w:r>
    </w:p>
    <w:p w:rsidR="76B71B42" w:rsidP="76B71B42" w:rsidRDefault="76B71B42" w14:paraId="6771F8F6" w14:textId="2EFA8630">
      <w:pPr>
        <w:jc w:val="center"/>
      </w:pPr>
      <w:r w:rsidRPr="76B71B42" w:rsidR="76B71B42">
        <w:rPr>
          <w:rFonts w:ascii="Arial" w:hAnsi="Arial" w:eastAsia="Arial" w:cs="Arial"/>
          <w:b w:val="1"/>
          <w:bCs w:val="1"/>
          <w:noProof w:val="0"/>
          <w:color w:val="1F4E79"/>
          <w:sz w:val="32"/>
          <w:szCs w:val="32"/>
          <w:lang w:val="en-GB"/>
        </w:rPr>
        <w:t xml:space="preserve"> </w:t>
      </w:r>
    </w:p>
    <w:p w:rsidR="76B71B42" w:rsidP="76B71B42" w:rsidRDefault="76B71B42" w14:noSpellErr="1" w14:paraId="59A76B46" w14:textId="09833DDE">
      <w:pPr>
        <w:pStyle w:val="Heading3"/>
        <w:jc w:val="center"/>
        <w:rPr>
          <w:rFonts w:ascii="-apple-system" w:hAnsi="-apple-system" w:eastAsia="-apple-system" w:cs="-apple-system"/>
          <w:b w:val="0"/>
          <w:bCs w:val="0"/>
          <w:color w:val="373A3C"/>
        </w:rPr>
      </w:pPr>
      <w:r w:rsidRPr="76B71B42" w:rsidR="76B71B42">
        <w:rPr>
          <w:rFonts w:ascii="Arial" w:hAnsi="Arial" w:eastAsia="Arial" w:cs="Arial"/>
          <w:b w:val="1"/>
          <w:bCs w:val="1"/>
          <w:noProof w:val="0"/>
          <w:color w:val="1F4E79"/>
          <w:sz w:val="32"/>
          <w:szCs w:val="32"/>
          <w:lang w:val="en-GB"/>
        </w:rPr>
        <w:t xml:space="preserve">    Module: ECHC5005 Practicum 2</w:t>
      </w:r>
    </w:p>
    <w:p w:rsidR="76B71B42" w:rsidP="76B71B42" w:rsidRDefault="76B71B42" w14:noSpellErr="1" w14:paraId="1CE4EBCD" w14:textId="703DD33E">
      <w:pPr>
        <w:pStyle w:val="Normal"/>
        <w:jc w:val="center"/>
        <w:rPr>
          <w:rFonts w:ascii="Arial" w:hAnsi="Arial" w:eastAsia="Arial" w:cs="Arial"/>
          <w:b w:val="1"/>
          <w:bCs w:val="1"/>
          <w:noProof w:val="0"/>
          <w:color w:val="1F4E79"/>
          <w:sz w:val="32"/>
          <w:szCs w:val="32"/>
          <w:lang w:val="en-GB"/>
        </w:rPr>
      </w:pPr>
    </w:p>
    <w:p w:rsidR="76B71B42" w:rsidP="76B71B42" w:rsidRDefault="76B71B42" w14:paraId="6F215BAB" w14:textId="375404BF">
      <w:pPr>
        <w:jc w:val="center"/>
      </w:pPr>
      <w:r w:rsidRPr="05701174" w:rsidR="05701174">
        <w:rPr>
          <w:rFonts w:ascii="Arial" w:hAnsi="Arial" w:eastAsia="Arial" w:cs="Arial"/>
          <w:b w:val="1"/>
          <w:bCs w:val="1"/>
          <w:noProof w:val="0"/>
          <w:color w:val="1F4E79"/>
          <w:sz w:val="32"/>
          <w:szCs w:val="32"/>
          <w:lang w:val="en-GB"/>
        </w:rPr>
        <w:t xml:space="preserve"> Assessment Component: One </w:t>
      </w:r>
    </w:p>
    <w:p w:rsidR="76B71B42" w:rsidP="76B71B42" w:rsidRDefault="76B71B42" w14:paraId="511BD42C" w14:textId="080F1E7F">
      <w:pPr>
        <w:jc w:val="center"/>
      </w:pPr>
      <w:r w:rsidRPr="76B71B42" w:rsidR="76B71B42">
        <w:rPr>
          <w:rFonts w:ascii="Arial" w:hAnsi="Arial" w:eastAsia="Arial" w:cs="Arial"/>
          <w:b w:val="1"/>
          <w:bCs w:val="1"/>
          <w:noProof w:val="0"/>
          <w:color w:val="1F4E79"/>
          <w:sz w:val="32"/>
          <w:szCs w:val="32"/>
          <w:lang w:val="en-GB"/>
        </w:rPr>
        <w:t xml:space="preserve"> </w:t>
      </w:r>
    </w:p>
    <w:p w:rsidR="76B71B42" w:rsidP="76B71B42" w:rsidRDefault="76B71B42" w14:noSpellErr="1" w14:paraId="53D7C161" w14:textId="7D385CEF">
      <w:pPr>
        <w:jc w:val="center"/>
      </w:pPr>
      <w:r w:rsidRPr="76B71B42" w:rsidR="76B71B42">
        <w:rPr>
          <w:rFonts w:ascii="Arial" w:hAnsi="Arial" w:eastAsia="Arial" w:cs="Arial"/>
          <w:b w:val="1"/>
          <w:bCs w:val="1"/>
          <w:noProof w:val="0"/>
          <w:color w:val="1F4E79"/>
          <w:sz w:val="32"/>
          <w:szCs w:val="32"/>
          <w:lang w:val="en-GB"/>
        </w:rPr>
        <w:t>Assignment Title: ‘Critically reflect on your counselling work with a client, explore ethical issues, application to theory, process recall and use of supervision.’</w:t>
      </w:r>
    </w:p>
    <w:p w:rsidR="76B71B42" w:rsidP="76B71B42" w:rsidRDefault="76B71B42" w14:paraId="7535F7E5" w14:textId="058FA14A">
      <w:pPr>
        <w:jc w:val="center"/>
      </w:pPr>
      <w:r w:rsidRPr="76B71B42" w:rsidR="76B71B42">
        <w:rPr>
          <w:rFonts w:ascii="Arial" w:hAnsi="Arial" w:eastAsia="Arial" w:cs="Arial"/>
          <w:b w:val="1"/>
          <w:bCs w:val="1"/>
          <w:noProof w:val="0"/>
          <w:color w:val="1F4E79"/>
          <w:sz w:val="32"/>
          <w:szCs w:val="32"/>
          <w:lang w:val="en-GB"/>
        </w:rPr>
        <w:t xml:space="preserve"> </w:t>
      </w:r>
    </w:p>
    <w:p w:rsidR="76B71B42" w:rsidP="76B71B42" w:rsidRDefault="76B71B42" w14:noSpellErr="1" w14:paraId="10634A82" w14:textId="306B037B">
      <w:pPr>
        <w:jc w:val="center"/>
      </w:pPr>
      <w:r w:rsidRPr="76B71B42" w:rsidR="76B71B42">
        <w:rPr>
          <w:rFonts w:ascii="Arial" w:hAnsi="Arial" w:eastAsia="Arial" w:cs="Arial"/>
          <w:b w:val="1"/>
          <w:bCs w:val="1"/>
          <w:noProof w:val="0"/>
          <w:color w:val="1F4E79"/>
          <w:sz w:val="32"/>
          <w:szCs w:val="32"/>
          <w:lang w:val="en-GB"/>
        </w:rPr>
        <w:t>Student Number: 1601492</w:t>
      </w:r>
    </w:p>
    <w:p w:rsidR="76B71B42" w:rsidP="76B71B42" w:rsidRDefault="76B71B42" w14:paraId="2A6695EA" w14:textId="6C65816E">
      <w:pPr>
        <w:jc w:val="center"/>
      </w:pPr>
      <w:r w:rsidRPr="76B71B42" w:rsidR="76B71B42">
        <w:rPr>
          <w:rFonts w:ascii="Arial" w:hAnsi="Arial" w:eastAsia="Arial" w:cs="Arial"/>
          <w:b w:val="1"/>
          <w:bCs w:val="1"/>
          <w:noProof w:val="0"/>
          <w:sz w:val="32"/>
          <w:szCs w:val="32"/>
          <w:lang w:val="en-GB"/>
        </w:rPr>
        <w:t xml:space="preserve"> </w:t>
      </w:r>
    </w:p>
    <w:p w:rsidR="76B71B42" w:rsidP="76B71B42" w:rsidRDefault="76B71B42" w14:paraId="5684AFA8" w14:textId="0D6F03B5">
      <w:pPr>
        <w:jc w:val="center"/>
      </w:pPr>
      <w:r w:rsidRPr="76B71B42" w:rsidR="76B71B42">
        <w:rPr>
          <w:rFonts w:ascii="Arial" w:hAnsi="Arial" w:eastAsia="Arial" w:cs="Arial"/>
          <w:b w:val="1"/>
          <w:bCs w:val="1"/>
          <w:noProof w:val="0"/>
          <w:sz w:val="32"/>
          <w:szCs w:val="32"/>
          <w:lang w:val="en-GB"/>
        </w:rPr>
        <w:t xml:space="preserve"> </w:t>
      </w:r>
    </w:p>
    <w:p w:rsidR="76B71B42" w:rsidP="76B71B42" w:rsidRDefault="76B71B42" w14:paraId="672137A4" w14:textId="0D69DB56">
      <w:pPr>
        <w:spacing w:line="368" w:lineRule="exact"/>
        <w:rPr>
          <w:rFonts w:ascii="Calibri" w:hAnsi="Calibri" w:eastAsia="Calibri" w:cs="Calibri"/>
          <w:noProof w:val="0"/>
          <w:sz w:val="32"/>
          <w:szCs w:val="32"/>
          <w:lang w:val="en-GB"/>
        </w:rPr>
      </w:pPr>
    </w:p>
    <w:p w:rsidR="76B71B42" w:rsidP="76B71B42" w:rsidRDefault="76B71B42" w14:paraId="64CFF5A6" w14:textId="3A575000">
      <w:pPr>
        <w:pStyle w:val="Normal"/>
      </w:pPr>
    </w:p>
    <w:p w:rsidR="76B71B42" w:rsidP="76B71B42" w:rsidRDefault="76B71B42" w14:paraId="0E574F9B" w14:textId="27F4F47E">
      <w:pPr>
        <w:pStyle w:val="Normal"/>
      </w:pPr>
    </w:p>
    <w:p w:rsidR="76B71B42" w:rsidP="76B71B42" w:rsidRDefault="76B71B42" w14:paraId="4BD48A35" w14:textId="33CABFD1">
      <w:pPr>
        <w:pStyle w:val="Normal"/>
      </w:pPr>
    </w:p>
    <w:p w:rsidR="76B71B42" w:rsidP="76B71B42" w:rsidRDefault="76B71B42" w14:paraId="26FAA0CD" w14:textId="743D23AC">
      <w:pPr>
        <w:pStyle w:val="Normal"/>
      </w:pPr>
    </w:p>
    <w:p w:rsidR="76B71B42" w:rsidP="76B71B42" w:rsidRDefault="76B71B42" w14:paraId="1E81EEB5" w14:textId="7DA88838">
      <w:pPr>
        <w:pStyle w:val="Normal"/>
      </w:pPr>
    </w:p>
    <w:p w:rsidR="76B71B42" w:rsidP="76B71B42" w:rsidRDefault="76B71B42" w14:paraId="1CFC8D8F" w14:textId="7203A7C2">
      <w:pPr>
        <w:pStyle w:val="Normal"/>
      </w:pPr>
    </w:p>
    <w:p w:rsidR="76B71B42" w:rsidP="76B71B42" w:rsidRDefault="76B71B42" w14:paraId="7E485D85" w14:textId="4A9C0C11">
      <w:pPr>
        <w:pStyle w:val="Normal"/>
      </w:pPr>
    </w:p>
    <w:p w:rsidR="76B71B42" w:rsidP="76B71B42" w:rsidRDefault="76B71B42" w14:paraId="0C61D710" w14:textId="631C10E8">
      <w:pPr>
        <w:pStyle w:val="Normal"/>
      </w:pPr>
    </w:p>
    <w:p w:rsidR="76B71B42" w:rsidP="76B71B42" w:rsidRDefault="76B71B42" w14:paraId="32EA5436" w14:textId="51CFC27D">
      <w:pPr>
        <w:pStyle w:val="Normal"/>
      </w:pPr>
    </w:p>
    <w:p w:rsidR="76B71B42" w:rsidP="76B71B42" w:rsidRDefault="76B71B42" w14:paraId="0B7D4B62" w14:textId="36D3B76B">
      <w:pPr>
        <w:pStyle w:val="Normal"/>
      </w:pPr>
    </w:p>
    <w:p w:rsidR="76B71B42" w:rsidP="76B71B42" w:rsidRDefault="76B71B42" w14:paraId="18F8DA99" w14:textId="66E7FA46">
      <w:pPr>
        <w:pStyle w:val="Normal"/>
      </w:pPr>
    </w:p>
    <w:p w:rsidR="76B71B42" w:rsidP="76B71B42" w:rsidRDefault="76B71B42" w14:paraId="6B98BD02" w14:textId="020DA7EA">
      <w:pPr>
        <w:pStyle w:val="Normal"/>
      </w:pPr>
    </w:p>
    <w:p w:rsidR="76B71B42" w:rsidP="76B71B42" w:rsidRDefault="76B71B42" w14:paraId="1575CDD3" w14:textId="09C288EC">
      <w:pPr>
        <w:pStyle w:val="Normal"/>
      </w:pPr>
    </w:p>
    <w:p w:rsidR="76B71B42" w:rsidP="76B71B42" w:rsidRDefault="76B71B42" w14:paraId="56FFAFE5" w14:textId="0CA10AA6">
      <w:pPr>
        <w:pStyle w:val="Normal"/>
      </w:pPr>
    </w:p>
    <w:p w:rsidR="76B71B42" w:rsidP="16AF3066" w:rsidRDefault="76B71B42" w14:paraId="6A1627BA" w14:noSpellErr="1" w14:textId="6AD8D377">
      <w:pPr>
        <w:pStyle w:val="Normal"/>
        <w:rPr>
          <w:u w:val="single"/>
        </w:rPr>
      </w:pPr>
      <w:r w:rsidRPr="16AF3066" w:rsidR="16AF3066">
        <w:rPr>
          <w:u w:val="single"/>
        </w:rPr>
        <w:t>Introduction 2-300</w:t>
      </w:r>
    </w:p>
    <w:p w:rsidR="76B71B42" w:rsidP="76C4B8D5" w:rsidRDefault="76B71B42" w14:paraId="7853DDD9" w14:noSpellErr="1" w14:textId="0D8CBC6D">
      <w:pPr>
        <w:pStyle w:val="Normal"/>
        <w:jc w:val="left"/>
        <w:rPr>
          <w:u w:val="none"/>
        </w:rPr>
      </w:pPr>
      <w:r w:rsidR="5C66A75C">
        <w:rPr>
          <w:u w:val="none"/>
        </w:rPr>
        <w:t xml:space="preserve">  Critical reflection within counselling is seen as the foundation of the therapists’ own personal growth. With this foundation comes the flourishment of self-awareness (Bassot,2016) being able to reach a depth of critical evaluation to assess what could have been done differently within the therapy session, to encourage a better understanding of the client, the therapeutic relationship and overall that the therapist is working within their competency, which provides a safe environment for both client and counsellor to be during the therapy session. It is also valuable in order to become aware of the thinking and processing behind the chosen counselling interventions, what worked well within the session and what approach the therapist is aligned to in order to work with the individual client (Feltham,2010)</w:t>
      </w:r>
      <w:r w:rsidR="5C66A75C">
        <w:rPr>
          <w:u w:val="none"/>
        </w:rPr>
        <w:t>, understanding personal qualities such as humility and identity (BACP,2019)</w:t>
      </w:r>
      <w:r w:rsidR="5C66A75C">
        <w:rPr>
          <w:u w:val="none"/>
        </w:rPr>
        <w:t>. This essay will explore a trainee counsellors’ therapy session with a fellow student as shown to be the client, the session being conducted in a university setting within a triad group and will discuss critically, ethical issues, identifying areas of strength and development within the session, the use of supervision and counsellor/client relationship and relating these to theory.</w:t>
      </w:r>
    </w:p>
    <w:p w:rsidR="16AF3066" w:rsidP="16AF3066" w:rsidRDefault="16AF3066" w14:paraId="39176012" w14:noSpellErr="1" w14:textId="5ABBBDBE">
      <w:pPr>
        <w:pStyle w:val="Normal"/>
        <w:rPr>
          <w:u w:val="none"/>
        </w:rPr>
      </w:pPr>
      <w:r w:rsidR="5C66A75C">
        <w:rPr/>
        <w:t xml:space="preserve">  </w:t>
      </w:r>
      <w:r w:rsidR="5C66A75C">
        <w:rPr/>
        <w:t xml:space="preserve">Ethical issues </w:t>
      </w:r>
      <w:r w:rsidR="5C66A75C">
        <w:rPr/>
        <w:t xml:space="preserve">can become </w:t>
      </w:r>
      <w:r w:rsidR="5C66A75C">
        <w:rPr/>
        <w:t>present in the therapeutic process</w:t>
      </w:r>
      <w:r w:rsidR="5C66A75C">
        <w:rPr/>
        <w:t>,</w:t>
      </w:r>
      <w:r w:rsidR="5C66A75C">
        <w:rPr/>
        <w:t xml:space="preserve"> the counsellor </w:t>
      </w:r>
      <w:r w:rsidR="5C66A75C">
        <w:rPr/>
        <w:t xml:space="preserve">in this instance </w:t>
      </w:r>
      <w:r w:rsidR="5C66A75C">
        <w:rPr/>
        <w:t>is aligned to the principles and values of the professional body B</w:t>
      </w:r>
      <w:r w:rsidR="5C66A75C">
        <w:rPr/>
        <w:t xml:space="preserve">ritish </w:t>
      </w:r>
      <w:r w:rsidR="5C66A75C">
        <w:rPr/>
        <w:t>A</w:t>
      </w:r>
      <w:r w:rsidR="5C66A75C">
        <w:rPr/>
        <w:t xml:space="preserve">ssociation for </w:t>
      </w:r>
      <w:r w:rsidR="5C66A75C">
        <w:rPr/>
        <w:t>C</w:t>
      </w:r>
      <w:r w:rsidR="5C66A75C">
        <w:rPr/>
        <w:t xml:space="preserve">ounsellors and </w:t>
      </w:r>
      <w:r w:rsidR="5C66A75C">
        <w:rPr/>
        <w:t>P</w:t>
      </w:r>
      <w:r w:rsidR="5C66A75C">
        <w:rPr/>
        <w:t>sychotherapists</w:t>
      </w:r>
      <w:r w:rsidR="5C66A75C">
        <w:rPr/>
        <w:t xml:space="preserve"> and their ethical framework. At the start of the session the counsellor re-iterates the importance of the contract but the focus is solely on confidentiality and safeguarding with regards to harm to self or others, this is of essential importance to gain informed consent and </w:t>
      </w:r>
      <w:r w:rsidR="5C66A75C">
        <w:rPr/>
        <w:t xml:space="preserve">for the client to understand the counsellors </w:t>
      </w:r>
      <w:r w:rsidR="5C66A75C">
        <w:rPr/>
        <w:t xml:space="preserve">safeguarding </w:t>
      </w:r>
      <w:r w:rsidR="5C66A75C">
        <w:rPr/>
        <w:t xml:space="preserve">process which </w:t>
      </w:r>
      <w:r w:rsidR="5C66A75C">
        <w:rPr/>
        <w:t>is described well to the client</w:t>
      </w:r>
      <w:r w:rsidR="5C66A75C">
        <w:rPr/>
        <w:t xml:space="preserve"> (BACP,2019), </w:t>
      </w:r>
      <w:r w:rsidR="5C66A75C">
        <w:rPr/>
        <w:t>the client is asked if they understand and are happy to continue with the session, which then progresses. At this stage there could have been more divulsion into other areas of the contract with regard to data protection, the length and number of sessions involved, fees, the application of therapy and boundaries (Bond, 2015) this is in order to keep a professional stance, to involve the client and to keep both the client and counsellor safe in all aspects of the therapeutic journey ahead. It is also adhering to BACP regulations to which the counsellor is aligned with and shows their competencies within that environment (BACP,201</w:t>
      </w:r>
      <w:r w:rsidR="5C66A75C">
        <w:rPr/>
        <w:t>9</w:t>
      </w:r>
      <w:r w:rsidR="5C66A75C">
        <w:rPr/>
        <w:t xml:space="preserve">). There is no intervention used to assess the clients’ well-being and the suitability for the counsellor before or while the therapy session takes place, </w:t>
      </w:r>
      <w:r w:rsidR="5C66A75C">
        <w:rPr/>
        <w:t>there i</w:t>
      </w:r>
      <w:r w:rsidR="5C66A75C">
        <w:rPr/>
        <w:t>s</w:t>
      </w:r>
      <w:r w:rsidR="5C66A75C">
        <w:rPr/>
        <w:t xml:space="preserve"> no distinguishable differences that arise between culture or beliefs, s</w:t>
      </w:r>
      <w:r w:rsidR="5C66A75C">
        <w:rPr/>
        <w:t xml:space="preserve">o the counsellor </w:t>
      </w:r>
      <w:r w:rsidR="5C66A75C">
        <w:rPr/>
        <w:t>has</w:t>
      </w:r>
      <w:r w:rsidR="5C66A75C">
        <w:rPr/>
        <w:t xml:space="preserve"> processed the possible risk which could arise </w:t>
      </w:r>
      <w:r w:rsidR="5C66A75C">
        <w:rPr/>
        <w:t>verbally. T</w:t>
      </w:r>
      <w:r w:rsidRPr="5C66A75C" w:rsidR="5C66A75C">
        <w:rPr>
          <w:rFonts w:ascii="Calibri" w:hAnsi="Calibri" w:eastAsia="Calibri" w:cs="Calibri"/>
          <w:noProof w:val="0"/>
          <w:sz w:val="22"/>
          <w:szCs w:val="22"/>
          <w:lang w:val="en-GB"/>
        </w:rPr>
        <w:t xml:space="preserve">he foundation of assessment </w:t>
      </w:r>
      <w:r w:rsidRPr="5C66A75C" w:rsidR="5C66A75C">
        <w:rPr>
          <w:rFonts w:ascii="Calibri" w:hAnsi="Calibri" w:eastAsia="Calibri" w:cs="Calibri"/>
          <w:noProof w:val="0"/>
          <w:sz w:val="22"/>
          <w:szCs w:val="22"/>
          <w:lang w:val="en-GB"/>
        </w:rPr>
        <w:t xml:space="preserve">is explained as </w:t>
      </w:r>
      <w:r w:rsidRPr="5C66A75C" w:rsidR="5C66A75C">
        <w:rPr>
          <w:rFonts w:ascii="Calibri" w:hAnsi="Calibri" w:eastAsia="Calibri" w:cs="Calibri"/>
          <w:noProof w:val="0"/>
          <w:sz w:val="22"/>
          <w:szCs w:val="22"/>
          <w:lang w:val="en-GB"/>
        </w:rPr>
        <w:t>(Feltham, Hanley and Winter, 2017) the ethical principles and how we arrive at the assessment itself, taking in issues of therapist competence, beneficence and the risk that is being dealt with, to continue with e</w:t>
      </w:r>
      <w:r w:rsidR="5C66A75C">
        <w:rPr>
          <w:u w:val="none"/>
        </w:rPr>
        <w:t>thical mindfulness and a requirement of equal treatment and promote worth and dignity for all individuals (McLeod,2013).</w:t>
      </w:r>
      <w:proofErr w:type="spellStart"/>
      <w:proofErr w:type="spellEnd"/>
    </w:p>
    <w:p w:rsidR="66031D28" w:rsidP="66031D28" w:rsidRDefault="66031D28" w14:paraId="70DCEE65" w14:noSpellErr="1" w14:textId="3627AEDA">
      <w:pPr>
        <w:pStyle w:val="Normal"/>
        <w:rPr>
          <w:u w:val="none"/>
        </w:rPr>
      </w:pPr>
      <w:r w:rsidR="5C66A75C">
        <w:rPr>
          <w:u w:val="none"/>
        </w:rPr>
        <w:t xml:space="preserve">  Ethics, as already stated, are an integrated part of working safely within the counselling environment and are evident in the process of the therapy session (Bond,2015). Aware of the choice to adhere to these ethics and principles put in place for good professional reason the question has arisen, can certain boundaries and ethics d</w:t>
      </w:r>
      <w:r w:rsidR="5C66A75C">
        <w:rPr>
          <w:u w:val="none"/>
        </w:rPr>
        <w:t>i</w:t>
      </w:r>
      <w:r w:rsidR="5C66A75C">
        <w:rPr>
          <w:u w:val="none"/>
        </w:rPr>
        <w:t>min</w:t>
      </w:r>
      <w:r w:rsidR="5C66A75C">
        <w:rPr>
          <w:u w:val="none"/>
        </w:rPr>
        <w:t>i</w:t>
      </w:r>
      <w:r w:rsidR="5C66A75C">
        <w:rPr>
          <w:u w:val="none"/>
        </w:rPr>
        <w:t xml:space="preserve">sh therapeutic effectiveness? (Lazarus,2003; cited in Bates and House, 2003) argues that when taken too far that the ethics put in place can be perceived as undermining the clinical effectiveness. Lazarus (2003) contends that the violation occurs when the therapist is permitting current risk management principles rather than actually looking at the more humane interventions because this is conforming to their ethical and procedural stance within who they are aligned and regulated. For example, when a CORE score form is used throughout the counselling sessions, although seen as an effective intervention </w:t>
      </w:r>
      <w:r w:rsidR="5C66A75C">
        <w:rPr>
          <w:u w:val="none"/>
        </w:rPr>
        <w:t xml:space="preserve">using clients’ own self report </w:t>
      </w:r>
      <w:r w:rsidR="5C66A75C">
        <w:rPr>
          <w:u w:val="none"/>
        </w:rPr>
        <w:t>to risk</w:t>
      </w:r>
      <w:r w:rsidR="5C66A75C">
        <w:rPr>
          <w:u w:val="none"/>
        </w:rPr>
        <w:t xml:space="preserve"> and </w:t>
      </w:r>
      <w:r w:rsidR="5C66A75C">
        <w:rPr>
          <w:u w:val="none"/>
        </w:rPr>
        <w:t xml:space="preserve">clients’ well-being </w:t>
      </w:r>
      <w:r w:rsidR="5C66A75C">
        <w:rPr>
          <w:u w:val="none"/>
        </w:rPr>
        <w:t>is scored</w:t>
      </w:r>
      <w:r w:rsidR="5C66A75C">
        <w:rPr>
          <w:u w:val="none"/>
        </w:rPr>
        <w:t xml:space="preserve">, there is minimal alignment with CORE score forms and working from a person-centred approach as it’s perceived as undermining clients’ autonomy. An example of this would be apparent (Feltham, 2010) if a client has a form of learning disability, given one example, such as dyslexia, then it is known controversy whether CORE score forms are promoting the worth and dignity for all individual clients or is the expectation </w:t>
      </w:r>
      <w:r w:rsidR="5C66A75C">
        <w:rPr>
          <w:u w:val="none"/>
        </w:rPr>
        <w:t>of trying to fit all clients into certain intervention techniques</w:t>
      </w:r>
      <w:r w:rsidR="5C66A75C">
        <w:rPr>
          <w:u w:val="none"/>
        </w:rPr>
        <w:t>.</w:t>
      </w:r>
    </w:p>
    <w:p w:rsidR="16AF3066" w:rsidP="5C66A75C" w:rsidRDefault="16AF3066" w14:paraId="7629EBB1" w14:textId="1E0E59A1">
      <w:pPr>
        <w:pStyle w:val="Normal"/>
        <w:rPr>
          <w:u w:val="single"/>
        </w:rPr>
      </w:pPr>
      <w:r w:rsidR="5C66A75C">
        <w:rPr>
          <w:u w:val="none"/>
        </w:rPr>
        <w:t xml:space="preserve">  </w:t>
      </w:r>
      <w:r w:rsidR="5C66A75C">
        <w:rPr>
          <w:u w:val="none"/>
        </w:rPr>
        <w:t xml:space="preserve">Every individual </w:t>
      </w:r>
      <w:r w:rsidR="5C66A75C">
        <w:rPr>
          <w:u w:val="none"/>
        </w:rPr>
        <w:t xml:space="preserve">client </w:t>
      </w:r>
      <w:r w:rsidR="5C66A75C">
        <w:rPr>
          <w:u w:val="none"/>
        </w:rPr>
        <w:t>is indeed that, an individual. The integrative nature of approaches in counselling therapy is seen as taking the best parts of wisdom from each approach and integrating them with the individual client, such as ‘Technical e</w:t>
      </w:r>
      <w:r w:rsidR="5C66A75C">
        <w:rPr>
          <w:u w:val="none"/>
        </w:rPr>
        <w:t>c</w:t>
      </w:r>
      <w:r w:rsidR="5C66A75C">
        <w:rPr>
          <w:u w:val="none"/>
        </w:rPr>
        <w:t>lecticism’</w:t>
      </w:r>
      <w:r w:rsidR="5C66A75C">
        <w:rPr>
          <w:u w:val="none"/>
        </w:rPr>
        <w:t>,</w:t>
      </w:r>
      <w:r w:rsidR="5C66A75C">
        <w:rPr>
          <w:u w:val="none"/>
        </w:rPr>
        <w:t xml:space="preserve"> </w:t>
      </w:r>
      <w:proofErr w:type="spellStart"/>
      <w:r w:rsidR="5C66A75C">
        <w:rPr>
          <w:u w:val="none"/>
        </w:rPr>
        <w:t>Lazurus</w:t>
      </w:r>
      <w:proofErr w:type="spellEnd"/>
      <w:r w:rsidR="5C66A75C">
        <w:rPr>
          <w:u w:val="none"/>
        </w:rPr>
        <w:t xml:space="preserve"> (2003) believed that it is rather the techniques that therapists use in the session rather than aligning to the taught theory</w:t>
      </w:r>
      <w:r w:rsidR="5C66A75C">
        <w:rPr>
          <w:u w:val="none"/>
        </w:rPr>
        <w:t xml:space="preserve"> of approach</w:t>
      </w:r>
      <w:r w:rsidR="5C66A75C">
        <w:rPr>
          <w:u w:val="none"/>
        </w:rPr>
        <w:t>, that being sai</w:t>
      </w:r>
      <w:r w:rsidR="5C66A75C">
        <w:rPr>
          <w:u w:val="none"/>
        </w:rPr>
        <w:t>d,</w:t>
      </w:r>
      <w:r w:rsidR="5C66A75C">
        <w:rPr>
          <w:u w:val="none"/>
        </w:rPr>
        <w:t xml:space="preserve"> cultural</w:t>
      </w:r>
      <w:r w:rsidR="5C66A75C">
        <w:rPr>
          <w:u w:val="none"/>
        </w:rPr>
        <w:t>l</w:t>
      </w:r>
      <w:r w:rsidR="5C66A75C">
        <w:rPr>
          <w:u w:val="none"/>
        </w:rPr>
        <w:t xml:space="preserve">y in the UK this is seen as </w:t>
      </w:r>
      <w:r w:rsidR="5C66A75C">
        <w:rPr>
          <w:u w:val="none"/>
        </w:rPr>
        <w:t xml:space="preserve">unprofessional and negative to use because is there a sense of incompetency that follows with the integration, unperceived ‘masters of their trade’, or </w:t>
      </w:r>
      <w:r w:rsidR="5C66A75C">
        <w:rPr>
          <w:u w:val="none"/>
        </w:rPr>
        <w:t>(Feltham,2010) is it appropriate to fit clients within models? (Garfield,1995;</w:t>
      </w:r>
      <w:r w:rsidR="5C66A75C">
        <w:rPr>
          <w:u w:val="none"/>
        </w:rPr>
        <w:t xml:space="preserve"> </w:t>
      </w:r>
      <w:r w:rsidR="5C66A75C">
        <w:rPr>
          <w:u w:val="none"/>
        </w:rPr>
        <w:t>cited in Feltham,2010) ad</w:t>
      </w:r>
      <w:r w:rsidR="5C66A75C">
        <w:rPr>
          <w:u w:val="none"/>
        </w:rPr>
        <w:t>d</w:t>
      </w:r>
      <w:r w:rsidR="5C66A75C">
        <w:rPr>
          <w:u w:val="none"/>
        </w:rPr>
        <w:t>resses this as something for further research and to have a further understanding of the pros and cons of ‘e</w:t>
      </w:r>
      <w:r w:rsidR="5C66A75C">
        <w:rPr>
          <w:u w:val="none"/>
        </w:rPr>
        <w:t>c</w:t>
      </w:r>
      <w:r w:rsidR="5C66A75C">
        <w:rPr>
          <w:u w:val="none"/>
        </w:rPr>
        <w:t>lecticism’</w:t>
      </w:r>
      <w:r w:rsidR="5C66A75C">
        <w:rPr>
          <w:u w:val="none"/>
        </w:rPr>
        <w:t xml:space="preserve"> as known as ‘integrative therapy’</w:t>
      </w:r>
      <w:r w:rsidR="5C66A75C">
        <w:rPr>
          <w:u w:val="none"/>
        </w:rPr>
        <w:t xml:space="preserve">. </w:t>
      </w:r>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
    <w:p w:rsidR="5C66A75C" w:rsidP="5C66A75C" w:rsidRDefault="5C66A75C" w14:noSpellErr="1" w14:paraId="41EACDE8" w14:textId="381126AC">
      <w:pPr>
        <w:pStyle w:val="Normal"/>
        <w:rPr>
          <w:u w:val="none"/>
        </w:rPr>
      </w:pPr>
      <w:r w:rsidR="5C66A75C">
        <w:rPr>
          <w:u w:val="none"/>
        </w:rPr>
        <w:t xml:space="preserve">  </w:t>
      </w:r>
      <w:r w:rsidR="5C66A75C">
        <w:rPr>
          <w:u w:val="none"/>
        </w:rPr>
        <w:t>It is evident that when the counsellor is expressing the positivity of the clients focus for the fut</w:t>
      </w:r>
      <w:r w:rsidR="5C66A75C">
        <w:rPr>
          <w:u w:val="none"/>
        </w:rPr>
        <w:t xml:space="preserve">ure </w:t>
      </w:r>
      <w:r w:rsidR="5C66A75C">
        <w:rPr>
          <w:u w:val="none"/>
        </w:rPr>
        <w:t xml:space="preserve">of getting started in the new job and the change incorporated into that, this could potentially be an element of succeeding to self-actualisation, a focus on the clients’ emphasising growth and change for the client, the clients’ present conscious and the emphasis on their own self-direction (Nelson-Jones,2012) </w:t>
      </w:r>
      <w:r w:rsidR="5C66A75C">
        <w:rPr>
          <w:u w:val="none"/>
        </w:rPr>
        <w:t xml:space="preserve">and so the therapeutic approach the counsellor is aligned to appears to be the humanistic person-centred approach </w:t>
      </w:r>
      <w:r w:rsidRPr="5C66A75C" w:rsidR="5C66A75C">
        <w:rPr>
          <w:rFonts w:ascii="Calibri" w:hAnsi="Calibri" w:eastAsia="Calibri" w:cs="Calibri"/>
          <w:noProof w:val="0"/>
          <w:sz w:val="22"/>
          <w:szCs w:val="22"/>
          <w:lang w:val="en-GB"/>
        </w:rPr>
        <w:t>(Rogers,1957; cited in Hansen,2009).</w:t>
      </w:r>
      <w:r w:rsidR="5C66A75C">
        <w:rPr>
          <w:u w:val="none"/>
        </w:rPr>
        <w:t xml:space="preserve"> </w:t>
      </w:r>
      <w:r w:rsidR="5C66A75C">
        <w:rPr>
          <w:u w:val="none"/>
        </w:rPr>
        <w:t xml:space="preserve">Scholl et al (2014) discuss how there are common conflicts between elements between two or more principles in humanistic approaches and state that it is essentially unfair for practitioners to be ‘dogmatically humanistic’ in essence to incorporate the qualitative and quantitative elements of research and practice and </w:t>
      </w:r>
      <w:r w:rsidR="5C66A75C">
        <w:rPr>
          <w:u w:val="none"/>
        </w:rPr>
        <w:t xml:space="preserve">that the counsellor should </w:t>
      </w:r>
      <w:r w:rsidR="5C66A75C">
        <w:rPr>
          <w:u w:val="none"/>
        </w:rPr>
        <w:t>be flexible in incorporating an integrative nature toward the therapy session in achieving the best outcome in sense of purpose, goals and preferences for that particular client.</w:t>
      </w:r>
      <w:r w:rsidR="5C66A75C">
        <w:rPr>
          <w:u w:val="none"/>
        </w:rPr>
        <w:t xml:space="preserve"> However, when aligned e</w:t>
      </w:r>
      <w:r w:rsidR="5C66A75C">
        <w:rPr>
          <w:u w:val="none"/>
        </w:rPr>
        <w:t>motional</w:t>
      </w:r>
      <w:r w:rsidR="5C66A75C">
        <w:rPr>
          <w:u w:val="none"/>
        </w:rPr>
        <w:t>ly</w:t>
      </w:r>
      <w:r w:rsidR="5C66A75C">
        <w:rPr>
          <w:u w:val="none"/>
        </w:rPr>
        <w:t xml:space="preserve"> and cognitive</w:t>
      </w:r>
      <w:r w:rsidR="5C66A75C">
        <w:rPr>
          <w:u w:val="none"/>
        </w:rPr>
        <w:t>ly</w:t>
      </w:r>
      <w:r w:rsidR="5C66A75C">
        <w:rPr>
          <w:u w:val="none"/>
        </w:rPr>
        <w:t xml:space="preserve"> within the humanistic approach and use of qualitative research</w:t>
      </w:r>
      <w:r w:rsidR="5C66A75C">
        <w:rPr>
          <w:u w:val="none"/>
        </w:rPr>
        <w:t xml:space="preserve">, </w:t>
      </w:r>
      <w:r w:rsidR="5C66A75C">
        <w:rPr>
          <w:u w:val="none"/>
        </w:rPr>
        <w:t>Crimmins</w:t>
      </w:r>
      <w:r w:rsidR="5C66A75C">
        <w:rPr>
          <w:u w:val="none"/>
        </w:rPr>
        <w:t xml:space="preserve"> (</w:t>
      </w:r>
      <w:r w:rsidR="5C66A75C">
        <w:rPr>
          <w:u w:val="none"/>
        </w:rPr>
        <w:t>2016)</w:t>
      </w:r>
      <w:r w:rsidR="5C66A75C">
        <w:rPr>
          <w:u w:val="none"/>
        </w:rPr>
        <w:t xml:space="preserve"> would argue that actually that is enough. </w:t>
      </w:r>
    </w:p>
    <w:p w:rsidR="5C66A75C" w:rsidP="5C66A75C" w:rsidRDefault="5C66A75C" w14:paraId="772F06B2" w14:textId="577CC8EF">
      <w:pPr>
        <w:pStyle w:val="Normal"/>
        <w:rPr>
          <w:u w:val="none"/>
        </w:rPr>
      </w:pPr>
      <w:r w:rsidR="5C66A75C">
        <w:rPr>
          <w:u w:val="none"/>
        </w:rPr>
        <w:t xml:space="preserve">  With regards to Rogers (1959) and his incorporation of the 3 main core conditions of the person-centred approach which are empathy, unconditional positive regard and congruence, are used vastly among other therapeutic approaches (Feltham and Hanley and Winter, 2017).</w:t>
      </w:r>
      <w:r w:rsidR="5C66A75C">
        <w:rPr>
          <w:u w:val="none"/>
        </w:rPr>
        <w:t xml:space="preserve"> </w:t>
      </w:r>
      <w:r w:rsidRPr="5C66A75C" w:rsidR="5C66A75C">
        <w:rPr>
          <w:rFonts w:ascii="Calibri" w:hAnsi="Calibri" w:eastAsia="Calibri" w:cs="Calibri"/>
          <w:noProof w:val="0"/>
          <w:sz w:val="22"/>
          <w:szCs w:val="22"/>
          <w:lang w:val="en-GB"/>
        </w:rPr>
        <w:t xml:space="preserve">The use of hand actions and gestures from the counsellor could be lessened throughout the session. </w:t>
      </w:r>
      <w:r w:rsidR="5C66A75C">
        <w:rPr>
          <w:u w:val="none"/>
        </w:rPr>
        <w:t xml:space="preserve">It is seen in the practice of the client and counsellor in this therapy session where the counsellor is showing all 3 core conditions through things such as a soft spoken and engaging tone of voice, body language of leaning towards the client and actively listening, the counsellors feet are grounded but the clients are not, this could be down to the limited space available within the environment that the session is taking place. The counsellors’ facial expressions are noticed and a sense of mirroring the clients’ response, when the client smiles, the counsellor is seen to mirror this. There are hand movements made by the client at the start of the session, which could be a sign of anxiousness, the counsellor did not introduce any knowledge of phenomenological noticing at that point. There is a warmth and presence from the counsellor, welcoming pace and allowing the client to openly engage and take the lead in the therapy session by asking ‘Where would you like to start today?’ </w:t>
      </w:r>
      <w:proofErr w:type="spellStart"/>
      <w:r w:rsidR="5C66A75C">
        <w:rPr>
          <w:u w:val="none"/>
        </w:rPr>
        <w:t>Kryuchkov</w:t>
      </w:r>
      <w:proofErr w:type="spellEnd"/>
      <w:r w:rsidR="5C66A75C">
        <w:rPr>
          <w:u w:val="none"/>
        </w:rPr>
        <w:t xml:space="preserve"> (2016) study of how therapists experience the ’core conditions’ of therapeutic personality change, using a qualitative pilot study and Interpretive Phenomenological Analysis (IPA) to examine the perceptions from the counsellor’ perspectives, found that the Rogerian 3 main core conditions of empathy, unconditional positive regard and congruence were obtained but more so perceived as taught skills from the perception of the counsellor and that the counsellors inner phenomenological structure of these conditions where partly spontaneous. The study has expressed need for further research exploring these outcomes and that with more relevant training and experience within client centred therapy the findings in further research may see counsellors adapting to see the 3 main core conditions as part of their personality and go beyond the ‘required skills’ description.</w:t>
      </w:r>
      <w:r w:rsidR="5C66A75C">
        <w:rPr>
          <w:u w:val="none"/>
        </w:rPr>
        <w:t xml:space="preserve"> </w:t>
      </w:r>
      <w:r w:rsidRPr="5C66A75C" w:rsidR="5C66A75C">
        <w:rPr>
          <w:rFonts w:ascii="Calibri" w:hAnsi="Calibri" w:eastAsia="Calibri" w:cs="Calibri"/>
          <w:noProof w:val="0"/>
          <w:sz w:val="22"/>
          <w:szCs w:val="22"/>
          <w:lang w:val="en-GB"/>
        </w:rPr>
        <w:t>Scientific ideology also offers an alternative course for a more consistent humanistic foundation (Lemberger,2012) focusing on empirical evidence surrounding the core of humanistic therapy.</w:t>
      </w:r>
    </w:p>
    <w:p w:rsidR="5C66A75C" w:rsidP="5C66A75C" w:rsidRDefault="5C66A75C" w14:paraId="264595AC" w14:textId="3A466861">
      <w:pPr>
        <w:pStyle w:val="Normal"/>
        <w:rPr>
          <w:u w:val="none"/>
        </w:rPr>
      </w:pPr>
      <w:r w:rsidR="5C66A75C">
        <w:rPr>
          <w:u w:val="none"/>
        </w:rPr>
        <w:t xml:space="preserve">  When the client expresses the feelings of ‘anxiousness’, ‘feeling a little bit overwhelmed’ and ‘self-doubt’ and they use their hands to weigh up options, the symbol of balance was fed back from the counsellor and ‘how does that make you feel?’ was expressed, which was a good reflection of how the client was feeling and also incorporated the p</w:t>
      </w:r>
      <w:r w:rsidRPr="5C66A75C" w:rsidR="5C66A75C">
        <w:rPr>
          <w:rFonts w:ascii="Calibri" w:hAnsi="Calibri" w:eastAsia="Calibri" w:cs="Calibri"/>
          <w:noProof w:val="0"/>
          <w:sz w:val="22"/>
          <w:szCs w:val="22"/>
          <w:lang w:val="en-GB"/>
        </w:rPr>
        <w:t xml:space="preserve">henomenological noticing of the clients’ body language and non-verbal behaviour and the use of immediacy. The client was asked what they do for self-care and about the support which they have at home as this was expressed to be one of the concerns of ‘relying on people’, the counsellor fed back that there was a noticeable pattern of ‘relying on people’, ‘is that a fear of being let down?’ This invited the client to explore this and it appears that the elements of the therapeutic relationship, one being trust, is present, there is authentication of a circuitous relationship between counsellor and client providing a foundation for activity and meaning, to welcome the other and thus within multidimensionality and the phenomenology within humanism (Givens and Lemberger, 2015). </w:t>
      </w:r>
      <w:proofErr w:type="spellStart"/>
      <w:r w:rsidR="5C66A75C">
        <w:rPr>
          <w:u w:val="none"/>
        </w:rPr>
        <w:t>Balmforth</w:t>
      </w:r>
      <w:proofErr w:type="spellEnd"/>
      <w:r w:rsidR="5C66A75C">
        <w:rPr>
          <w:u w:val="none"/>
        </w:rPr>
        <w:t xml:space="preserve"> (2008) researched the impact of social class and the therapeutic relationship and the implications that may be seen within counselling practice. The study emphasises the need of importance for supervisors, trainers and therapists to understand their own class background, their own values, morals and beliefs and frame of reference that come into operation. The findings of this research show that there are specific implications to difference of the client/ counsellor relationship if made evident in the therapy session. The importance of self-awareness for the counsellor is emphasised and without this acknowledgement it could prevent the empowerment and emphasise only a power and powerless relationship. The number of participants in this research are small and so consideration for more exploration has been discussed.</w:t>
      </w:r>
      <w:r w:rsidR="5C66A75C">
        <w:rPr>
          <w:u w:val="none"/>
        </w:rPr>
        <w:t xml:space="preserve"> However, there is no indication the power balance within this session or the therapeutic relationship is defeatist.</w:t>
      </w:r>
    </w:p>
    <w:p w:rsidR="5C66A75C" w:rsidP="5C66A75C" w:rsidRDefault="5C66A75C" w14:paraId="13BC9BFD" w14:textId="41C25585">
      <w:pPr>
        <w:pStyle w:val="Normal"/>
        <w:rPr>
          <w:u w:val="none"/>
        </w:rPr>
      </w:pPr>
      <w:r w:rsidR="5C66A75C">
        <w:rPr>
          <w:u w:val="none"/>
        </w:rPr>
        <w:t xml:space="preserve">  The use of eye contact from both counsellor and client appears to be good. The counsellor chooses this form non-verbal attending to show the client that they are present, engaged and listening. </w:t>
      </w:r>
      <w:r w:rsidR="5C66A75C">
        <w:rPr>
          <w:u w:val="none"/>
        </w:rPr>
        <w:t xml:space="preserve">Sharpley and </w:t>
      </w:r>
      <w:proofErr w:type="spellStart"/>
      <w:r w:rsidR="5C66A75C">
        <w:rPr>
          <w:u w:val="none"/>
        </w:rPr>
        <w:t>Sagris</w:t>
      </w:r>
      <w:proofErr w:type="spellEnd"/>
      <w:r w:rsidR="5C66A75C">
        <w:rPr>
          <w:u w:val="none"/>
        </w:rPr>
        <w:t xml:space="preserve"> (1995) examined the importance of eye contact within the counselling session and whether it increases counsellor-client rapport. Interviews took place over a period of 48 minutes, the exploration of counsellor eye contact and client-perceived rapport where recorded to understand the relationship by mean value, ranging from moderate to high. The study found that at times eye contact was perceived as unhelpful, such as the client feeling extremely overwhelmed and anxious, this led to the suggestion that counsellors should put focus to more helpful behaviours such as body posture, verbal responses such paraphrasing, minimal encouragers and reflections on thoughts and feelings. However, the research did show that eye contact is perceived as positive when it is used later in the session, when a counsellor is speaking and thinking, in conversation with the client this was shown as ‘conducive rapport’. The findings of the examination state that although trainee counsellors where used to conduct this research that when the focus has been on experienced counsellors there has been no significant difference in result findings, though they do discuss the limitations of this being a small participant study.</w:t>
      </w:r>
      <w:r w:rsidR="5C66A75C">
        <w:rPr>
          <w:u w:val="none"/>
        </w:rPr>
        <w:t xml:space="preserve"> The noticing of the appropriate time in the session to use eye contact could be an area of reflection here.</w:t>
      </w:r>
    </w:p>
    <w:p w:rsidR="5C66A75C" w:rsidP="5C66A75C" w:rsidRDefault="5C66A75C" w14:paraId="6BD3F363" w14:textId="2F96D321">
      <w:pPr>
        <w:pStyle w:val="Normal"/>
        <w:rPr>
          <w:u w:val="none"/>
        </w:rPr>
      </w:pPr>
      <w:r w:rsidR="5C66A75C">
        <w:rPr>
          <w:u w:val="none"/>
        </w:rPr>
        <w:t xml:space="preserve">  Where the</w:t>
      </w:r>
      <w:r w:rsidR="5C66A75C">
        <w:rPr>
          <w:u w:val="none"/>
        </w:rPr>
        <w:t xml:space="preserve"> use of language</w:t>
      </w:r>
      <w:r w:rsidR="5C66A75C">
        <w:rPr>
          <w:u w:val="none"/>
        </w:rPr>
        <w:t xml:space="preserve"> </w:t>
      </w:r>
      <w:r w:rsidR="5C66A75C">
        <w:rPr>
          <w:u w:val="none"/>
        </w:rPr>
        <w:t>when paraphrasing and understanding what the client is saying was poor in the sense of repetition of the words ‘kind of’, ‘yes’ and ‘okay.’ When language is ref</w:t>
      </w:r>
      <w:r w:rsidR="5C66A75C">
        <w:rPr/>
        <w:t>le</w:t>
      </w:r>
      <w:r w:rsidR="5C66A75C">
        <w:rPr/>
        <w:t xml:space="preserve">cted upon from the therapists perspective towards client it can have either positive or negative effect on the outcome of therapy (BACP,2018) if the client feels the counsellor is constantly miss understanding them or not sure on what they are saying themselves as shown by use of the word ‘kind of’, then the use of better langue could be </w:t>
      </w:r>
      <w:r w:rsidR="5C66A75C">
        <w:rPr/>
        <w:t>i</w:t>
      </w:r>
      <w:r w:rsidR="5C66A75C">
        <w:rPr/>
        <w:t>ncorporated in future as language and dialogue in the sense of reflection to therapy are important for growth and showing the counsellors present in the moment, actively listening and understanding the client (Knox,2011).</w:t>
      </w:r>
      <w:r w:rsidR="5C66A75C">
        <w:rPr/>
        <w:t xml:space="preserve"> </w:t>
      </w:r>
      <w:r w:rsidR="5C66A75C">
        <w:rPr>
          <w:u w:val="none"/>
        </w:rPr>
        <w:t>When discussing representation of self by language, empathy being one of the humanistic principles (Rogers,1957; cited in Hansen,2009) that shows how language assumes to have the ability to represent language as experience.</w:t>
      </w:r>
      <w:r w:rsidR="5C66A75C">
        <w:rPr>
          <w:u w:val="none"/>
        </w:rPr>
        <w:t xml:space="preserve"> </w:t>
      </w:r>
      <w:proofErr w:type="spellStart"/>
      <w:r w:rsidR="5C66A75C">
        <w:rPr>
          <w:u w:val="none"/>
        </w:rPr>
        <w:t>Gaume</w:t>
      </w:r>
      <w:proofErr w:type="spellEnd"/>
      <w:r w:rsidR="5C66A75C">
        <w:rPr>
          <w:u w:val="none"/>
        </w:rPr>
        <w:t xml:space="preserve"> et al (2008) investigated counsellor behaviours and patient language during brief motivational interventions and hypothesised that ‘change talk’ from clients such as commitment, reason and desire, when expressed from the client are show to be the upmost importance in actual change and show positive outcomes from clients in therapy.</w:t>
      </w:r>
      <w:r w:rsidR="5C66A75C">
        <w:rPr>
          <w:u w:val="none"/>
        </w:rPr>
        <w:t xml:space="preserve"> </w:t>
      </w:r>
      <w:r w:rsidR="5C66A75C">
        <w:rPr>
          <w:u w:val="none"/>
        </w:rPr>
        <w:t>Hansen (2009) explored the construct of self-awareness and the consideration of the core values in the counselling profession. When psychological humanism is discussed there are known to be 4 main areas of focus with regards to self and for self-awareness to occur, these being, existence of self, availability of self for introspection, stability of self and representation of self by language. Hansen (2009) concludes that the construct of self-awareness should be further examined and rather replaced by self-storying as it is suggested that the awareness imposes on accuracy and so self-storying could release new possibilities for transformation.</w:t>
      </w:r>
      <w:r w:rsidR="5C66A75C">
        <w:rPr>
          <w:u w:val="none"/>
        </w:rPr>
        <w:t xml:space="preserve"> </w:t>
      </w:r>
    </w:p>
    <w:p w:rsidR="5C66A75C" w:rsidP="5C66A75C" w:rsidRDefault="5C66A75C" w14:noSpellErr="1" w14:paraId="1C145045" w14:textId="0B540BF2">
      <w:pPr>
        <w:pStyle w:val="Normal"/>
        <w:rPr>
          <w:u w:val="none"/>
        </w:rPr>
      </w:pPr>
      <w:r w:rsidR="5C66A75C">
        <w:rPr>
          <w:u w:val="none"/>
        </w:rPr>
        <w:t xml:space="preserve">  At the point of the session where therapeutic ending was clear, the counsellor engulfed the session in to verbally expressing the thought of ‘pulling on the threads of the session’, to sum up what the session had been about and the thoughts and feelings expressed and to do a last check in with client before finishing. The end of the session appeared to distinguish the main elements of the clients’ session and was able to pin point the relevant feelings of ‘a lot of apprehension but also a lot of positivity coming through’, ‘just that getting started’, ‘you seem to know where you are going with it’. This enabling the clients’ self-respect, autonomy and justice. The clients’ body language was leaned towards the counsellor and facial expression was a smile, so appearing to be a successful session. The counsellor thanked the client for coming along to the session. The observer in the student triad then ended the recording.</w:t>
      </w:r>
    </w:p>
    <w:p w:rsidR="5C66A75C" w:rsidP="5C66A75C" w:rsidRDefault="5C66A75C" w14:noSpellErr="1" w14:paraId="4DFAA17F" w14:textId="724975A5">
      <w:pPr>
        <w:pStyle w:val="Normal"/>
        <w:rPr>
          <w:u w:val="none"/>
        </w:rPr>
      </w:pPr>
      <w:r w:rsidR="5C66A75C">
        <w:rPr>
          <w:u w:val="none"/>
        </w:rPr>
        <w:t xml:space="preserve">  Using supervision for this client the counsellor would bring a client code to use in keeping the confidentiality of the client secure. The counsellor would reflect on the session and understand what they felt their strengths where and what improvements could be made to work more effectively. There was a part in the session where the counsellor expressed that the client had said ‘only two days’ and that positively the client had the weekend off to spend with the family, which was a concern for the client, here the counsellors’ tone of voice could be perceived as leading or persuasive. A</w:t>
      </w:r>
      <w:r w:rsidR="5C66A75C">
        <w:rPr>
          <w:u w:val="none"/>
        </w:rPr>
        <w:t xml:space="preserve">s discussed within the person-centred approach </w:t>
      </w:r>
      <w:r w:rsidR="5C66A75C">
        <w:rPr>
          <w:u w:val="none"/>
        </w:rPr>
        <w:t xml:space="preserve">it is that of </w:t>
      </w:r>
      <w:r w:rsidR="5C66A75C">
        <w:rPr>
          <w:u w:val="none"/>
        </w:rPr>
        <w:t>being non</w:t>
      </w:r>
      <w:r w:rsidR="5C66A75C">
        <w:rPr>
          <w:u w:val="none"/>
        </w:rPr>
        <w:t>-</w:t>
      </w:r>
      <w:r w:rsidR="5C66A75C">
        <w:rPr>
          <w:u w:val="none"/>
        </w:rPr>
        <w:t xml:space="preserve">directive </w:t>
      </w:r>
      <w:r w:rsidR="5C66A75C">
        <w:rPr>
          <w:u w:val="none"/>
        </w:rPr>
        <w:t xml:space="preserve">from the counsellor, </w:t>
      </w:r>
      <w:r w:rsidR="5C66A75C">
        <w:rPr>
          <w:u w:val="none"/>
        </w:rPr>
        <w:t>it is good practice to let the client speak without any interruption of the counsellor in relation to being client led session, there are noti</w:t>
      </w:r>
      <w:r w:rsidR="5C66A75C">
        <w:rPr>
          <w:u w:val="none"/>
        </w:rPr>
        <w:t>cea</w:t>
      </w:r>
      <w:r w:rsidR="5C66A75C">
        <w:rPr>
          <w:u w:val="none"/>
        </w:rPr>
        <w:t>ble parts of the session where the counsellor is about to speak to reflect back to the client what is going on right now but before the counsellor is able the client starts to speak again and so no silences where held for longer than a few seconds through this session</w:t>
      </w:r>
      <w:r w:rsidR="5C66A75C">
        <w:rPr>
          <w:u w:val="none"/>
        </w:rPr>
        <w:t>, using supervision would give the counsellor a chance to reflect on this. The d</w:t>
      </w:r>
      <w:r w:rsidR="5C66A75C">
        <w:rPr>
          <w:u w:val="none"/>
        </w:rPr>
        <w:t xml:space="preserve">omain of supervision </w:t>
      </w:r>
      <w:r w:rsidR="5C66A75C">
        <w:rPr>
          <w:u w:val="none"/>
        </w:rPr>
        <w:t xml:space="preserve">is </w:t>
      </w:r>
      <w:r w:rsidR="5C66A75C">
        <w:rPr>
          <w:u w:val="none"/>
        </w:rPr>
        <w:t>using reflection techniques and challenging the counsellor to become more critically reflective and assessing their own practice to make sure they are working to their best ability, to be at their creative best and most courageous to help interpret their own experience and a meaning-making framework, to understand that at the heart of supervision is transformational learning of the supervisee (Carroll,2010).</w:t>
      </w:r>
      <w:r w:rsidR="5C66A75C">
        <w:rPr>
          <w:u w:val="none"/>
        </w:rPr>
        <w:t xml:space="preserve"> </w:t>
      </w:r>
      <w:r w:rsidR="5C66A75C">
        <w:rPr>
          <w:u w:val="none"/>
        </w:rPr>
        <w:t xml:space="preserve">Door (2014) argues that there is an issue of ethical consistency because reflexivity alone is not sufficient enough and thus the need to call on the self-critical reflection in order to understand the counsellors’ vision and/or response of </w:t>
      </w:r>
      <w:r w:rsidR="5C66A75C">
        <w:rPr>
          <w:u w:val="none"/>
        </w:rPr>
        <w:t>‘</w:t>
      </w:r>
      <w:r w:rsidR="5C66A75C">
        <w:rPr>
          <w:u w:val="none"/>
        </w:rPr>
        <w:t>their</w:t>
      </w:r>
      <w:r w:rsidR="5C66A75C">
        <w:rPr>
          <w:u w:val="none"/>
        </w:rPr>
        <w:t>’</w:t>
      </w:r>
      <w:r w:rsidR="5C66A75C">
        <w:rPr>
          <w:u w:val="none"/>
        </w:rPr>
        <w:t xml:space="preserve"> world and to the world</w:t>
      </w:r>
      <w:r w:rsidR="5C66A75C">
        <w:rPr>
          <w:u w:val="none"/>
        </w:rPr>
        <w:t xml:space="preserve"> perceived by others</w:t>
      </w:r>
      <w:r w:rsidR="5C66A75C">
        <w:rPr>
          <w:u w:val="none"/>
        </w:rPr>
        <w:t>. The acts of bringing together the psycho-physical and phenomenological insights contribute towards the effective consistency.</w:t>
      </w:r>
      <w:r w:rsidR="5C66A75C">
        <w:rPr>
          <w:u w:val="none"/>
        </w:rPr>
        <w:t xml:space="preserve"> </w:t>
      </w:r>
      <w:r w:rsidR="5C66A75C">
        <w:rPr>
          <w:u w:val="none"/>
        </w:rPr>
        <w:t>Argyris and Schon’s (1974) concept of double loop learning is shown to be very useful within critical reflection (Bassot,2016) it entails asking reflective questions such as are there assumptions being made by the counsellor, if so, what is the validity, how to justify them, is the counsellor jumping to conclusions, what perceptions need to change and how this effects beliefs and the way the counsellor sees the world.</w:t>
      </w:r>
      <w:r w:rsidR="5C66A75C">
        <w:rPr>
          <w:u w:val="none"/>
        </w:rPr>
        <w:t xml:space="preserve"> The supervisor would be an experienced counsellor or psychotherapist and would allow the supervisee to look at how they have worked with the client and what potentially the client has brought up for them. In a session where both client and counsellor are of same ethnicity, background and relatively the same age then is there more of an aspect of transference and has the counsellor experienced some of the similar issues to what the client is expressing are going on for them right now (Bond,2015) would the client be biased in their views because of experiencing similar issues or more understanding? Working professionally and adhering to the professional body of the BACP is understanding, the need to put what is learned into practice is essential within the therapeutic sessions. Valance (2010) would argue that although supervision has definitive positive correlations between counsellor client work and progress of therapeutic session outcomes, there are elements of supervision deemed not so helpful. Mainly concerning the client-counsellor dynamics and the clients that are chosen by the therapist to take to supervision that could pose possible dangers if not taken. The findings where that within all the aspects of supervision that congruence and confidence had the most direct link from the supervisee in relation to client work. </w:t>
      </w:r>
    </w:p>
    <w:p w:rsidR="5C66A75C" w:rsidP="5C66A75C" w:rsidRDefault="5C66A75C" w14:noSpellErr="1" w14:paraId="0EAA05B0" w14:textId="69F6461A">
      <w:pPr>
        <w:jc w:val="center"/>
        <w:rPr>
          <w:rFonts w:ascii="Calibri" w:hAnsi="Calibri" w:eastAsia="Calibri" w:cs="Calibri" w:asciiTheme="minorAscii" w:hAnsiTheme="minorAscii" w:eastAsiaTheme="minorAscii" w:cstheme="minorAscii"/>
          <w:i w:val="1"/>
          <w:iCs w:val="1"/>
          <w:noProof w:val="0"/>
          <w:sz w:val="22"/>
          <w:szCs w:val="22"/>
          <w:lang w:val="en-GB"/>
        </w:rPr>
      </w:pPr>
      <w:r w:rsidRPr="5C66A75C" w:rsidR="5C66A75C">
        <w:rPr>
          <w:rFonts w:ascii="Calibri" w:hAnsi="Calibri" w:eastAsia="Calibri" w:cs="Calibri" w:asciiTheme="minorAscii" w:hAnsiTheme="minorAscii" w:eastAsiaTheme="minorAscii" w:cstheme="minorAscii"/>
          <w:i w:val="1"/>
          <w:iCs w:val="1"/>
          <w:noProof w:val="0"/>
          <w:sz w:val="22"/>
          <w:szCs w:val="22"/>
          <w:lang w:val="en-GB"/>
        </w:rPr>
        <w:t>“The purpose of reflection is therefore to bring our reasoning processes and behaviour patterns to the surface and make them explicit.  However, uncovering these can be difficult because so much of this knowledge is tacit and spontaneous.  When we develop a pattern of behaviour that works in certain situations, we will tend to repeat it until it becomes automatic.  We can’t describe the processes involved because we are not aware of what is going on... It is only when something goes wrong or something unexpected happens that we may stop and think about what we did and what we could or should have done in the situation.”  (Maughan,1996)</w:t>
      </w:r>
    </w:p>
    <w:p w:rsidR="5C66A75C" w:rsidP="5C66A75C" w:rsidRDefault="5C66A75C" w14:paraId="29F6C9D6" w14:textId="70645475">
      <w:pPr>
        <w:jc w:val="center"/>
        <w:rPr>
          <w:rFonts w:ascii="Arial" w:hAnsi="Arial" w:eastAsia="Arial" w:cs="Arial"/>
          <w:noProof w:val="0"/>
          <w:sz w:val="22"/>
          <w:szCs w:val="22"/>
          <w:lang w:val="en-GB"/>
        </w:rPr>
      </w:pPr>
    </w:p>
    <w:p w:rsidR="56F5E4A9" w:rsidP="56F5E4A9" w:rsidRDefault="56F5E4A9" w14:paraId="55F311C0" w14:noSpellErr="1" w14:textId="6F848614">
      <w:pPr>
        <w:pStyle w:val="Normal"/>
        <w:rPr>
          <w:u w:val="none"/>
        </w:rPr>
      </w:pPr>
      <w:r w:rsidR="5C66A75C">
        <w:rPr>
          <w:u w:val="none"/>
        </w:rPr>
        <w:t xml:space="preserve">  </w:t>
      </w:r>
      <w:r w:rsidR="5C66A75C">
        <w:rPr>
          <w:u w:val="none"/>
        </w:rPr>
        <w:t xml:space="preserve">In conclusion, </w:t>
      </w:r>
      <w:r w:rsidR="5C66A75C">
        <w:rPr>
          <w:u w:val="none"/>
        </w:rPr>
        <w:t xml:space="preserve">a humanistic approach was adhered to throughout, focussing on Rogers (1959) </w:t>
      </w:r>
      <w:r w:rsidR="5C66A75C">
        <w:rPr>
          <w:u w:val="none"/>
        </w:rPr>
        <w:t xml:space="preserve">person-centred </w:t>
      </w:r>
      <w:r w:rsidR="5C66A75C">
        <w:rPr>
          <w:u w:val="none"/>
        </w:rPr>
        <w:t xml:space="preserve">3 main core conditions </w:t>
      </w:r>
      <w:r w:rsidR="5C66A75C">
        <w:rPr>
          <w:u w:val="none"/>
        </w:rPr>
        <w:t xml:space="preserve">within the therapy session and </w:t>
      </w:r>
      <w:r w:rsidR="5C66A75C">
        <w:rPr>
          <w:u w:val="none"/>
        </w:rPr>
        <w:t xml:space="preserve">produced a good foundation to work from. The counsellor and client engaged well together and there did not appear to be any diverse issues. The use of humanistic approach was solely down to the therapeutic training of the counsellor and so their own choice to work within that approach, in align with their own particular competency. Taking in to consideration the codes of practice of the ethical framework and all which the counsellor is aligned with, being the BACP. It is interesting to note the choice of integrative therapy and the point of being ‘dogmatically humanistic’, without realising some aspects of integrating other therapies are used across all counselling approaches (Feltham,2017) there is understanding that every client is individual and thus the use of person-centred works in alignment with that conception, there is understanding however that the non-directive approach may not work for all clients and so the competency of the counsellor would be assessed before the session takes place, as with risk assessment and so on. There are many aspects of development, such as hand movements from the counsellor, the choice of language which is repeated and missed client body language and the exploration of noticing what themes are relevant to the client and what are not. The use of paraphrasing and reflecting back to the client would be useful to evolve the information already given and could give an opening to deeper meaning for the client. As discussed, the use of supervision can help the counsellor to reflect and process the session and how to work confidently and competently. The process of critical reflection seen as one of the most effective ways to work through the professionals, own strengths and weaknesses. To incorporate the sincerity and wisdom to the session, the professional personal commitment to what is done and the wisdom it takes to make sound judgement (BACP,2019) within the therapeutic environment, that show diligence when combining the skills necessary to achieve the valuable client outcome from therapy. </w:t>
      </w:r>
    </w:p>
    <w:p w:rsidR="56F5E4A9" w:rsidP="56F5E4A9" w:rsidRDefault="56F5E4A9" w14:noSpellErr="1" w14:paraId="6B3AC956" w14:textId="35F2566C">
      <w:pPr>
        <w:pStyle w:val="Normal"/>
        <w:rPr>
          <w:u w:val="single"/>
        </w:rPr>
      </w:pPr>
    </w:p>
    <w:p w:rsidR="56F5E4A9" w:rsidP="56F5E4A9" w:rsidRDefault="56F5E4A9" w14:noSpellErr="1" w14:paraId="0C4B77C8" w14:textId="22296268">
      <w:pPr>
        <w:pStyle w:val="Normal"/>
        <w:rPr>
          <w:u w:val="single"/>
        </w:rPr>
      </w:pPr>
    </w:p>
    <w:p w:rsidR="56F5E4A9" w:rsidP="56F5E4A9" w:rsidRDefault="56F5E4A9" w14:noSpellErr="1" w14:paraId="54E3869A" w14:textId="547D4A2D">
      <w:pPr>
        <w:pStyle w:val="Normal"/>
        <w:rPr>
          <w:u w:val="single"/>
        </w:rPr>
      </w:pPr>
    </w:p>
    <w:p w:rsidR="56F5E4A9" w:rsidP="56F5E4A9" w:rsidRDefault="56F5E4A9" w14:noSpellErr="1" w14:paraId="57E2058D" w14:textId="59A820CC">
      <w:pPr>
        <w:pStyle w:val="Normal"/>
        <w:rPr>
          <w:u w:val="single"/>
        </w:rPr>
      </w:pPr>
    </w:p>
    <w:p w:rsidR="5C66A75C" w:rsidRDefault="5C66A75C" w14:paraId="3E6B5B9E" w14:textId="20E44E30">
      <w:r w:rsidRPr="5C66A75C" w:rsidR="5C66A75C">
        <w:rPr>
          <w:rFonts w:ascii="Arial" w:hAnsi="Arial" w:eastAsia="Arial" w:cs="Arial"/>
          <w:noProof w:val="0"/>
          <w:sz w:val="22"/>
          <w:szCs w:val="22"/>
          <w:lang w:val="en-GB"/>
        </w:rPr>
        <w:t xml:space="preserve"> </w:t>
      </w:r>
    </w:p>
    <w:p w:rsidR="56F5E4A9" w:rsidP="56F5E4A9" w:rsidRDefault="56F5E4A9" w14:noSpellErr="1" w14:paraId="6A220AFA" w14:textId="58A0A367">
      <w:pPr>
        <w:pStyle w:val="Normal"/>
        <w:rPr>
          <w:u w:val="single"/>
        </w:rPr>
      </w:pPr>
    </w:p>
    <w:p w:rsidR="56F5E4A9" w:rsidP="56F5E4A9" w:rsidRDefault="56F5E4A9" w14:noSpellErr="1" w14:paraId="4C990367" w14:textId="15C09B2E">
      <w:pPr>
        <w:pStyle w:val="Normal"/>
        <w:rPr>
          <w:u w:val="single"/>
        </w:rPr>
      </w:pPr>
    </w:p>
    <w:p w:rsidR="56F5E4A9" w:rsidP="56F5E4A9" w:rsidRDefault="56F5E4A9" w14:noSpellErr="1" w14:paraId="2BCEA8BF" w14:textId="3BA89F5E">
      <w:pPr>
        <w:pStyle w:val="Normal"/>
        <w:rPr>
          <w:u w:val="single"/>
        </w:rPr>
      </w:pPr>
    </w:p>
    <w:p w:rsidR="56F5E4A9" w:rsidP="56F5E4A9" w:rsidRDefault="56F5E4A9" w14:noSpellErr="1" w14:paraId="24A369A2" w14:textId="58E22761">
      <w:pPr>
        <w:pStyle w:val="Normal"/>
        <w:rPr>
          <w:u w:val="single"/>
        </w:rPr>
      </w:pPr>
    </w:p>
    <w:p w:rsidR="56F5E4A9" w:rsidP="5C66A75C" w:rsidRDefault="56F5E4A9" w14:noSpellErr="1" w14:paraId="1E274E6D" w14:textId="3CCD6C79">
      <w:pPr>
        <w:pStyle w:val="Normal"/>
        <w:rPr>
          <w:sz w:val="20"/>
          <w:szCs w:val="20"/>
          <w:u w:val="single"/>
        </w:rPr>
      </w:pPr>
    </w:p>
    <w:p w:rsidR="56F5E4A9" w:rsidP="5C66A75C" w:rsidRDefault="56F5E4A9" w14:noSpellErr="1" w14:paraId="35A769F6" w14:textId="1D950D60">
      <w:pPr>
        <w:pStyle w:val="Normal"/>
        <w:rPr>
          <w:sz w:val="20"/>
          <w:szCs w:val="20"/>
          <w:u w:val="single"/>
        </w:rPr>
      </w:pPr>
    </w:p>
    <w:p w:rsidR="56F5E4A9" w:rsidP="5C66A75C" w:rsidRDefault="56F5E4A9" w14:noSpellErr="1" w14:paraId="5A2DDEA6" w14:textId="102CB96C">
      <w:pPr>
        <w:pStyle w:val="Normal"/>
        <w:rPr>
          <w:sz w:val="20"/>
          <w:szCs w:val="20"/>
          <w:u w:val="single"/>
        </w:rPr>
      </w:pPr>
    </w:p>
    <w:p w:rsidR="56F5E4A9" w:rsidP="5C66A75C" w:rsidRDefault="56F5E4A9" w14:noSpellErr="1" w14:paraId="6EBF30C7" w14:textId="0C7A3DB5">
      <w:pPr>
        <w:pStyle w:val="Normal"/>
        <w:rPr>
          <w:sz w:val="20"/>
          <w:szCs w:val="20"/>
          <w:u w:val="single"/>
        </w:rPr>
      </w:pPr>
    </w:p>
    <w:p w:rsidR="56F5E4A9" w:rsidP="5C66A75C" w:rsidRDefault="56F5E4A9" w14:noSpellErr="1" w14:paraId="5CAACA2C" w14:textId="0352D24B">
      <w:pPr>
        <w:pStyle w:val="Normal"/>
        <w:rPr>
          <w:sz w:val="20"/>
          <w:szCs w:val="20"/>
          <w:u w:val="single"/>
        </w:rPr>
      </w:pPr>
    </w:p>
    <w:p w:rsidR="56F5E4A9" w:rsidP="5C66A75C" w:rsidRDefault="56F5E4A9" w14:noSpellErr="1" w14:paraId="76B6E781" w14:textId="64EBEBE5">
      <w:pPr>
        <w:pStyle w:val="Normal"/>
        <w:rPr>
          <w:sz w:val="20"/>
          <w:szCs w:val="20"/>
          <w:u w:val="single"/>
        </w:rPr>
      </w:pPr>
    </w:p>
    <w:p w:rsidR="56F5E4A9" w:rsidP="5C66A75C" w:rsidRDefault="56F5E4A9" w14:noSpellErr="1" w14:paraId="494F2C1F" w14:textId="7B21725F">
      <w:pPr>
        <w:pStyle w:val="Normal"/>
        <w:rPr>
          <w:sz w:val="20"/>
          <w:szCs w:val="20"/>
          <w:u w:val="single"/>
        </w:rPr>
      </w:pPr>
    </w:p>
    <w:p w:rsidR="56F5E4A9" w:rsidP="5C66A75C" w:rsidRDefault="56F5E4A9" w14:noSpellErr="1" w14:paraId="2AE5B579" w14:textId="12E602A9">
      <w:pPr>
        <w:pStyle w:val="Normal"/>
        <w:rPr>
          <w:sz w:val="20"/>
          <w:szCs w:val="20"/>
          <w:u w:val="single"/>
        </w:rPr>
      </w:pPr>
    </w:p>
    <w:p w:rsidR="56F5E4A9" w:rsidP="5C66A75C" w:rsidRDefault="56F5E4A9" w14:noSpellErr="1" w14:paraId="15329250" w14:textId="1027C125">
      <w:pPr>
        <w:pStyle w:val="Normal"/>
        <w:rPr>
          <w:sz w:val="20"/>
          <w:szCs w:val="20"/>
          <w:u w:val="single"/>
        </w:rPr>
      </w:pPr>
    </w:p>
    <w:p w:rsidR="56F5E4A9" w:rsidP="5C66A75C" w:rsidRDefault="56F5E4A9" w14:noSpellErr="1" w14:paraId="368EABC9" w14:textId="28DD0AAE">
      <w:pPr>
        <w:pStyle w:val="Normal"/>
        <w:rPr>
          <w:sz w:val="20"/>
          <w:szCs w:val="20"/>
          <w:u w:val="single"/>
        </w:rPr>
      </w:pPr>
    </w:p>
    <w:p w:rsidR="56F5E4A9" w:rsidP="5C66A75C" w:rsidRDefault="56F5E4A9" w14:noSpellErr="1" w14:paraId="705D2440" w14:textId="0FA9C5B5">
      <w:pPr>
        <w:pStyle w:val="Normal"/>
        <w:rPr>
          <w:sz w:val="20"/>
          <w:szCs w:val="20"/>
          <w:u w:val="single"/>
        </w:rPr>
      </w:pPr>
    </w:p>
    <w:p w:rsidR="56F5E4A9" w:rsidP="5C66A75C" w:rsidRDefault="56F5E4A9" w14:noSpellErr="1" w14:paraId="0BFCF56E" w14:textId="63C216CB">
      <w:pPr>
        <w:pStyle w:val="Normal"/>
        <w:rPr>
          <w:sz w:val="20"/>
          <w:szCs w:val="20"/>
          <w:u w:val="single"/>
        </w:rPr>
      </w:pPr>
    </w:p>
    <w:p w:rsidR="56F5E4A9" w:rsidP="5C66A75C" w:rsidRDefault="56F5E4A9" w14:noSpellErr="1" w14:paraId="601E2899" w14:textId="5E903AB3">
      <w:pPr>
        <w:pStyle w:val="Normal"/>
        <w:rPr>
          <w:sz w:val="20"/>
          <w:szCs w:val="20"/>
          <w:u w:val="single"/>
        </w:rPr>
      </w:pPr>
    </w:p>
    <w:p w:rsidR="56F5E4A9" w:rsidP="5C66A75C" w:rsidRDefault="56F5E4A9" w14:noSpellErr="1" w14:paraId="19893992" w14:textId="2952A43C">
      <w:pPr>
        <w:pStyle w:val="Normal"/>
        <w:rPr>
          <w:sz w:val="20"/>
          <w:szCs w:val="20"/>
          <w:u w:val="single"/>
        </w:rPr>
      </w:pPr>
    </w:p>
    <w:p w:rsidR="56F5E4A9" w:rsidP="5C66A75C" w:rsidRDefault="56F5E4A9" w14:noSpellErr="1" w14:paraId="3DB563A3" w14:textId="593EC8A3">
      <w:pPr>
        <w:pStyle w:val="Normal"/>
        <w:rPr>
          <w:sz w:val="20"/>
          <w:szCs w:val="20"/>
          <w:u w:val="single"/>
        </w:rPr>
      </w:pPr>
    </w:p>
    <w:p w:rsidR="56F5E4A9" w:rsidP="5C66A75C" w:rsidRDefault="56F5E4A9" w14:noSpellErr="1" w14:paraId="33922479" w14:textId="44D9814C">
      <w:pPr>
        <w:pStyle w:val="Normal"/>
        <w:rPr>
          <w:sz w:val="20"/>
          <w:szCs w:val="20"/>
          <w:u w:val="single"/>
        </w:rPr>
      </w:pPr>
    </w:p>
    <w:p w:rsidR="56F5E4A9" w:rsidP="5C66A75C" w:rsidRDefault="56F5E4A9" w14:noSpellErr="1" w14:paraId="19DFACE4" w14:textId="1E96B3A2">
      <w:pPr>
        <w:pStyle w:val="Normal"/>
        <w:rPr>
          <w:sz w:val="20"/>
          <w:szCs w:val="20"/>
          <w:u w:val="single"/>
        </w:rPr>
      </w:pPr>
    </w:p>
    <w:p w:rsidR="56F5E4A9" w:rsidP="5C66A75C" w:rsidRDefault="56F5E4A9" w14:noSpellErr="1" w14:paraId="430B6C48" w14:textId="1BCE36A5">
      <w:pPr>
        <w:pStyle w:val="Normal"/>
        <w:rPr>
          <w:sz w:val="20"/>
          <w:szCs w:val="20"/>
          <w:u w:val="single"/>
        </w:rPr>
      </w:pPr>
    </w:p>
    <w:p w:rsidR="56F5E4A9" w:rsidP="5C66A75C" w:rsidRDefault="56F5E4A9" w14:noSpellErr="1" w14:paraId="4A789228" w14:textId="4649CF96">
      <w:pPr>
        <w:pStyle w:val="Normal"/>
        <w:rPr>
          <w:sz w:val="20"/>
          <w:szCs w:val="20"/>
          <w:u w:val="single"/>
        </w:rPr>
      </w:pPr>
    </w:p>
    <w:p w:rsidR="56F5E4A9" w:rsidP="5C66A75C" w:rsidRDefault="56F5E4A9" w14:paraId="1DE07A8C" w14:noSpellErr="1" w14:textId="0C7A243C">
      <w:pPr>
        <w:pStyle w:val="Normal"/>
        <w:rPr>
          <w:sz w:val="20"/>
          <w:szCs w:val="20"/>
          <w:u w:val="single"/>
        </w:rPr>
      </w:pPr>
      <w:r w:rsidRPr="5C66A75C" w:rsidR="5C66A75C">
        <w:rPr>
          <w:sz w:val="20"/>
          <w:szCs w:val="20"/>
          <w:u w:val="single"/>
        </w:rPr>
        <w:t>References</w:t>
      </w:r>
    </w:p>
    <w:p w:rsidR="56F5E4A9" w:rsidP="56F5E4A9" w:rsidRDefault="56F5E4A9" w14:noSpellErr="1" w14:paraId="470493CE" w14:textId="6BB069B6">
      <w:pPr>
        <w:pStyle w:val="Normal"/>
        <w:rPr>
          <w:sz w:val="20"/>
          <w:szCs w:val="20"/>
          <w:u w:val="none"/>
        </w:rPr>
      </w:pPr>
      <w:r w:rsidRPr="56F5E4A9" w:rsidR="56F5E4A9">
        <w:rPr>
          <w:sz w:val="20"/>
          <w:szCs w:val="20"/>
          <w:u w:val="none"/>
        </w:rPr>
        <w:t xml:space="preserve">British Association for Counselling and Psychotherapy. (2019) </w:t>
      </w:r>
      <w:r w:rsidRPr="56F5E4A9" w:rsidR="56F5E4A9">
        <w:rPr>
          <w:i w:val="1"/>
          <w:iCs w:val="1"/>
          <w:sz w:val="20"/>
          <w:szCs w:val="20"/>
          <w:u w:val="none"/>
        </w:rPr>
        <w:t xml:space="preserve">Ethical Framework. </w:t>
      </w:r>
      <w:r w:rsidRPr="56F5E4A9" w:rsidR="56F5E4A9">
        <w:rPr>
          <w:i w:val="0"/>
          <w:iCs w:val="0"/>
          <w:sz w:val="20"/>
          <w:szCs w:val="20"/>
          <w:u w:val="none"/>
        </w:rPr>
        <w:t xml:space="preserve">Available at: </w:t>
      </w:r>
      <w:hyperlink r:id="Raea810e2927747e7">
        <w:r w:rsidRPr="56F5E4A9" w:rsidR="56F5E4A9">
          <w:rPr>
            <w:rStyle w:val="Hyperlink"/>
            <w:rFonts w:ascii="Calibri" w:hAnsi="Calibri" w:eastAsia="Calibri" w:cs="Calibri"/>
            <w:noProof w:val="0"/>
            <w:sz w:val="20"/>
            <w:szCs w:val="20"/>
            <w:lang w:val="en-GB"/>
          </w:rPr>
          <w:t>https://www.bacp.co.uk/events-and-resources/ethics-and-standards/ethical-framework-for-the-counselling-professions/</w:t>
        </w:r>
      </w:hyperlink>
      <w:r w:rsidRPr="56F5E4A9" w:rsidR="56F5E4A9">
        <w:rPr>
          <w:rFonts w:ascii="Calibri" w:hAnsi="Calibri" w:eastAsia="Calibri" w:cs="Calibri"/>
          <w:noProof w:val="0"/>
          <w:sz w:val="20"/>
          <w:szCs w:val="20"/>
          <w:lang w:val="en-GB"/>
        </w:rPr>
        <w:t xml:space="preserve"> (Accessed on: 1</w:t>
      </w:r>
      <w:r w:rsidRPr="56F5E4A9" w:rsidR="56F5E4A9">
        <w:rPr>
          <w:rFonts w:ascii="Calibri" w:hAnsi="Calibri" w:eastAsia="Calibri" w:cs="Calibri"/>
          <w:noProof w:val="0"/>
          <w:sz w:val="20"/>
          <w:szCs w:val="20"/>
          <w:vertAlign w:val="superscript"/>
          <w:lang w:val="en-GB"/>
        </w:rPr>
        <w:t>st</w:t>
      </w:r>
      <w:r w:rsidRPr="56F5E4A9" w:rsidR="56F5E4A9">
        <w:rPr>
          <w:rFonts w:ascii="Calibri" w:hAnsi="Calibri" w:eastAsia="Calibri" w:cs="Calibri"/>
          <w:noProof w:val="0"/>
          <w:sz w:val="20"/>
          <w:szCs w:val="20"/>
          <w:lang w:val="en-GB"/>
        </w:rPr>
        <w:t xml:space="preserve"> March 2019).</w:t>
      </w:r>
    </w:p>
    <w:p w:rsidR="56F5E4A9" w:rsidP="56F5E4A9" w:rsidRDefault="56F5E4A9" w14:paraId="7C000D13" w14:textId="150115A8">
      <w:pPr>
        <w:pStyle w:val="Normal"/>
        <w:rPr>
          <w:sz w:val="20"/>
          <w:szCs w:val="20"/>
          <w:u w:val="none"/>
        </w:rPr>
      </w:pPr>
      <w:proofErr w:type="spellStart"/>
      <w:r w:rsidRPr="56F5E4A9" w:rsidR="56F5E4A9">
        <w:rPr>
          <w:sz w:val="20"/>
          <w:szCs w:val="20"/>
          <w:u w:val="none"/>
        </w:rPr>
        <w:t>Balmforth</w:t>
      </w:r>
      <w:proofErr w:type="spellEnd"/>
      <w:r w:rsidRPr="56F5E4A9" w:rsidR="56F5E4A9">
        <w:rPr>
          <w:sz w:val="20"/>
          <w:szCs w:val="20"/>
          <w:u w:val="none"/>
        </w:rPr>
        <w:t xml:space="preserve">, J. (2009) ‘The weight of class’: clients’ experience of how perceived differences in social class between counsellor and client affect the therapeutic relationship’, </w:t>
      </w:r>
      <w:r w:rsidRPr="56F5E4A9" w:rsidR="56F5E4A9">
        <w:rPr>
          <w:i w:val="1"/>
          <w:iCs w:val="1"/>
          <w:sz w:val="20"/>
          <w:szCs w:val="20"/>
          <w:u w:val="none"/>
        </w:rPr>
        <w:t>British Journal of Guidance and Counselling, 37 (3), pp. 375-386.</w:t>
      </w:r>
      <w:r w:rsidRPr="56F5E4A9" w:rsidR="56F5E4A9">
        <w:rPr>
          <w:sz w:val="20"/>
          <w:szCs w:val="20"/>
          <w:u w:val="none"/>
        </w:rPr>
        <w:t xml:space="preserve"> </w:t>
      </w:r>
    </w:p>
    <w:p w:rsidR="56F5E4A9" w:rsidP="56F5E4A9" w:rsidRDefault="56F5E4A9" w14:paraId="60CF1061" w14:textId="7D4E2C3C">
      <w:pPr>
        <w:pStyle w:val="Normal"/>
        <w:rPr>
          <w:i w:val="0"/>
          <w:iCs w:val="0"/>
          <w:sz w:val="20"/>
          <w:szCs w:val="20"/>
          <w:u w:val="none"/>
        </w:rPr>
      </w:pPr>
      <w:proofErr w:type="spellStart"/>
      <w:r w:rsidRPr="56F5E4A9" w:rsidR="56F5E4A9">
        <w:rPr>
          <w:sz w:val="20"/>
          <w:szCs w:val="20"/>
          <w:u w:val="none"/>
        </w:rPr>
        <w:t>Bassot</w:t>
      </w:r>
      <w:proofErr w:type="spellEnd"/>
      <w:r w:rsidRPr="56F5E4A9" w:rsidR="56F5E4A9">
        <w:rPr>
          <w:sz w:val="20"/>
          <w:szCs w:val="20"/>
          <w:u w:val="none"/>
        </w:rPr>
        <w:t xml:space="preserve">, B. (2016) </w:t>
      </w:r>
      <w:r w:rsidRPr="56F5E4A9" w:rsidR="56F5E4A9">
        <w:rPr>
          <w:i w:val="1"/>
          <w:iCs w:val="1"/>
          <w:sz w:val="20"/>
          <w:szCs w:val="20"/>
          <w:u w:val="none"/>
        </w:rPr>
        <w:t>The Reflective Practice Guide</w:t>
      </w:r>
      <w:r w:rsidRPr="56F5E4A9" w:rsidR="56F5E4A9">
        <w:rPr>
          <w:i w:val="0"/>
          <w:iCs w:val="0"/>
          <w:sz w:val="20"/>
          <w:szCs w:val="20"/>
          <w:u w:val="none"/>
        </w:rPr>
        <w:t>. ROUTLEDGE.</w:t>
      </w:r>
    </w:p>
    <w:p w:rsidR="56F5E4A9" w:rsidP="56F5E4A9" w:rsidRDefault="56F5E4A9" w14:noSpellErr="1" w14:paraId="636F8CEA" w14:textId="54B17741">
      <w:pPr>
        <w:pStyle w:val="Normal"/>
        <w:rPr>
          <w:i w:val="0"/>
          <w:iCs w:val="0"/>
          <w:sz w:val="20"/>
          <w:szCs w:val="20"/>
          <w:u w:val="none"/>
        </w:rPr>
      </w:pPr>
      <w:r w:rsidRPr="56F5E4A9" w:rsidR="56F5E4A9">
        <w:rPr>
          <w:i w:val="0"/>
          <w:iCs w:val="0"/>
          <w:sz w:val="20"/>
          <w:szCs w:val="20"/>
          <w:u w:val="none"/>
        </w:rPr>
        <w:t xml:space="preserve">Bates, Y and House, R. (2003) </w:t>
      </w:r>
      <w:r w:rsidRPr="56F5E4A9" w:rsidR="56F5E4A9">
        <w:rPr>
          <w:i w:val="1"/>
          <w:iCs w:val="1"/>
          <w:sz w:val="20"/>
          <w:szCs w:val="20"/>
          <w:u w:val="none"/>
        </w:rPr>
        <w:t xml:space="preserve">Ethically Challenged Professions...enabling innovation and diversity in psychotherapy and counselling. </w:t>
      </w:r>
      <w:r w:rsidRPr="56F5E4A9" w:rsidR="56F5E4A9">
        <w:rPr>
          <w:i w:val="0"/>
          <w:iCs w:val="0"/>
          <w:sz w:val="20"/>
          <w:szCs w:val="20"/>
          <w:u w:val="none"/>
        </w:rPr>
        <w:t>PCCS.</w:t>
      </w:r>
    </w:p>
    <w:p w:rsidR="56F5E4A9" w:rsidP="56F5E4A9" w:rsidRDefault="56F5E4A9" w14:paraId="61662BB7" w14:textId="4DAEDDC0">
      <w:pPr>
        <w:pStyle w:val="Normal"/>
        <w:rPr>
          <w:rFonts w:ascii="-webkit-standard" w:hAnsi="-webkit-standard" w:eastAsia="-webkit-standard" w:cs="-webkit-standard"/>
          <w:noProof w:val="0"/>
          <w:sz w:val="20"/>
          <w:szCs w:val="20"/>
          <w:lang w:val="en-GB"/>
        </w:rPr>
      </w:pPr>
      <w:r w:rsidRPr="56F5E4A9" w:rsidR="56F5E4A9">
        <w:rPr>
          <w:rFonts w:ascii="-webkit-standard" w:hAnsi="-webkit-standard" w:eastAsia="-webkit-standard" w:cs="-webkit-standard"/>
          <w:noProof w:val="0"/>
          <w:sz w:val="20"/>
          <w:szCs w:val="20"/>
          <w:lang w:val="en-GB"/>
        </w:rPr>
        <w:t xml:space="preserve">Bond, T. (2015) </w:t>
      </w:r>
      <w:r w:rsidRPr="56F5E4A9" w:rsidR="56F5E4A9">
        <w:rPr>
          <w:rFonts w:ascii="-webkit-standard" w:hAnsi="-webkit-standard" w:eastAsia="-webkit-standard" w:cs="-webkit-standard"/>
          <w:i w:val="1"/>
          <w:iCs w:val="1"/>
          <w:noProof w:val="0"/>
          <w:sz w:val="20"/>
          <w:szCs w:val="20"/>
          <w:lang w:val="en-GB"/>
        </w:rPr>
        <w:t xml:space="preserve">Standards and Ethics for Counselling in Action. </w:t>
      </w:r>
      <w:r w:rsidRPr="56F5E4A9" w:rsidR="56F5E4A9">
        <w:rPr>
          <w:rFonts w:ascii="-webkit-standard" w:hAnsi="-webkit-standard" w:eastAsia="-webkit-standard" w:cs="-webkit-standard"/>
          <w:noProof w:val="0"/>
          <w:sz w:val="20"/>
          <w:szCs w:val="20"/>
          <w:lang w:val="en-GB"/>
        </w:rPr>
        <w:t>4</w:t>
      </w:r>
      <w:r w:rsidRPr="56F5E4A9" w:rsidR="56F5E4A9">
        <w:rPr>
          <w:rFonts w:ascii="-webkit-standard" w:hAnsi="-webkit-standard" w:eastAsia="-webkit-standard" w:cs="-webkit-standard"/>
          <w:noProof w:val="0"/>
          <w:sz w:val="20"/>
          <w:szCs w:val="20"/>
          <w:lang w:val="en-GB"/>
        </w:rPr>
        <w:t xml:space="preserve">th </w:t>
      </w:r>
      <w:r w:rsidRPr="56F5E4A9" w:rsidR="56F5E4A9">
        <w:rPr>
          <w:rFonts w:ascii="-webkit-standard" w:hAnsi="-webkit-standard" w:eastAsia="-webkit-standard" w:cs="-webkit-standard"/>
          <w:noProof w:val="0"/>
          <w:sz w:val="20"/>
          <w:szCs w:val="20"/>
          <w:lang w:val="en-GB"/>
        </w:rPr>
        <w:t>ed. SAGE.</w:t>
      </w:r>
    </w:p>
    <w:p w:rsidR="56F5E4A9" w:rsidP="56F5E4A9" w:rsidRDefault="56F5E4A9" w14:paraId="1E5264CC" w14:textId="560E6EBB">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noProof w:val="0"/>
          <w:sz w:val="20"/>
          <w:szCs w:val="20"/>
          <w:lang w:val="en-GB"/>
        </w:rPr>
        <w:t xml:space="preserve">Carroll, M. (2010) ‘Supervision: Critical Reflection for Transformational learning (part 2)’, </w:t>
      </w:r>
      <w:r w:rsidRPr="56F5E4A9" w:rsidR="56F5E4A9">
        <w:rPr>
          <w:rFonts w:ascii="-webkit-standard" w:hAnsi="-webkit-standard" w:eastAsia="-webkit-standard" w:cs="-webkit-standard"/>
          <w:i w:val="1"/>
          <w:iCs w:val="1"/>
          <w:noProof w:val="0"/>
          <w:sz w:val="20"/>
          <w:szCs w:val="20"/>
          <w:lang w:val="en-GB"/>
        </w:rPr>
        <w:t xml:space="preserve">The Clinical Supervisor, </w:t>
      </w:r>
      <w:r w:rsidRPr="56F5E4A9" w:rsidR="56F5E4A9">
        <w:rPr>
          <w:rFonts w:ascii="-webkit-standard" w:hAnsi="-webkit-standard" w:eastAsia="-webkit-standard" w:cs="-webkit-standard"/>
          <w:i w:val="0"/>
          <w:iCs w:val="0"/>
          <w:noProof w:val="0"/>
          <w:sz w:val="20"/>
          <w:szCs w:val="20"/>
          <w:lang w:val="en-GB"/>
        </w:rPr>
        <w:t>29, pp. 1-19.</w:t>
      </w:r>
    </w:p>
    <w:p w:rsidR="56F5E4A9" w:rsidP="56F5E4A9" w:rsidRDefault="56F5E4A9" w14:paraId="6268F13D" w14:textId="5F3A9D27">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i w:val="0"/>
          <w:iCs w:val="0"/>
          <w:noProof w:val="0"/>
          <w:sz w:val="20"/>
          <w:szCs w:val="20"/>
          <w:lang w:val="en-GB"/>
        </w:rPr>
        <w:t xml:space="preserve">Crimmins, G. (2016) ‘A reflection on a humanistic approach to narrative inquiry into the lived experience of women casual academics’, </w:t>
      </w:r>
      <w:r w:rsidRPr="56F5E4A9" w:rsidR="56F5E4A9">
        <w:rPr>
          <w:rFonts w:ascii="-webkit-standard" w:hAnsi="-webkit-standard" w:eastAsia="-webkit-standard" w:cs="-webkit-standard"/>
          <w:i w:val="1"/>
          <w:iCs w:val="1"/>
          <w:noProof w:val="0"/>
          <w:sz w:val="20"/>
          <w:szCs w:val="20"/>
          <w:lang w:val="en-GB"/>
        </w:rPr>
        <w:t xml:space="preserve">Reflective Practice, </w:t>
      </w:r>
      <w:r w:rsidRPr="56F5E4A9" w:rsidR="56F5E4A9">
        <w:rPr>
          <w:rFonts w:ascii="-webkit-standard" w:hAnsi="-webkit-standard" w:eastAsia="-webkit-standard" w:cs="-webkit-standard"/>
          <w:i w:val="0"/>
          <w:iCs w:val="0"/>
          <w:noProof w:val="0"/>
          <w:sz w:val="20"/>
          <w:szCs w:val="20"/>
          <w:lang w:val="en-GB"/>
        </w:rPr>
        <w:t xml:space="preserve">17 (4), pp. 483-494. </w:t>
      </w:r>
    </w:p>
    <w:p w:rsidR="56F5E4A9" w:rsidP="56F5E4A9" w:rsidRDefault="56F5E4A9" w14:paraId="284EC6B2" w14:textId="56983845">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noProof w:val="0"/>
          <w:sz w:val="20"/>
          <w:szCs w:val="20"/>
          <w:lang w:val="en-GB"/>
        </w:rPr>
        <w:t xml:space="preserve">Door, V., M. (2014) ‘Critical Pedagogy and Reflexivity; The issue of Ethical consistency’, </w:t>
      </w:r>
      <w:r w:rsidRPr="56F5E4A9" w:rsidR="56F5E4A9">
        <w:rPr>
          <w:rFonts w:ascii="-webkit-standard" w:hAnsi="-webkit-standard" w:eastAsia="-webkit-standard" w:cs="-webkit-standard"/>
          <w:i w:val="1"/>
          <w:iCs w:val="1"/>
          <w:noProof w:val="0"/>
          <w:sz w:val="20"/>
          <w:szCs w:val="20"/>
          <w:lang w:val="en-GB"/>
        </w:rPr>
        <w:t xml:space="preserve">International Journal of Critical Pedagogy, </w:t>
      </w:r>
      <w:r w:rsidRPr="56F5E4A9" w:rsidR="56F5E4A9">
        <w:rPr>
          <w:rFonts w:ascii="-webkit-standard" w:hAnsi="-webkit-standard" w:eastAsia="-webkit-standard" w:cs="-webkit-standard"/>
          <w:i w:val="0"/>
          <w:iCs w:val="0"/>
          <w:noProof w:val="0"/>
          <w:sz w:val="20"/>
          <w:szCs w:val="20"/>
          <w:lang w:val="en-GB"/>
        </w:rPr>
        <w:t>5 (2), pp. 88-99.</w:t>
      </w:r>
    </w:p>
    <w:p w:rsidR="56F5E4A9" w:rsidP="56F5E4A9" w:rsidRDefault="56F5E4A9" w14:noSpellErr="1" w14:paraId="704D2BB5" w14:textId="58795E2E">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noProof w:val="0"/>
          <w:sz w:val="20"/>
          <w:szCs w:val="20"/>
          <w:lang w:val="en-GB"/>
        </w:rPr>
        <w:t xml:space="preserve">Feltham, C. (2010) </w:t>
      </w:r>
      <w:r w:rsidRPr="56F5E4A9" w:rsidR="56F5E4A9">
        <w:rPr>
          <w:rFonts w:ascii="-webkit-standard" w:hAnsi="-webkit-standard" w:eastAsia="-webkit-standard" w:cs="-webkit-standard"/>
          <w:i w:val="1"/>
          <w:iCs w:val="1"/>
          <w:noProof w:val="0"/>
          <w:sz w:val="20"/>
          <w:szCs w:val="20"/>
          <w:lang w:val="en-GB"/>
        </w:rPr>
        <w:t xml:space="preserve">Critical Thinking in Counselling and Psychotherapy. </w:t>
      </w:r>
      <w:r w:rsidRPr="56F5E4A9" w:rsidR="56F5E4A9">
        <w:rPr>
          <w:rFonts w:ascii="-webkit-standard" w:hAnsi="-webkit-standard" w:eastAsia="-webkit-standard" w:cs="-webkit-standard"/>
          <w:i w:val="0"/>
          <w:iCs w:val="0"/>
          <w:noProof w:val="0"/>
          <w:sz w:val="20"/>
          <w:szCs w:val="20"/>
          <w:lang w:val="en-GB"/>
        </w:rPr>
        <w:t>SAGE.</w:t>
      </w:r>
    </w:p>
    <w:p w:rsidR="56F5E4A9" w:rsidP="56F5E4A9" w:rsidRDefault="56F5E4A9" w14:noSpellErr="1" w14:paraId="461FAFCC" w14:textId="29764AC4">
      <w:pPr>
        <w:rPr>
          <w:rFonts w:ascii="-webkit-standard" w:hAnsi="-webkit-standard" w:eastAsia="-webkit-standard" w:cs="-webkit-standard"/>
          <w:noProof w:val="0"/>
          <w:sz w:val="20"/>
          <w:szCs w:val="20"/>
          <w:lang w:val="en-GB"/>
        </w:rPr>
      </w:pPr>
      <w:r w:rsidRPr="56F5E4A9" w:rsidR="56F5E4A9">
        <w:rPr>
          <w:rFonts w:ascii="-webkit-standard" w:hAnsi="-webkit-standard" w:eastAsia="-webkit-standard" w:cs="-webkit-standard"/>
          <w:noProof w:val="0"/>
          <w:sz w:val="20"/>
          <w:szCs w:val="20"/>
          <w:lang w:val="en-GB"/>
        </w:rPr>
        <w:t xml:space="preserve">Feltham, C and Hanley, T and Winter, L, J. (2017) </w:t>
      </w:r>
      <w:r w:rsidRPr="56F5E4A9" w:rsidR="56F5E4A9">
        <w:rPr>
          <w:rFonts w:ascii="-webkit-standard" w:hAnsi="-webkit-standard" w:eastAsia="-webkit-standard" w:cs="-webkit-standard"/>
          <w:i w:val="1"/>
          <w:iCs w:val="1"/>
          <w:noProof w:val="0"/>
          <w:sz w:val="20"/>
          <w:szCs w:val="20"/>
          <w:lang w:val="en-GB"/>
        </w:rPr>
        <w:t xml:space="preserve">The Sage Handbook of Counselling and Psychotherapy. </w:t>
      </w:r>
      <w:r w:rsidRPr="56F5E4A9" w:rsidR="56F5E4A9">
        <w:rPr>
          <w:rFonts w:ascii="-webkit-standard" w:hAnsi="-webkit-standard" w:eastAsia="-webkit-standard" w:cs="-webkit-standard"/>
          <w:noProof w:val="0"/>
          <w:sz w:val="20"/>
          <w:szCs w:val="20"/>
          <w:lang w:val="en-GB"/>
        </w:rPr>
        <w:t>4</w:t>
      </w:r>
      <w:r w:rsidRPr="56F5E4A9" w:rsidR="56F5E4A9">
        <w:rPr>
          <w:rFonts w:ascii="-webkit-standard" w:hAnsi="-webkit-standard" w:eastAsia="-webkit-standard" w:cs="-webkit-standard"/>
          <w:noProof w:val="0"/>
          <w:sz w:val="20"/>
          <w:szCs w:val="20"/>
          <w:lang w:val="en-GB"/>
        </w:rPr>
        <w:t xml:space="preserve">th </w:t>
      </w:r>
      <w:r w:rsidRPr="56F5E4A9" w:rsidR="56F5E4A9">
        <w:rPr>
          <w:rFonts w:ascii="-webkit-standard" w:hAnsi="-webkit-standard" w:eastAsia="-webkit-standard" w:cs="-webkit-standard"/>
          <w:noProof w:val="0"/>
          <w:sz w:val="20"/>
          <w:szCs w:val="20"/>
          <w:lang w:val="en-GB"/>
        </w:rPr>
        <w:t>ed. SAGE.</w:t>
      </w:r>
    </w:p>
    <w:p w:rsidR="56F5E4A9" w:rsidP="56F5E4A9" w:rsidRDefault="56F5E4A9" w14:paraId="7FBB0B6F" w14:textId="186455D2">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noProof w:val="0"/>
          <w:sz w:val="20"/>
          <w:szCs w:val="20"/>
          <w:lang w:val="en-GB"/>
        </w:rPr>
        <w:t xml:space="preserve">Givens, J and Lemberger, </w:t>
      </w:r>
      <w:proofErr w:type="gramStart"/>
      <w:r w:rsidRPr="56F5E4A9" w:rsidR="56F5E4A9">
        <w:rPr>
          <w:rFonts w:ascii="-webkit-standard" w:hAnsi="-webkit-standard" w:eastAsia="-webkit-standard" w:cs="-webkit-standard"/>
          <w:noProof w:val="0"/>
          <w:sz w:val="20"/>
          <w:szCs w:val="20"/>
          <w:lang w:val="en-GB"/>
        </w:rPr>
        <w:t>E.,M.</w:t>
      </w:r>
      <w:proofErr w:type="gramEnd"/>
      <w:r w:rsidRPr="56F5E4A9" w:rsidR="56F5E4A9">
        <w:rPr>
          <w:rFonts w:ascii="-webkit-standard" w:hAnsi="-webkit-standard" w:eastAsia="-webkit-standard" w:cs="-webkit-standard"/>
          <w:noProof w:val="0"/>
          <w:sz w:val="20"/>
          <w:szCs w:val="20"/>
          <w:lang w:val="en-GB"/>
        </w:rPr>
        <w:t xml:space="preserve"> (2015) ‘Supplements of the Self: Tracing a Deconstructive Humanism’, </w:t>
      </w:r>
      <w:r w:rsidRPr="56F5E4A9" w:rsidR="56F5E4A9">
        <w:rPr>
          <w:rFonts w:ascii="-webkit-standard" w:hAnsi="-webkit-standard" w:eastAsia="-webkit-standard" w:cs="-webkit-standard"/>
          <w:i w:val="1"/>
          <w:iCs w:val="1"/>
          <w:noProof w:val="0"/>
          <w:sz w:val="20"/>
          <w:szCs w:val="20"/>
          <w:lang w:val="en-GB"/>
        </w:rPr>
        <w:t xml:space="preserve">American </w:t>
      </w:r>
      <w:proofErr w:type="spellStart"/>
      <w:r w:rsidRPr="56F5E4A9" w:rsidR="56F5E4A9">
        <w:rPr>
          <w:rFonts w:ascii="-webkit-standard" w:hAnsi="-webkit-standard" w:eastAsia="-webkit-standard" w:cs="-webkit-standard"/>
          <w:i w:val="1"/>
          <w:iCs w:val="1"/>
          <w:noProof w:val="0"/>
          <w:sz w:val="20"/>
          <w:szCs w:val="20"/>
          <w:lang w:val="en-GB"/>
        </w:rPr>
        <w:t>Counseling</w:t>
      </w:r>
      <w:proofErr w:type="spellEnd"/>
      <w:r w:rsidRPr="56F5E4A9" w:rsidR="56F5E4A9">
        <w:rPr>
          <w:rFonts w:ascii="-webkit-standard" w:hAnsi="-webkit-standard" w:eastAsia="-webkit-standard" w:cs="-webkit-standard"/>
          <w:i w:val="1"/>
          <w:iCs w:val="1"/>
          <w:noProof w:val="0"/>
          <w:sz w:val="20"/>
          <w:szCs w:val="20"/>
          <w:lang w:val="en-GB"/>
        </w:rPr>
        <w:t xml:space="preserve"> Association, </w:t>
      </w:r>
      <w:r w:rsidRPr="56F5E4A9" w:rsidR="56F5E4A9">
        <w:rPr>
          <w:rFonts w:ascii="-webkit-standard" w:hAnsi="-webkit-standard" w:eastAsia="-webkit-standard" w:cs="-webkit-standard"/>
          <w:i w:val="0"/>
          <w:iCs w:val="0"/>
          <w:noProof w:val="0"/>
          <w:sz w:val="20"/>
          <w:szCs w:val="20"/>
          <w:lang w:val="en-GB"/>
        </w:rPr>
        <w:t>54, pp. 140-148.</w:t>
      </w:r>
    </w:p>
    <w:p w:rsidR="56F5E4A9" w:rsidP="56F5E4A9" w:rsidRDefault="56F5E4A9" w14:paraId="128F56C6" w14:textId="0F533240">
      <w:pPr>
        <w:pStyle w:val="Normal"/>
        <w:rPr>
          <w:rFonts w:ascii="-webkit-standard" w:hAnsi="-webkit-standard" w:eastAsia="-webkit-standard" w:cs="-webkit-standard"/>
          <w:i w:val="0"/>
          <w:iCs w:val="0"/>
          <w:noProof w:val="0"/>
          <w:sz w:val="20"/>
          <w:szCs w:val="20"/>
          <w:lang w:val="en-GB"/>
        </w:rPr>
      </w:pPr>
      <w:proofErr w:type="spellStart"/>
      <w:r w:rsidRPr="56F5E4A9" w:rsidR="56F5E4A9">
        <w:rPr>
          <w:rFonts w:ascii="-webkit-standard" w:hAnsi="-webkit-standard" w:eastAsia="-webkit-standard" w:cs="-webkit-standard"/>
          <w:i w:val="0"/>
          <w:iCs w:val="0"/>
          <w:noProof w:val="0"/>
          <w:sz w:val="20"/>
          <w:szCs w:val="20"/>
          <w:lang w:val="en-GB"/>
        </w:rPr>
        <w:t>Gaume</w:t>
      </w:r>
      <w:proofErr w:type="spellEnd"/>
      <w:r w:rsidRPr="56F5E4A9" w:rsidR="56F5E4A9">
        <w:rPr>
          <w:rFonts w:ascii="-webkit-standard" w:hAnsi="-webkit-standard" w:eastAsia="-webkit-standard" w:cs="-webkit-standard"/>
          <w:i w:val="0"/>
          <w:iCs w:val="0"/>
          <w:noProof w:val="0"/>
          <w:sz w:val="20"/>
          <w:szCs w:val="20"/>
          <w:lang w:val="en-GB"/>
        </w:rPr>
        <w:t xml:space="preserve">, J and </w:t>
      </w:r>
      <w:proofErr w:type="spellStart"/>
      <w:r w:rsidRPr="56F5E4A9" w:rsidR="56F5E4A9">
        <w:rPr>
          <w:rFonts w:ascii="-webkit-standard" w:hAnsi="-webkit-standard" w:eastAsia="-webkit-standard" w:cs="-webkit-standard"/>
          <w:i w:val="0"/>
          <w:iCs w:val="0"/>
          <w:noProof w:val="0"/>
          <w:sz w:val="20"/>
          <w:szCs w:val="20"/>
          <w:lang w:val="en-GB"/>
        </w:rPr>
        <w:t>Gmel</w:t>
      </w:r>
      <w:proofErr w:type="spellEnd"/>
      <w:r w:rsidRPr="56F5E4A9" w:rsidR="56F5E4A9">
        <w:rPr>
          <w:rFonts w:ascii="-webkit-standard" w:hAnsi="-webkit-standard" w:eastAsia="-webkit-standard" w:cs="-webkit-standard"/>
          <w:i w:val="0"/>
          <w:iCs w:val="0"/>
          <w:noProof w:val="0"/>
          <w:sz w:val="20"/>
          <w:szCs w:val="20"/>
          <w:lang w:val="en-GB"/>
        </w:rPr>
        <w:t xml:space="preserve">, G and Faouzi, M and </w:t>
      </w:r>
      <w:proofErr w:type="spellStart"/>
      <w:r w:rsidRPr="56F5E4A9" w:rsidR="56F5E4A9">
        <w:rPr>
          <w:rFonts w:ascii="-webkit-standard" w:hAnsi="-webkit-standard" w:eastAsia="-webkit-standard" w:cs="-webkit-standard"/>
          <w:i w:val="0"/>
          <w:iCs w:val="0"/>
          <w:noProof w:val="0"/>
          <w:sz w:val="20"/>
          <w:szCs w:val="20"/>
          <w:lang w:val="en-GB"/>
        </w:rPr>
        <w:t>Daeppen</w:t>
      </w:r>
      <w:proofErr w:type="spellEnd"/>
      <w:r w:rsidRPr="56F5E4A9" w:rsidR="56F5E4A9">
        <w:rPr>
          <w:rFonts w:ascii="-webkit-standard" w:hAnsi="-webkit-standard" w:eastAsia="-webkit-standard" w:cs="-webkit-standard"/>
          <w:i w:val="0"/>
          <w:iCs w:val="0"/>
          <w:noProof w:val="0"/>
          <w:sz w:val="20"/>
          <w:szCs w:val="20"/>
          <w:lang w:val="en-GB"/>
        </w:rPr>
        <w:t xml:space="preserve">, J., B. (2008) ‘Counsellor behaviours and patient language during brief motivational interventions: a sequential analysis of speech’, </w:t>
      </w:r>
      <w:r w:rsidRPr="56F5E4A9" w:rsidR="56F5E4A9">
        <w:rPr>
          <w:rFonts w:ascii="-webkit-standard" w:hAnsi="-webkit-standard" w:eastAsia="-webkit-standard" w:cs="-webkit-standard"/>
          <w:i w:val="1"/>
          <w:iCs w:val="1"/>
          <w:noProof w:val="0"/>
          <w:sz w:val="20"/>
          <w:szCs w:val="20"/>
          <w:lang w:val="en-GB"/>
        </w:rPr>
        <w:t xml:space="preserve">The Authors Journal Compilation, </w:t>
      </w:r>
      <w:r w:rsidRPr="56F5E4A9" w:rsidR="56F5E4A9">
        <w:rPr>
          <w:rFonts w:ascii="-webkit-standard" w:hAnsi="-webkit-standard" w:eastAsia="-webkit-standard" w:cs="-webkit-standard"/>
          <w:i w:val="0"/>
          <w:iCs w:val="0"/>
          <w:noProof w:val="0"/>
          <w:sz w:val="20"/>
          <w:szCs w:val="20"/>
          <w:lang w:val="en-GB"/>
        </w:rPr>
        <w:t xml:space="preserve">103, pp. 1793-1800. </w:t>
      </w:r>
    </w:p>
    <w:p w:rsidR="56F5E4A9" w:rsidP="56F5E4A9" w:rsidRDefault="56F5E4A9" w14:paraId="543389CC" w14:textId="23980840">
      <w:pPr>
        <w:pStyle w:val="Normal"/>
        <w:rPr>
          <w:rFonts w:ascii="-webkit-standard" w:hAnsi="-webkit-standard" w:eastAsia="-webkit-standard" w:cs="-webkit-standard"/>
          <w:i w:val="0"/>
          <w:iCs w:val="0"/>
          <w:noProof w:val="0"/>
          <w:sz w:val="20"/>
          <w:szCs w:val="20"/>
          <w:lang w:val="en-GB"/>
        </w:rPr>
      </w:pPr>
      <w:r w:rsidRPr="56F5E4A9" w:rsidR="56F5E4A9">
        <w:rPr>
          <w:rFonts w:ascii="-webkit-standard" w:hAnsi="-webkit-standard" w:eastAsia="-webkit-standard" w:cs="-webkit-standard"/>
          <w:i w:val="0"/>
          <w:iCs w:val="0"/>
          <w:noProof w:val="0"/>
          <w:sz w:val="20"/>
          <w:szCs w:val="20"/>
          <w:lang w:val="en-GB"/>
        </w:rPr>
        <w:t xml:space="preserve">Hansen, J. (2009) </w:t>
      </w:r>
      <w:proofErr w:type="gramStart"/>
      <w:r w:rsidRPr="56F5E4A9" w:rsidR="56F5E4A9">
        <w:rPr>
          <w:rFonts w:ascii="-webkit-standard" w:hAnsi="-webkit-standard" w:eastAsia="-webkit-standard" w:cs="-webkit-standard"/>
          <w:i w:val="0"/>
          <w:iCs w:val="0"/>
          <w:noProof w:val="0"/>
          <w:sz w:val="20"/>
          <w:szCs w:val="20"/>
          <w:lang w:val="en-GB"/>
        </w:rPr>
        <w:t>‘ Self</w:t>
      </w:r>
      <w:proofErr w:type="gramEnd"/>
      <w:r w:rsidRPr="56F5E4A9" w:rsidR="56F5E4A9">
        <w:rPr>
          <w:rFonts w:ascii="-webkit-standard" w:hAnsi="-webkit-standard" w:eastAsia="-webkit-standard" w:cs="-webkit-standard"/>
          <w:i w:val="0"/>
          <w:iCs w:val="0"/>
          <w:noProof w:val="0"/>
          <w:sz w:val="20"/>
          <w:szCs w:val="20"/>
          <w:lang w:val="en-GB"/>
        </w:rPr>
        <w:t xml:space="preserve">-Awareness Revisited; Reconsidering a Core Value of the Counselling Profession’, </w:t>
      </w:r>
      <w:r w:rsidRPr="56F5E4A9" w:rsidR="56F5E4A9">
        <w:rPr>
          <w:rFonts w:ascii="-webkit-standard" w:hAnsi="-webkit-standard" w:eastAsia="-webkit-standard" w:cs="-webkit-standard"/>
          <w:i w:val="1"/>
          <w:iCs w:val="1"/>
          <w:noProof w:val="0"/>
          <w:sz w:val="20"/>
          <w:szCs w:val="20"/>
          <w:lang w:val="en-GB"/>
        </w:rPr>
        <w:t xml:space="preserve">Journal of </w:t>
      </w:r>
      <w:proofErr w:type="spellStart"/>
      <w:r w:rsidRPr="56F5E4A9" w:rsidR="56F5E4A9">
        <w:rPr>
          <w:rFonts w:ascii="-webkit-standard" w:hAnsi="-webkit-standard" w:eastAsia="-webkit-standard" w:cs="-webkit-standard"/>
          <w:i w:val="1"/>
          <w:iCs w:val="1"/>
          <w:noProof w:val="0"/>
          <w:sz w:val="20"/>
          <w:szCs w:val="20"/>
          <w:lang w:val="en-GB"/>
        </w:rPr>
        <w:t>Counseling</w:t>
      </w:r>
      <w:proofErr w:type="spellEnd"/>
      <w:r w:rsidRPr="56F5E4A9" w:rsidR="56F5E4A9">
        <w:rPr>
          <w:rFonts w:ascii="-webkit-standard" w:hAnsi="-webkit-standard" w:eastAsia="-webkit-standard" w:cs="-webkit-standard"/>
          <w:i w:val="1"/>
          <w:iCs w:val="1"/>
          <w:noProof w:val="0"/>
          <w:sz w:val="20"/>
          <w:szCs w:val="20"/>
          <w:lang w:val="en-GB"/>
        </w:rPr>
        <w:t xml:space="preserve"> and Development, 87, </w:t>
      </w:r>
      <w:r w:rsidRPr="56F5E4A9" w:rsidR="56F5E4A9">
        <w:rPr>
          <w:rFonts w:ascii="-webkit-standard" w:hAnsi="-webkit-standard" w:eastAsia="-webkit-standard" w:cs="-webkit-standard"/>
          <w:i w:val="0"/>
          <w:iCs w:val="0"/>
          <w:noProof w:val="0"/>
          <w:sz w:val="20"/>
          <w:szCs w:val="20"/>
          <w:lang w:val="en-GB"/>
        </w:rPr>
        <w:t>pp. 186-193.</w:t>
      </w:r>
    </w:p>
    <w:p w:rsidR="56F5E4A9" w:rsidP="56F5E4A9" w:rsidRDefault="56F5E4A9" w14:paraId="538A2A09" w14:textId="05F94441">
      <w:pPr>
        <w:pStyle w:val="Normal"/>
        <w:rPr>
          <w:i w:val="0"/>
          <w:iCs w:val="0"/>
          <w:sz w:val="20"/>
          <w:szCs w:val="20"/>
          <w:u w:val="none"/>
        </w:rPr>
      </w:pPr>
      <w:r w:rsidRPr="56F5E4A9" w:rsidR="56F5E4A9">
        <w:rPr>
          <w:i w:val="0"/>
          <w:iCs w:val="0"/>
          <w:sz w:val="20"/>
          <w:szCs w:val="20"/>
          <w:u w:val="none"/>
        </w:rPr>
        <w:t xml:space="preserve">Jones-Smith, E. (2012) </w:t>
      </w:r>
      <w:r w:rsidRPr="56F5E4A9" w:rsidR="56F5E4A9">
        <w:rPr>
          <w:i w:val="1"/>
          <w:iCs w:val="1"/>
          <w:sz w:val="20"/>
          <w:szCs w:val="20"/>
          <w:u w:val="none"/>
        </w:rPr>
        <w:t xml:space="preserve">Theories of </w:t>
      </w:r>
      <w:proofErr w:type="spellStart"/>
      <w:r w:rsidRPr="56F5E4A9" w:rsidR="56F5E4A9">
        <w:rPr>
          <w:i w:val="1"/>
          <w:iCs w:val="1"/>
          <w:sz w:val="20"/>
          <w:szCs w:val="20"/>
          <w:u w:val="none"/>
        </w:rPr>
        <w:t>Counseling</w:t>
      </w:r>
      <w:proofErr w:type="spellEnd"/>
      <w:r w:rsidRPr="56F5E4A9" w:rsidR="56F5E4A9">
        <w:rPr>
          <w:i w:val="1"/>
          <w:iCs w:val="1"/>
          <w:sz w:val="20"/>
          <w:szCs w:val="20"/>
          <w:u w:val="none"/>
        </w:rPr>
        <w:t xml:space="preserve"> and Psychotherapy; An Integrative Approach. </w:t>
      </w:r>
      <w:r w:rsidRPr="56F5E4A9" w:rsidR="56F5E4A9">
        <w:rPr>
          <w:i w:val="0"/>
          <w:iCs w:val="0"/>
          <w:sz w:val="20"/>
          <w:szCs w:val="20"/>
          <w:u w:val="none"/>
        </w:rPr>
        <w:t>SAGE.</w:t>
      </w:r>
    </w:p>
    <w:p w:rsidR="56F5E4A9" w:rsidP="56F5E4A9" w:rsidRDefault="56F5E4A9" w14:paraId="391461AD" w14:textId="3A3B61FF">
      <w:pPr>
        <w:pStyle w:val="Normal"/>
        <w:rPr>
          <w:i w:val="0"/>
          <w:iCs w:val="0"/>
          <w:sz w:val="20"/>
          <w:szCs w:val="20"/>
          <w:u w:val="none"/>
        </w:rPr>
      </w:pPr>
      <w:r w:rsidRPr="56F5E4A9" w:rsidR="56F5E4A9">
        <w:rPr>
          <w:i w:val="0"/>
          <w:iCs w:val="0"/>
          <w:sz w:val="20"/>
          <w:szCs w:val="20"/>
          <w:u w:val="none"/>
        </w:rPr>
        <w:t xml:space="preserve">Kirschenbaum, H and Henderson, V., L. (1990) </w:t>
      </w:r>
      <w:r w:rsidRPr="56F5E4A9" w:rsidR="56F5E4A9">
        <w:rPr>
          <w:i w:val="1"/>
          <w:iCs w:val="1"/>
          <w:sz w:val="20"/>
          <w:szCs w:val="20"/>
          <w:u w:val="none"/>
        </w:rPr>
        <w:t>The Carl Rogers Reader.</w:t>
      </w:r>
      <w:r w:rsidRPr="56F5E4A9" w:rsidR="56F5E4A9">
        <w:rPr>
          <w:i w:val="0"/>
          <w:iCs w:val="0"/>
          <w:sz w:val="20"/>
          <w:szCs w:val="20"/>
          <w:u w:val="none"/>
        </w:rPr>
        <w:t xml:space="preserve"> ROBINSON.</w:t>
      </w:r>
    </w:p>
    <w:p w:rsidR="56F5E4A9" w:rsidP="56F5E4A9" w:rsidRDefault="56F5E4A9" w14:noSpellErr="1" w14:paraId="3F882F4C" w14:textId="083E5DFB">
      <w:pPr>
        <w:pStyle w:val="Normal"/>
        <w:rPr>
          <w:i w:val="0"/>
          <w:iCs w:val="0"/>
          <w:sz w:val="20"/>
          <w:szCs w:val="20"/>
          <w:u w:val="none"/>
        </w:rPr>
      </w:pPr>
      <w:r w:rsidRPr="56F5E4A9" w:rsidR="56F5E4A9">
        <w:rPr>
          <w:i w:val="0"/>
          <w:iCs w:val="0"/>
          <w:sz w:val="20"/>
          <w:szCs w:val="20"/>
          <w:u w:val="none"/>
        </w:rPr>
        <w:t xml:space="preserve">Knox, J. (2011) </w:t>
      </w:r>
      <w:r w:rsidRPr="56F5E4A9" w:rsidR="56F5E4A9">
        <w:rPr>
          <w:i w:val="1"/>
          <w:iCs w:val="1"/>
          <w:sz w:val="20"/>
          <w:szCs w:val="20"/>
          <w:u w:val="none"/>
        </w:rPr>
        <w:t xml:space="preserve">Self – Agency in Psychotherapy; Attachment Autonomy and Intimacy. </w:t>
      </w:r>
      <w:r w:rsidRPr="56F5E4A9" w:rsidR="56F5E4A9">
        <w:rPr>
          <w:i w:val="0"/>
          <w:iCs w:val="0"/>
          <w:sz w:val="20"/>
          <w:szCs w:val="20"/>
          <w:u w:val="none"/>
        </w:rPr>
        <w:t>NORTON.</w:t>
      </w:r>
    </w:p>
    <w:p w:rsidR="56F5E4A9" w:rsidP="56F5E4A9" w:rsidRDefault="56F5E4A9" w14:paraId="67D867A8" w14:textId="695B1DDE">
      <w:pPr>
        <w:pStyle w:val="Normal"/>
        <w:rPr>
          <w:i w:val="0"/>
          <w:iCs w:val="0"/>
          <w:sz w:val="20"/>
          <w:szCs w:val="20"/>
          <w:u w:val="none"/>
        </w:rPr>
      </w:pPr>
      <w:proofErr w:type="spellStart"/>
      <w:r w:rsidRPr="56F5E4A9" w:rsidR="56F5E4A9">
        <w:rPr>
          <w:i w:val="0"/>
          <w:iCs w:val="0"/>
          <w:sz w:val="20"/>
          <w:szCs w:val="20"/>
          <w:u w:val="none"/>
        </w:rPr>
        <w:t>Kryuchkov</w:t>
      </w:r>
      <w:proofErr w:type="spellEnd"/>
      <w:r w:rsidRPr="56F5E4A9" w:rsidR="56F5E4A9">
        <w:rPr>
          <w:i w:val="0"/>
          <w:iCs w:val="0"/>
          <w:sz w:val="20"/>
          <w:szCs w:val="20"/>
          <w:u w:val="none"/>
        </w:rPr>
        <w:t xml:space="preserve">, K. (2016) ‘How therapists experience the ‘core conditions’ of therapeutic personality change: a qualitative pilot study’, </w:t>
      </w:r>
      <w:r w:rsidRPr="56F5E4A9" w:rsidR="56F5E4A9">
        <w:rPr>
          <w:i w:val="1"/>
          <w:iCs w:val="1"/>
          <w:sz w:val="20"/>
          <w:szCs w:val="20"/>
          <w:u w:val="none"/>
        </w:rPr>
        <w:t xml:space="preserve">Person-Centred and Experiential Psychotherapies, </w:t>
      </w:r>
      <w:r w:rsidRPr="56F5E4A9" w:rsidR="56F5E4A9">
        <w:rPr>
          <w:i w:val="0"/>
          <w:iCs w:val="0"/>
          <w:sz w:val="20"/>
          <w:szCs w:val="20"/>
          <w:u w:val="none"/>
        </w:rPr>
        <w:t>15 (4), pp.300-317.</w:t>
      </w:r>
    </w:p>
    <w:p w:rsidR="5C66A75C" w:rsidP="5C66A75C" w:rsidRDefault="5C66A75C" w14:paraId="04F09D6E" w14:textId="6855F82E">
      <w:pPr>
        <w:pStyle w:val="Normal"/>
        <w:rPr>
          <w:i w:val="0"/>
          <w:iCs w:val="0"/>
          <w:sz w:val="20"/>
          <w:szCs w:val="20"/>
          <w:u w:val="none"/>
        </w:rPr>
      </w:pPr>
      <w:r w:rsidRPr="5C66A75C" w:rsidR="5C66A75C">
        <w:rPr>
          <w:i w:val="0"/>
          <w:iCs w:val="0"/>
          <w:sz w:val="20"/>
          <w:szCs w:val="20"/>
          <w:u w:val="none"/>
        </w:rPr>
        <w:t xml:space="preserve">Lemberger, M. (2012) </w:t>
      </w:r>
      <w:proofErr w:type="gramStart"/>
      <w:r w:rsidRPr="5C66A75C" w:rsidR="5C66A75C">
        <w:rPr>
          <w:i w:val="0"/>
          <w:iCs w:val="0"/>
          <w:sz w:val="20"/>
          <w:szCs w:val="20"/>
          <w:u w:val="none"/>
        </w:rPr>
        <w:t>‘ A</w:t>
      </w:r>
      <w:proofErr w:type="gramEnd"/>
      <w:r w:rsidRPr="5C66A75C" w:rsidR="5C66A75C">
        <w:rPr>
          <w:i w:val="0"/>
          <w:iCs w:val="0"/>
          <w:sz w:val="20"/>
          <w:szCs w:val="20"/>
          <w:u w:val="none"/>
        </w:rPr>
        <w:t xml:space="preserve"> Return to the Human in Humanism: A Response to Hansen’s Humanistic Vision’, </w:t>
      </w:r>
      <w:r w:rsidRPr="5C66A75C" w:rsidR="5C66A75C">
        <w:rPr>
          <w:i w:val="1"/>
          <w:iCs w:val="1"/>
          <w:sz w:val="20"/>
          <w:szCs w:val="20"/>
          <w:u w:val="none"/>
        </w:rPr>
        <w:t xml:space="preserve">American </w:t>
      </w:r>
      <w:proofErr w:type="spellStart"/>
      <w:r w:rsidRPr="5C66A75C" w:rsidR="5C66A75C">
        <w:rPr>
          <w:i w:val="1"/>
          <w:iCs w:val="1"/>
          <w:sz w:val="20"/>
          <w:szCs w:val="20"/>
          <w:u w:val="none"/>
        </w:rPr>
        <w:t>Counseling</w:t>
      </w:r>
      <w:proofErr w:type="spellEnd"/>
      <w:r w:rsidRPr="5C66A75C" w:rsidR="5C66A75C">
        <w:rPr>
          <w:i w:val="1"/>
          <w:iCs w:val="1"/>
          <w:sz w:val="20"/>
          <w:szCs w:val="20"/>
          <w:u w:val="none"/>
        </w:rPr>
        <w:t xml:space="preserve"> Association, </w:t>
      </w:r>
      <w:r w:rsidRPr="5C66A75C" w:rsidR="5C66A75C">
        <w:rPr>
          <w:i w:val="0"/>
          <w:iCs w:val="0"/>
          <w:sz w:val="20"/>
          <w:szCs w:val="20"/>
          <w:u w:val="none"/>
        </w:rPr>
        <w:t>51, pp. 164-175.</w:t>
      </w:r>
    </w:p>
    <w:p w:rsidR="56F5E4A9" w:rsidP="56F5E4A9" w:rsidRDefault="56F5E4A9" w14:paraId="1E3C4D50" w14:textId="360C84B5">
      <w:pPr>
        <w:pStyle w:val="Normal"/>
        <w:rPr>
          <w:i w:val="0"/>
          <w:iCs w:val="0"/>
          <w:sz w:val="20"/>
          <w:szCs w:val="20"/>
          <w:u w:val="none"/>
        </w:rPr>
      </w:pPr>
      <w:proofErr w:type="spellStart"/>
      <w:r w:rsidRPr="56F5E4A9" w:rsidR="56F5E4A9">
        <w:rPr>
          <w:sz w:val="20"/>
          <w:szCs w:val="20"/>
          <w:u w:val="none"/>
        </w:rPr>
        <w:t>McLoed</w:t>
      </w:r>
      <w:proofErr w:type="spellEnd"/>
      <w:r w:rsidRPr="56F5E4A9" w:rsidR="56F5E4A9">
        <w:rPr>
          <w:sz w:val="20"/>
          <w:szCs w:val="20"/>
          <w:u w:val="none"/>
        </w:rPr>
        <w:t xml:space="preserve">, J. (2013) </w:t>
      </w:r>
      <w:r w:rsidRPr="56F5E4A9" w:rsidR="56F5E4A9">
        <w:rPr>
          <w:i w:val="1"/>
          <w:iCs w:val="1"/>
          <w:sz w:val="20"/>
          <w:szCs w:val="20"/>
          <w:u w:val="none"/>
        </w:rPr>
        <w:t xml:space="preserve">An Introduction to Counselling. </w:t>
      </w:r>
      <w:r w:rsidRPr="56F5E4A9" w:rsidR="56F5E4A9">
        <w:rPr>
          <w:i w:val="0"/>
          <w:iCs w:val="0"/>
          <w:sz w:val="20"/>
          <w:szCs w:val="20"/>
          <w:u w:val="none"/>
        </w:rPr>
        <w:t>5</w:t>
      </w:r>
      <w:r w:rsidRPr="56F5E4A9" w:rsidR="56F5E4A9">
        <w:rPr>
          <w:i w:val="0"/>
          <w:iCs w:val="0"/>
          <w:sz w:val="20"/>
          <w:szCs w:val="20"/>
          <w:u w:val="none"/>
          <w:vertAlign w:val="superscript"/>
        </w:rPr>
        <w:t>th</w:t>
      </w:r>
      <w:r w:rsidRPr="56F5E4A9" w:rsidR="56F5E4A9">
        <w:rPr>
          <w:i w:val="0"/>
          <w:iCs w:val="0"/>
          <w:sz w:val="20"/>
          <w:szCs w:val="20"/>
          <w:u w:val="none"/>
        </w:rPr>
        <w:t xml:space="preserve"> ed. Open University Press.</w:t>
      </w:r>
    </w:p>
    <w:p w:rsidR="56F5E4A9" w:rsidP="56F5E4A9" w:rsidRDefault="56F5E4A9" w14:paraId="66E02694" w14:textId="464D999D">
      <w:pPr>
        <w:pStyle w:val="Normal"/>
        <w:rPr>
          <w:i w:val="0"/>
          <w:iCs w:val="0"/>
          <w:sz w:val="20"/>
          <w:szCs w:val="20"/>
          <w:u w:val="none"/>
        </w:rPr>
      </w:pPr>
      <w:r w:rsidRPr="56F5E4A9" w:rsidR="56F5E4A9">
        <w:rPr>
          <w:i w:val="0"/>
          <w:iCs w:val="0"/>
          <w:sz w:val="20"/>
          <w:szCs w:val="20"/>
          <w:u w:val="none"/>
        </w:rPr>
        <w:t xml:space="preserve">Scholl, </w:t>
      </w:r>
      <w:proofErr w:type="gramStart"/>
      <w:r w:rsidRPr="56F5E4A9" w:rsidR="56F5E4A9">
        <w:rPr>
          <w:i w:val="0"/>
          <w:iCs w:val="0"/>
          <w:sz w:val="20"/>
          <w:szCs w:val="20"/>
          <w:u w:val="none"/>
        </w:rPr>
        <w:t>M.,B</w:t>
      </w:r>
      <w:proofErr w:type="gramEnd"/>
      <w:r w:rsidRPr="56F5E4A9" w:rsidR="56F5E4A9">
        <w:rPr>
          <w:i w:val="0"/>
          <w:iCs w:val="0"/>
          <w:sz w:val="20"/>
          <w:szCs w:val="20"/>
          <w:u w:val="none"/>
        </w:rPr>
        <w:t xml:space="preserve"> and Ray, D., C and Brady-</w:t>
      </w:r>
      <w:proofErr w:type="spellStart"/>
      <w:r w:rsidRPr="56F5E4A9" w:rsidR="56F5E4A9">
        <w:rPr>
          <w:i w:val="0"/>
          <w:iCs w:val="0"/>
          <w:sz w:val="20"/>
          <w:szCs w:val="20"/>
          <w:u w:val="none"/>
        </w:rPr>
        <w:t>Amoon</w:t>
      </w:r>
      <w:proofErr w:type="spellEnd"/>
      <w:r w:rsidRPr="56F5E4A9" w:rsidR="56F5E4A9">
        <w:rPr>
          <w:i w:val="0"/>
          <w:iCs w:val="0"/>
          <w:sz w:val="20"/>
          <w:szCs w:val="20"/>
          <w:u w:val="none"/>
        </w:rPr>
        <w:t xml:space="preserve">, P. (2014) ‘ Humanistic </w:t>
      </w:r>
      <w:proofErr w:type="spellStart"/>
      <w:r w:rsidRPr="56F5E4A9" w:rsidR="56F5E4A9">
        <w:rPr>
          <w:i w:val="0"/>
          <w:iCs w:val="0"/>
          <w:sz w:val="20"/>
          <w:szCs w:val="20"/>
          <w:u w:val="none"/>
        </w:rPr>
        <w:t>Counseling</w:t>
      </w:r>
      <w:proofErr w:type="spellEnd"/>
      <w:r w:rsidRPr="56F5E4A9" w:rsidR="56F5E4A9">
        <w:rPr>
          <w:i w:val="0"/>
          <w:iCs w:val="0"/>
          <w:sz w:val="20"/>
          <w:szCs w:val="20"/>
          <w:u w:val="none"/>
        </w:rPr>
        <w:t xml:space="preserve"> Process, Outcomes, and Research’, </w:t>
      </w:r>
      <w:proofErr w:type="spellStart"/>
      <w:r w:rsidRPr="56F5E4A9" w:rsidR="56F5E4A9">
        <w:rPr>
          <w:i w:val="1"/>
          <w:iCs w:val="1"/>
          <w:sz w:val="20"/>
          <w:szCs w:val="20"/>
          <w:u w:val="none"/>
        </w:rPr>
        <w:t>Amercian</w:t>
      </w:r>
      <w:proofErr w:type="spellEnd"/>
      <w:r w:rsidRPr="56F5E4A9" w:rsidR="56F5E4A9">
        <w:rPr>
          <w:i w:val="1"/>
          <w:iCs w:val="1"/>
          <w:sz w:val="20"/>
          <w:szCs w:val="20"/>
          <w:u w:val="none"/>
        </w:rPr>
        <w:t xml:space="preserve"> </w:t>
      </w:r>
      <w:proofErr w:type="spellStart"/>
      <w:r w:rsidRPr="56F5E4A9" w:rsidR="56F5E4A9">
        <w:rPr>
          <w:i w:val="1"/>
          <w:iCs w:val="1"/>
          <w:sz w:val="20"/>
          <w:szCs w:val="20"/>
          <w:u w:val="none"/>
        </w:rPr>
        <w:t>Counseling</w:t>
      </w:r>
      <w:proofErr w:type="spellEnd"/>
      <w:r w:rsidRPr="56F5E4A9" w:rsidR="56F5E4A9">
        <w:rPr>
          <w:i w:val="1"/>
          <w:iCs w:val="1"/>
          <w:sz w:val="20"/>
          <w:szCs w:val="20"/>
          <w:u w:val="none"/>
        </w:rPr>
        <w:t xml:space="preserve"> Association, </w:t>
      </w:r>
      <w:r w:rsidRPr="56F5E4A9" w:rsidR="56F5E4A9">
        <w:rPr>
          <w:i w:val="0"/>
          <w:iCs w:val="0"/>
          <w:sz w:val="20"/>
          <w:szCs w:val="20"/>
          <w:u w:val="none"/>
        </w:rPr>
        <w:t>53, pp. 218-239.</w:t>
      </w:r>
    </w:p>
    <w:p w:rsidR="56F5E4A9" w:rsidP="56F5E4A9" w:rsidRDefault="56F5E4A9" w14:paraId="37AEECD8" w14:textId="3CC5D979">
      <w:pPr>
        <w:pStyle w:val="Normal"/>
        <w:rPr>
          <w:i w:val="0"/>
          <w:iCs w:val="0"/>
          <w:sz w:val="20"/>
          <w:szCs w:val="20"/>
          <w:u w:val="none"/>
        </w:rPr>
      </w:pPr>
      <w:r w:rsidRPr="56F5E4A9" w:rsidR="56F5E4A9">
        <w:rPr>
          <w:i w:val="0"/>
          <w:iCs w:val="0"/>
          <w:sz w:val="20"/>
          <w:szCs w:val="20"/>
          <w:u w:val="none"/>
        </w:rPr>
        <w:t xml:space="preserve">Sharpley, C and </w:t>
      </w:r>
      <w:proofErr w:type="spellStart"/>
      <w:r w:rsidRPr="56F5E4A9" w:rsidR="56F5E4A9">
        <w:rPr>
          <w:i w:val="0"/>
          <w:iCs w:val="0"/>
          <w:sz w:val="20"/>
          <w:szCs w:val="20"/>
          <w:u w:val="none"/>
        </w:rPr>
        <w:t>Sagris</w:t>
      </w:r>
      <w:proofErr w:type="spellEnd"/>
      <w:r w:rsidRPr="56F5E4A9" w:rsidR="56F5E4A9">
        <w:rPr>
          <w:i w:val="0"/>
          <w:iCs w:val="0"/>
          <w:sz w:val="20"/>
          <w:szCs w:val="20"/>
          <w:u w:val="none"/>
        </w:rPr>
        <w:t xml:space="preserve">, A. (1995) ‘Does Eye Contact Increase Counsellor-Client Rapport’, </w:t>
      </w:r>
      <w:r w:rsidRPr="56F5E4A9" w:rsidR="56F5E4A9">
        <w:rPr>
          <w:i w:val="1"/>
          <w:iCs w:val="1"/>
          <w:sz w:val="20"/>
          <w:szCs w:val="20"/>
          <w:u w:val="none"/>
        </w:rPr>
        <w:t xml:space="preserve">Counselling Psychology Quarterly, </w:t>
      </w:r>
      <w:r w:rsidRPr="56F5E4A9" w:rsidR="56F5E4A9">
        <w:rPr>
          <w:i w:val="0"/>
          <w:iCs w:val="0"/>
          <w:sz w:val="20"/>
          <w:szCs w:val="20"/>
          <w:u w:val="none"/>
        </w:rPr>
        <w:t>8 (2), pp. 145- 156.</w:t>
      </w:r>
    </w:p>
    <w:p w:rsidR="56F5E4A9" w:rsidP="5C66A75C" w:rsidRDefault="56F5E4A9" w14:paraId="28625274" w14:noSpellErr="1" w14:textId="1167EE86">
      <w:pPr>
        <w:pStyle w:val="Normal"/>
        <w:rPr>
          <w:i w:val="0"/>
          <w:iCs w:val="0"/>
          <w:sz w:val="20"/>
          <w:szCs w:val="20"/>
          <w:u w:val="none"/>
        </w:rPr>
      </w:pPr>
      <w:r w:rsidRPr="5C66A75C" w:rsidR="5C66A75C">
        <w:rPr>
          <w:i w:val="0"/>
          <w:iCs w:val="0"/>
          <w:sz w:val="20"/>
          <w:szCs w:val="20"/>
          <w:u w:val="none"/>
        </w:rPr>
        <w:t xml:space="preserve">Vallance, K. (2010) ‘Exploring counsellor perceptions of the impact of counselling supervision on clients’, </w:t>
      </w:r>
      <w:r w:rsidRPr="5C66A75C" w:rsidR="5C66A75C">
        <w:rPr>
          <w:i w:val="1"/>
          <w:iCs w:val="1"/>
          <w:sz w:val="20"/>
          <w:szCs w:val="20"/>
          <w:u w:val="none"/>
        </w:rPr>
        <w:t xml:space="preserve">British Journal of Guidance and Counselling’, </w:t>
      </w:r>
      <w:r w:rsidRPr="5C66A75C" w:rsidR="5C66A75C">
        <w:rPr>
          <w:i w:val="0"/>
          <w:iCs w:val="0"/>
          <w:sz w:val="20"/>
          <w:szCs w:val="20"/>
          <w:u w:val="none"/>
        </w:rPr>
        <w:t>32 (4), pp.559-574.</w:t>
      </w:r>
    </w:p>
    <w:sectPr>
      <w:pgSz w:w="11906" w:h="16838" w:orient="portrait"/>
      <w:pgMar w:top="1440" w:right="1440" w:bottom="1440" w:left="1440" w:header="720" w:footer="720" w:gutter="0"/>
      <w:cols w:space="720"/>
      <w:docGrid w:linePitch="360"/>
      <w:headerReference w:type="default" r:id="R5566f637220c403b"/>
      <w:footerReference w:type="default" r:id="R7b34f117211d4712"/>
      <w:titlePg w:val="1"/>
      <w:headerReference w:type="first" r:id="R773a6ad7edd14671"/>
      <w:footerReference w:type="first" r:id="Rbc2405d6a8244e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B71B42" w:rsidTr="3773E8C0" w14:paraId="5A7D9FA7">
      <w:tc>
        <w:tcPr>
          <w:tcW w:w="3009" w:type="dxa"/>
          <w:tcMar/>
        </w:tcPr>
        <w:p w:rsidR="76B71B42" w:rsidP="76B71B42" w:rsidRDefault="76B71B42" w14:paraId="687265F7" w14:textId="33072539">
          <w:pPr>
            <w:pStyle w:val="Header"/>
            <w:bidi w:val="0"/>
            <w:ind w:left="-115"/>
            <w:jc w:val="left"/>
          </w:pPr>
        </w:p>
      </w:tc>
      <w:tc>
        <w:tcPr>
          <w:tcW w:w="3009" w:type="dxa"/>
          <w:tcMar/>
        </w:tcPr>
        <w:p w:rsidR="76B71B42" w:rsidP="76B71B42" w:rsidRDefault="76B71B42" w14:paraId="0839ADD4" w14:noSpellErr="1" w14:textId="489FC36F">
          <w:pPr>
            <w:pStyle w:val="Header"/>
            <w:bidi w:val="0"/>
            <w:jc w:val="center"/>
          </w:pPr>
          <w:r>
            <w:fldChar w:fldCharType="begin"/>
          </w:r>
          <w:r>
            <w:instrText xml:space="preserve">PAGE</w:instrText>
          </w:r>
          <w:r>
            <w:fldChar w:fldCharType="end"/>
          </w:r>
        </w:p>
      </w:tc>
      <w:tc>
        <w:tcPr>
          <w:tcW w:w="3009" w:type="dxa"/>
          <w:tcMar/>
        </w:tcPr>
        <w:p w:rsidR="76B71B42" w:rsidP="76B71B42" w:rsidRDefault="76B71B42" w14:paraId="18FB3844" w14:textId="4F6A1695">
          <w:pPr>
            <w:pStyle w:val="Header"/>
            <w:bidi w:val="0"/>
            <w:ind w:right="-115"/>
            <w:jc w:val="right"/>
          </w:pPr>
        </w:p>
      </w:tc>
    </w:tr>
  </w:tbl>
  <w:p w:rsidR="76B71B42" w:rsidP="76B71B42" w:rsidRDefault="76B71B42" w14:paraId="6F38197A" w14:textId="19D9A52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773E8C0" w:rsidTr="3773E8C0" w14:paraId="40A71CAF">
      <w:tc>
        <w:tcPr>
          <w:tcW w:w="3009" w:type="dxa"/>
          <w:tcMar/>
        </w:tcPr>
        <w:p w:rsidR="3773E8C0" w:rsidP="3773E8C0" w:rsidRDefault="3773E8C0" w14:paraId="1C3FED15" w14:textId="180B6905">
          <w:pPr>
            <w:pStyle w:val="Header"/>
            <w:bidi w:val="0"/>
            <w:ind w:left="-115"/>
            <w:jc w:val="left"/>
          </w:pPr>
        </w:p>
      </w:tc>
      <w:tc>
        <w:tcPr>
          <w:tcW w:w="3009" w:type="dxa"/>
          <w:tcMar/>
        </w:tcPr>
        <w:p w:rsidR="3773E8C0" w:rsidP="3773E8C0" w:rsidRDefault="3773E8C0" w14:paraId="6C01E331" w14:textId="5D37C492">
          <w:pPr>
            <w:pStyle w:val="Header"/>
            <w:bidi w:val="0"/>
            <w:jc w:val="center"/>
          </w:pPr>
        </w:p>
      </w:tc>
      <w:tc>
        <w:tcPr>
          <w:tcW w:w="3009" w:type="dxa"/>
          <w:tcMar/>
        </w:tcPr>
        <w:p w:rsidR="3773E8C0" w:rsidP="3773E8C0" w:rsidRDefault="3773E8C0" w14:paraId="2A62787F" w14:textId="55DFA8BB">
          <w:pPr>
            <w:pStyle w:val="Header"/>
            <w:bidi w:val="0"/>
            <w:ind w:right="-115"/>
            <w:jc w:val="right"/>
          </w:pPr>
        </w:p>
      </w:tc>
    </w:tr>
  </w:tbl>
  <w:p w:rsidR="3773E8C0" w:rsidP="3773E8C0" w:rsidRDefault="3773E8C0" w14:paraId="61AFC3AD" w14:textId="1EDAFB7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B71B42" w:rsidTr="16AF3066" w14:paraId="172B9C4C">
      <w:tc>
        <w:tcPr>
          <w:tcW w:w="3009" w:type="dxa"/>
          <w:tcMar/>
        </w:tcPr>
        <w:p w:rsidR="76B71B42" w:rsidP="76B71B42" w:rsidRDefault="76B71B42" w14:paraId="6248EEE2" w14:textId="2910F3B3">
          <w:pPr>
            <w:pStyle w:val="Header"/>
            <w:bidi w:val="0"/>
            <w:ind w:left="-115"/>
            <w:jc w:val="left"/>
          </w:pPr>
          <w:r w:rsidR="16AF3066">
            <w:rPr/>
            <w:t>1601492</w:t>
          </w:r>
        </w:p>
      </w:tc>
      <w:tc>
        <w:tcPr>
          <w:tcW w:w="3009" w:type="dxa"/>
          <w:tcMar/>
        </w:tcPr>
        <w:p w:rsidR="76B71B42" w:rsidP="76B71B42" w:rsidRDefault="76B71B42" w14:paraId="7A7038C6" w14:textId="3D31B813">
          <w:pPr>
            <w:pStyle w:val="Header"/>
            <w:bidi w:val="0"/>
            <w:jc w:val="center"/>
          </w:pPr>
        </w:p>
      </w:tc>
      <w:tc>
        <w:tcPr>
          <w:tcW w:w="3009" w:type="dxa"/>
          <w:tcMar/>
        </w:tcPr>
        <w:p w:rsidR="76B71B42" w:rsidP="76B71B42" w:rsidRDefault="76B71B42" w14:paraId="541795BC" w14:textId="10BF4D92">
          <w:pPr>
            <w:pStyle w:val="Header"/>
            <w:bidi w:val="0"/>
            <w:ind w:right="-115"/>
            <w:jc w:val="right"/>
          </w:pPr>
        </w:p>
      </w:tc>
    </w:tr>
  </w:tbl>
  <w:p w:rsidR="76B71B42" w:rsidP="76B71B42" w:rsidRDefault="76B71B42" w14:paraId="410A3BFE" w14:textId="78162EB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773E8C0" w:rsidTr="3773E8C0" w14:paraId="4A1B3BCF">
      <w:tc>
        <w:tcPr>
          <w:tcW w:w="3009" w:type="dxa"/>
          <w:tcMar/>
        </w:tcPr>
        <w:p w:rsidR="3773E8C0" w:rsidP="3773E8C0" w:rsidRDefault="3773E8C0" w14:paraId="60EA1AE3" w14:textId="5E5C353B">
          <w:pPr>
            <w:pStyle w:val="Header"/>
            <w:bidi w:val="0"/>
            <w:ind w:left="-115"/>
            <w:jc w:val="left"/>
          </w:pPr>
        </w:p>
      </w:tc>
      <w:tc>
        <w:tcPr>
          <w:tcW w:w="3009" w:type="dxa"/>
          <w:tcMar/>
        </w:tcPr>
        <w:p w:rsidR="3773E8C0" w:rsidP="3773E8C0" w:rsidRDefault="3773E8C0" w14:paraId="0730D950" w14:textId="34703FF5">
          <w:pPr>
            <w:pStyle w:val="Header"/>
            <w:bidi w:val="0"/>
            <w:jc w:val="center"/>
          </w:pPr>
        </w:p>
      </w:tc>
      <w:tc>
        <w:tcPr>
          <w:tcW w:w="3009" w:type="dxa"/>
          <w:tcMar/>
        </w:tcPr>
        <w:p w:rsidR="3773E8C0" w:rsidP="3773E8C0" w:rsidRDefault="3773E8C0" w14:paraId="28BBDAAA" w14:textId="647AC102">
          <w:pPr>
            <w:pStyle w:val="Header"/>
            <w:bidi w:val="0"/>
            <w:ind w:right="-115"/>
            <w:jc w:val="right"/>
          </w:pPr>
        </w:p>
      </w:tc>
    </w:tr>
  </w:tbl>
  <w:p w:rsidR="3773E8C0" w:rsidP="3773E8C0" w:rsidRDefault="3773E8C0" w14:paraId="0D394793" w14:textId="0272091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1203A1"/>
  <w15:docId w15:val="{94ba8386-8031-4d91-9908-674033659517}"/>
  <w:rsids>
    <w:rsidRoot w:val="191203A1"/>
    <w:rsid w:val="05701174"/>
    <w:rsid w:val="07691D00"/>
    <w:rsid w:val="08F94312"/>
    <w:rsid w:val="16AF3066"/>
    <w:rsid w:val="191203A1"/>
    <w:rsid w:val="1BCA5226"/>
    <w:rsid w:val="328CDD6A"/>
    <w:rsid w:val="3326FE86"/>
    <w:rsid w:val="3773E8C0"/>
    <w:rsid w:val="3BA7C421"/>
    <w:rsid w:val="422747DB"/>
    <w:rsid w:val="4946315E"/>
    <w:rsid w:val="51FA34A3"/>
    <w:rsid w:val="56F5E4A9"/>
    <w:rsid w:val="5C66A75C"/>
    <w:rsid w:val="5EC27A0E"/>
    <w:rsid w:val="5F49B1FF"/>
    <w:rsid w:val="66031D28"/>
    <w:rsid w:val="6E24BF02"/>
    <w:rsid w:val="6EE711AF"/>
    <w:rsid w:val="720BDBC9"/>
    <w:rsid w:val="76B71B42"/>
    <w:rsid w:val="76C4B8D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566f637220c403b" /><Relationship Type="http://schemas.openxmlformats.org/officeDocument/2006/relationships/footer" Target="/word/footer.xml" Id="R7b34f117211d4712" /><Relationship Type="http://schemas.openxmlformats.org/officeDocument/2006/relationships/header" Target="/word/header2.xml" Id="R773a6ad7edd14671" /><Relationship Type="http://schemas.openxmlformats.org/officeDocument/2006/relationships/footer" Target="/word/footer2.xml" Id="Rbc2405d6a8244e01" /><Relationship Type="http://schemas.openxmlformats.org/officeDocument/2006/relationships/image" Target="/media/image3.jpg" Id="R2079c039bde54a74" /><Relationship Type="http://schemas.openxmlformats.org/officeDocument/2006/relationships/hyperlink" Target="https://www.bacp.co.uk/events-and-resources/ethics-and-standards/ethical-framework-for-the-counselling-professions/" TargetMode="External" Id="Raea810e2927747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grimmett</dc:creator>
  <keywords/>
  <dc:description/>
  <lastModifiedBy>sophie grimmett</lastModifiedBy>
  <revision>23</revision>
  <dcterms:created xsi:type="dcterms:W3CDTF">2019-03-02T17:30:15.9066045Z</dcterms:created>
  <dcterms:modified xsi:type="dcterms:W3CDTF">2019-03-12T12:59:55.0966355Z</dcterms:modified>
</coreProperties>
</file>