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98B8F" w14:textId="7818F216" w:rsidR="00A26715" w:rsidRDefault="00A26715" w:rsidP="00574FE0">
      <w:pPr>
        <w:pStyle w:val="p1"/>
        <w:spacing w:line="360" w:lineRule="auto"/>
        <w:rPr>
          <w:rStyle w:val="s1"/>
          <w:rFonts w:ascii="Arial" w:hAnsi="Arial" w:cs="Arial"/>
          <w:sz w:val="22"/>
          <w:szCs w:val="22"/>
        </w:rPr>
      </w:pPr>
      <w:r>
        <w:rPr>
          <w:rStyle w:val="s1"/>
          <w:rFonts w:ascii="Arial" w:hAnsi="Arial" w:cs="Arial"/>
          <w:noProof/>
          <w:sz w:val="22"/>
          <w:szCs w:val="22"/>
          <w:u w:val="double"/>
        </w:rPr>
        <w:drawing>
          <wp:inline distT="0" distB="0" distL="0" distR="0" wp14:anchorId="700C34C5" wp14:editId="1F51504C">
            <wp:extent cx="1333500" cy="506373"/>
            <wp:effectExtent l="0" t="0" r="0" b="8255"/>
            <wp:docPr id="696605472" name="Picture 17">
              <a:extLst xmlns:a="http://schemas.openxmlformats.org/drawingml/2006/main">
                <a:ext uri="{FF2B5EF4-FFF2-40B4-BE49-F238E27FC236}">
                  <a16:creationId xmlns:a16="http://schemas.microsoft.com/office/drawing/2014/main" id="{2AFEC190-C3FF-4A62-971B-AD3A3E468D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346703" cy="511387"/>
                    </a:xfrm>
                    <a:prstGeom prst="rect">
                      <a:avLst/>
                    </a:prstGeom>
                    <a:noFill/>
                  </pic:spPr>
                </pic:pic>
              </a:graphicData>
            </a:graphic>
          </wp:inline>
        </w:drawing>
      </w:r>
    </w:p>
    <w:p w14:paraId="6A812943" w14:textId="77777777" w:rsidR="00A26715" w:rsidRDefault="00A26715" w:rsidP="00574FE0">
      <w:pPr>
        <w:pStyle w:val="p1"/>
        <w:spacing w:line="360" w:lineRule="auto"/>
        <w:rPr>
          <w:rStyle w:val="s1"/>
          <w:rFonts w:ascii="Arial" w:hAnsi="Arial" w:cs="Arial"/>
          <w:sz w:val="22"/>
          <w:szCs w:val="22"/>
        </w:rPr>
      </w:pPr>
    </w:p>
    <w:p w14:paraId="703A405F" w14:textId="3D1BB1CF" w:rsidR="00EF5E8F" w:rsidRPr="00D65157" w:rsidRDefault="00EF5E8F" w:rsidP="00574FE0">
      <w:pPr>
        <w:pStyle w:val="p1"/>
        <w:spacing w:line="360" w:lineRule="auto"/>
        <w:rPr>
          <w:rFonts w:ascii="Arial" w:hAnsi="Arial" w:cs="Arial"/>
          <w:sz w:val="22"/>
          <w:szCs w:val="22"/>
        </w:rPr>
      </w:pPr>
      <w:r w:rsidRPr="00D65157">
        <w:rPr>
          <w:rStyle w:val="s1"/>
          <w:rFonts w:ascii="Arial" w:hAnsi="Arial" w:cs="Arial"/>
          <w:sz w:val="22"/>
          <w:szCs w:val="22"/>
        </w:rPr>
        <w:t xml:space="preserve">Name: Rosa Islam Semi Bepary </w:t>
      </w:r>
      <w:r w:rsidRPr="00D65157">
        <w:rPr>
          <w:rStyle w:val="apple-converted-space"/>
          <w:rFonts w:ascii="Arial" w:hAnsi="Arial" w:cs="Arial"/>
          <w:sz w:val="22"/>
          <w:szCs w:val="22"/>
        </w:rPr>
        <w:t> </w:t>
      </w:r>
    </w:p>
    <w:p w14:paraId="05C46258" w14:textId="77777777" w:rsidR="00EF5E8F" w:rsidRDefault="00EF5E8F" w:rsidP="00574FE0">
      <w:pPr>
        <w:pStyle w:val="p1"/>
        <w:spacing w:line="360" w:lineRule="auto"/>
        <w:rPr>
          <w:rStyle w:val="s1"/>
          <w:rFonts w:ascii="Arial" w:hAnsi="Arial" w:cs="Arial"/>
          <w:sz w:val="22"/>
          <w:szCs w:val="22"/>
        </w:rPr>
      </w:pPr>
      <w:r w:rsidRPr="00D65157">
        <w:rPr>
          <w:rStyle w:val="s1"/>
          <w:rFonts w:ascii="Arial" w:hAnsi="Arial" w:cs="Arial"/>
          <w:sz w:val="22"/>
          <w:szCs w:val="22"/>
        </w:rPr>
        <w:t>Student Number: 2418833</w:t>
      </w:r>
    </w:p>
    <w:p w14:paraId="069177D2" w14:textId="15482D39" w:rsidR="00036D7E" w:rsidRPr="00D65157" w:rsidRDefault="00036D7E" w:rsidP="00574FE0">
      <w:pPr>
        <w:pStyle w:val="p1"/>
        <w:spacing w:line="360" w:lineRule="auto"/>
        <w:rPr>
          <w:rFonts w:ascii="Arial" w:hAnsi="Arial" w:cs="Arial"/>
          <w:sz w:val="22"/>
          <w:szCs w:val="22"/>
        </w:rPr>
      </w:pPr>
      <w:r>
        <w:rPr>
          <w:rStyle w:val="s1"/>
          <w:rFonts w:ascii="Arial" w:hAnsi="Arial" w:cs="Arial"/>
          <w:sz w:val="22"/>
          <w:szCs w:val="22"/>
        </w:rPr>
        <w:t>Lecturer: Itse Olaoye</w:t>
      </w:r>
    </w:p>
    <w:p w14:paraId="59FD77C0" w14:textId="77777777" w:rsidR="00EF5E8F" w:rsidRPr="00D65157" w:rsidRDefault="00EF5E8F" w:rsidP="00574FE0">
      <w:pPr>
        <w:pStyle w:val="p1"/>
        <w:spacing w:line="360" w:lineRule="auto"/>
        <w:rPr>
          <w:rFonts w:ascii="Arial" w:hAnsi="Arial" w:cs="Arial"/>
          <w:sz w:val="22"/>
          <w:szCs w:val="22"/>
        </w:rPr>
      </w:pPr>
      <w:r w:rsidRPr="00D65157">
        <w:rPr>
          <w:rStyle w:val="s1"/>
          <w:rFonts w:ascii="Arial" w:hAnsi="Arial" w:cs="Arial"/>
          <w:sz w:val="22"/>
          <w:szCs w:val="22"/>
        </w:rPr>
        <w:t xml:space="preserve">Module Code: BMHP5016 </w:t>
      </w:r>
      <w:r w:rsidRPr="00D65157">
        <w:rPr>
          <w:rStyle w:val="apple-converted-space"/>
          <w:rFonts w:ascii="Arial" w:hAnsi="Arial" w:cs="Arial"/>
          <w:sz w:val="22"/>
          <w:szCs w:val="22"/>
        </w:rPr>
        <w:t> </w:t>
      </w:r>
    </w:p>
    <w:p w14:paraId="6BE7D9EA" w14:textId="77777777" w:rsidR="00EF5E8F" w:rsidRPr="00D65157" w:rsidRDefault="00EF5E8F" w:rsidP="00574FE0">
      <w:pPr>
        <w:pStyle w:val="p1"/>
        <w:spacing w:line="360" w:lineRule="auto"/>
        <w:rPr>
          <w:rFonts w:ascii="Arial" w:hAnsi="Arial" w:cs="Arial"/>
          <w:sz w:val="22"/>
          <w:szCs w:val="22"/>
        </w:rPr>
      </w:pPr>
      <w:r w:rsidRPr="00D65157">
        <w:rPr>
          <w:rStyle w:val="s1"/>
          <w:rFonts w:ascii="Arial" w:hAnsi="Arial" w:cs="Arial"/>
          <w:sz w:val="22"/>
          <w:szCs w:val="22"/>
        </w:rPr>
        <w:t xml:space="preserve">Module Title: Principles of Health and Social Care Practice </w:t>
      </w:r>
      <w:r w:rsidRPr="00D65157">
        <w:rPr>
          <w:rStyle w:val="apple-converted-space"/>
          <w:rFonts w:ascii="Arial" w:hAnsi="Arial" w:cs="Arial"/>
          <w:sz w:val="22"/>
          <w:szCs w:val="22"/>
        </w:rPr>
        <w:t> </w:t>
      </w:r>
    </w:p>
    <w:p w14:paraId="389FC5B1" w14:textId="77777777" w:rsidR="00EF5E8F" w:rsidRPr="00D65157" w:rsidRDefault="00EF5E8F" w:rsidP="00574FE0">
      <w:pPr>
        <w:pStyle w:val="p1"/>
        <w:spacing w:line="360" w:lineRule="auto"/>
        <w:rPr>
          <w:rFonts w:ascii="Arial" w:hAnsi="Arial" w:cs="Arial"/>
          <w:sz w:val="22"/>
          <w:szCs w:val="22"/>
        </w:rPr>
      </w:pPr>
      <w:r w:rsidRPr="00D65157">
        <w:rPr>
          <w:rStyle w:val="s1"/>
          <w:rFonts w:ascii="Arial" w:hAnsi="Arial" w:cs="Arial"/>
          <w:sz w:val="22"/>
          <w:szCs w:val="22"/>
        </w:rPr>
        <w:t xml:space="preserve">Assignment Title: Component 1: Written Assignment (Reflective Report) </w:t>
      </w:r>
      <w:r w:rsidRPr="00D65157">
        <w:rPr>
          <w:rStyle w:val="apple-converted-space"/>
          <w:rFonts w:ascii="Arial" w:hAnsi="Arial" w:cs="Arial"/>
          <w:sz w:val="22"/>
          <w:szCs w:val="22"/>
        </w:rPr>
        <w:t> </w:t>
      </w:r>
    </w:p>
    <w:p w14:paraId="6E49DE94" w14:textId="77777777" w:rsidR="00574FE0" w:rsidRDefault="00574FE0" w:rsidP="00574FE0">
      <w:pPr>
        <w:spacing w:line="360" w:lineRule="auto"/>
        <w:rPr>
          <w:rFonts w:ascii="Arial" w:hAnsi="Arial" w:cs="Arial"/>
          <w:sz w:val="22"/>
          <w:szCs w:val="22"/>
        </w:rPr>
      </w:pPr>
    </w:p>
    <w:p w14:paraId="0739462F" w14:textId="77777777" w:rsidR="00A40F80" w:rsidRDefault="00A40F80" w:rsidP="00574FE0">
      <w:pPr>
        <w:spacing w:line="360" w:lineRule="auto"/>
        <w:rPr>
          <w:rFonts w:ascii="Arial" w:hAnsi="Arial" w:cs="Arial"/>
          <w:sz w:val="22"/>
          <w:szCs w:val="22"/>
        </w:rPr>
      </w:pPr>
    </w:p>
    <w:p w14:paraId="0F24E384" w14:textId="77777777" w:rsidR="00A40F80" w:rsidRDefault="00A40F80" w:rsidP="00574FE0">
      <w:pPr>
        <w:spacing w:line="360" w:lineRule="auto"/>
        <w:rPr>
          <w:rFonts w:ascii="Arial" w:hAnsi="Arial" w:cs="Arial"/>
          <w:sz w:val="22"/>
          <w:szCs w:val="22"/>
        </w:rPr>
      </w:pPr>
    </w:p>
    <w:p w14:paraId="47CCD433" w14:textId="77777777" w:rsidR="00A40F80" w:rsidRDefault="00A40F80" w:rsidP="00574FE0">
      <w:pPr>
        <w:spacing w:line="360" w:lineRule="auto"/>
        <w:rPr>
          <w:rFonts w:ascii="Arial" w:hAnsi="Arial" w:cs="Arial"/>
          <w:sz w:val="22"/>
          <w:szCs w:val="22"/>
        </w:rPr>
      </w:pPr>
    </w:p>
    <w:p w14:paraId="3E07BF4F" w14:textId="77777777" w:rsidR="00A40F80" w:rsidRDefault="00A40F80" w:rsidP="00574FE0">
      <w:pPr>
        <w:spacing w:line="360" w:lineRule="auto"/>
        <w:rPr>
          <w:rFonts w:ascii="Arial" w:hAnsi="Arial" w:cs="Arial"/>
          <w:sz w:val="22"/>
          <w:szCs w:val="22"/>
        </w:rPr>
      </w:pPr>
    </w:p>
    <w:p w14:paraId="0754C936" w14:textId="77777777" w:rsidR="00A40F80" w:rsidRDefault="00A40F80" w:rsidP="00574FE0">
      <w:pPr>
        <w:spacing w:line="360" w:lineRule="auto"/>
        <w:rPr>
          <w:rFonts w:ascii="Arial" w:hAnsi="Arial" w:cs="Arial"/>
          <w:sz w:val="22"/>
          <w:szCs w:val="22"/>
        </w:rPr>
      </w:pPr>
    </w:p>
    <w:p w14:paraId="5633175C" w14:textId="77777777" w:rsidR="00A40F80" w:rsidRDefault="00A40F80" w:rsidP="00574FE0">
      <w:pPr>
        <w:spacing w:line="360" w:lineRule="auto"/>
        <w:rPr>
          <w:rFonts w:ascii="Arial" w:hAnsi="Arial" w:cs="Arial"/>
          <w:sz w:val="22"/>
          <w:szCs w:val="22"/>
        </w:rPr>
      </w:pPr>
    </w:p>
    <w:p w14:paraId="7758DEA5" w14:textId="77777777" w:rsidR="00A40F80" w:rsidRDefault="00A40F80" w:rsidP="00574FE0">
      <w:pPr>
        <w:spacing w:line="360" w:lineRule="auto"/>
        <w:rPr>
          <w:rFonts w:ascii="Arial" w:hAnsi="Arial" w:cs="Arial"/>
          <w:sz w:val="22"/>
          <w:szCs w:val="22"/>
        </w:rPr>
      </w:pPr>
    </w:p>
    <w:p w14:paraId="052EBBCC" w14:textId="77777777" w:rsidR="00A40F80" w:rsidRDefault="00A40F80" w:rsidP="00574FE0">
      <w:pPr>
        <w:spacing w:line="360" w:lineRule="auto"/>
        <w:rPr>
          <w:rFonts w:ascii="Arial" w:hAnsi="Arial" w:cs="Arial"/>
          <w:sz w:val="22"/>
          <w:szCs w:val="22"/>
        </w:rPr>
      </w:pPr>
    </w:p>
    <w:p w14:paraId="7F2675A6" w14:textId="77777777" w:rsidR="00A40F80" w:rsidRDefault="00A40F80" w:rsidP="00574FE0">
      <w:pPr>
        <w:spacing w:line="360" w:lineRule="auto"/>
        <w:rPr>
          <w:rFonts w:ascii="Arial" w:hAnsi="Arial" w:cs="Arial"/>
          <w:sz w:val="22"/>
          <w:szCs w:val="22"/>
        </w:rPr>
      </w:pPr>
    </w:p>
    <w:p w14:paraId="1B878C0C" w14:textId="77777777" w:rsidR="00A40F80" w:rsidRDefault="00A40F80" w:rsidP="00574FE0">
      <w:pPr>
        <w:spacing w:line="360" w:lineRule="auto"/>
        <w:rPr>
          <w:rFonts w:ascii="Arial" w:hAnsi="Arial" w:cs="Arial"/>
          <w:sz w:val="22"/>
          <w:szCs w:val="22"/>
        </w:rPr>
      </w:pPr>
    </w:p>
    <w:p w14:paraId="3970254A" w14:textId="77777777" w:rsidR="00A40F80" w:rsidRDefault="00A40F80" w:rsidP="00574FE0">
      <w:pPr>
        <w:spacing w:line="360" w:lineRule="auto"/>
        <w:rPr>
          <w:rFonts w:ascii="Arial" w:hAnsi="Arial" w:cs="Arial"/>
          <w:sz w:val="22"/>
          <w:szCs w:val="22"/>
        </w:rPr>
      </w:pPr>
    </w:p>
    <w:p w14:paraId="7CF0495F" w14:textId="77777777" w:rsidR="00A40F80" w:rsidRDefault="00A40F80" w:rsidP="00574FE0">
      <w:pPr>
        <w:spacing w:line="360" w:lineRule="auto"/>
        <w:rPr>
          <w:rFonts w:ascii="Arial" w:hAnsi="Arial" w:cs="Arial"/>
          <w:sz w:val="22"/>
          <w:szCs w:val="22"/>
        </w:rPr>
      </w:pPr>
    </w:p>
    <w:p w14:paraId="736C87D8" w14:textId="77777777" w:rsidR="00A40F80" w:rsidRDefault="00A40F80" w:rsidP="00574FE0">
      <w:pPr>
        <w:spacing w:line="360" w:lineRule="auto"/>
        <w:rPr>
          <w:rFonts w:ascii="Arial" w:hAnsi="Arial" w:cs="Arial"/>
          <w:sz w:val="22"/>
          <w:szCs w:val="22"/>
        </w:rPr>
      </w:pPr>
    </w:p>
    <w:p w14:paraId="2E266C70" w14:textId="77777777" w:rsidR="00A40F80" w:rsidRDefault="00A40F80" w:rsidP="00574FE0">
      <w:pPr>
        <w:spacing w:line="360" w:lineRule="auto"/>
        <w:rPr>
          <w:rFonts w:ascii="Arial" w:hAnsi="Arial" w:cs="Arial"/>
          <w:sz w:val="22"/>
          <w:szCs w:val="22"/>
        </w:rPr>
      </w:pPr>
    </w:p>
    <w:p w14:paraId="0861D805" w14:textId="77777777" w:rsidR="00A40F80" w:rsidRDefault="00A40F80" w:rsidP="00574FE0">
      <w:pPr>
        <w:spacing w:line="360" w:lineRule="auto"/>
        <w:rPr>
          <w:rFonts w:ascii="Arial" w:hAnsi="Arial" w:cs="Arial"/>
          <w:sz w:val="22"/>
          <w:szCs w:val="22"/>
        </w:rPr>
      </w:pPr>
    </w:p>
    <w:p w14:paraId="699933EC" w14:textId="77777777" w:rsidR="00A40F80" w:rsidRDefault="00A40F80" w:rsidP="00574FE0">
      <w:pPr>
        <w:spacing w:line="360" w:lineRule="auto"/>
        <w:rPr>
          <w:rFonts w:ascii="Arial" w:hAnsi="Arial" w:cs="Arial"/>
          <w:sz w:val="22"/>
          <w:szCs w:val="22"/>
        </w:rPr>
      </w:pPr>
    </w:p>
    <w:p w14:paraId="5BD3EC41" w14:textId="77777777" w:rsidR="00574FE0" w:rsidRDefault="00574FE0" w:rsidP="00574FE0">
      <w:pPr>
        <w:spacing w:line="360" w:lineRule="auto"/>
        <w:rPr>
          <w:rFonts w:ascii="Arial" w:hAnsi="Arial" w:cs="Arial"/>
          <w:sz w:val="22"/>
          <w:szCs w:val="22"/>
        </w:rPr>
      </w:pPr>
    </w:p>
    <w:p w14:paraId="2F9040AF" w14:textId="5D30F889" w:rsidR="00574FE0" w:rsidRDefault="00574FE0" w:rsidP="00574FE0">
      <w:pPr>
        <w:spacing w:line="360" w:lineRule="auto"/>
        <w:rPr>
          <w:rFonts w:ascii="Arial" w:hAnsi="Arial" w:cs="Arial"/>
          <w:sz w:val="22"/>
          <w:szCs w:val="22"/>
        </w:rPr>
      </w:pPr>
      <w:r>
        <w:rPr>
          <w:rFonts w:ascii="Arial" w:hAnsi="Arial" w:cs="Arial"/>
          <w:sz w:val="22"/>
          <w:szCs w:val="22"/>
        </w:rPr>
        <w:t xml:space="preserve"> </w:t>
      </w:r>
    </w:p>
    <w:p w14:paraId="0650281A" w14:textId="222EA13A" w:rsidR="00F13D20" w:rsidRPr="008449DA" w:rsidRDefault="00846EBC" w:rsidP="002E5133">
      <w:pPr>
        <w:pStyle w:val="p1"/>
        <w:spacing w:line="360" w:lineRule="auto"/>
        <w:rPr>
          <w:rStyle w:val="s1"/>
          <w:rFonts w:ascii="Arial" w:hAnsi="Arial" w:cs="Arial"/>
          <w:sz w:val="22"/>
          <w:szCs w:val="22"/>
        </w:rPr>
      </w:pPr>
      <w:r w:rsidRPr="00700617">
        <w:rPr>
          <w:rFonts w:ascii="Arial" w:hAnsi="Arial" w:cs="Arial"/>
          <w:sz w:val="22"/>
          <w:szCs w:val="22"/>
          <w:u w:val="single"/>
        </w:rPr>
        <w:lastRenderedPageBreak/>
        <w:t>Introduction</w:t>
      </w:r>
      <w:r>
        <w:br/>
      </w:r>
      <w:r w:rsidRPr="008449DA">
        <w:rPr>
          <w:rFonts w:ascii="Arial" w:hAnsi="Arial" w:cs="Arial"/>
          <w:sz w:val="22"/>
          <w:szCs w:val="22"/>
        </w:rPr>
        <w:br/>
        <w:t>This reflective report explores the principles of health and social care, focusing on person-centred care, partnership working, and ethics. These principles are essential for enhancing the quality of care and ensuring that the needs of individuals are met effectively within the UK health and social care system.</w:t>
      </w:r>
      <w:r w:rsidRPr="008449DA">
        <w:rPr>
          <w:rFonts w:ascii="Arial" w:hAnsi="Arial" w:cs="Arial"/>
          <w:sz w:val="22"/>
          <w:szCs w:val="22"/>
        </w:rPr>
        <w:br/>
        <w:t xml:space="preserve">In this report, I will reflect on the significance of these principles, provide practical examples of their application in real-world settings, and offer a personal reflection on how these principles influence my work as a health and social care professional. By utilizing relevant theories and current legislation, I aim to demonstrate a comprehensive understanding of how these principles shape practice and contribute to positive health outcomes </w:t>
      </w:r>
    </w:p>
    <w:p w14:paraId="2BC93BE8" w14:textId="77777777" w:rsidR="00C840DA" w:rsidRDefault="00C840DA" w:rsidP="00C840DA">
      <w:pPr>
        <w:pStyle w:val="p1"/>
        <w:spacing w:line="360" w:lineRule="auto"/>
        <w:rPr>
          <w:rStyle w:val="s1"/>
          <w:rFonts w:ascii="Arial" w:hAnsi="Arial" w:cs="Arial"/>
          <w:sz w:val="22"/>
          <w:szCs w:val="22"/>
        </w:rPr>
      </w:pPr>
    </w:p>
    <w:p w14:paraId="370864D2" w14:textId="1DF3847E" w:rsidR="00A40F80" w:rsidRDefault="00F635F5" w:rsidP="004D38E4">
      <w:pPr>
        <w:pStyle w:val="p1"/>
        <w:spacing w:line="360" w:lineRule="auto"/>
        <w:rPr>
          <w:rFonts w:ascii="Arial" w:hAnsi="Arial" w:cs="Arial"/>
          <w:sz w:val="22"/>
          <w:szCs w:val="22"/>
        </w:rPr>
      </w:pPr>
      <w:r w:rsidRPr="003E35A8">
        <w:rPr>
          <w:rFonts w:ascii="Arial" w:hAnsi="Arial" w:cs="Arial"/>
          <w:sz w:val="22"/>
          <w:szCs w:val="22"/>
          <w:u w:val="single"/>
        </w:rPr>
        <w:t>Task 1: Reflection on the Importance of Principles of Health and Social Care</w:t>
      </w:r>
      <w:r w:rsidRPr="003E35A8">
        <w:rPr>
          <w:rFonts w:ascii="Arial" w:hAnsi="Arial" w:cs="Arial"/>
          <w:sz w:val="22"/>
          <w:szCs w:val="22"/>
        </w:rPr>
        <w:t xml:space="preserve"> </w:t>
      </w:r>
      <w:r w:rsidRPr="003E35A8">
        <w:rPr>
          <w:rFonts w:ascii="Arial" w:hAnsi="Arial" w:cs="Arial"/>
          <w:sz w:val="22"/>
          <w:szCs w:val="22"/>
        </w:rPr>
        <w:br/>
      </w:r>
      <w:r w:rsidRPr="003E35A8">
        <w:rPr>
          <w:rFonts w:ascii="Arial" w:hAnsi="Arial" w:cs="Arial"/>
          <w:sz w:val="22"/>
          <w:szCs w:val="22"/>
        </w:rPr>
        <w:br/>
      </w:r>
      <w:r w:rsidRPr="00C17337">
        <w:rPr>
          <w:rFonts w:ascii="Arial" w:hAnsi="Arial" w:cs="Arial"/>
          <w:i/>
          <w:iCs/>
          <w:sz w:val="22"/>
          <w:szCs w:val="22"/>
        </w:rPr>
        <w:t>Person-Centred Care</w:t>
      </w:r>
      <w:r w:rsidRPr="003E35A8">
        <w:rPr>
          <w:rFonts w:ascii="Arial" w:hAnsi="Arial" w:cs="Arial"/>
          <w:sz w:val="22"/>
          <w:szCs w:val="22"/>
        </w:rPr>
        <w:br/>
      </w:r>
      <w:r w:rsidRPr="003E35A8">
        <w:rPr>
          <w:rFonts w:ascii="Arial" w:hAnsi="Arial" w:cs="Arial"/>
          <w:sz w:val="22"/>
          <w:szCs w:val="22"/>
        </w:rPr>
        <w:br/>
        <w:t>Person-centred care is an essential approach in health and social care that prioritizes the preferences and needs of the individual receiving care. This method recognizes each person as unique and emphasizes the importance of tailoring care to meet their specific circumstances. According to Maslow’s Hierarchy of Needs, individuals must meet their basic needs before achieving higher levels of well-being (Maslow, 1943). By implementing person-centred care, healthcare professionals can help individuals feel valued and understood, significantly improving their overall health outcomes.</w:t>
      </w:r>
      <w:r w:rsidRPr="003E35A8">
        <w:rPr>
          <w:rFonts w:ascii="Arial" w:hAnsi="Arial" w:cs="Arial"/>
          <w:sz w:val="22"/>
          <w:szCs w:val="22"/>
        </w:rPr>
        <w:br/>
        <w:t>Moreover, person-centred care enhances engagement. When individuals are actively involved in their care plans, they are more likely to adhere to treatment recommendations and feel empowered in their health journeys. This approach aligns with the principles of dignity and respect, which are fundamental in health and social care practice. The NHS Constitution outlines individuals' rights to be involved in decisions about their care (NHS England, 2021). This involvement not only improves patient satisfaction but also leads to better health outcomes.</w:t>
      </w:r>
      <w:r w:rsidRPr="003E35A8">
        <w:rPr>
          <w:rFonts w:ascii="Arial" w:hAnsi="Arial" w:cs="Arial"/>
          <w:sz w:val="22"/>
          <w:szCs w:val="22"/>
        </w:rPr>
        <w:br/>
      </w:r>
    </w:p>
    <w:p w14:paraId="12CD65A3" w14:textId="77777777" w:rsidR="00A40F80" w:rsidRDefault="00A40F80" w:rsidP="004D38E4">
      <w:pPr>
        <w:pStyle w:val="p1"/>
        <w:spacing w:line="360" w:lineRule="auto"/>
        <w:rPr>
          <w:rFonts w:ascii="Arial" w:hAnsi="Arial" w:cs="Arial"/>
          <w:sz w:val="22"/>
          <w:szCs w:val="22"/>
        </w:rPr>
      </w:pPr>
    </w:p>
    <w:p w14:paraId="3C36651A" w14:textId="77777777" w:rsidR="00A40F80" w:rsidRDefault="00A40F80" w:rsidP="004D38E4">
      <w:pPr>
        <w:pStyle w:val="p1"/>
        <w:spacing w:line="360" w:lineRule="auto"/>
        <w:rPr>
          <w:rFonts w:ascii="Arial" w:hAnsi="Arial" w:cs="Arial"/>
          <w:sz w:val="22"/>
          <w:szCs w:val="22"/>
        </w:rPr>
      </w:pPr>
    </w:p>
    <w:p w14:paraId="0676ED24" w14:textId="77777777" w:rsidR="00A40F80" w:rsidRDefault="00A40F80" w:rsidP="004D38E4">
      <w:pPr>
        <w:pStyle w:val="p1"/>
        <w:spacing w:line="360" w:lineRule="auto"/>
        <w:rPr>
          <w:rFonts w:ascii="Arial" w:hAnsi="Arial" w:cs="Arial"/>
          <w:sz w:val="22"/>
          <w:szCs w:val="22"/>
        </w:rPr>
      </w:pPr>
    </w:p>
    <w:p w14:paraId="529B31E5" w14:textId="77777777" w:rsidR="00A40F80" w:rsidRDefault="00A40F80" w:rsidP="004D38E4">
      <w:pPr>
        <w:pStyle w:val="p1"/>
        <w:spacing w:line="360" w:lineRule="auto"/>
        <w:rPr>
          <w:rFonts w:ascii="Arial" w:hAnsi="Arial" w:cs="Arial"/>
          <w:sz w:val="22"/>
          <w:szCs w:val="22"/>
        </w:rPr>
      </w:pPr>
    </w:p>
    <w:p w14:paraId="375D2BBA" w14:textId="77777777" w:rsidR="00A40F80" w:rsidRDefault="00A40F80" w:rsidP="004D38E4">
      <w:pPr>
        <w:pStyle w:val="p1"/>
        <w:spacing w:line="360" w:lineRule="auto"/>
        <w:rPr>
          <w:rFonts w:ascii="Arial" w:hAnsi="Arial" w:cs="Arial"/>
          <w:sz w:val="22"/>
          <w:szCs w:val="22"/>
        </w:rPr>
      </w:pPr>
    </w:p>
    <w:p w14:paraId="3E552E6B" w14:textId="77777777" w:rsidR="00A40F80" w:rsidRDefault="00F635F5" w:rsidP="004D38E4">
      <w:pPr>
        <w:pStyle w:val="p1"/>
        <w:spacing w:line="360" w:lineRule="auto"/>
        <w:rPr>
          <w:rFonts w:ascii="Arial" w:hAnsi="Arial" w:cs="Arial"/>
          <w:sz w:val="22"/>
          <w:szCs w:val="22"/>
        </w:rPr>
      </w:pPr>
      <w:r w:rsidRPr="003E35A8">
        <w:rPr>
          <w:rFonts w:ascii="Arial" w:hAnsi="Arial" w:cs="Arial"/>
          <w:sz w:val="22"/>
          <w:szCs w:val="22"/>
        </w:rPr>
        <w:lastRenderedPageBreak/>
        <w:br/>
      </w:r>
      <w:r w:rsidRPr="006064CA">
        <w:rPr>
          <w:rFonts w:ascii="Arial" w:hAnsi="Arial" w:cs="Arial"/>
          <w:i/>
          <w:iCs/>
          <w:sz w:val="22"/>
          <w:szCs w:val="22"/>
        </w:rPr>
        <w:t>Partnership Working</w:t>
      </w:r>
      <w:r w:rsidRPr="003E35A8">
        <w:rPr>
          <w:rFonts w:ascii="Arial" w:hAnsi="Arial" w:cs="Arial"/>
          <w:sz w:val="22"/>
          <w:szCs w:val="22"/>
        </w:rPr>
        <w:br/>
      </w:r>
      <w:r w:rsidRPr="003E35A8">
        <w:rPr>
          <w:rFonts w:ascii="Arial" w:hAnsi="Arial" w:cs="Arial"/>
          <w:sz w:val="22"/>
          <w:szCs w:val="22"/>
        </w:rPr>
        <w:br/>
        <w:t>Partnership working is crucial in health and social care, involving collaboration among professionals, individuals, and their families. Effective communication and teamwork lead to improved care, as diverse perspectives contribute to comprehensive care plans. The Care Act 2014 emphasizes the importance of collaboration between agencies to ensure coordinated care (Department of Health and Social Care, 2014).</w:t>
      </w:r>
      <w:r w:rsidRPr="003E35A8">
        <w:rPr>
          <w:rFonts w:ascii="Arial" w:hAnsi="Arial" w:cs="Arial"/>
          <w:sz w:val="22"/>
          <w:szCs w:val="22"/>
        </w:rPr>
        <w:br/>
        <w:t>Through effective partnership working, healthcare professionals can share knowledge and resources, ultimately enhancing the quality of care provided to individuals. For instance, regular multidisciplinary team meetings allow for the exchange of ideas and strategies that can address individual needs comprehensively. This collaboration fosters a supportive environment that benefits both individuals and professionals. However, it can also present challenges, such as role confusion across agencies; using tools like SBAR (Situation, Background, Assessment, Recommendation) can help clarify roles and improve communication (NHS Improvement, 2018). This structured communication improves patient safety and outcomes.</w:t>
      </w:r>
      <w:r w:rsidRPr="003E35A8">
        <w:rPr>
          <w:rFonts w:ascii="Arial" w:hAnsi="Arial" w:cs="Arial"/>
          <w:sz w:val="22"/>
          <w:szCs w:val="22"/>
        </w:rPr>
        <w:br/>
      </w:r>
      <w:r w:rsidRPr="003E35A8">
        <w:rPr>
          <w:rFonts w:ascii="Arial" w:hAnsi="Arial" w:cs="Arial"/>
          <w:sz w:val="22"/>
          <w:szCs w:val="22"/>
        </w:rPr>
        <w:br/>
      </w:r>
      <w:r w:rsidRPr="00535190">
        <w:rPr>
          <w:rFonts w:ascii="Arial" w:hAnsi="Arial" w:cs="Arial"/>
          <w:i/>
          <w:iCs/>
          <w:sz w:val="22"/>
          <w:szCs w:val="22"/>
        </w:rPr>
        <w:t>Ethics</w:t>
      </w:r>
      <w:r w:rsidRPr="003E35A8">
        <w:rPr>
          <w:rFonts w:ascii="Arial" w:hAnsi="Arial" w:cs="Arial"/>
          <w:sz w:val="22"/>
          <w:szCs w:val="22"/>
        </w:rPr>
        <w:br/>
      </w:r>
      <w:r w:rsidRPr="003E35A8">
        <w:rPr>
          <w:rFonts w:ascii="Arial" w:hAnsi="Arial" w:cs="Arial"/>
          <w:sz w:val="22"/>
          <w:szCs w:val="22"/>
        </w:rPr>
        <w:br/>
        <w:t>Ethical considerations are central to health and social care practices, guiding professionals in making decisions that prioritize individual well-being. Ethical principles such as beneficence (doing good) and non-maleficence (avoiding harm) are fundamental in ensuring responsible care delivery. The Health and Care Act 2022 reinforces these ethical obligations by outlining care providers' responsibilities to uphold high standards of care (Department of Health and Social Care, 2022).</w:t>
      </w:r>
      <w:r w:rsidRPr="003E35A8">
        <w:rPr>
          <w:rFonts w:ascii="Arial" w:hAnsi="Arial" w:cs="Arial"/>
          <w:sz w:val="22"/>
          <w:szCs w:val="22"/>
        </w:rPr>
        <w:br/>
        <w:t>By adhering to these ethical principles, healthcare professionals can foster trust and maintain the dignity of those they serve. Ethical decision-making also involves considering the preferences and rights of individuals, ensuring that their voices are heard in the care process. The Mental Capacity Act 2005 emphasizes the need for best-interest decisions when individuals lack capacity (Office of the Public Guardian, 2007). Balancing autonomy with safety can be challenging, but using the least restrictive principle helps guide ethical decisions, ensuring that individuals' rights are respected while also protecting their well-being.</w:t>
      </w:r>
    </w:p>
    <w:p w14:paraId="0127098B" w14:textId="7D5EF11F" w:rsidR="00C840DA" w:rsidRPr="003E35A8" w:rsidRDefault="00F635F5" w:rsidP="004D38E4">
      <w:pPr>
        <w:pStyle w:val="p1"/>
        <w:spacing w:line="360" w:lineRule="auto"/>
        <w:rPr>
          <w:rFonts w:ascii="Arial" w:hAnsi="Arial" w:cs="Arial"/>
          <w:sz w:val="22"/>
          <w:szCs w:val="22"/>
        </w:rPr>
      </w:pPr>
      <w:r w:rsidRPr="003E35A8">
        <w:rPr>
          <w:rFonts w:ascii="Arial" w:hAnsi="Arial" w:cs="Arial"/>
          <w:sz w:val="22"/>
          <w:szCs w:val="22"/>
        </w:rPr>
        <w:br/>
      </w:r>
    </w:p>
    <w:p w14:paraId="34065E18" w14:textId="605BFB3E" w:rsidR="00D54562" w:rsidRDefault="0035225B" w:rsidP="00AA3F2C">
      <w:pPr>
        <w:pStyle w:val="p1"/>
        <w:spacing w:line="360" w:lineRule="auto"/>
        <w:rPr>
          <w:rFonts w:ascii="Arial" w:hAnsi="Arial" w:cs="Arial"/>
          <w:sz w:val="22"/>
          <w:szCs w:val="22"/>
        </w:rPr>
      </w:pPr>
      <w:r w:rsidRPr="00B50D78">
        <w:rPr>
          <w:rFonts w:ascii="Arial" w:hAnsi="Arial" w:cs="Arial"/>
          <w:sz w:val="22"/>
          <w:szCs w:val="22"/>
          <w:u w:val="single"/>
        </w:rPr>
        <w:lastRenderedPageBreak/>
        <w:t xml:space="preserve">Task 2: Practical Examples of Concepts in Practice </w:t>
      </w:r>
      <w:r w:rsidRPr="00B50D78">
        <w:rPr>
          <w:rFonts w:ascii="Arial" w:hAnsi="Arial" w:cs="Arial"/>
          <w:sz w:val="22"/>
          <w:szCs w:val="22"/>
        </w:rPr>
        <w:br/>
      </w:r>
      <w:r w:rsidRPr="00B50D78">
        <w:rPr>
          <w:rFonts w:ascii="Arial" w:hAnsi="Arial" w:cs="Arial"/>
          <w:sz w:val="22"/>
          <w:szCs w:val="22"/>
        </w:rPr>
        <w:br/>
      </w:r>
      <w:r w:rsidRPr="003B52E4">
        <w:rPr>
          <w:rFonts w:ascii="Arial" w:hAnsi="Arial" w:cs="Arial"/>
          <w:i/>
          <w:iCs/>
          <w:sz w:val="22"/>
          <w:szCs w:val="22"/>
        </w:rPr>
        <w:t>Real-World Example</w:t>
      </w:r>
      <w:r w:rsidRPr="00B50D78">
        <w:rPr>
          <w:rFonts w:ascii="Arial" w:hAnsi="Arial" w:cs="Arial"/>
          <w:sz w:val="22"/>
          <w:szCs w:val="22"/>
        </w:rPr>
        <w:br/>
      </w:r>
      <w:r w:rsidRPr="00B50D78">
        <w:rPr>
          <w:rFonts w:ascii="Arial" w:hAnsi="Arial" w:cs="Arial"/>
          <w:sz w:val="22"/>
          <w:szCs w:val="22"/>
        </w:rPr>
        <w:br/>
        <w:t>During my time as a Carer at Shreeji Inc in London, I encountered a person who required extensive support due to mobility issues and chronic health conditions. Implementing person-centred care, I engaged with the individual to understand their specific preferences regarding daily routines, such as meal choices and activity levels. This approach respected their autonomy and enhanced their engagement in their care plan.</w:t>
      </w:r>
      <w:r w:rsidRPr="00B50D78">
        <w:rPr>
          <w:rFonts w:ascii="Arial" w:hAnsi="Arial" w:cs="Arial"/>
          <w:sz w:val="22"/>
          <w:szCs w:val="22"/>
        </w:rPr>
        <w:br/>
        <w:t>In this situation, partnership working was evident as I collaborated with other healthcare professionals, including nurses and physiotherapists, to develop a comprehensive care plan. Regular meetings facilitated open communication, allowing us to address challenges promptly and adjust the care plan as needed. This integrated approach aligns with evidence that shows person-centred discharge planning can reduce emergency readmissions (NICE, 2021). By working together, we ensured that the individual received the best possible care tailored to their needs.</w:t>
      </w:r>
      <w:r w:rsidRPr="00B50D78">
        <w:rPr>
          <w:rFonts w:ascii="Arial" w:hAnsi="Arial" w:cs="Arial"/>
          <w:sz w:val="22"/>
          <w:szCs w:val="22"/>
        </w:rPr>
        <w:br/>
        <w:t>Furthermore, ethical considerations were paramount in this case. I ensured that the individual’s dignity was maintained during personal care tasks, always seeking their consent and providing choices. I also adhered to confidentiality by sharing information only on a need-to-know basis (Office of the Public Guardian, 2007). This practice aligns with the ethical principles outlined in the Care Act 2014, emphasizing the importance of respecting individuals' rights and promoting their well-being (Department of Health and Social Care, 2014).</w:t>
      </w:r>
      <w:r w:rsidRPr="00B50D78">
        <w:rPr>
          <w:rFonts w:ascii="Arial" w:hAnsi="Arial" w:cs="Arial"/>
          <w:sz w:val="22"/>
          <w:szCs w:val="22"/>
        </w:rPr>
        <w:br/>
      </w:r>
      <w:r w:rsidRPr="00B50D78">
        <w:rPr>
          <w:rFonts w:ascii="Arial" w:hAnsi="Arial" w:cs="Arial"/>
          <w:sz w:val="22"/>
          <w:szCs w:val="22"/>
        </w:rPr>
        <w:br/>
      </w:r>
      <w:r w:rsidRPr="004A41A9">
        <w:rPr>
          <w:rFonts w:ascii="Arial" w:hAnsi="Arial" w:cs="Arial"/>
          <w:i/>
          <w:iCs/>
          <w:sz w:val="22"/>
          <w:szCs w:val="22"/>
        </w:rPr>
        <w:t>Current Policies and Guidelines</w:t>
      </w:r>
      <w:r w:rsidRPr="00B50D78">
        <w:rPr>
          <w:rFonts w:ascii="Arial" w:hAnsi="Arial" w:cs="Arial"/>
          <w:sz w:val="22"/>
          <w:szCs w:val="22"/>
        </w:rPr>
        <w:br/>
      </w:r>
      <w:r w:rsidRPr="00B50D78">
        <w:rPr>
          <w:rFonts w:ascii="Arial" w:hAnsi="Arial" w:cs="Arial"/>
          <w:sz w:val="22"/>
          <w:szCs w:val="22"/>
        </w:rPr>
        <w:br/>
        <w:t xml:space="preserve">The application of these principles is supported by current health policies, such as the Health and Care Act 2022, which emphasizes the need for integrated care and the importance of individual involvement in decision-making (Department of Health and Social Care, 2022). By adhering to these guidelines, healthcare professionals can improve care and address challenges faced in practice, such as communication barriers and resource limitations. </w:t>
      </w:r>
      <w:r w:rsidRPr="00B50D78">
        <w:rPr>
          <w:rFonts w:ascii="Arial" w:hAnsi="Arial" w:cs="Arial"/>
          <w:sz w:val="22"/>
          <w:szCs w:val="22"/>
        </w:rPr>
        <w:br/>
        <w:t>The integration of these principles into practice ensures that individuals receive holistic care that meets their needs while also fostering a collaborative environment among care providers.</w:t>
      </w:r>
    </w:p>
    <w:p w14:paraId="14913F98" w14:textId="77777777" w:rsidR="00A40F80" w:rsidRDefault="00A40F80" w:rsidP="00AA3F2C">
      <w:pPr>
        <w:pStyle w:val="p1"/>
        <w:spacing w:line="360" w:lineRule="auto"/>
        <w:rPr>
          <w:rFonts w:ascii="Arial" w:hAnsi="Arial" w:cs="Arial"/>
          <w:sz w:val="22"/>
          <w:szCs w:val="22"/>
        </w:rPr>
      </w:pPr>
    </w:p>
    <w:p w14:paraId="7F64FD72" w14:textId="77777777" w:rsidR="00A40F80" w:rsidRDefault="00A40F80" w:rsidP="00AA3F2C">
      <w:pPr>
        <w:pStyle w:val="p1"/>
        <w:spacing w:line="360" w:lineRule="auto"/>
        <w:rPr>
          <w:rFonts w:ascii="Arial" w:hAnsi="Arial" w:cs="Arial"/>
          <w:sz w:val="22"/>
          <w:szCs w:val="22"/>
        </w:rPr>
      </w:pPr>
    </w:p>
    <w:p w14:paraId="7AB7CB15" w14:textId="63EC9115" w:rsidR="00A40F80" w:rsidRDefault="00536E1C" w:rsidP="007C2E63">
      <w:pPr>
        <w:pStyle w:val="p1"/>
        <w:spacing w:line="360" w:lineRule="auto"/>
        <w:rPr>
          <w:rFonts w:ascii="Arial" w:hAnsi="Arial" w:cs="Arial"/>
          <w:sz w:val="22"/>
          <w:szCs w:val="22"/>
        </w:rPr>
      </w:pPr>
      <w:r w:rsidRPr="00303A03">
        <w:rPr>
          <w:rFonts w:ascii="Arial" w:hAnsi="Arial" w:cs="Arial"/>
          <w:sz w:val="22"/>
          <w:szCs w:val="22"/>
          <w:u w:val="single"/>
        </w:rPr>
        <w:lastRenderedPageBreak/>
        <w:t xml:space="preserve">Task 3: Self-Reflection as a Health and Social Care Professional </w:t>
      </w:r>
      <w:r w:rsidRPr="00FA43B8">
        <w:rPr>
          <w:rFonts w:ascii="Arial" w:hAnsi="Arial" w:cs="Arial"/>
          <w:sz w:val="22"/>
          <w:szCs w:val="22"/>
        </w:rPr>
        <w:br/>
      </w:r>
      <w:r w:rsidRPr="00FA43B8">
        <w:rPr>
          <w:rFonts w:ascii="Arial" w:hAnsi="Arial" w:cs="Arial"/>
          <w:sz w:val="22"/>
          <w:szCs w:val="22"/>
        </w:rPr>
        <w:br/>
      </w:r>
      <w:r w:rsidRPr="00A533E4">
        <w:rPr>
          <w:rFonts w:ascii="Arial" w:hAnsi="Arial" w:cs="Arial"/>
          <w:i/>
          <w:iCs/>
          <w:sz w:val="22"/>
          <w:szCs w:val="22"/>
        </w:rPr>
        <w:t>Influence of Principles on Daily Work</w:t>
      </w:r>
      <w:r w:rsidRPr="00A533E4">
        <w:rPr>
          <w:rFonts w:ascii="Arial" w:hAnsi="Arial" w:cs="Arial"/>
          <w:i/>
          <w:iCs/>
          <w:sz w:val="22"/>
          <w:szCs w:val="22"/>
        </w:rPr>
        <w:br/>
      </w:r>
      <w:r w:rsidRPr="00FA43B8">
        <w:rPr>
          <w:rFonts w:ascii="Arial" w:hAnsi="Arial" w:cs="Arial"/>
          <w:sz w:val="22"/>
          <w:szCs w:val="22"/>
        </w:rPr>
        <w:br/>
        <w:t>In my role as a Carer and Nursery Assistant, I consistently apply the principles of person-centred care, partnership working, and ethics. For instance, when assisting children at Magic Year Nursery, I focus on individual needs by adapting activities to suit their developmental stages. This ensures that each child feels valued and supported in their learning environment.</w:t>
      </w:r>
      <w:r w:rsidRPr="00FA43B8">
        <w:rPr>
          <w:rFonts w:ascii="Arial" w:hAnsi="Arial" w:cs="Arial"/>
          <w:sz w:val="22"/>
          <w:szCs w:val="22"/>
        </w:rPr>
        <w:br/>
        <w:t xml:space="preserve">In my experience as a Carer, I have learned the importance of understanding the unique background and preferences of each individual. This understanding allows me to tailor my approach to their specific needs and preferences, ensuring that they receive care that is not only effective but also respectful of their individuality. </w:t>
      </w:r>
      <w:r w:rsidRPr="00FA43B8">
        <w:rPr>
          <w:rFonts w:ascii="Arial" w:hAnsi="Arial" w:cs="Arial"/>
          <w:sz w:val="22"/>
          <w:szCs w:val="22"/>
        </w:rPr>
        <w:br/>
      </w:r>
      <w:r w:rsidRPr="00FA43B8">
        <w:rPr>
          <w:rFonts w:ascii="Arial" w:hAnsi="Arial" w:cs="Arial"/>
          <w:sz w:val="22"/>
          <w:szCs w:val="22"/>
        </w:rPr>
        <w:br/>
      </w:r>
      <w:r w:rsidRPr="00295736">
        <w:rPr>
          <w:rFonts w:ascii="Arial" w:hAnsi="Arial" w:cs="Arial"/>
          <w:i/>
          <w:iCs/>
          <w:sz w:val="22"/>
          <w:szCs w:val="22"/>
        </w:rPr>
        <w:t>Current Skills and Strengths</w:t>
      </w:r>
      <w:r w:rsidRPr="00FA43B8">
        <w:rPr>
          <w:rFonts w:ascii="Arial" w:hAnsi="Arial" w:cs="Arial"/>
          <w:sz w:val="22"/>
          <w:szCs w:val="22"/>
        </w:rPr>
        <w:br/>
      </w:r>
      <w:r w:rsidRPr="00FA43B8">
        <w:rPr>
          <w:rFonts w:ascii="Arial" w:hAnsi="Arial" w:cs="Arial"/>
          <w:sz w:val="22"/>
          <w:szCs w:val="22"/>
        </w:rPr>
        <w:br/>
        <w:t>My strengths include strong communication skills, empathy, and the ability to work effectively in a team. These qualities enable me to build trust with clients and colleagues, facilitating a collaborative approach to care. My multilingual capabilities, with proficiency in Bangla, English, Hindi, and Italian, enhance my ability to connect with diverse populations, ensuring that language barriers do not hinder care delivery.</w:t>
      </w:r>
      <w:r w:rsidRPr="00FA43B8">
        <w:rPr>
          <w:rFonts w:ascii="Arial" w:hAnsi="Arial" w:cs="Arial"/>
          <w:sz w:val="22"/>
          <w:szCs w:val="22"/>
        </w:rPr>
        <w:br/>
        <w:t>Additionally, my experience in customer service has helped me develop problem-solving skills and a keen attention to detail. These skills are essential in health and social care, where the ability to address concerns quickly and efficiently can significantly impact individual outcomes.</w:t>
      </w:r>
      <w:r w:rsidRPr="00FA43B8">
        <w:rPr>
          <w:rFonts w:ascii="Arial" w:hAnsi="Arial" w:cs="Arial"/>
          <w:sz w:val="22"/>
          <w:szCs w:val="22"/>
        </w:rPr>
        <w:br/>
      </w:r>
      <w:r w:rsidRPr="00FA43B8">
        <w:rPr>
          <w:rFonts w:ascii="Arial" w:hAnsi="Arial" w:cs="Arial"/>
          <w:sz w:val="22"/>
          <w:szCs w:val="22"/>
        </w:rPr>
        <w:br/>
      </w:r>
      <w:r w:rsidRPr="00A4019D">
        <w:rPr>
          <w:rFonts w:ascii="Arial" w:hAnsi="Arial" w:cs="Arial"/>
          <w:i/>
          <w:iCs/>
          <w:sz w:val="22"/>
          <w:szCs w:val="22"/>
        </w:rPr>
        <w:t>Areas for Improvement</w:t>
      </w:r>
      <w:r w:rsidRPr="00FA43B8">
        <w:rPr>
          <w:rFonts w:ascii="Arial" w:hAnsi="Arial" w:cs="Arial"/>
          <w:sz w:val="22"/>
          <w:szCs w:val="22"/>
        </w:rPr>
        <w:br/>
      </w:r>
      <w:r w:rsidRPr="00FA43B8">
        <w:rPr>
          <w:rFonts w:ascii="Arial" w:hAnsi="Arial" w:cs="Arial"/>
          <w:sz w:val="22"/>
          <w:szCs w:val="22"/>
        </w:rPr>
        <w:br/>
        <w:t xml:space="preserve">While I possess a solid foundation in health and social care practices, I recognize the need to enhance my knowledge in advanced care planning and managing complex health conditions. To address this, I plan to seek additional training and mentorship opportunities that focus on these areas, allowing me to provide even more comprehensive care. </w:t>
      </w:r>
      <w:r w:rsidRPr="00FA43B8">
        <w:rPr>
          <w:rFonts w:ascii="Arial" w:hAnsi="Arial" w:cs="Arial"/>
          <w:sz w:val="22"/>
          <w:szCs w:val="22"/>
        </w:rPr>
        <w:br/>
        <w:t>I also aim to improve my understanding of current legislation and ethical guidelines to ensure that I am always compliant with best practices in care delivery. Continuing education will be crucial in helping me stay informed about changes in health policies and practices. I will follow professional standards to ensure high-quality care (NMC, 2018; HCPC, 2024).</w:t>
      </w:r>
      <w:r w:rsidRPr="00FA43B8">
        <w:rPr>
          <w:rFonts w:ascii="Arial" w:hAnsi="Arial" w:cs="Arial"/>
          <w:sz w:val="22"/>
          <w:szCs w:val="22"/>
        </w:rPr>
        <w:br/>
      </w:r>
      <w:r w:rsidRPr="00FA43B8">
        <w:rPr>
          <w:rFonts w:ascii="Arial" w:hAnsi="Arial" w:cs="Arial"/>
          <w:sz w:val="22"/>
          <w:szCs w:val="22"/>
        </w:rPr>
        <w:br/>
      </w:r>
      <w:r w:rsidRPr="00D87850">
        <w:rPr>
          <w:rFonts w:ascii="Arial" w:hAnsi="Arial" w:cs="Arial"/>
          <w:i/>
          <w:iCs/>
          <w:sz w:val="22"/>
          <w:szCs w:val="22"/>
        </w:rPr>
        <w:lastRenderedPageBreak/>
        <w:t>Future Professional Development</w:t>
      </w:r>
      <w:r w:rsidRPr="00FA43B8">
        <w:rPr>
          <w:rFonts w:ascii="Arial" w:hAnsi="Arial" w:cs="Arial"/>
          <w:sz w:val="22"/>
          <w:szCs w:val="22"/>
        </w:rPr>
        <w:br/>
      </w:r>
      <w:r w:rsidRPr="00FA43B8">
        <w:rPr>
          <w:rFonts w:ascii="Arial" w:hAnsi="Arial" w:cs="Arial"/>
          <w:sz w:val="22"/>
          <w:szCs w:val="22"/>
        </w:rPr>
        <w:br/>
        <w:t>Looking ahead, I aspire to further my education by completing my Bachelor of Science in Health and Social Care at the University of Wales Trinity St David. I aim to continue developing my skills in line with the principles of health and social care, ensuring that I can contribute effectively to the well-being of those I serve.</w:t>
      </w:r>
      <w:r w:rsidRPr="00FA43B8">
        <w:rPr>
          <w:rFonts w:ascii="Arial" w:hAnsi="Arial" w:cs="Arial"/>
          <w:sz w:val="22"/>
          <w:szCs w:val="22"/>
        </w:rPr>
        <w:br/>
        <w:t>I am committed to lifelong learning and professional growth, as I believe that continuous development is essential for providing high-quality care. In addition to formal education, I plan to engage in workshops and conferences related to health and social care, allowing me to network with other professionals and share best practices.</w:t>
      </w:r>
      <w:r w:rsidRPr="00FA43B8">
        <w:rPr>
          <w:rFonts w:ascii="Arial" w:hAnsi="Arial" w:cs="Arial"/>
          <w:sz w:val="22"/>
          <w:szCs w:val="22"/>
        </w:rPr>
        <w:br/>
        <w:t>To make my action plan more specific, I will complete a Mental Capacity Act refresher course within three months and audit five case notes for capacity and best-interest documentation to ensure compliance. Furthermore, I will use the SBAR communication tool in every handover for eight weeks and ask a senior colleague to observe twice and provide feedback. Lastly, I aim to record cultural preferences in care plans, targeting 90% of my assigned service users within six months. I will also record securely and share information on a need-to-know basis (NHS England, 2021).</w:t>
      </w:r>
      <w:r w:rsidRPr="00FA43B8">
        <w:rPr>
          <w:rFonts w:ascii="Arial" w:hAnsi="Arial" w:cs="Arial"/>
          <w:sz w:val="22"/>
          <w:szCs w:val="22"/>
        </w:rPr>
        <w:br/>
      </w:r>
      <w:r w:rsidRPr="00FA43B8">
        <w:rPr>
          <w:rFonts w:ascii="Arial" w:hAnsi="Arial" w:cs="Arial"/>
          <w:sz w:val="22"/>
          <w:szCs w:val="22"/>
        </w:rPr>
        <w:br/>
      </w:r>
      <w:r w:rsidRPr="002E17F9">
        <w:rPr>
          <w:rFonts w:ascii="Arial" w:hAnsi="Arial" w:cs="Arial"/>
          <w:sz w:val="22"/>
          <w:szCs w:val="22"/>
          <w:u w:val="single"/>
        </w:rPr>
        <w:t>Conclusion</w:t>
      </w:r>
      <w:r w:rsidRPr="00FA43B8">
        <w:rPr>
          <w:rFonts w:ascii="Arial" w:hAnsi="Arial" w:cs="Arial"/>
          <w:sz w:val="22"/>
          <w:szCs w:val="22"/>
        </w:rPr>
        <w:t xml:space="preserve"> </w:t>
      </w:r>
      <w:r w:rsidRPr="00FA43B8">
        <w:rPr>
          <w:rFonts w:ascii="Arial" w:hAnsi="Arial" w:cs="Arial"/>
          <w:sz w:val="22"/>
          <w:szCs w:val="22"/>
        </w:rPr>
        <w:br/>
        <w:t>In conclusion, the principles of person-centred care, partnership working, and ethics are vital in shaping the quality of care in the UK health and social care system. These principles not only enhance individual outcomes but also foster a collaborative and respectful environment for both individuals and professionals.</w:t>
      </w:r>
      <w:r w:rsidRPr="00FA43B8">
        <w:rPr>
          <w:rFonts w:ascii="Arial" w:hAnsi="Arial" w:cs="Arial"/>
          <w:sz w:val="22"/>
          <w:szCs w:val="22"/>
        </w:rPr>
        <w:br/>
        <w:t>By reflecting on these principles and their application in my professional practice, I have gained valuable insights into their importance in delivering effective and compassionate care. As I continue my journey in health and social care, I remain committed to integrating these principles into my work, fostering positive outcomes for the individuals I support. This reflective process has highlighted the necessity for ongoing learning and adaptation in my practice, ensuring that I can meet the evolving needs of individuals and contribute to the advancement of health and social care.</w:t>
      </w:r>
      <w:r w:rsidRPr="00FA43B8">
        <w:rPr>
          <w:rFonts w:ascii="Arial" w:hAnsi="Arial" w:cs="Arial"/>
          <w:sz w:val="22"/>
          <w:szCs w:val="22"/>
        </w:rPr>
        <w:br/>
      </w:r>
      <w:r w:rsidRPr="00FA43B8">
        <w:rPr>
          <w:rFonts w:ascii="Arial" w:hAnsi="Arial" w:cs="Arial"/>
          <w:sz w:val="22"/>
          <w:szCs w:val="22"/>
        </w:rPr>
        <w:br/>
      </w:r>
    </w:p>
    <w:p w14:paraId="1AEF4521" w14:textId="77777777" w:rsidR="00A40F80" w:rsidRDefault="00A40F80" w:rsidP="007C2E63">
      <w:pPr>
        <w:pStyle w:val="p1"/>
        <w:spacing w:line="360" w:lineRule="auto"/>
        <w:rPr>
          <w:rFonts w:ascii="Arial" w:hAnsi="Arial" w:cs="Arial"/>
          <w:sz w:val="22"/>
          <w:szCs w:val="22"/>
        </w:rPr>
      </w:pPr>
    </w:p>
    <w:p w14:paraId="58FE606E" w14:textId="77777777" w:rsidR="00A40F80" w:rsidRDefault="00A40F80" w:rsidP="007C2E63">
      <w:pPr>
        <w:pStyle w:val="p1"/>
        <w:spacing w:line="360" w:lineRule="auto"/>
        <w:rPr>
          <w:rFonts w:ascii="Arial" w:hAnsi="Arial" w:cs="Arial"/>
          <w:sz w:val="22"/>
          <w:szCs w:val="22"/>
        </w:rPr>
      </w:pPr>
    </w:p>
    <w:p w14:paraId="200A1D1B" w14:textId="77777777" w:rsidR="00A40F80" w:rsidRDefault="00A40F80" w:rsidP="007C2E63">
      <w:pPr>
        <w:pStyle w:val="p1"/>
        <w:spacing w:line="360" w:lineRule="auto"/>
        <w:rPr>
          <w:rFonts w:ascii="Arial" w:hAnsi="Arial" w:cs="Arial"/>
          <w:sz w:val="22"/>
          <w:szCs w:val="22"/>
        </w:rPr>
      </w:pPr>
    </w:p>
    <w:p w14:paraId="332AF8CA" w14:textId="77777777" w:rsidR="00A40F80" w:rsidRDefault="00A40F80" w:rsidP="007C2E63">
      <w:pPr>
        <w:pStyle w:val="p1"/>
        <w:spacing w:line="360" w:lineRule="auto"/>
        <w:rPr>
          <w:rFonts w:ascii="Arial" w:hAnsi="Arial" w:cs="Arial"/>
          <w:sz w:val="22"/>
          <w:szCs w:val="22"/>
        </w:rPr>
      </w:pPr>
    </w:p>
    <w:p w14:paraId="79639D03" w14:textId="4E7507C4" w:rsidR="00823655" w:rsidRPr="00FA43B8" w:rsidRDefault="00536E1C" w:rsidP="007C2E63">
      <w:pPr>
        <w:pStyle w:val="p1"/>
        <w:spacing w:line="360" w:lineRule="auto"/>
        <w:rPr>
          <w:rFonts w:ascii="Arial" w:hAnsi="Arial" w:cs="Arial"/>
          <w:sz w:val="22"/>
          <w:szCs w:val="22"/>
        </w:rPr>
      </w:pPr>
      <w:r w:rsidRPr="009C120E">
        <w:rPr>
          <w:rFonts w:ascii="Arial" w:hAnsi="Arial" w:cs="Arial"/>
          <w:sz w:val="22"/>
          <w:szCs w:val="22"/>
          <w:u w:val="single"/>
        </w:rPr>
        <w:lastRenderedPageBreak/>
        <w:t>References</w:t>
      </w:r>
      <w:r w:rsidRPr="00FA43B8">
        <w:rPr>
          <w:rFonts w:ascii="Arial" w:hAnsi="Arial" w:cs="Arial"/>
          <w:sz w:val="22"/>
          <w:szCs w:val="22"/>
        </w:rPr>
        <w:br/>
      </w:r>
      <w:r w:rsidRPr="00FA43B8">
        <w:rPr>
          <w:rFonts w:ascii="Arial" w:hAnsi="Arial" w:cs="Arial"/>
          <w:sz w:val="22"/>
          <w:szCs w:val="22"/>
        </w:rPr>
        <w:br/>
        <w:t xml:space="preserve">- Department of Health and Social Care. (2014). Care Act 2014. Available at: </w:t>
      </w:r>
      <w:hyperlink r:id="rId5" w:history="1">
        <w:r w:rsidR="00084DF1" w:rsidRPr="00084DF1">
          <w:rPr>
            <w:rStyle w:val="Hyperlink"/>
            <w:rFonts w:ascii="Arial" w:hAnsi="Arial" w:cs="Arial"/>
            <w:sz w:val="22"/>
            <w:szCs w:val="22"/>
          </w:rPr>
          <w:t>https://www.legislation.gov.uk/ukpga/2014/23/contents/enacted</w:t>
        </w:r>
      </w:hyperlink>
      <w:r w:rsidR="00644B67">
        <w:rPr>
          <w:rFonts w:ascii="Arial" w:hAnsi="Arial" w:cs="Arial"/>
          <w:sz w:val="22"/>
          <w:szCs w:val="22"/>
        </w:rPr>
        <w:t>[</w:t>
      </w:r>
      <w:r w:rsidRPr="00FA43B8">
        <w:rPr>
          <w:rFonts w:ascii="Arial" w:hAnsi="Arial" w:cs="Arial"/>
          <w:sz w:val="22"/>
          <w:szCs w:val="22"/>
        </w:rPr>
        <w:t>Accessed 10 November 2025].</w:t>
      </w:r>
      <w:r w:rsidRPr="00FA43B8">
        <w:rPr>
          <w:rFonts w:ascii="Arial" w:hAnsi="Arial" w:cs="Arial"/>
          <w:sz w:val="22"/>
          <w:szCs w:val="22"/>
        </w:rPr>
        <w:br/>
        <w:t xml:space="preserve">- Department of Health and Social Care. (2022). Health and Care Act 2022. Available at: </w:t>
      </w:r>
      <w:hyperlink r:id="rId6" w:history="1">
        <w:r w:rsidR="00BA133A" w:rsidRPr="00BA133A">
          <w:rPr>
            <w:rStyle w:val="Hyperlink"/>
            <w:rFonts w:ascii="Arial" w:hAnsi="Arial" w:cs="Arial"/>
            <w:sz w:val="22"/>
            <w:szCs w:val="22"/>
          </w:rPr>
          <w:t>https://www.legislation.gov.uk/ukpga/2022/1/contents/enacted</w:t>
        </w:r>
      </w:hyperlink>
      <w:r w:rsidR="00033AF2">
        <w:rPr>
          <w:rFonts w:ascii="Arial" w:hAnsi="Arial" w:cs="Arial"/>
          <w:sz w:val="22"/>
          <w:szCs w:val="22"/>
        </w:rPr>
        <w:t>[</w:t>
      </w:r>
      <w:r w:rsidRPr="00FA43B8">
        <w:rPr>
          <w:rFonts w:ascii="Arial" w:hAnsi="Arial" w:cs="Arial"/>
          <w:sz w:val="22"/>
          <w:szCs w:val="22"/>
        </w:rPr>
        <w:t>Accessed 10 November 2025].</w:t>
      </w:r>
      <w:r w:rsidRPr="00FA43B8">
        <w:rPr>
          <w:rFonts w:ascii="Arial" w:hAnsi="Arial" w:cs="Arial"/>
          <w:sz w:val="22"/>
          <w:szCs w:val="22"/>
        </w:rPr>
        <w:br/>
        <w:t>- Maslow, A. H. (1943). A Theory of Human Motivation. Psychological Review, 50(4), 370-396.</w:t>
      </w:r>
      <w:r w:rsidRPr="00FA43B8">
        <w:rPr>
          <w:rFonts w:ascii="Arial" w:hAnsi="Arial" w:cs="Arial"/>
          <w:sz w:val="22"/>
          <w:szCs w:val="22"/>
        </w:rPr>
        <w:br/>
        <w:t xml:space="preserve">- NHS England. (2021). The NHS Constitution for England. Available at: </w:t>
      </w:r>
      <w:hyperlink r:id="rId7" w:history="1">
        <w:r w:rsidR="00100BBD" w:rsidRPr="00100BBD">
          <w:rPr>
            <w:rStyle w:val="Hyperlink"/>
            <w:rFonts w:ascii="Arial" w:hAnsi="Arial" w:cs="Arial"/>
            <w:sz w:val="22"/>
            <w:szCs w:val="22"/>
          </w:rPr>
          <w:t>https://www.gov.uk/government/publications/the-nhs-constitution-for-england</w:t>
        </w:r>
      </w:hyperlink>
      <w:r w:rsidR="00E81F7B">
        <w:rPr>
          <w:rFonts w:ascii="Arial" w:hAnsi="Arial" w:cs="Arial"/>
          <w:sz w:val="22"/>
          <w:szCs w:val="22"/>
        </w:rPr>
        <w:t>[</w:t>
      </w:r>
      <w:r w:rsidRPr="00FA43B8">
        <w:rPr>
          <w:rFonts w:ascii="Arial" w:hAnsi="Arial" w:cs="Arial"/>
          <w:sz w:val="22"/>
          <w:szCs w:val="22"/>
        </w:rPr>
        <w:t>Accessed 10 November 2025].</w:t>
      </w:r>
      <w:r w:rsidRPr="00FA43B8">
        <w:rPr>
          <w:rFonts w:ascii="Arial" w:hAnsi="Arial" w:cs="Arial"/>
          <w:sz w:val="22"/>
          <w:szCs w:val="22"/>
        </w:rPr>
        <w:br/>
        <w:t xml:space="preserve">- NICE. (2021). Shared Decision-Making: Guideline NG197. Available at: </w:t>
      </w:r>
      <w:hyperlink r:id="rId8" w:history="1">
        <w:r w:rsidR="00B705D6" w:rsidRPr="00B705D6">
          <w:rPr>
            <w:rStyle w:val="Hyperlink"/>
            <w:rFonts w:ascii="Arial" w:hAnsi="Arial" w:cs="Arial"/>
            <w:sz w:val="22"/>
            <w:szCs w:val="22"/>
          </w:rPr>
          <w:t>https://www.nice.org.uk/guidance/ng197</w:t>
        </w:r>
      </w:hyperlink>
      <w:r w:rsidR="00C95220">
        <w:rPr>
          <w:rFonts w:ascii="Arial" w:hAnsi="Arial" w:cs="Arial"/>
          <w:sz w:val="22"/>
          <w:szCs w:val="22"/>
        </w:rPr>
        <w:t>[</w:t>
      </w:r>
      <w:r w:rsidRPr="00FA43B8">
        <w:rPr>
          <w:rFonts w:ascii="Arial" w:hAnsi="Arial" w:cs="Arial"/>
          <w:sz w:val="22"/>
          <w:szCs w:val="22"/>
        </w:rPr>
        <w:t>Accessed 10 November 2025].</w:t>
      </w:r>
      <w:r w:rsidRPr="00FA43B8">
        <w:rPr>
          <w:rFonts w:ascii="Arial" w:hAnsi="Arial" w:cs="Arial"/>
          <w:sz w:val="22"/>
          <w:szCs w:val="22"/>
        </w:rPr>
        <w:br/>
        <w:t xml:space="preserve">- Office of the Public Guardian. (2007). Mental Capacity Act Code of Practice. Available at: </w:t>
      </w:r>
      <w:hyperlink r:id="rId9" w:history="1">
        <w:r w:rsidR="005577C0" w:rsidRPr="005577C0">
          <w:rPr>
            <w:rStyle w:val="Hyperlink"/>
            <w:rFonts w:ascii="Arial" w:hAnsi="Arial" w:cs="Arial"/>
            <w:sz w:val="22"/>
            <w:szCs w:val="22"/>
          </w:rPr>
          <w:t>https://www.gov.uk/government/publications/mental-capacity-act-code-of-practice</w:t>
        </w:r>
      </w:hyperlink>
      <w:r w:rsidR="00875059">
        <w:rPr>
          <w:rFonts w:ascii="Arial" w:hAnsi="Arial" w:cs="Arial"/>
          <w:sz w:val="22"/>
          <w:szCs w:val="22"/>
        </w:rPr>
        <w:t>[</w:t>
      </w:r>
      <w:r w:rsidRPr="00FA43B8">
        <w:rPr>
          <w:rFonts w:ascii="Arial" w:hAnsi="Arial" w:cs="Arial"/>
          <w:sz w:val="22"/>
          <w:szCs w:val="22"/>
        </w:rPr>
        <w:t>Accessed 10 November 2025].</w:t>
      </w:r>
      <w:r w:rsidRPr="00FA43B8">
        <w:rPr>
          <w:rFonts w:ascii="Arial" w:hAnsi="Arial" w:cs="Arial"/>
          <w:sz w:val="22"/>
          <w:szCs w:val="22"/>
        </w:rPr>
        <w:br/>
        <w:t xml:space="preserve">- NMC. (2018). The Code: Professional Standards of Practice and Behaviour for Nurses, Midwives and Nursing Associates. Available at: </w:t>
      </w:r>
      <w:hyperlink r:id="rId10" w:history="1">
        <w:r w:rsidR="005F525A" w:rsidRPr="005F525A">
          <w:rPr>
            <w:rStyle w:val="Hyperlink"/>
            <w:rFonts w:ascii="Arial" w:hAnsi="Arial" w:cs="Arial"/>
            <w:sz w:val="22"/>
            <w:szCs w:val="22"/>
          </w:rPr>
          <w:t>https://www.nmc.org.uk/standards/code/</w:t>
        </w:r>
      </w:hyperlink>
      <w:r w:rsidR="005155C6">
        <w:rPr>
          <w:rFonts w:ascii="Arial" w:hAnsi="Arial" w:cs="Arial"/>
          <w:sz w:val="22"/>
          <w:szCs w:val="22"/>
        </w:rPr>
        <w:t>[</w:t>
      </w:r>
      <w:r w:rsidRPr="00FA43B8">
        <w:rPr>
          <w:rFonts w:ascii="Arial" w:hAnsi="Arial" w:cs="Arial"/>
          <w:sz w:val="22"/>
          <w:szCs w:val="22"/>
        </w:rPr>
        <w:t>Accessed 10 November 2025].</w:t>
      </w:r>
      <w:r w:rsidRPr="00FA43B8">
        <w:rPr>
          <w:rFonts w:ascii="Arial" w:hAnsi="Arial" w:cs="Arial"/>
          <w:sz w:val="22"/>
          <w:szCs w:val="22"/>
        </w:rPr>
        <w:br/>
        <w:t xml:space="preserve">- HCPC. (2024). Standards of Conduct, Performance and Ethics. Available at: </w:t>
      </w:r>
      <w:hyperlink r:id="rId11" w:history="1">
        <w:r w:rsidR="001756C5" w:rsidRPr="001756C5">
          <w:rPr>
            <w:rStyle w:val="Hyperlink"/>
            <w:rFonts w:ascii="Arial" w:hAnsi="Arial" w:cs="Arial"/>
            <w:sz w:val="22"/>
            <w:szCs w:val="22"/>
          </w:rPr>
          <w:t>https://www.hcpc-uk.org/standards/standards-of-conduct-performance-and-ethics/</w:t>
        </w:r>
      </w:hyperlink>
      <w:r w:rsidR="00BD1937">
        <w:rPr>
          <w:rFonts w:ascii="Arial" w:hAnsi="Arial" w:cs="Arial"/>
          <w:sz w:val="22"/>
          <w:szCs w:val="22"/>
        </w:rPr>
        <w:t>[</w:t>
      </w:r>
      <w:r w:rsidRPr="00FA43B8">
        <w:rPr>
          <w:rFonts w:ascii="Arial" w:hAnsi="Arial" w:cs="Arial"/>
          <w:sz w:val="22"/>
          <w:szCs w:val="22"/>
        </w:rPr>
        <w:t>Accessed 10 November 2025].</w:t>
      </w:r>
      <w:r w:rsidRPr="00FA43B8">
        <w:rPr>
          <w:rFonts w:ascii="Arial" w:hAnsi="Arial" w:cs="Arial"/>
          <w:sz w:val="22"/>
          <w:szCs w:val="22"/>
        </w:rPr>
        <w:br/>
        <w:t xml:space="preserve">- NHS Improvement. (2018). SBAR Communication Tool. Available at: </w:t>
      </w:r>
      <w:hyperlink r:id="rId12" w:history="1">
        <w:r w:rsidR="007575EB" w:rsidRPr="007575EB">
          <w:rPr>
            <w:rStyle w:val="Hyperlink"/>
            <w:rFonts w:ascii="Arial" w:hAnsi="Arial" w:cs="Arial"/>
            <w:sz w:val="22"/>
            <w:szCs w:val="22"/>
          </w:rPr>
          <w:t>https://improvement.nhs.uk/resources/sbar-communication-tool/</w:t>
        </w:r>
      </w:hyperlink>
      <w:r w:rsidR="00C757A8">
        <w:rPr>
          <w:rFonts w:ascii="Arial" w:hAnsi="Arial" w:cs="Arial"/>
          <w:sz w:val="22"/>
          <w:szCs w:val="22"/>
        </w:rPr>
        <w:t>[</w:t>
      </w:r>
      <w:r w:rsidRPr="00FA43B8">
        <w:rPr>
          <w:rFonts w:ascii="Arial" w:hAnsi="Arial" w:cs="Arial"/>
          <w:sz w:val="22"/>
          <w:szCs w:val="22"/>
        </w:rPr>
        <w:t>Accessed 10 November 2025].</w:t>
      </w:r>
    </w:p>
    <w:p w14:paraId="181A6A3A" w14:textId="77777777" w:rsidR="00574FE0" w:rsidRDefault="00574FE0" w:rsidP="00574FE0">
      <w:pPr>
        <w:spacing w:line="360" w:lineRule="auto"/>
        <w:rPr>
          <w:rFonts w:ascii="Arial" w:hAnsi="Arial" w:cs="Arial"/>
          <w:sz w:val="22"/>
          <w:szCs w:val="22"/>
        </w:rPr>
      </w:pPr>
    </w:p>
    <w:p w14:paraId="20BBA62C" w14:textId="77777777" w:rsidR="00574FE0" w:rsidRPr="00D65157" w:rsidRDefault="00574FE0" w:rsidP="00574FE0">
      <w:pPr>
        <w:spacing w:line="360" w:lineRule="auto"/>
        <w:rPr>
          <w:rFonts w:ascii="Arial" w:hAnsi="Arial" w:cs="Arial"/>
          <w:sz w:val="22"/>
          <w:szCs w:val="22"/>
        </w:rPr>
      </w:pPr>
    </w:p>
    <w:sectPr w:rsidR="00574FE0" w:rsidRPr="00D651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13B"/>
    <w:rsid w:val="00030292"/>
    <w:rsid w:val="00033567"/>
    <w:rsid w:val="00033AF2"/>
    <w:rsid w:val="00036D7E"/>
    <w:rsid w:val="000408CD"/>
    <w:rsid w:val="00062D61"/>
    <w:rsid w:val="0008449D"/>
    <w:rsid w:val="00084DF1"/>
    <w:rsid w:val="00094FA9"/>
    <w:rsid w:val="000B25B5"/>
    <w:rsid w:val="00100BBD"/>
    <w:rsid w:val="001074AF"/>
    <w:rsid w:val="00113D09"/>
    <w:rsid w:val="0016611E"/>
    <w:rsid w:val="001753A8"/>
    <w:rsid w:val="001756C5"/>
    <w:rsid w:val="00190822"/>
    <w:rsid w:val="002236AE"/>
    <w:rsid w:val="00235BC7"/>
    <w:rsid w:val="002657FF"/>
    <w:rsid w:val="00295736"/>
    <w:rsid w:val="00297B4C"/>
    <w:rsid w:val="002E17F9"/>
    <w:rsid w:val="002E5133"/>
    <w:rsid w:val="00303A03"/>
    <w:rsid w:val="0032148A"/>
    <w:rsid w:val="0035225B"/>
    <w:rsid w:val="00377AB0"/>
    <w:rsid w:val="003A62CD"/>
    <w:rsid w:val="003A66CD"/>
    <w:rsid w:val="003B52E4"/>
    <w:rsid w:val="003C0F8A"/>
    <w:rsid w:val="003E35A8"/>
    <w:rsid w:val="003F1423"/>
    <w:rsid w:val="00405698"/>
    <w:rsid w:val="0042650E"/>
    <w:rsid w:val="004329A2"/>
    <w:rsid w:val="00476F62"/>
    <w:rsid w:val="00485F36"/>
    <w:rsid w:val="00493387"/>
    <w:rsid w:val="00495B93"/>
    <w:rsid w:val="004A41A9"/>
    <w:rsid w:val="004D38E4"/>
    <w:rsid w:val="004F0A36"/>
    <w:rsid w:val="004F2C87"/>
    <w:rsid w:val="00510B6F"/>
    <w:rsid w:val="005155C6"/>
    <w:rsid w:val="00535190"/>
    <w:rsid w:val="00536E1C"/>
    <w:rsid w:val="00547E07"/>
    <w:rsid w:val="005577C0"/>
    <w:rsid w:val="00566F75"/>
    <w:rsid w:val="00574FE0"/>
    <w:rsid w:val="005B19B5"/>
    <w:rsid w:val="005D6BB2"/>
    <w:rsid w:val="005F525A"/>
    <w:rsid w:val="006064CA"/>
    <w:rsid w:val="00644B67"/>
    <w:rsid w:val="00657A28"/>
    <w:rsid w:val="006616BC"/>
    <w:rsid w:val="0068635C"/>
    <w:rsid w:val="006D29B5"/>
    <w:rsid w:val="006E16CA"/>
    <w:rsid w:val="006E2421"/>
    <w:rsid w:val="00700617"/>
    <w:rsid w:val="007575EB"/>
    <w:rsid w:val="007B3C52"/>
    <w:rsid w:val="007B4C39"/>
    <w:rsid w:val="007C2E63"/>
    <w:rsid w:val="007E4C57"/>
    <w:rsid w:val="00823655"/>
    <w:rsid w:val="00830ADD"/>
    <w:rsid w:val="00833D50"/>
    <w:rsid w:val="008449DA"/>
    <w:rsid w:val="00846EBC"/>
    <w:rsid w:val="00875059"/>
    <w:rsid w:val="0093675C"/>
    <w:rsid w:val="00961FF6"/>
    <w:rsid w:val="00981CF3"/>
    <w:rsid w:val="00983F9E"/>
    <w:rsid w:val="009B056D"/>
    <w:rsid w:val="009C120E"/>
    <w:rsid w:val="009D734F"/>
    <w:rsid w:val="009F6E27"/>
    <w:rsid w:val="00A02EB7"/>
    <w:rsid w:val="00A1077B"/>
    <w:rsid w:val="00A26715"/>
    <w:rsid w:val="00A4019D"/>
    <w:rsid w:val="00A40F80"/>
    <w:rsid w:val="00A43C01"/>
    <w:rsid w:val="00A5113B"/>
    <w:rsid w:val="00A533E4"/>
    <w:rsid w:val="00A64C6B"/>
    <w:rsid w:val="00A963B6"/>
    <w:rsid w:val="00AA3F2C"/>
    <w:rsid w:val="00B42372"/>
    <w:rsid w:val="00B50D78"/>
    <w:rsid w:val="00B704BD"/>
    <w:rsid w:val="00B705D6"/>
    <w:rsid w:val="00BA133A"/>
    <w:rsid w:val="00BA4AE9"/>
    <w:rsid w:val="00BD1937"/>
    <w:rsid w:val="00C151BC"/>
    <w:rsid w:val="00C15967"/>
    <w:rsid w:val="00C17337"/>
    <w:rsid w:val="00C373E2"/>
    <w:rsid w:val="00C44867"/>
    <w:rsid w:val="00C757A8"/>
    <w:rsid w:val="00C840DA"/>
    <w:rsid w:val="00C95220"/>
    <w:rsid w:val="00C96538"/>
    <w:rsid w:val="00CB16B1"/>
    <w:rsid w:val="00CD3F68"/>
    <w:rsid w:val="00D1637C"/>
    <w:rsid w:val="00D54562"/>
    <w:rsid w:val="00D57EA4"/>
    <w:rsid w:val="00D65157"/>
    <w:rsid w:val="00D87850"/>
    <w:rsid w:val="00D9439F"/>
    <w:rsid w:val="00DA587E"/>
    <w:rsid w:val="00E56509"/>
    <w:rsid w:val="00E612CB"/>
    <w:rsid w:val="00E72575"/>
    <w:rsid w:val="00E81F7B"/>
    <w:rsid w:val="00E93663"/>
    <w:rsid w:val="00EB3279"/>
    <w:rsid w:val="00EC0AEE"/>
    <w:rsid w:val="00EF151B"/>
    <w:rsid w:val="00EF5E8F"/>
    <w:rsid w:val="00F13D20"/>
    <w:rsid w:val="00F26BC4"/>
    <w:rsid w:val="00F3234C"/>
    <w:rsid w:val="00F47651"/>
    <w:rsid w:val="00F62BB5"/>
    <w:rsid w:val="00F635F5"/>
    <w:rsid w:val="00F97CDD"/>
    <w:rsid w:val="00FA43B8"/>
    <w:rsid w:val="00FD7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485B7F"/>
  <w15:chartTrackingRefBased/>
  <w15:docId w15:val="{3F9A5B6B-BE46-1246-A9F9-D0F71D9F3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1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11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11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1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1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1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1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1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1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1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11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1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1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1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1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1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1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13B"/>
    <w:rPr>
      <w:rFonts w:eastAsiaTheme="majorEastAsia" w:cstheme="majorBidi"/>
      <w:color w:val="272727" w:themeColor="text1" w:themeTint="D8"/>
    </w:rPr>
  </w:style>
  <w:style w:type="paragraph" w:styleId="Title">
    <w:name w:val="Title"/>
    <w:basedOn w:val="Normal"/>
    <w:next w:val="Normal"/>
    <w:link w:val="TitleChar"/>
    <w:uiPriority w:val="10"/>
    <w:qFormat/>
    <w:rsid w:val="00A51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1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1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13B"/>
    <w:pPr>
      <w:spacing w:before="160"/>
      <w:jc w:val="center"/>
    </w:pPr>
    <w:rPr>
      <w:i/>
      <w:iCs/>
      <w:color w:val="404040" w:themeColor="text1" w:themeTint="BF"/>
    </w:rPr>
  </w:style>
  <w:style w:type="character" w:customStyle="1" w:styleId="QuoteChar">
    <w:name w:val="Quote Char"/>
    <w:basedOn w:val="DefaultParagraphFont"/>
    <w:link w:val="Quote"/>
    <w:uiPriority w:val="29"/>
    <w:rsid w:val="00A5113B"/>
    <w:rPr>
      <w:i/>
      <w:iCs/>
      <w:color w:val="404040" w:themeColor="text1" w:themeTint="BF"/>
    </w:rPr>
  </w:style>
  <w:style w:type="paragraph" w:styleId="ListParagraph">
    <w:name w:val="List Paragraph"/>
    <w:basedOn w:val="Normal"/>
    <w:uiPriority w:val="34"/>
    <w:qFormat/>
    <w:rsid w:val="00A5113B"/>
    <w:pPr>
      <w:ind w:left="720"/>
      <w:contextualSpacing/>
    </w:pPr>
  </w:style>
  <w:style w:type="character" w:styleId="IntenseEmphasis">
    <w:name w:val="Intense Emphasis"/>
    <w:basedOn w:val="DefaultParagraphFont"/>
    <w:uiPriority w:val="21"/>
    <w:qFormat/>
    <w:rsid w:val="00A5113B"/>
    <w:rPr>
      <w:i/>
      <w:iCs/>
      <w:color w:val="0F4761" w:themeColor="accent1" w:themeShade="BF"/>
    </w:rPr>
  </w:style>
  <w:style w:type="paragraph" w:styleId="IntenseQuote">
    <w:name w:val="Intense Quote"/>
    <w:basedOn w:val="Normal"/>
    <w:next w:val="Normal"/>
    <w:link w:val="IntenseQuoteChar"/>
    <w:uiPriority w:val="30"/>
    <w:qFormat/>
    <w:rsid w:val="00A511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13B"/>
    <w:rPr>
      <w:i/>
      <w:iCs/>
      <w:color w:val="0F4761" w:themeColor="accent1" w:themeShade="BF"/>
    </w:rPr>
  </w:style>
  <w:style w:type="character" w:styleId="IntenseReference">
    <w:name w:val="Intense Reference"/>
    <w:basedOn w:val="DefaultParagraphFont"/>
    <w:uiPriority w:val="32"/>
    <w:qFormat/>
    <w:rsid w:val="00A5113B"/>
    <w:rPr>
      <w:b/>
      <w:bCs/>
      <w:smallCaps/>
      <w:color w:val="0F4761" w:themeColor="accent1" w:themeShade="BF"/>
      <w:spacing w:val="5"/>
    </w:rPr>
  </w:style>
  <w:style w:type="paragraph" w:customStyle="1" w:styleId="p1">
    <w:name w:val="p1"/>
    <w:basedOn w:val="Normal"/>
    <w:rsid w:val="00EF5E8F"/>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EF5E8F"/>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EF5E8F"/>
  </w:style>
  <w:style w:type="paragraph" w:customStyle="1" w:styleId="p2">
    <w:name w:val="p2"/>
    <w:basedOn w:val="Normal"/>
    <w:rsid w:val="00F13D20"/>
    <w:pPr>
      <w:spacing w:after="0" w:line="240" w:lineRule="auto"/>
    </w:pPr>
    <w:rPr>
      <w:rFonts w:ascii=".AppleSystemUIFont" w:hAnsi=".AppleSystemUIFont" w:cs="Times New Roman"/>
      <w:kern w:val="0"/>
      <w:sz w:val="26"/>
      <w:szCs w:val="26"/>
      <w14:ligatures w14:val="none"/>
    </w:rPr>
  </w:style>
  <w:style w:type="character" w:styleId="Hyperlink">
    <w:name w:val="Hyperlink"/>
    <w:basedOn w:val="DefaultParagraphFont"/>
    <w:uiPriority w:val="99"/>
    <w:unhideWhenUsed/>
    <w:rsid w:val="00E56509"/>
    <w:rPr>
      <w:color w:val="467886" w:themeColor="hyperlink"/>
      <w:u w:val="single"/>
    </w:rPr>
  </w:style>
  <w:style w:type="character" w:styleId="UnresolvedMention">
    <w:name w:val="Unresolved Mention"/>
    <w:basedOn w:val="DefaultParagraphFont"/>
    <w:uiPriority w:val="99"/>
    <w:semiHidden/>
    <w:unhideWhenUsed/>
    <w:rsid w:val="00E565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9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the-nhs-constitution-for-england" TargetMode="External"/><Relationship Id="rId12" Type="http://schemas.openxmlformats.org/officeDocument/2006/relationships/hyperlink" Target="https://improvement.nhs.uk/resources/sbar-communication-too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22/1/contents/enacted" TargetMode="External"/><Relationship Id="rId11" Type="http://schemas.openxmlformats.org/officeDocument/2006/relationships/hyperlink" Target="https://www.hcpc-uk.org/standards/standards-of-conduct-performance-and-ethics/" TargetMode="External"/><Relationship Id="rId5" Type="http://schemas.openxmlformats.org/officeDocument/2006/relationships/hyperlink" Target="https://www.legislation.gov.uk/ukpga/2014/23/contents/enacted" TargetMode="External"/><Relationship Id="rId10" Type="http://schemas.openxmlformats.org/officeDocument/2006/relationships/hyperlink" Target="https://www.nmc.org.uk/standards/code/" TargetMode="External"/><Relationship Id="rId4" Type="http://schemas.openxmlformats.org/officeDocument/2006/relationships/image" Target="media/image1.png"/><Relationship Id="rId9" Type="http://schemas.openxmlformats.org/officeDocument/2006/relationships/hyperlink" Target="https://www.gov.uk/government/publications/mental-capacity-act-code-of-practi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118</TotalTime>
  <Pages>7</Pages>
  <Words>1773</Words>
  <Characters>10979</Characters>
  <Application>Microsoft Office Word</Application>
  <DocSecurity>0</DocSecurity>
  <Lines>236</Lines>
  <Paragraphs>12</Paragraphs>
  <ScaleCrop>false</ScaleCrop>
  <Company/>
  <LinksUpToDate>false</LinksUpToDate>
  <CharactersWithSpaces>12782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 Islam Semi Bepary (2418833)</dc:creator>
  <cp:keywords/>
  <dc:description/>
  <cp:lastModifiedBy>Rosa Islam Semi Bepary (2418833)</cp:lastModifiedBy>
  <cp:revision>173</cp:revision>
  <dcterms:created xsi:type="dcterms:W3CDTF">2025-11-12T12:00:00Z</dcterms:created>
  <dcterms:modified xsi:type="dcterms:W3CDTF">2025-11-27T17:07:00Z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b251056c-c8b1-478f-8e73-72f8fb78548d</vt:lpwstr>
  </property>
</Properties>
</file>