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419AD" w14:textId="77777777" w:rsidR="00ED3E4E" w:rsidRPr="000C5C81" w:rsidRDefault="00ED3E4E" w:rsidP="000C5C81">
      <w:pPr>
        <w:pStyle w:val="Title"/>
        <w:spacing w:line="360" w:lineRule="auto"/>
        <w:jc w:val="center"/>
        <w:rPr>
          <w:rFonts w:ascii="Arial" w:hAnsi="Arial" w:cs="Arial"/>
        </w:rPr>
      </w:pPr>
      <w:r w:rsidRPr="000C5C81">
        <w:rPr>
          <w:rFonts w:ascii="Arial" w:hAnsi="Arial" w:cs="Arial"/>
        </w:rPr>
        <w:t>Raluca Sultana</w:t>
      </w:r>
    </w:p>
    <w:p w14:paraId="3B59F490" w14:textId="77777777" w:rsidR="00ED3E4E" w:rsidRPr="000C5C81" w:rsidRDefault="00ED3E4E" w:rsidP="000C5C81">
      <w:pPr>
        <w:pStyle w:val="Title"/>
        <w:spacing w:line="360" w:lineRule="auto"/>
        <w:jc w:val="center"/>
        <w:rPr>
          <w:rFonts w:ascii="Arial" w:hAnsi="Arial" w:cs="Arial"/>
        </w:rPr>
      </w:pPr>
      <w:r w:rsidRPr="000C5C81">
        <w:rPr>
          <w:rFonts w:ascii="Arial" w:hAnsi="Arial" w:cs="Arial"/>
        </w:rPr>
        <w:t>2325938</w:t>
      </w:r>
    </w:p>
    <w:p w14:paraId="050815AD" w14:textId="171DE411" w:rsidR="00ED3E4E" w:rsidRPr="000C5C81" w:rsidRDefault="00ED3E4E" w:rsidP="000C5C81">
      <w:pPr>
        <w:pStyle w:val="Title"/>
        <w:spacing w:line="360" w:lineRule="auto"/>
        <w:jc w:val="center"/>
        <w:rPr>
          <w:rFonts w:ascii="Arial" w:hAnsi="Arial" w:cs="Arial"/>
        </w:rPr>
      </w:pPr>
      <w:r w:rsidRPr="000C5C81">
        <w:rPr>
          <w:rFonts w:ascii="Arial" w:hAnsi="Arial" w:cs="Arial"/>
        </w:rPr>
        <w:t>Component 1 – Written Assignment (Report)</w:t>
      </w:r>
    </w:p>
    <w:p w14:paraId="22344DC3" w14:textId="77777777" w:rsidR="00ED3E4E" w:rsidRPr="000C5C81" w:rsidRDefault="00ED3E4E" w:rsidP="000C5C81">
      <w:pPr>
        <w:pStyle w:val="Title"/>
        <w:spacing w:line="360" w:lineRule="auto"/>
        <w:jc w:val="center"/>
        <w:rPr>
          <w:rFonts w:ascii="Arial" w:hAnsi="Arial" w:cs="Arial"/>
        </w:rPr>
      </w:pPr>
      <w:r w:rsidRPr="000C5C81">
        <w:rPr>
          <w:rFonts w:ascii="Arial" w:hAnsi="Arial" w:cs="Arial"/>
        </w:rPr>
        <w:t>Principles of Health and Social Care Practice - BMHP5016</w:t>
      </w:r>
    </w:p>
    <w:p w14:paraId="4B98095B" w14:textId="4C3F5726" w:rsidR="00ED3E4E" w:rsidRPr="000C5C81" w:rsidRDefault="00ED3E4E" w:rsidP="000C5C81">
      <w:pPr>
        <w:pStyle w:val="Title"/>
        <w:spacing w:line="360" w:lineRule="auto"/>
        <w:jc w:val="center"/>
        <w:rPr>
          <w:rFonts w:ascii="Arial" w:hAnsi="Arial" w:cs="Arial"/>
        </w:rPr>
      </w:pPr>
      <w:r w:rsidRPr="000C5C81">
        <w:rPr>
          <w:rFonts w:ascii="Arial" w:hAnsi="Arial" w:cs="Arial"/>
        </w:rPr>
        <w:t>Friday</w:t>
      </w:r>
      <w:r w:rsidRPr="000C5C81">
        <w:rPr>
          <w:rFonts w:ascii="Arial" w:hAnsi="Arial" w:cs="Arial"/>
        </w:rPr>
        <w:t xml:space="preserve"> </w:t>
      </w:r>
      <w:r w:rsidRPr="000C5C81">
        <w:rPr>
          <w:rFonts w:ascii="Arial" w:hAnsi="Arial" w:cs="Arial"/>
        </w:rPr>
        <w:t>25</w:t>
      </w:r>
      <w:r w:rsidRPr="000C5C81">
        <w:rPr>
          <w:rFonts w:ascii="Arial" w:hAnsi="Arial" w:cs="Arial"/>
          <w:vertAlign w:val="superscript"/>
        </w:rPr>
        <w:t>th</w:t>
      </w:r>
      <w:r w:rsidRPr="000C5C81">
        <w:rPr>
          <w:rFonts w:ascii="Arial" w:hAnsi="Arial" w:cs="Arial"/>
        </w:rPr>
        <w:t xml:space="preserve"> November</w:t>
      </w:r>
    </w:p>
    <w:p w14:paraId="22ABC7E5" w14:textId="77777777" w:rsidR="00ED3E4E" w:rsidRPr="000C5C81" w:rsidRDefault="00ED3E4E" w:rsidP="000C5C81">
      <w:pPr>
        <w:spacing w:line="360" w:lineRule="auto"/>
        <w:jc w:val="center"/>
        <w:rPr>
          <w:rFonts w:cs="Arial"/>
          <w:color w:val="1D2125"/>
          <w:sz w:val="56"/>
          <w:szCs w:val="56"/>
        </w:rPr>
      </w:pPr>
      <w:r w:rsidRPr="000C5C81">
        <w:rPr>
          <w:rFonts w:cs="Arial"/>
          <w:sz w:val="56"/>
          <w:szCs w:val="56"/>
        </w:rPr>
        <w:t xml:space="preserve">Tutor: </w:t>
      </w:r>
      <w:r w:rsidRPr="000C5C81">
        <w:rPr>
          <w:rFonts w:cs="Arial"/>
          <w:color w:val="1D2125"/>
          <w:sz w:val="56"/>
          <w:szCs w:val="56"/>
        </w:rPr>
        <w:t>Humza Saeed</w:t>
      </w:r>
    </w:p>
    <w:p w14:paraId="68FD4B09" w14:textId="3073BC65" w:rsidR="00ED3E4E" w:rsidRDefault="00ED3E4E" w:rsidP="000C5C81">
      <w:pPr>
        <w:spacing w:line="360" w:lineRule="auto"/>
      </w:pPr>
    </w:p>
    <w:p w14:paraId="630F4E26" w14:textId="77777777" w:rsidR="00ED3E4E" w:rsidRDefault="00ED3E4E" w:rsidP="000C5C81">
      <w:pPr>
        <w:spacing w:line="360" w:lineRule="auto"/>
      </w:pPr>
      <w:r>
        <w:br w:type="page"/>
      </w:r>
    </w:p>
    <w:sdt>
      <w:sdtPr>
        <w:id w:val="-1251582045"/>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12BEADDC" w14:textId="4E70DBF7" w:rsidR="00ED3E4E" w:rsidRDefault="00ED3E4E" w:rsidP="000C5C81">
          <w:pPr>
            <w:pStyle w:val="TOCHeading"/>
            <w:spacing w:line="360" w:lineRule="auto"/>
          </w:pPr>
          <w:r>
            <w:t>Table of Contents</w:t>
          </w:r>
        </w:p>
        <w:p w14:paraId="6C9EC9F8" w14:textId="413C173C" w:rsidR="00ED3E4E" w:rsidRDefault="00ED3E4E" w:rsidP="000C5C81">
          <w:pPr>
            <w:pStyle w:val="TOC1"/>
            <w:tabs>
              <w:tab w:val="left" w:pos="480"/>
              <w:tab w:val="right" w:leader="dot" w:pos="9016"/>
            </w:tabs>
            <w:spacing w:line="360" w:lineRule="auto"/>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14839946" w:history="1">
            <w:r w:rsidRPr="001117B7">
              <w:rPr>
                <w:rStyle w:val="Hyperlink"/>
                <w:rFonts w:cs="Arial"/>
                <w:noProof/>
              </w:rPr>
              <w:t>1.</w:t>
            </w:r>
            <w:r>
              <w:rPr>
                <w:rFonts w:asciiTheme="minorHAnsi" w:eastAsiaTheme="minorEastAsia" w:hAnsiTheme="minorHAnsi"/>
                <w:noProof/>
                <w:sz w:val="24"/>
                <w:szCs w:val="24"/>
                <w:lang w:eastAsia="en-GB"/>
              </w:rPr>
              <w:tab/>
            </w:r>
            <w:r w:rsidRPr="001117B7">
              <w:rPr>
                <w:rStyle w:val="Hyperlink"/>
                <w:rFonts w:cs="Arial"/>
                <w:noProof/>
              </w:rPr>
              <w:t>Abstract</w:t>
            </w:r>
            <w:r>
              <w:rPr>
                <w:noProof/>
                <w:webHidden/>
              </w:rPr>
              <w:tab/>
            </w:r>
            <w:r>
              <w:rPr>
                <w:noProof/>
                <w:webHidden/>
              </w:rPr>
              <w:fldChar w:fldCharType="begin"/>
            </w:r>
            <w:r>
              <w:rPr>
                <w:noProof/>
                <w:webHidden/>
              </w:rPr>
              <w:instrText xml:space="preserve"> PAGEREF _Toc214839946 \h </w:instrText>
            </w:r>
            <w:r>
              <w:rPr>
                <w:noProof/>
                <w:webHidden/>
              </w:rPr>
            </w:r>
            <w:r>
              <w:rPr>
                <w:noProof/>
                <w:webHidden/>
              </w:rPr>
              <w:fldChar w:fldCharType="separate"/>
            </w:r>
            <w:r>
              <w:rPr>
                <w:noProof/>
                <w:webHidden/>
              </w:rPr>
              <w:t>3</w:t>
            </w:r>
            <w:r>
              <w:rPr>
                <w:noProof/>
                <w:webHidden/>
              </w:rPr>
              <w:fldChar w:fldCharType="end"/>
            </w:r>
          </w:hyperlink>
        </w:p>
        <w:p w14:paraId="22B714EC" w14:textId="6C6CBCCD" w:rsidR="00ED3E4E" w:rsidRDefault="00ED3E4E" w:rsidP="000C5C81">
          <w:pPr>
            <w:pStyle w:val="TOC1"/>
            <w:tabs>
              <w:tab w:val="left" w:pos="480"/>
              <w:tab w:val="right" w:leader="dot" w:pos="9016"/>
            </w:tabs>
            <w:spacing w:line="360" w:lineRule="auto"/>
            <w:rPr>
              <w:rFonts w:asciiTheme="minorHAnsi" w:eastAsiaTheme="minorEastAsia" w:hAnsiTheme="minorHAnsi"/>
              <w:noProof/>
              <w:sz w:val="24"/>
              <w:szCs w:val="24"/>
              <w:lang w:eastAsia="en-GB"/>
            </w:rPr>
          </w:pPr>
          <w:hyperlink w:anchor="_Toc214839947" w:history="1">
            <w:r w:rsidRPr="001117B7">
              <w:rPr>
                <w:rStyle w:val="Hyperlink"/>
                <w:rFonts w:cs="Arial"/>
                <w:noProof/>
              </w:rPr>
              <w:t>2.</w:t>
            </w:r>
            <w:r>
              <w:rPr>
                <w:rFonts w:asciiTheme="minorHAnsi" w:eastAsiaTheme="minorEastAsia" w:hAnsiTheme="minorHAnsi"/>
                <w:noProof/>
                <w:sz w:val="24"/>
                <w:szCs w:val="24"/>
                <w:lang w:eastAsia="en-GB"/>
              </w:rPr>
              <w:tab/>
            </w:r>
            <w:r w:rsidRPr="001117B7">
              <w:rPr>
                <w:rStyle w:val="Hyperlink"/>
                <w:rFonts w:cs="Arial"/>
                <w:noProof/>
              </w:rPr>
              <w:t>Introduction</w:t>
            </w:r>
            <w:r>
              <w:rPr>
                <w:noProof/>
                <w:webHidden/>
              </w:rPr>
              <w:tab/>
            </w:r>
            <w:r>
              <w:rPr>
                <w:noProof/>
                <w:webHidden/>
              </w:rPr>
              <w:fldChar w:fldCharType="begin"/>
            </w:r>
            <w:r>
              <w:rPr>
                <w:noProof/>
                <w:webHidden/>
              </w:rPr>
              <w:instrText xml:space="preserve"> PAGEREF _Toc214839947 \h </w:instrText>
            </w:r>
            <w:r>
              <w:rPr>
                <w:noProof/>
                <w:webHidden/>
              </w:rPr>
            </w:r>
            <w:r>
              <w:rPr>
                <w:noProof/>
                <w:webHidden/>
              </w:rPr>
              <w:fldChar w:fldCharType="separate"/>
            </w:r>
            <w:r>
              <w:rPr>
                <w:noProof/>
                <w:webHidden/>
              </w:rPr>
              <w:t>3</w:t>
            </w:r>
            <w:r>
              <w:rPr>
                <w:noProof/>
                <w:webHidden/>
              </w:rPr>
              <w:fldChar w:fldCharType="end"/>
            </w:r>
          </w:hyperlink>
        </w:p>
        <w:p w14:paraId="64AA75E0" w14:textId="20D251A3" w:rsidR="00ED3E4E" w:rsidRDefault="00ED3E4E" w:rsidP="000C5C81">
          <w:pPr>
            <w:pStyle w:val="TOC1"/>
            <w:tabs>
              <w:tab w:val="left" w:pos="480"/>
              <w:tab w:val="right" w:leader="dot" w:pos="9016"/>
            </w:tabs>
            <w:spacing w:line="360" w:lineRule="auto"/>
            <w:rPr>
              <w:rFonts w:asciiTheme="minorHAnsi" w:eastAsiaTheme="minorEastAsia" w:hAnsiTheme="minorHAnsi"/>
              <w:noProof/>
              <w:sz w:val="24"/>
              <w:szCs w:val="24"/>
              <w:lang w:eastAsia="en-GB"/>
            </w:rPr>
          </w:pPr>
          <w:hyperlink w:anchor="_Toc214839948" w:history="1">
            <w:r w:rsidRPr="001117B7">
              <w:rPr>
                <w:rStyle w:val="Hyperlink"/>
                <w:rFonts w:cs="Arial"/>
                <w:noProof/>
              </w:rPr>
              <w:t>3.</w:t>
            </w:r>
            <w:r>
              <w:rPr>
                <w:rFonts w:asciiTheme="minorHAnsi" w:eastAsiaTheme="minorEastAsia" w:hAnsiTheme="minorHAnsi"/>
                <w:noProof/>
                <w:sz w:val="24"/>
                <w:szCs w:val="24"/>
                <w:lang w:eastAsia="en-GB"/>
              </w:rPr>
              <w:tab/>
            </w:r>
            <w:r w:rsidRPr="001117B7">
              <w:rPr>
                <w:rStyle w:val="Hyperlink"/>
                <w:rFonts w:cs="Arial"/>
                <w:noProof/>
              </w:rPr>
              <w:t>Definition of Person-centred Care</w:t>
            </w:r>
            <w:r>
              <w:rPr>
                <w:noProof/>
                <w:webHidden/>
              </w:rPr>
              <w:tab/>
            </w:r>
            <w:r>
              <w:rPr>
                <w:noProof/>
                <w:webHidden/>
              </w:rPr>
              <w:fldChar w:fldCharType="begin"/>
            </w:r>
            <w:r>
              <w:rPr>
                <w:noProof/>
                <w:webHidden/>
              </w:rPr>
              <w:instrText xml:space="preserve"> PAGEREF _Toc214839948 \h </w:instrText>
            </w:r>
            <w:r>
              <w:rPr>
                <w:noProof/>
                <w:webHidden/>
              </w:rPr>
            </w:r>
            <w:r>
              <w:rPr>
                <w:noProof/>
                <w:webHidden/>
              </w:rPr>
              <w:fldChar w:fldCharType="separate"/>
            </w:r>
            <w:r>
              <w:rPr>
                <w:noProof/>
                <w:webHidden/>
              </w:rPr>
              <w:t>3</w:t>
            </w:r>
            <w:r>
              <w:rPr>
                <w:noProof/>
                <w:webHidden/>
              </w:rPr>
              <w:fldChar w:fldCharType="end"/>
            </w:r>
          </w:hyperlink>
        </w:p>
        <w:p w14:paraId="7A7911E6" w14:textId="740AB434" w:rsidR="00ED3E4E" w:rsidRDefault="00ED3E4E" w:rsidP="000C5C81">
          <w:pPr>
            <w:pStyle w:val="TOC2"/>
            <w:tabs>
              <w:tab w:val="left" w:pos="960"/>
              <w:tab w:val="right" w:leader="dot" w:pos="9016"/>
            </w:tabs>
            <w:spacing w:line="360" w:lineRule="auto"/>
            <w:rPr>
              <w:rFonts w:asciiTheme="minorHAnsi" w:eastAsiaTheme="minorEastAsia" w:hAnsiTheme="minorHAnsi"/>
              <w:noProof/>
              <w:sz w:val="24"/>
              <w:szCs w:val="24"/>
              <w:lang w:eastAsia="en-GB"/>
            </w:rPr>
          </w:pPr>
          <w:hyperlink w:anchor="_Toc214839949" w:history="1">
            <w:r w:rsidRPr="001117B7">
              <w:rPr>
                <w:rStyle w:val="Hyperlink"/>
                <w:noProof/>
              </w:rPr>
              <w:t>3.1</w:t>
            </w:r>
            <w:r>
              <w:rPr>
                <w:rFonts w:asciiTheme="minorHAnsi" w:eastAsiaTheme="minorEastAsia" w:hAnsiTheme="minorHAnsi"/>
                <w:noProof/>
                <w:sz w:val="24"/>
                <w:szCs w:val="24"/>
                <w:lang w:eastAsia="en-GB"/>
              </w:rPr>
              <w:tab/>
            </w:r>
            <w:r w:rsidRPr="001117B7">
              <w:rPr>
                <w:rStyle w:val="Hyperlink"/>
                <w:noProof/>
              </w:rPr>
              <w:t>Benefits</w:t>
            </w:r>
            <w:r>
              <w:rPr>
                <w:noProof/>
                <w:webHidden/>
              </w:rPr>
              <w:tab/>
            </w:r>
            <w:r>
              <w:rPr>
                <w:noProof/>
                <w:webHidden/>
              </w:rPr>
              <w:fldChar w:fldCharType="begin"/>
            </w:r>
            <w:r>
              <w:rPr>
                <w:noProof/>
                <w:webHidden/>
              </w:rPr>
              <w:instrText xml:space="preserve"> PAGEREF _Toc214839949 \h </w:instrText>
            </w:r>
            <w:r>
              <w:rPr>
                <w:noProof/>
                <w:webHidden/>
              </w:rPr>
            </w:r>
            <w:r>
              <w:rPr>
                <w:noProof/>
                <w:webHidden/>
              </w:rPr>
              <w:fldChar w:fldCharType="separate"/>
            </w:r>
            <w:r>
              <w:rPr>
                <w:noProof/>
                <w:webHidden/>
              </w:rPr>
              <w:t>4</w:t>
            </w:r>
            <w:r>
              <w:rPr>
                <w:noProof/>
                <w:webHidden/>
              </w:rPr>
              <w:fldChar w:fldCharType="end"/>
            </w:r>
          </w:hyperlink>
        </w:p>
        <w:p w14:paraId="11B0AA9B" w14:textId="552B72FD" w:rsidR="00ED3E4E" w:rsidRDefault="00ED3E4E" w:rsidP="000C5C81">
          <w:pPr>
            <w:pStyle w:val="TOC2"/>
            <w:tabs>
              <w:tab w:val="left" w:pos="960"/>
              <w:tab w:val="right" w:leader="dot" w:pos="9016"/>
            </w:tabs>
            <w:spacing w:line="360" w:lineRule="auto"/>
            <w:rPr>
              <w:rFonts w:asciiTheme="minorHAnsi" w:eastAsiaTheme="minorEastAsia" w:hAnsiTheme="minorHAnsi"/>
              <w:noProof/>
              <w:sz w:val="24"/>
              <w:szCs w:val="24"/>
              <w:lang w:eastAsia="en-GB"/>
            </w:rPr>
          </w:pPr>
          <w:hyperlink w:anchor="_Toc214839950" w:history="1">
            <w:r w:rsidRPr="001117B7">
              <w:rPr>
                <w:rStyle w:val="Hyperlink"/>
                <w:noProof/>
              </w:rPr>
              <w:t>3.2</w:t>
            </w:r>
            <w:r>
              <w:rPr>
                <w:rFonts w:asciiTheme="minorHAnsi" w:eastAsiaTheme="minorEastAsia" w:hAnsiTheme="minorHAnsi"/>
                <w:noProof/>
                <w:sz w:val="24"/>
                <w:szCs w:val="24"/>
                <w:lang w:eastAsia="en-GB"/>
              </w:rPr>
              <w:tab/>
            </w:r>
            <w:r w:rsidRPr="001117B7">
              <w:rPr>
                <w:rStyle w:val="Hyperlink"/>
                <w:noProof/>
              </w:rPr>
              <w:t>Limitations</w:t>
            </w:r>
            <w:r>
              <w:rPr>
                <w:noProof/>
                <w:webHidden/>
              </w:rPr>
              <w:tab/>
            </w:r>
            <w:r>
              <w:rPr>
                <w:noProof/>
                <w:webHidden/>
              </w:rPr>
              <w:fldChar w:fldCharType="begin"/>
            </w:r>
            <w:r>
              <w:rPr>
                <w:noProof/>
                <w:webHidden/>
              </w:rPr>
              <w:instrText xml:space="preserve"> PAGEREF _Toc214839950 \h </w:instrText>
            </w:r>
            <w:r>
              <w:rPr>
                <w:noProof/>
                <w:webHidden/>
              </w:rPr>
            </w:r>
            <w:r>
              <w:rPr>
                <w:noProof/>
                <w:webHidden/>
              </w:rPr>
              <w:fldChar w:fldCharType="separate"/>
            </w:r>
            <w:r>
              <w:rPr>
                <w:noProof/>
                <w:webHidden/>
              </w:rPr>
              <w:t>4</w:t>
            </w:r>
            <w:r>
              <w:rPr>
                <w:noProof/>
                <w:webHidden/>
              </w:rPr>
              <w:fldChar w:fldCharType="end"/>
            </w:r>
          </w:hyperlink>
        </w:p>
        <w:p w14:paraId="418DAE23" w14:textId="05689536" w:rsidR="00ED3E4E" w:rsidRDefault="00ED3E4E" w:rsidP="000C5C81">
          <w:pPr>
            <w:pStyle w:val="TOC1"/>
            <w:tabs>
              <w:tab w:val="left" w:pos="480"/>
              <w:tab w:val="right" w:leader="dot" w:pos="9016"/>
            </w:tabs>
            <w:spacing w:line="360" w:lineRule="auto"/>
            <w:rPr>
              <w:rFonts w:asciiTheme="minorHAnsi" w:eastAsiaTheme="minorEastAsia" w:hAnsiTheme="minorHAnsi"/>
              <w:noProof/>
              <w:sz w:val="24"/>
              <w:szCs w:val="24"/>
              <w:lang w:eastAsia="en-GB"/>
            </w:rPr>
          </w:pPr>
          <w:hyperlink w:anchor="_Toc214839951" w:history="1">
            <w:r w:rsidRPr="001117B7">
              <w:rPr>
                <w:rStyle w:val="Hyperlink"/>
                <w:rFonts w:cs="Arial"/>
                <w:noProof/>
              </w:rPr>
              <w:t>4.</w:t>
            </w:r>
            <w:r>
              <w:rPr>
                <w:rFonts w:asciiTheme="minorHAnsi" w:eastAsiaTheme="minorEastAsia" w:hAnsiTheme="minorHAnsi"/>
                <w:noProof/>
                <w:sz w:val="24"/>
                <w:szCs w:val="24"/>
                <w:lang w:eastAsia="en-GB"/>
              </w:rPr>
              <w:tab/>
            </w:r>
            <w:r w:rsidRPr="001117B7">
              <w:rPr>
                <w:rStyle w:val="Hyperlink"/>
                <w:rFonts w:cs="Arial"/>
                <w:noProof/>
              </w:rPr>
              <w:t>Relevant Theories</w:t>
            </w:r>
            <w:r>
              <w:rPr>
                <w:noProof/>
                <w:webHidden/>
              </w:rPr>
              <w:tab/>
            </w:r>
            <w:r>
              <w:rPr>
                <w:noProof/>
                <w:webHidden/>
              </w:rPr>
              <w:fldChar w:fldCharType="begin"/>
            </w:r>
            <w:r>
              <w:rPr>
                <w:noProof/>
                <w:webHidden/>
              </w:rPr>
              <w:instrText xml:space="preserve"> PAGEREF _Toc214839951 \h </w:instrText>
            </w:r>
            <w:r>
              <w:rPr>
                <w:noProof/>
                <w:webHidden/>
              </w:rPr>
            </w:r>
            <w:r>
              <w:rPr>
                <w:noProof/>
                <w:webHidden/>
              </w:rPr>
              <w:fldChar w:fldCharType="separate"/>
            </w:r>
            <w:r>
              <w:rPr>
                <w:noProof/>
                <w:webHidden/>
              </w:rPr>
              <w:t>4</w:t>
            </w:r>
            <w:r>
              <w:rPr>
                <w:noProof/>
                <w:webHidden/>
              </w:rPr>
              <w:fldChar w:fldCharType="end"/>
            </w:r>
          </w:hyperlink>
        </w:p>
        <w:p w14:paraId="735E4689" w14:textId="27AA68B8" w:rsidR="00ED3E4E" w:rsidRDefault="00ED3E4E" w:rsidP="000C5C81">
          <w:pPr>
            <w:pStyle w:val="TOC2"/>
            <w:tabs>
              <w:tab w:val="left" w:pos="960"/>
              <w:tab w:val="right" w:leader="dot" w:pos="9016"/>
            </w:tabs>
            <w:spacing w:line="360" w:lineRule="auto"/>
            <w:rPr>
              <w:rFonts w:asciiTheme="minorHAnsi" w:eastAsiaTheme="minorEastAsia" w:hAnsiTheme="minorHAnsi"/>
              <w:noProof/>
              <w:sz w:val="24"/>
              <w:szCs w:val="24"/>
              <w:lang w:eastAsia="en-GB"/>
            </w:rPr>
          </w:pPr>
          <w:hyperlink w:anchor="_Toc214839952" w:history="1">
            <w:r w:rsidRPr="001117B7">
              <w:rPr>
                <w:rStyle w:val="Hyperlink"/>
                <w:noProof/>
              </w:rPr>
              <w:t>4.1</w:t>
            </w:r>
            <w:r>
              <w:rPr>
                <w:rFonts w:asciiTheme="minorHAnsi" w:eastAsiaTheme="minorEastAsia" w:hAnsiTheme="minorHAnsi"/>
                <w:noProof/>
                <w:sz w:val="24"/>
                <w:szCs w:val="24"/>
                <w:lang w:eastAsia="en-GB"/>
              </w:rPr>
              <w:tab/>
            </w:r>
            <w:r w:rsidRPr="001117B7">
              <w:rPr>
                <w:rStyle w:val="Hyperlink"/>
                <w:noProof/>
              </w:rPr>
              <w:t>Carl Rogers’ person-centred theory</w:t>
            </w:r>
            <w:r>
              <w:rPr>
                <w:noProof/>
                <w:webHidden/>
              </w:rPr>
              <w:tab/>
            </w:r>
            <w:r>
              <w:rPr>
                <w:noProof/>
                <w:webHidden/>
              </w:rPr>
              <w:fldChar w:fldCharType="begin"/>
            </w:r>
            <w:r>
              <w:rPr>
                <w:noProof/>
                <w:webHidden/>
              </w:rPr>
              <w:instrText xml:space="preserve"> PAGEREF _Toc214839952 \h </w:instrText>
            </w:r>
            <w:r>
              <w:rPr>
                <w:noProof/>
                <w:webHidden/>
              </w:rPr>
            </w:r>
            <w:r>
              <w:rPr>
                <w:noProof/>
                <w:webHidden/>
              </w:rPr>
              <w:fldChar w:fldCharType="separate"/>
            </w:r>
            <w:r>
              <w:rPr>
                <w:noProof/>
                <w:webHidden/>
              </w:rPr>
              <w:t>4</w:t>
            </w:r>
            <w:r>
              <w:rPr>
                <w:noProof/>
                <w:webHidden/>
              </w:rPr>
              <w:fldChar w:fldCharType="end"/>
            </w:r>
          </w:hyperlink>
        </w:p>
        <w:p w14:paraId="02C4DD1A" w14:textId="03FEF46C" w:rsidR="00ED3E4E" w:rsidRDefault="00ED3E4E" w:rsidP="000C5C81">
          <w:pPr>
            <w:pStyle w:val="TOC2"/>
            <w:tabs>
              <w:tab w:val="left" w:pos="960"/>
              <w:tab w:val="right" w:leader="dot" w:pos="9016"/>
            </w:tabs>
            <w:spacing w:line="360" w:lineRule="auto"/>
            <w:rPr>
              <w:rFonts w:asciiTheme="minorHAnsi" w:eastAsiaTheme="minorEastAsia" w:hAnsiTheme="minorHAnsi"/>
              <w:noProof/>
              <w:sz w:val="24"/>
              <w:szCs w:val="24"/>
              <w:lang w:eastAsia="en-GB"/>
            </w:rPr>
          </w:pPr>
          <w:hyperlink w:anchor="_Toc214839953" w:history="1">
            <w:r w:rsidRPr="001117B7">
              <w:rPr>
                <w:rStyle w:val="Hyperlink"/>
                <w:noProof/>
              </w:rPr>
              <w:t>4.2</w:t>
            </w:r>
            <w:r>
              <w:rPr>
                <w:rFonts w:asciiTheme="minorHAnsi" w:eastAsiaTheme="minorEastAsia" w:hAnsiTheme="minorHAnsi"/>
                <w:noProof/>
                <w:sz w:val="24"/>
                <w:szCs w:val="24"/>
                <w:lang w:eastAsia="en-GB"/>
              </w:rPr>
              <w:tab/>
            </w:r>
            <w:r w:rsidRPr="001117B7">
              <w:rPr>
                <w:rStyle w:val="Hyperlink"/>
                <w:noProof/>
              </w:rPr>
              <w:t>Jean Watson: Theory of Human Caring</w:t>
            </w:r>
            <w:r>
              <w:rPr>
                <w:noProof/>
                <w:webHidden/>
              </w:rPr>
              <w:tab/>
            </w:r>
            <w:r>
              <w:rPr>
                <w:noProof/>
                <w:webHidden/>
              </w:rPr>
              <w:fldChar w:fldCharType="begin"/>
            </w:r>
            <w:r>
              <w:rPr>
                <w:noProof/>
                <w:webHidden/>
              </w:rPr>
              <w:instrText xml:space="preserve"> PAGEREF _Toc214839953 \h </w:instrText>
            </w:r>
            <w:r>
              <w:rPr>
                <w:noProof/>
                <w:webHidden/>
              </w:rPr>
            </w:r>
            <w:r>
              <w:rPr>
                <w:noProof/>
                <w:webHidden/>
              </w:rPr>
              <w:fldChar w:fldCharType="separate"/>
            </w:r>
            <w:r>
              <w:rPr>
                <w:noProof/>
                <w:webHidden/>
              </w:rPr>
              <w:t>4</w:t>
            </w:r>
            <w:r>
              <w:rPr>
                <w:noProof/>
                <w:webHidden/>
              </w:rPr>
              <w:fldChar w:fldCharType="end"/>
            </w:r>
          </w:hyperlink>
        </w:p>
        <w:p w14:paraId="5562CE24" w14:textId="292772E9"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4" w:history="1">
            <w:r w:rsidRPr="001117B7">
              <w:rPr>
                <w:rStyle w:val="Hyperlink"/>
                <w:rFonts w:cs="Arial"/>
                <w:noProof/>
              </w:rPr>
              <w:t>Ethical Fundamentals</w:t>
            </w:r>
            <w:r>
              <w:rPr>
                <w:noProof/>
                <w:webHidden/>
              </w:rPr>
              <w:tab/>
            </w:r>
            <w:r>
              <w:rPr>
                <w:noProof/>
                <w:webHidden/>
              </w:rPr>
              <w:fldChar w:fldCharType="begin"/>
            </w:r>
            <w:r>
              <w:rPr>
                <w:noProof/>
                <w:webHidden/>
              </w:rPr>
              <w:instrText xml:space="preserve"> PAGEREF _Toc214839954 \h </w:instrText>
            </w:r>
            <w:r>
              <w:rPr>
                <w:noProof/>
                <w:webHidden/>
              </w:rPr>
            </w:r>
            <w:r>
              <w:rPr>
                <w:noProof/>
                <w:webHidden/>
              </w:rPr>
              <w:fldChar w:fldCharType="separate"/>
            </w:r>
            <w:r>
              <w:rPr>
                <w:noProof/>
                <w:webHidden/>
              </w:rPr>
              <w:t>5</w:t>
            </w:r>
            <w:r>
              <w:rPr>
                <w:noProof/>
                <w:webHidden/>
              </w:rPr>
              <w:fldChar w:fldCharType="end"/>
            </w:r>
          </w:hyperlink>
        </w:p>
        <w:p w14:paraId="4A8B0E8D" w14:textId="0BB4CAC3"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5" w:history="1">
            <w:r w:rsidRPr="001117B7">
              <w:rPr>
                <w:rStyle w:val="Hyperlink"/>
                <w:rFonts w:cs="Arial"/>
                <w:noProof/>
              </w:rPr>
              <w:t>Evaluation of Partnership Working</w:t>
            </w:r>
            <w:r>
              <w:rPr>
                <w:noProof/>
                <w:webHidden/>
              </w:rPr>
              <w:tab/>
            </w:r>
            <w:r>
              <w:rPr>
                <w:noProof/>
                <w:webHidden/>
              </w:rPr>
              <w:fldChar w:fldCharType="begin"/>
            </w:r>
            <w:r>
              <w:rPr>
                <w:noProof/>
                <w:webHidden/>
              </w:rPr>
              <w:instrText xml:space="preserve"> PAGEREF _Toc214839955 \h </w:instrText>
            </w:r>
            <w:r>
              <w:rPr>
                <w:noProof/>
                <w:webHidden/>
              </w:rPr>
            </w:r>
            <w:r>
              <w:rPr>
                <w:noProof/>
                <w:webHidden/>
              </w:rPr>
              <w:fldChar w:fldCharType="separate"/>
            </w:r>
            <w:r>
              <w:rPr>
                <w:noProof/>
                <w:webHidden/>
              </w:rPr>
              <w:t>5</w:t>
            </w:r>
            <w:r>
              <w:rPr>
                <w:noProof/>
                <w:webHidden/>
              </w:rPr>
              <w:fldChar w:fldCharType="end"/>
            </w:r>
          </w:hyperlink>
        </w:p>
        <w:p w14:paraId="53BA0F0A" w14:textId="13C37BD7"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6" w:history="1">
            <w:r w:rsidRPr="001117B7">
              <w:rPr>
                <w:rStyle w:val="Hyperlink"/>
                <w:rFonts w:cs="Arial"/>
                <w:noProof/>
              </w:rPr>
              <w:t>Policy and Legislation</w:t>
            </w:r>
            <w:r>
              <w:rPr>
                <w:noProof/>
                <w:webHidden/>
              </w:rPr>
              <w:tab/>
            </w:r>
            <w:r>
              <w:rPr>
                <w:noProof/>
                <w:webHidden/>
              </w:rPr>
              <w:fldChar w:fldCharType="begin"/>
            </w:r>
            <w:r>
              <w:rPr>
                <w:noProof/>
                <w:webHidden/>
              </w:rPr>
              <w:instrText xml:space="preserve"> PAGEREF _Toc214839956 \h </w:instrText>
            </w:r>
            <w:r>
              <w:rPr>
                <w:noProof/>
                <w:webHidden/>
              </w:rPr>
            </w:r>
            <w:r>
              <w:rPr>
                <w:noProof/>
                <w:webHidden/>
              </w:rPr>
              <w:fldChar w:fldCharType="separate"/>
            </w:r>
            <w:r>
              <w:rPr>
                <w:noProof/>
                <w:webHidden/>
              </w:rPr>
              <w:t>6</w:t>
            </w:r>
            <w:r>
              <w:rPr>
                <w:noProof/>
                <w:webHidden/>
              </w:rPr>
              <w:fldChar w:fldCharType="end"/>
            </w:r>
          </w:hyperlink>
        </w:p>
        <w:p w14:paraId="23DFC7FA" w14:textId="426D031C"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7" w:history="1">
            <w:r w:rsidRPr="001117B7">
              <w:rPr>
                <w:rStyle w:val="Hyperlink"/>
                <w:rFonts w:cs="Arial"/>
                <w:noProof/>
              </w:rPr>
              <w:t>Recommendations</w:t>
            </w:r>
            <w:r>
              <w:rPr>
                <w:noProof/>
                <w:webHidden/>
              </w:rPr>
              <w:tab/>
            </w:r>
            <w:r>
              <w:rPr>
                <w:noProof/>
                <w:webHidden/>
              </w:rPr>
              <w:fldChar w:fldCharType="begin"/>
            </w:r>
            <w:r>
              <w:rPr>
                <w:noProof/>
                <w:webHidden/>
              </w:rPr>
              <w:instrText xml:space="preserve"> PAGEREF _Toc214839957 \h </w:instrText>
            </w:r>
            <w:r>
              <w:rPr>
                <w:noProof/>
                <w:webHidden/>
              </w:rPr>
            </w:r>
            <w:r>
              <w:rPr>
                <w:noProof/>
                <w:webHidden/>
              </w:rPr>
              <w:fldChar w:fldCharType="separate"/>
            </w:r>
            <w:r>
              <w:rPr>
                <w:noProof/>
                <w:webHidden/>
              </w:rPr>
              <w:t>6</w:t>
            </w:r>
            <w:r>
              <w:rPr>
                <w:noProof/>
                <w:webHidden/>
              </w:rPr>
              <w:fldChar w:fldCharType="end"/>
            </w:r>
          </w:hyperlink>
        </w:p>
        <w:p w14:paraId="5B079763" w14:textId="56AFC8F4"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8" w:history="1">
            <w:r w:rsidRPr="001117B7">
              <w:rPr>
                <w:rStyle w:val="Hyperlink"/>
                <w:rFonts w:cs="Arial"/>
                <w:noProof/>
              </w:rPr>
              <w:t>Conclusion</w:t>
            </w:r>
            <w:r>
              <w:rPr>
                <w:noProof/>
                <w:webHidden/>
              </w:rPr>
              <w:tab/>
            </w:r>
            <w:r>
              <w:rPr>
                <w:noProof/>
                <w:webHidden/>
              </w:rPr>
              <w:fldChar w:fldCharType="begin"/>
            </w:r>
            <w:r>
              <w:rPr>
                <w:noProof/>
                <w:webHidden/>
              </w:rPr>
              <w:instrText xml:space="preserve"> PAGEREF _Toc214839958 \h </w:instrText>
            </w:r>
            <w:r>
              <w:rPr>
                <w:noProof/>
                <w:webHidden/>
              </w:rPr>
            </w:r>
            <w:r>
              <w:rPr>
                <w:noProof/>
                <w:webHidden/>
              </w:rPr>
              <w:fldChar w:fldCharType="separate"/>
            </w:r>
            <w:r>
              <w:rPr>
                <w:noProof/>
                <w:webHidden/>
              </w:rPr>
              <w:t>7</w:t>
            </w:r>
            <w:r>
              <w:rPr>
                <w:noProof/>
                <w:webHidden/>
              </w:rPr>
              <w:fldChar w:fldCharType="end"/>
            </w:r>
          </w:hyperlink>
        </w:p>
        <w:p w14:paraId="4D479B70" w14:textId="602A4DFA" w:rsidR="00ED3E4E" w:rsidRDefault="00ED3E4E" w:rsidP="000C5C81">
          <w:pPr>
            <w:pStyle w:val="TOC1"/>
            <w:tabs>
              <w:tab w:val="right" w:leader="dot" w:pos="9016"/>
            </w:tabs>
            <w:spacing w:line="360" w:lineRule="auto"/>
            <w:rPr>
              <w:rFonts w:asciiTheme="minorHAnsi" w:eastAsiaTheme="minorEastAsia" w:hAnsiTheme="minorHAnsi"/>
              <w:noProof/>
              <w:sz w:val="24"/>
              <w:szCs w:val="24"/>
              <w:lang w:eastAsia="en-GB"/>
            </w:rPr>
          </w:pPr>
          <w:hyperlink w:anchor="_Toc214839959" w:history="1">
            <w:r w:rsidRPr="001117B7">
              <w:rPr>
                <w:rStyle w:val="Hyperlink"/>
                <w:noProof/>
              </w:rPr>
              <w:t>References</w:t>
            </w:r>
            <w:r>
              <w:rPr>
                <w:noProof/>
                <w:webHidden/>
              </w:rPr>
              <w:tab/>
            </w:r>
            <w:r>
              <w:rPr>
                <w:noProof/>
                <w:webHidden/>
              </w:rPr>
              <w:fldChar w:fldCharType="begin"/>
            </w:r>
            <w:r>
              <w:rPr>
                <w:noProof/>
                <w:webHidden/>
              </w:rPr>
              <w:instrText xml:space="preserve"> PAGEREF _Toc214839959 \h </w:instrText>
            </w:r>
            <w:r>
              <w:rPr>
                <w:noProof/>
                <w:webHidden/>
              </w:rPr>
            </w:r>
            <w:r>
              <w:rPr>
                <w:noProof/>
                <w:webHidden/>
              </w:rPr>
              <w:fldChar w:fldCharType="separate"/>
            </w:r>
            <w:r>
              <w:rPr>
                <w:noProof/>
                <w:webHidden/>
              </w:rPr>
              <w:t>7</w:t>
            </w:r>
            <w:r>
              <w:rPr>
                <w:noProof/>
                <w:webHidden/>
              </w:rPr>
              <w:fldChar w:fldCharType="end"/>
            </w:r>
          </w:hyperlink>
        </w:p>
        <w:p w14:paraId="38207929" w14:textId="4F22F5CC" w:rsidR="00ED3E4E" w:rsidRDefault="00ED3E4E" w:rsidP="000C5C81">
          <w:pPr>
            <w:spacing w:line="360" w:lineRule="auto"/>
          </w:pPr>
          <w:r>
            <w:rPr>
              <w:b/>
              <w:bCs/>
            </w:rPr>
            <w:fldChar w:fldCharType="end"/>
          </w:r>
        </w:p>
      </w:sdtContent>
    </w:sdt>
    <w:p w14:paraId="3BFE93AA" w14:textId="3137258D" w:rsidR="00ED3E4E" w:rsidRDefault="00ED3E4E" w:rsidP="000C5C81">
      <w:pPr>
        <w:spacing w:line="360" w:lineRule="auto"/>
      </w:pPr>
    </w:p>
    <w:p w14:paraId="2BA86792" w14:textId="77777777" w:rsidR="00ED3E4E" w:rsidRDefault="00ED3E4E" w:rsidP="000C5C81">
      <w:pPr>
        <w:spacing w:line="360" w:lineRule="auto"/>
      </w:pPr>
      <w:r>
        <w:br w:type="page"/>
      </w:r>
    </w:p>
    <w:p w14:paraId="4CA60AB9" w14:textId="77777777" w:rsidR="00ED3E4E" w:rsidRDefault="00ED3E4E" w:rsidP="000C5C81">
      <w:pPr>
        <w:pStyle w:val="Heading1"/>
        <w:numPr>
          <w:ilvl w:val="0"/>
          <w:numId w:val="1"/>
        </w:numPr>
        <w:tabs>
          <w:tab w:val="num" w:pos="360"/>
        </w:tabs>
        <w:spacing w:line="360" w:lineRule="auto"/>
        <w:ind w:left="0" w:firstLine="0"/>
        <w:rPr>
          <w:rFonts w:cs="Arial"/>
        </w:rPr>
      </w:pPr>
      <w:bookmarkStart w:id="0" w:name="_Toc204608270"/>
      <w:bookmarkStart w:id="1" w:name="_Toc214839946"/>
      <w:r w:rsidRPr="008151CA">
        <w:rPr>
          <w:rFonts w:cs="Arial"/>
        </w:rPr>
        <w:lastRenderedPageBreak/>
        <w:t>Abstract</w:t>
      </w:r>
      <w:bookmarkEnd w:id="0"/>
      <w:bookmarkEnd w:id="1"/>
    </w:p>
    <w:p w14:paraId="18F62996" w14:textId="77777777" w:rsidR="00ED3E4E" w:rsidRPr="00F6490D" w:rsidRDefault="00ED3E4E" w:rsidP="000C5C81">
      <w:pPr>
        <w:spacing w:line="360" w:lineRule="auto"/>
      </w:pPr>
      <w:r>
        <w:t>Partnership working and Person-centred Care are co-existent frameworks evidenced in policies and legislations across the UK. This report focuses to outline the main aspects of these frameworks within care homes. Empathy, communication and cooperation are the key factors highlighted as they play an essential role in building relationships between multidisciplinary teams and patients. The lack of these highlighted factors may affect the care provided to patients directly; potentially as a result of inconsideration and lack of understanding of the patients lived experiences. Person-centred care revolves around the process of including the patient’s voice when devising a care plan and an exclusion of this factor renders the concept pointless, futile and impractical. Research emphasises the importance of understanding the patients’ feelings and emotions, the Theory of Human Caring also encompasses this process and is used as a learning point for nursing. Although communication is part of many processes within these frameworks</w:t>
      </w:r>
      <w:r>
        <w:tab/>
        <w:t xml:space="preserve">, it is also a challenge faced by both patients and involved parties, causing improper care for patients. </w:t>
      </w:r>
    </w:p>
    <w:p w14:paraId="36A612D2" w14:textId="77777777" w:rsidR="00ED3E4E" w:rsidRDefault="00ED3E4E" w:rsidP="000C5C81">
      <w:pPr>
        <w:pStyle w:val="Heading1"/>
        <w:numPr>
          <w:ilvl w:val="0"/>
          <w:numId w:val="1"/>
        </w:numPr>
        <w:tabs>
          <w:tab w:val="num" w:pos="360"/>
        </w:tabs>
        <w:spacing w:line="360" w:lineRule="auto"/>
        <w:ind w:left="0" w:firstLine="0"/>
        <w:rPr>
          <w:rFonts w:cs="Arial"/>
        </w:rPr>
      </w:pPr>
      <w:bookmarkStart w:id="2" w:name="_Toc204608271"/>
      <w:bookmarkStart w:id="3" w:name="_Toc214839947"/>
      <w:r w:rsidRPr="008151CA">
        <w:rPr>
          <w:rFonts w:cs="Arial"/>
        </w:rPr>
        <w:t>Introduction</w:t>
      </w:r>
      <w:bookmarkEnd w:id="2"/>
      <w:bookmarkEnd w:id="3"/>
    </w:p>
    <w:p w14:paraId="1C2CC607" w14:textId="77777777" w:rsidR="00ED3E4E" w:rsidRPr="00D05B98" w:rsidRDefault="00ED3E4E" w:rsidP="000C5C81">
      <w:pPr>
        <w:spacing w:line="360" w:lineRule="auto"/>
      </w:pPr>
      <w:r>
        <w:t xml:space="preserve">Person-centred care is a framework to offer help to an individual based on their personal needs and create a plan to accommodate to those needs. Whereas partnership working is the contribution from more than one association to be able to provide suitable care for the personal needs of individuals. In this report, insights into person-centred care and partnership working will be discussed in a care home setting, alongside relevant theories, relevant policies and legislations and ethical fundamentals. Lastly, the gaps within the frameworks will be reviewed and appropriate recommendations will be considered and provided at the end of this report. </w:t>
      </w:r>
    </w:p>
    <w:p w14:paraId="7CB5B5CF" w14:textId="77777777" w:rsidR="00ED3E4E" w:rsidRDefault="00ED3E4E" w:rsidP="000C5C81">
      <w:pPr>
        <w:pStyle w:val="Heading1"/>
        <w:numPr>
          <w:ilvl w:val="0"/>
          <w:numId w:val="1"/>
        </w:numPr>
        <w:tabs>
          <w:tab w:val="num" w:pos="360"/>
        </w:tabs>
        <w:spacing w:line="360" w:lineRule="auto"/>
        <w:ind w:left="0" w:firstLine="0"/>
        <w:rPr>
          <w:rFonts w:cs="Arial"/>
        </w:rPr>
      </w:pPr>
      <w:bookmarkStart w:id="4" w:name="_Toc204608272"/>
      <w:bookmarkStart w:id="5" w:name="_Toc214839948"/>
      <w:r w:rsidRPr="008151CA">
        <w:rPr>
          <w:rFonts w:cs="Arial"/>
        </w:rPr>
        <w:t>Definition of Person-centred Care</w:t>
      </w:r>
      <w:bookmarkEnd w:id="4"/>
      <w:bookmarkEnd w:id="5"/>
    </w:p>
    <w:p w14:paraId="620CBA09" w14:textId="77777777" w:rsidR="00ED3E4E" w:rsidRDefault="00ED3E4E" w:rsidP="000C5C81">
      <w:pPr>
        <w:spacing w:line="360" w:lineRule="auto"/>
      </w:pPr>
      <w:r>
        <w:t xml:space="preserve">Person-centred care (PCC) is first and foremost a requirement as addressed by the Health and Social Care department, this framework is a collaboration between multiple parties with the person who needs care at the heart of the collaboration (Damant </w:t>
      </w:r>
      <w:r>
        <w:rPr>
          <w:i/>
          <w:iCs/>
        </w:rPr>
        <w:t>et al.</w:t>
      </w:r>
      <w:r>
        <w:t xml:space="preserve">, 2025). The help and support provided is tailored based on the individual’s needs, hence why the contribution of various parties is needed to prepare and fulfil a care plan. PCC is part of the Enhanced Health in Care Homes Framework and is an essential part of providing person-centred care in care homes, as the provision offered by PCC helps elderly feel included in a homely </w:t>
      </w:r>
      <w:r>
        <w:lastRenderedPageBreak/>
        <w:t xml:space="preserve">community and ensures appropriate support delivered by the multidisciplinary team (Hodge </w:t>
      </w:r>
      <w:r>
        <w:rPr>
          <w:i/>
          <w:iCs/>
        </w:rPr>
        <w:t>et al.</w:t>
      </w:r>
      <w:r>
        <w:t xml:space="preserve">, 2024). </w:t>
      </w:r>
    </w:p>
    <w:p w14:paraId="1D49E495" w14:textId="77777777" w:rsidR="00ED3E4E" w:rsidRDefault="00ED3E4E" w:rsidP="000C5C81">
      <w:pPr>
        <w:pStyle w:val="Heading2"/>
        <w:numPr>
          <w:ilvl w:val="1"/>
          <w:numId w:val="1"/>
        </w:numPr>
        <w:tabs>
          <w:tab w:val="num" w:pos="360"/>
        </w:tabs>
        <w:spacing w:line="360" w:lineRule="auto"/>
        <w:ind w:left="0" w:firstLine="0"/>
      </w:pPr>
      <w:bookmarkStart w:id="6" w:name="_Toc214839949"/>
      <w:r>
        <w:t>Benefits</w:t>
      </w:r>
      <w:bookmarkEnd w:id="6"/>
    </w:p>
    <w:p w14:paraId="36D2DE87" w14:textId="77777777" w:rsidR="00ED3E4E" w:rsidRDefault="00ED3E4E" w:rsidP="000C5C81">
      <w:pPr>
        <w:spacing w:line="360" w:lineRule="auto"/>
      </w:pPr>
      <w:r>
        <w:t>PCC allows healthcare practitioners to gain a holistic understanding of patients w</w:t>
      </w:r>
      <w:r w:rsidRPr="004615CD">
        <w:t>ith all their needs, values, experiences</w:t>
      </w:r>
      <w:r>
        <w:t xml:space="preserve"> and</w:t>
      </w:r>
      <w:r w:rsidRPr="004615CD">
        <w:t xml:space="preserve"> identities, rather than reducing them to their </w:t>
      </w:r>
      <w:r>
        <w:t xml:space="preserve">health issues; compared to traditional healthcare which focuses entirely on treating the diagnosis rather than accommodating to the demands of the patient (Rosengren </w:t>
      </w:r>
      <w:r>
        <w:rPr>
          <w:i/>
          <w:iCs/>
        </w:rPr>
        <w:t>et al.</w:t>
      </w:r>
      <w:r>
        <w:t xml:space="preserve">, 2021). </w:t>
      </w:r>
    </w:p>
    <w:p w14:paraId="52AFB5F0" w14:textId="77777777" w:rsidR="00ED3E4E" w:rsidRDefault="00ED3E4E" w:rsidP="000C5C81">
      <w:pPr>
        <w:pStyle w:val="Heading2"/>
        <w:numPr>
          <w:ilvl w:val="1"/>
          <w:numId w:val="1"/>
        </w:numPr>
        <w:tabs>
          <w:tab w:val="num" w:pos="360"/>
        </w:tabs>
        <w:spacing w:line="360" w:lineRule="auto"/>
        <w:ind w:left="0" w:firstLine="0"/>
      </w:pPr>
      <w:bookmarkStart w:id="7" w:name="_Toc214839950"/>
      <w:r>
        <w:t>Limitations</w:t>
      </w:r>
      <w:bookmarkEnd w:id="7"/>
    </w:p>
    <w:p w14:paraId="39E38A4F" w14:textId="77777777" w:rsidR="00ED3E4E" w:rsidRPr="00D26452" w:rsidRDefault="00ED3E4E" w:rsidP="000C5C81">
      <w:pPr>
        <w:spacing w:line="360" w:lineRule="auto"/>
      </w:pPr>
      <w:r>
        <w:t xml:space="preserve">Brownie and Nancarrow (2013) introduce the idea that PCC plans are insufficiently structured and could benefit from a more cohesive structure resembling Maslow’s “hierarchy of needs”. Maslow’s “hierarchy of needs” is an outline of basic human needs which need to be satisfied to achieve optimal wellbeing. Alternatively, healthcare practitioners may develop a negative attitude towards PCC as they could potentially conjure ideas based on their personal beliefs rather than integrating the patient in their care plan (Liao </w:t>
      </w:r>
      <w:r>
        <w:rPr>
          <w:i/>
          <w:iCs/>
        </w:rPr>
        <w:t>et al.</w:t>
      </w:r>
      <w:r>
        <w:t xml:space="preserve">, 2023; Moore </w:t>
      </w:r>
      <w:r>
        <w:rPr>
          <w:i/>
          <w:iCs/>
        </w:rPr>
        <w:t>et al.</w:t>
      </w:r>
      <w:r>
        <w:t>, 2017).</w:t>
      </w:r>
    </w:p>
    <w:p w14:paraId="693DD588" w14:textId="77777777" w:rsidR="00ED3E4E" w:rsidRDefault="00ED3E4E" w:rsidP="000C5C81">
      <w:pPr>
        <w:pStyle w:val="Heading1"/>
        <w:numPr>
          <w:ilvl w:val="0"/>
          <w:numId w:val="1"/>
        </w:numPr>
        <w:tabs>
          <w:tab w:val="num" w:pos="360"/>
        </w:tabs>
        <w:spacing w:line="360" w:lineRule="auto"/>
        <w:ind w:left="0" w:firstLine="0"/>
        <w:rPr>
          <w:rFonts w:cs="Arial"/>
        </w:rPr>
      </w:pPr>
      <w:bookmarkStart w:id="8" w:name="_Toc204608273"/>
      <w:bookmarkStart w:id="9" w:name="_Toc214839951"/>
      <w:r w:rsidRPr="008151CA">
        <w:rPr>
          <w:rFonts w:cs="Arial"/>
        </w:rPr>
        <w:t>Relevant Theories</w:t>
      </w:r>
      <w:bookmarkEnd w:id="8"/>
      <w:bookmarkEnd w:id="9"/>
    </w:p>
    <w:p w14:paraId="0435C4A3" w14:textId="77777777" w:rsidR="00ED3E4E" w:rsidRPr="00772FFD" w:rsidRDefault="00ED3E4E" w:rsidP="000C5C81">
      <w:pPr>
        <w:spacing w:line="360" w:lineRule="auto"/>
      </w:pPr>
      <w:r>
        <w:t>Below two theories will be explored in relation to PCC and care homes, these are Carl Rogers’ person-centred theory and Jean Watson: Theory of Human Caring.</w:t>
      </w:r>
    </w:p>
    <w:p w14:paraId="1DC548DB" w14:textId="77777777" w:rsidR="00ED3E4E" w:rsidRDefault="00ED3E4E" w:rsidP="000C5C81">
      <w:pPr>
        <w:pStyle w:val="Heading2"/>
        <w:numPr>
          <w:ilvl w:val="1"/>
          <w:numId w:val="1"/>
        </w:numPr>
        <w:tabs>
          <w:tab w:val="num" w:pos="360"/>
        </w:tabs>
        <w:spacing w:line="360" w:lineRule="auto"/>
        <w:ind w:left="0" w:firstLine="0"/>
      </w:pPr>
      <w:bookmarkStart w:id="10" w:name="_Toc214839952"/>
      <w:r>
        <w:t>Carl Rogers’ person-centred theory</w:t>
      </w:r>
      <w:bookmarkEnd w:id="10"/>
    </w:p>
    <w:p w14:paraId="3488B068" w14:textId="77777777" w:rsidR="00ED3E4E" w:rsidRPr="00772FFD" w:rsidRDefault="00ED3E4E" w:rsidP="000C5C81">
      <w:pPr>
        <w:spacing w:line="360" w:lineRule="auto"/>
      </w:pPr>
      <w:r>
        <w:t>Carl Rogers contends that the necessity for human growth does not progressively diminishes with age; therefore, the framework needed for ideal human development requires a non-judgmental approach, kindness, compassion, empathy and active listening (Brownie and Nancarrow, 2013). Much alike previously addressed, the right approach to PCC is consideration to the individuals’ feelings and emotions throughout their treatment and care. Rogers additionally introduces the idea of “Differentiation”; the affirmation that a person is dissimilar from others, being able to make this distinction enables a person to think differently from how they were taught as it maintains an open mind and allows for secure and resilient relationships with individuals from diverse backgrounds, this relates to ageism and the relationship between younger and older generations (</w:t>
      </w:r>
      <w:proofErr w:type="spellStart"/>
      <w:r w:rsidRPr="00F5597C">
        <w:t>Cavé</w:t>
      </w:r>
      <w:proofErr w:type="spellEnd"/>
      <w:r>
        <w:t xml:space="preserve"> </w:t>
      </w:r>
      <w:r>
        <w:rPr>
          <w:i/>
          <w:iCs/>
        </w:rPr>
        <w:t>et al.</w:t>
      </w:r>
      <w:r>
        <w:t>, 2024).</w:t>
      </w:r>
    </w:p>
    <w:p w14:paraId="7AE45E1E" w14:textId="77777777" w:rsidR="00ED3E4E" w:rsidRDefault="00ED3E4E" w:rsidP="000C5C81">
      <w:pPr>
        <w:pStyle w:val="Heading2"/>
        <w:numPr>
          <w:ilvl w:val="1"/>
          <w:numId w:val="1"/>
        </w:numPr>
        <w:tabs>
          <w:tab w:val="num" w:pos="360"/>
        </w:tabs>
        <w:spacing w:line="360" w:lineRule="auto"/>
        <w:ind w:left="0" w:firstLine="0"/>
      </w:pPr>
      <w:bookmarkStart w:id="11" w:name="_Toc214839953"/>
      <w:r>
        <w:t>Jean Watson: Theory of Human Caring</w:t>
      </w:r>
      <w:bookmarkEnd w:id="11"/>
    </w:p>
    <w:p w14:paraId="25FBAB06" w14:textId="77777777" w:rsidR="00ED3E4E" w:rsidRPr="00772FFD" w:rsidRDefault="00ED3E4E" w:rsidP="000C5C81">
      <w:pPr>
        <w:spacing w:line="360" w:lineRule="auto"/>
      </w:pPr>
      <w:r>
        <w:t xml:space="preserve">The theory of human caring involves 10 caritas processes which are commonly identified as compassion, faith and hope, selflessness, tackling both the negative and the positive </w:t>
      </w:r>
      <w:r>
        <w:lastRenderedPageBreak/>
        <w:t xml:space="preserve">embodying of emotions, creativity, authenticity and respect (AACN, 2023). Human Caring Theory is globally used in teaching nursing, research and nursing practices according to literature reviews due to its nature of nurturing oneself and others which is a trait that is discovered across nations (Wei and Watson, 2019). Therefore, this applies to care homes settings as it aids multidisciplinary teams in reforming their attitude towards elderly and helps teach compassion, as well as decision making in regard to end of life treatment for individuals, including the elderly. </w:t>
      </w:r>
    </w:p>
    <w:p w14:paraId="42DCBE0D" w14:textId="77777777" w:rsidR="00ED3E4E" w:rsidRPr="003601CD" w:rsidRDefault="00ED3E4E" w:rsidP="000C5C81">
      <w:pPr>
        <w:pStyle w:val="Heading1"/>
        <w:spacing w:line="360" w:lineRule="auto"/>
        <w:rPr>
          <w:rFonts w:cs="Arial"/>
          <w:sz w:val="22"/>
          <w:szCs w:val="22"/>
        </w:rPr>
      </w:pPr>
      <w:bookmarkStart w:id="12" w:name="_Toc204608274"/>
      <w:bookmarkStart w:id="13" w:name="_Toc214839954"/>
      <w:r w:rsidRPr="003601CD">
        <w:rPr>
          <w:rFonts w:cs="Arial"/>
          <w:sz w:val="22"/>
          <w:szCs w:val="22"/>
        </w:rPr>
        <w:t>Ethical Fundamentals</w:t>
      </w:r>
      <w:bookmarkEnd w:id="12"/>
      <w:bookmarkEnd w:id="13"/>
    </w:p>
    <w:p w14:paraId="2973CD65" w14:textId="77777777" w:rsidR="00ED3E4E" w:rsidRPr="000F529B" w:rsidRDefault="00ED3E4E" w:rsidP="000C5C81">
      <w:pPr>
        <w:spacing w:line="360" w:lineRule="auto"/>
      </w:pPr>
      <w:r w:rsidRPr="003601CD">
        <w:t xml:space="preserve">One of the ethical fundamentals in care homes in regard to PCC and Partnership Working (PW) are the key points dwelled on previously: empathy, active listening and showing adherents in working together in a nurse-patient relationship, this is highlighted in the Code of Ethics for Nurses and continuously accentuated throughout the revision of the Code of Ethics for Nurses (Kwame and Petrucka, 2021). This could be due to the negative approach of nurses and other multidisciplinary teams involved who vehemently refuse to integrate the individual who is cared for and their view on how they should be looked after in the care plan. However, some may argue that </w:t>
      </w:r>
      <w:r>
        <w:t xml:space="preserve">there exist ethical dilemmas for nurses in occasions where they need to choose between professionalism or personal morals; moreover, this causes difficulties for the nurse since they feel that professionalism leads them to act in a robotic manner, treating patients in a way that they would not outside of work (Haahr </w:t>
      </w:r>
      <w:r>
        <w:rPr>
          <w:i/>
          <w:iCs/>
        </w:rPr>
        <w:t>et al.</w:t>
      </w:r>
      <w:r>
        <w:t>, 2020; Ekman, 2022).</w:t>
      </w:r>
    </w:p>
    <w:p w14:paraId="5A9B58E8" w14:textId="77777777" w:rsidR="00ED3E4E" w:rsidRDefault="00ED3E4E" w:rsidP="000C5C81">
      <w:pPr>
        <w:pStyle w:val="Heading1"/>
        <w:spacing w:line="360" w:lineRule="auto"/>
        <w:rPr>
          <w:rFonts w:cs="Arial"/>
        </w:rPr>
      </w:pPr>
      <w:bookmarkStart w:id="14" w:name="_Toc204608275"/>
      <w:bookmarkStart w:id="15" w:name="_Toc214839955"/>
      <w:r w:rsidRPr="008151CA">
        <w:rPr>
          <w:rFonts w:cs="Arial"/>
        </w:rPr>
        <w:t>Evaluation of Partnership Working</w:t>
      </w:r>
      <w:bookmarkEnd w:id="14"/>
      <w:bookmarkEnd w:id="15"/>
    </w:p>
    <w:p w14:paraId="14AEA57C" w14:textId="77777777" w:rsidR="00ED3E4E" w:rsidRDefault="00ED3E4E" w:rsidP="000C5C81">
      <w:pPr>
        <w:spacing w:line="360" w:lineRule="auto"/>
      </w:pPr>
      <w:r>
        <w:t>Partnership working (PW) is essentially the collaboration of multi-agencies, in a health and social care setting this act is performed to achieve apt and satisfactory outcomes for the individual cared for. Moreover, PW is enforced through policies and legislations, but professionals may reason that PW goes beyond its policies and legislations borders and on a fundamental level multidisciplinary agencies join forces to communicate, fill gaps of knowledge and cooperate (Schot and Noordegraaf, 2020). PW includes the cooperation of multiple professions, each profession might have differencing point of views on lived experiences and how to act; therefore, devising an ultimatum necessitates uttermost understanding from all involved parties.</w:t>
      </w:r>
    </w:p>
    <w:p w14:paraId="0B0F3A6D" w14:textId="77777777" w:rsidR="00ED3E4E" w:rsidRPr="00FA1B01" w:rsidRDefault="00ED3E4E" w:rsidP="000C5C81">
      <w:pPr>
        <w:spacing w:line="360" w:lineRule="auto"/>
      </w:pPr>
      <w:r>
        <w:t xml:space="preserve">Integrated Care Systems (ICS) are generally the collaboration between National Health Services (NHS) and local councils to identify and tackle inequalities and issues within a specific community. The challenges faced by ICS boards depend strongly on the specific </w:t>
      </w:r>
      <w:r>
        <w:lastRenderedPageBreak/>
        <w:t xml:space="preserve">community the ICSs represents; therefore, each ICS is tasked with disparate duties (Dunn </w:t>
      </w:r>
      <w:r>
        <w:rPr>
          <w:i/>
          <w:iCs/>
        </w:rPr>
        <w:t>et al.</w:t>
      </w:r>
      <w:r>
        <w:t xml:space="preserve">, 2022). </w:t>
      </w:r>
    </w:p>
    <w:p w14:paraId="624119CC" w14:textId="77777777" w:rsidR="00ED3E4E" w:rsidRDefault="00ED3E4E" w:rsidP="000C5C81">
      <w:pPr>
        <w:spacing w:line="360" w:lineRule="auto"/>
      </w:pPr>
      <w:r>
        <w:t xml:space="preserve">PW faces challenges regarding the involvement of patients and communication, one of the reasons why is that the collaboration and communication between multidisciplinary teams does not consistently involve the patient; communication between professionals has both positive and negative experiences, with palliative teams expressing a lack of communication from involved teams (Davidson </w:t>
      </w:r>
      <w:r>
        <w:rPr>
          <w:i/>
          <w:iCs/>
        </w:rPr>
        <w:t>et al.</w:t>
      </w:r>
      <w:r>
        <w:t>, 2021).</w:t>
      </w:r>
    </w:p>
    <w:p w14:paraId="76879BC5" w14:textId="77777777" w:rsidR="00ED3E4E" w:rsidRPr="00FA1B01" w:rsidRDefault="00ED3E4E" w:rsidP="000C5C81">
      <w:pPr>
        <w:spacing w:line="360" w:lineRule="auto"/>
      </w:pPr>
      <w:r>
        <w:t>Opposing to challenges, the benefits of PCC and PW are promising. There is an increase in health care provided to care home residents as there are constant monitoring and communication between parties such as the general practitioner (GP), resulting in proper assessment of possible threats in health, in addition to a trusting relationship between involved teams and residents (Woodward and Ruston, 2023).</w:t>
      </w:r>
    </w:p>
    <w:p w14:paraId="4B6FCDA6" w14:textId="77777777" w:rsidR="00ED3E4E" w:rsidRDefault="00ED3E4E" w:rsidP="000C5C81">
      <w:pPr>
        <w:pStyle w:val="Heading1"/>
        <w:spacing w:line="360" w:lineRule="auto"/>
        <w:rPr>
          <w:rFonts w:cs="Arial"/>
        </w:rPr>
      </w:pPr>
      <w:bookmarkStart w:id="16" w:name="_Toc204608276"/>
      <w:bookmarkStart w:id="17" w:name="_Toc214839956"/>
      <w:r w:rsidRPr="008151CA">
        <w:rPr>
          <w:rFonts w:cs="Arial"/>
        </w:rPr>
        <w:t>Policy and Legislation</w:t>
      </w:r>
      <w:bookmarkEnd w:id="16"/>
      <w:bookmarkEnd w:id="17"/>
    </w:p>
    <w:p w14:paraId="1B314787" w14:textId="77777777" w:rsidR="00ED3E4E" w:rsidRDefault="00ED3E4E" w:rsidP="000C5C81">
      <w:pPr>
        <w:spacing w:line="360" w:lineRule="auto"/>
      </w:pPr>
      <w:r>
        <w:t xml:space="preserve">The importance of PCC and PW continues to be strengthened with the evolution of policies and legislations, for example the Health Act 1999 allowed for the creation of joint budgets, directing commissioning frameworks and joint agencies, and NHS social care organisations known as Care Trusts (Galsby </w:t>
      </w:r>
      <w:r>
        <w:rPr>
          <w:i/>
          <w:iCs/>
        </w:rPr>
        <w:t>et al.</w:t>
      </w:r>
      <w:r>
        <w:t>, 2011). Moreover, the Health and Care Act 2022 introduced Integrated Care Boards (ICB), Integrated Care Partnerships (ICP) and ICS (</w:t>
      </w:r>
      <w:r w:rsidRPr="00730410">
        <w:rPr>
          <w:rFonts w:cs="Arial"/>
          <w:color w:val="000000"/>
        </w:rPr>
        <w:t>Tsiachristas</w:t>
      </w:r>
      <w:r>
        <w:rPr>
          <w:rFonts w:cs="Arial"/>
          <w:color w:val="000000"/>
        </w:rPr>
        <w:t xml:space="preserve"> </w:t>
      </w:r>
      <w:r>
        <w:rPr>
          <w:rFonts w:cs="Arial"/>
          <w:i/>
          <w:iCs/>
          <w:color w:val="000000"/>
        </w:rPr>
        <w:t>et al., 2023)</w:t>
      </w:r>
      <w:r>
        <w:t xml:space="preserve">. These policies enforce the act of PCC and PW, making it a necessity in health and social care practices across England. PW particularly receives more scrutiny as various organisations and parties are joined together to create frameworks for health care. The various multidisciplinary teams created through the Health and Care Act 2022 offers methods to improving provision of health services in care homes, for example ICB is required to offer palliative and end of life care and support to patients, this includes residents in care homes (NHS, 2023). </w:t>
      </w:r>
    </w:p>
    <w:p w14:paraId="4C91C0F0" w14:textId="77777777" w:rsidR="00ED3E4E" w:rsidRPr="007041BC" w:rsidRDefault="00ED3E4E" w:rsidP="000C5C81">
      <w:pPr>
        <w:spacing w:line="360" w:lineRule="auto"/>
      </w:pPr>
      <w:r>
        <w:t>In contrary, there are policies and legislation which my interfere with PCC and PW in some areas, such as funding, communication and information sharing (confidentiality) and bureaucratic workload. The Health and Social Care Act 2008, regulation 9 enforces person-centred care (CQC, 2024); however, the stern enforcement on decision-making can prevent appropriate care planning based on the distinctive individual.</w:t>
      </w:r>
    </w:p>
    <w:p w14:paraId="0EA38830" w14:textId="77777777" w:rsidR="00ED3E4E" w:rsidRDefault="00ED3E4E" w:rsidP="000C5C81">
      <w:pPr>
        <w:pStyle w:val="Heading1"/>
        <w:spacing w:line="360" w:lineRule="auto"/>
        <w:rPr>
          <w:rFonts w:cs="Arial"/>
        </w:rPr>
      </w:pPr>
      <w:bookmarkStart w:id="18" w:name="_Toc204608277"/>
      <w:bookmarkStart w:id="19" w:name="_Toc214839957"/>
      <w:r w:rsidRPr="008151CA">
        <w:rPr>
          <w:rFonts w:cs="Arial"/>
        </w:rPr>
        <w:lastRenderedPageBreak/>
        <w:t>Recommendations</w:t>
      </w:r>
      <w:bookmarkEnd w:id="18"/>
      <w:bookmarkEnd w:id="19"/>
    </w:p>
    <w:p w14:paraId="32AC5A7A" w14:textId="77777777" w:rsidR="00ED3E4E" w:rsidRDefault="00ED3E4E" w:rsidP="000C5C81">
      <w:pPr>
        <w:spacing w:line="360" w:lineRule="auto"/>
      </w:pPr>
      <w:r>
        <w:t xml:space="preserve">PCC and PW face challenges and gaps which should be addressed in future frameworks, policies and legislations, some of which were previously identified within this report such as improper communication. Concerning dementia care workers in care homes, content relationships between staff and residents are less likely to occur under the circumstances of understaffing, lack of motivation and underappreciated staff (Kadri </w:t>
      </w:r>
      <w:r>
        <w:rPr>
          <w:i/>
          <w:iCs/>
        </w:rPr>
        <w:t>et al.</w:t>
      </w:r>
      <w:r>
        <w:t>, 2018). PCC is a framework centred around the individual cared for, ensuring they are seen for themselves and not their illness; however, in the case of care homes, staff mental wellbeing can be overlooked.</w:t>
      </w:r>
    </w:p>
    <w:p w14:paraId="1917C746" w14:textId="77777777" w:rsidR="00ED3E4E" w:rsidRDefault="00ED3E4E" w:rsidP="000C5C81">
      <w:pPr>
        <w:spacing w:line="360" w:lineRule="auto"/>
      </w:pPr>
      <w:r>
        <w:t xml:space="preserve">In addition, PW is the framework for the collaboration of multidisciplinary teams, but in practice this faces many difficulties. Due to the nature of disparate professions coming together to develop a care plan which involved parties must agree upon, differences between judgements may obstruct the cooperation between parties. Studies and researchers consistently found difficulties with poor communication, limited information sharing, unsatisfactory staff relationships, sporadic acknowledgement of referrals and difficulties when engaging with mental health services and social workers when working with multi-agency (Holding </w:t>
      </w:r>
      <w:r>
        <w:rPr>
          <w:i/>
          <w:iCs/>
        </w:rPr>
        <w:t>et al</w:t>
      </w:r>
      <w:r>
        <w:t xml:space="preserve">., 2020). </w:t>
      </w:r>
    </w:p>
    <w:p w14:paraId="404490D0" w14:textId="77777777" w:rsidR="00ED3E4E" w:rsidRPr="00D6413A" w:rsidRDefault="00ED3E4E" w:rsidP="000C5C81">
      <w:pPr>
        <w:spacing w:line="360" w:lineRule="auto"/>
      </w:pPr>
      <w:r>
        <w:t xml:space="preserve">Professionals characterize underdeveloped relationships between involved parties as a “challenge” (Gordon </w:t>
      </w:r>
      <w:r>
        <w:rPr>
          <w:i/>
          <w:iCs/>
        </w:rPr>
        <w:t>et al.</w:t>
      </w:r>
      <w:r>
        <w:t>, 2018); therefore, maintaining proper communication, assuring information is relayed, and a positive attitude towards relationship building must be upheld to prevent the hindrance of adequate care for care home residents.</w:t>
      </w:r>
    </w:p>
    <w:p w14:paraId="217440E0" w14:textId="77777777" w:rsidR="00ED3E4E" w:rsidRDefault="00ED3E4E" w:rsidP="000C5C81">
      <w:pPr>
        <w:pStyle w:val="Heading1"/>
        <w:spacing w:line="360" w:lineRule="auto"/>
        <w:rPr>
          <w:rFonts w:cs="Arial"/>
        </w:rPr>
      </w:pPr>
      <w:bookmarkStart w:id="20" w:name="_Toc204608278"/>
      <w:bookmarkStart w:id="21" w:name="_Toc214839958"/>
      <w:r w:rsidRPr="008151CA">
        <w:rPr>
          <w:rFonts w:cs="Arial"/>
        </w:rPr>
        <w:t>Conclusion</w:t>
      </w:r>
      <w:bookmarkEnd w:id="20"/>
      <w:bookmarkEnd w:id="21"/>
    </w:p>
    <w:p w14:paraId="733A942A" w14:textId="5704FDBB" w:rsidR="00ED3E4E" w:rsidRDefault="00ED3E4E" w:rsidP="000C5C81">
      <w:pPr>
        <w:spacing w:line="360" w:lineRule="auto"/>
      </w:pPr>
      <w:r>
        <w:t xml:space="preserve">First and foremost, PCC has become a baseline towards effective care and support in care homes, allowing the elderly to voice their feelings and contribute towards how their care should look like. Additionally, PW is a part of PCC and also an important aspect in many policies such as the Health Act 1999 and Health and Care Act 2022, with the introduction of ICB, ICP and ICS, partnerships established to tackle various inequalities and challenges faced by their respective communities. PCC and PW are frameworks which aid the provision of health and social care services for the elderly in care homes through diverse prospects such as empathy, communication, active listening and cooperation. Nonetheless, relationship building and communication remain a barrier for both involved agencies and care home residents. </w:t>
      </w:r>
    </w:p>
    <w:p w14:paraId="445684DA" w14:textId="2DD462CA" w:rsidR="00ED3E4E" w:rsidRDefault="00ED3E4E" w:rsidP="000C5C81">
      <w:pPr>
        <w:pStyle w:val="Heading1"/>
        <w:spacing w:line="360" w:lineRule="auto"/>
      </w:pPr>
      <w:bookmarkStart w:id="22" w:name="_Toc214839959"/>
      <w:r>
        <w:lastRenderedPageBreak/>
        <w:t>References</w:t>
      </w:r>
      <w:bookmarkEnd w:id="22"/>
    </w:p>
    <w:p w14:paraId="1F5494EE" w14:textId="77777777" w:rsidR="00ED3E4E" w:rsidRPr="00ED3E4E" w:rsidRDefault="00ED3E4E" w:rsidP="000C5C81">
      <w:pPr>
        <w:pStyle w:val="NormalWeb"/>
        <w:numPr>
          <w:ilvl w:val="0"/>
          <w:numId w:val="2"/>
        </w:numPr>
        <w:spacing w:before="0" w:beforeAutospacing="0" w:after="240" w:afterAutospacing="0" w:line="360" w:lineRule="auto"/>
        <w:rPr>
          <w:rFonts w:ascii="Arial" w:hAnsi="Arial" w:cs="Arial"/>
          <w:sz w:val="22"/>
          <w:szCs w:val="22"/>
        </w:rPr>
      </w:pPr>
      <w:r w:rsidRPr="00ED3E4E">
        <w:rPr>
          <w:rFonts w:ascii="Arial" w:hAnsi="Arial" w:cs="Arial"/>
          <w:sz w:val="22"/>
          <w:szCs w:val="22"/>
        </w:rPr>
        <w:t xml:space="preserve">American Association of Colleges of Nursing (2023). </w:t>
      </w:r>
      <w:r w:rsidRPr="00ED3E4E">
        <w:rPr>
          <w:rFonts w:ascii="Arial" w:hAnsi="Arial" w:cs="Arial"/>
          <w:i/>
          <w:iCs/>
          <w:sz w:val="22"/>
          <w:szCs w:val="22"/>
        </w:rPr>
        <w:t>Person-</w:t>
      </w:r>
      <w:proofErr w:type="spellStart"/>
      <w:r w:rsidRPr="00ED3E4E">
        <w:rPr>
          <w:rFonts w:ascii="Arial" w:hAnsi="Arial" w:cs="Arial"/>
          <w:i/>
          <w:iCs/>
          <w:sz w:val="22"/>
          <w:szCs w:val="22"/>
        </w:rPr>
        <w:t>Centered</w:t>
      </w:r>
      <w:proofErr w:type="spellEnd"/>
      <w:r w:rsidRPr="00ED3E4E">
        <w:rPr>
          <w:rFonts w:ascii="Arial" w:hAnsi="Arial" w:cs="Arial"/>
          <w:i/>
          <w:iCs/>
          <w:sz w:val="22"/>
          <w:szCs w:val="22"/>
        </w:rPr>
        <w:t xml:space="preserve"> Care</w:t>
      </w:r>
      <w:r w:rsidRPr="00ED3E4E">
        <w:rPr>
          <w:rFonts w:ascii="Arial" w:hAnsi="Arial" w:cs="Arial"/>
          <w:sz w:val="22"/>
          <w:szCs w:val="22"/>
        </w:rPr>
        <w:t xml:space="preserve">. [online] www.aacnnursing.org. Available at: </w:t>
      </w:r>
      <w:hyperlink r:id="rId7" w:history="1">
        <w:r w:rsidRPr="00ED3E4E">
          <w:rPr>
            <w:rStyle w:val="Hyperlink"/>
            <w:rFonts w:ascii="Arial" w:hAnsi="Arial" w:cs="Arial"/>
            <w:sz w:val="22"/>
            <w:szCs w:val="22"/>
          </w:rPr>
          <w:t>https://www.aacnnursing.org/5B-Tool-Kit/Themes/Person-Centered-Care</w:t>
        </w:r>
      </w:hyperlink>
      <w:r w:rsidRPr="00ED3E4E">
        <w:rPr>
          <w:rFonts w:ascii="Arial" w:hAnsi="Arial" w:cs="Arial"/>
          <w:sz w:val="22"/>
          <w:szCs w:val="22"/>
        </w:rPr>
        <w:t xml:space="preserve"> [Accessed 22 Nov. 2025].</w:t>
      </w:r>
    </w:p>
    <w:p w14:paraId="0AE23E7D" w14:textId="77777777" w:rsidR="00ED3E4E" w:rsidRPr="00ED3E4E" w:rsidRDefault="00ED3E4E" w:rsidP="000C5C81">
      <w:pPr>
        <w:pStyle w:val="ListParagraph"/>
        <w:numPr>
          <w:ilvl w:val="0"/>
          <w:numId w:val="2"/>
        </w:numPr>
        <w:spacing w:line="360" w:lineRule="auto"/>
        <w:rPr>
          <w:rFonts w:cs="Arial"/>
        </w:rPr>
      </w:pPr>
      <w:r w:rsidRPr="00ED3E4E">
        <w:rPr>
          <w:rFonts w:cs="Arial"/>
        </w:rPr>
        <w:t>Brownie, S., &amp; Nancarrow, S. (2013). Effects of person-</w:t>
      </w:r>
      <w:proofErr w:type="spellStart"/>
      <w:r w:rsidRPr="00ED3E4E">
        <w:rPr>
          <w:rFonts w:cs="Arial"/>
        </w:rPr>
        <w:t>centered</w:t>
      </w:r>
      <w:proofErr w:type="spellEnd"/>
      <w:r w:rsidRPr="00ED3E4E">
        <w:rPr>
          <w:rFonts w:cs="Arial"/>
        </w:rPr>
        <w:t xml:space="preserve"> care on residents and staff in aged-care facilities: a systematic review. </w:t>
      </w:r>
      <w:r w:rsidRPr="00ED3E4E">
        <w:rPr>
          <w:rFonts w:cs="Arial"/>
          <w:i/>
          <w:iCs/>
        </w:rPr>
        <w:t>Clinical Interventions in Aging</w:t>
      </w:r>
      <w:r w:rsidRPr="00ED3E4E">
        <w:rPr>
          <w:rFonts w:cs="Arial"/>
        </w:rPr>
        <w:t>, </w:t>
      </w:r>
      <w:r w:rsidRPr="00ED3E4E">
        <w:rPr>
          <w:rFonts w:cs="Arial"/>
          <w:i/>
          <w:iCs/>
        </w:rPr>
        <w:t>8</w:t>
      </w:r>
      <w:r w:rsidRPr="00ED3E4E">
        <w:rPr>
          <w:rFonts w:cs="Arial"/>
        </w:rPr>
        <w:t xml:space="preserve">, 1–10. </w:t>
      </w:r>
      <w:hyperlink r:id="rId8" w:history="1">
        <w:r w:rsidRPr="00ED3E4E">
          <w:rPr>
            <w:rStyle w:val="Hyperlink"/>
            <w:rFonts w:cs="Arial"/>
          </w:rPr>
          <w:t>https://doi.org/10.2147/CIA.S38589</w:t>
        </w:r>
      </w:hyperlink>
    </w:p>
    <w:p w14:paraId="2483F497" w14:textId="77777777" w:rsidR="00ED3E4E" w:rsidRPr="00ED3E4E" w:rsidRDefault="00ED3E4E" w:rsidP="000C5C81">
      <w:pPr>
        <w:pStyle w:val="NormalWeb"/>
        <w:numPr>
          <w:ilvl w:val="0"/>
          <w:numId w:val="2"/>
        </w:numPr>
        <w:spacing w:before="0" w:beforeAutospacing="0" w:after="240" w:afterAutospacing="0" w:line="360" w:lineRule="auto"/>
        <w:rPr>
          <w:rFonts w:ascii="Arial" w:hAnsi="Arial" w:cs="Arial"/>
          <w:sz w:val="22"/>
          <w:szCs w:val="22"/>
        </w:rPr>
      </w:pPr>
      <w:r w:rsidRPr="00ED3E4E">
        <w:rPr>
          <w:rFonts w:ascii="Arial" w:hAnsi="Arial" w:cs="Arial"/>
          <w:sz w:val="22"/>
          <w:szCs w:val="22"/>
        </w:rPr>
        <w:t xml:space="preserve">Care Quality Commission (2024). </w:t>
      </w:r>
      <w:r w:rsidRPr="00ED3E4E">
        <w:rPr>
          <w:rFonts w:ascii="Arial" w:hAnsi="Arial" w:cs="Arial"/>
          <w:i/>
          <w:iCs/>
          <w:sz w:val="22"/>
          <w:szCs w:val="22"/>
        </w:rPr>
        <w:t>Regulations for service providers and managers</w:t>
      </w:r>
      <w:r w:rsidRPr="00ED3E4E">
        <w:rPr>
          <w:rFonts w:ascii="Arial" w:hAnsi="Arial" w:cs="Arial"/>
          <w:sz w:val="22"/>
          <w:szCs w:val="22"/>
        </w:rPr>
        <w:t xml:space="preserve">. [online] Cqc.org.uk. Available at: </w:t>
      </w:r>
      <w:hyperlink r:id="rId9" w:history="1">
        <w:r w:rsidRPr="00ED3E4E">
          <w:rPr>
            <w:rStyle w:val="Hyperlink"/>
            <w:rFonts w:ascii="Arial" w:hAnsi="Arial" w:cs="Arial"/>
            <w:sz w:val="22"/>
            <w:szCs w:val="22"/>
          </w:rPr>
          <w:t>https://www.cqc.org.uk/guidance-regulation/providers/regulations-service-providers-and-managers/health-social-care-act/regulation-9</w:t>
        </w:r>
      </w:hyperlink>
      <w:r w:rsidRPr="00ED3E4E">
        <w:rPr>
          <w:rFonts w:ascii="Arial" w:hAnsi="Arial" w:cs="Arial"/>
          <w:sz w:val="22"/>
          <w:szCs w:val="22"/>
        </w:rPr>
        <w:t xml:space="preserve"> [Accessed 23 Nov. 2025].</w:t>
      </w:r>
    </w:p>
    <w:p w14:paraId="754AFAA7" w14:textId="77777777" w:rsidR="00ED3E4E" w:rsidRPr="00ED3E4E" w:rsidRDefault="00ED3E4E" w:rsidP="000C5C81">
      <w:pPr>
        <w:pStyle w:val="ListParagraph"/>
        <w:numPr>
          <w:ilvl w:val="0"/>
          <w:numId w:val="2"/>
        </w:numPr>
        <w:spacing w:line="360" w:lineRule="auto"/>
        <w:rPr>
          <w:rFonts w:cs="Arial"/>
        </w:rPr>
      </w:pPr>
      <w:bookmarkStart w:id="23" w:name="_Hlk214730975"/>
      <w:proofErr w:type="spellStart"/>
      <w:r w:rsidRPr="00ED3E4E">
        <w:rPr>
          <w:rFonts w:cs="Arial"/>
        </w:rPr>
        <w:t>Cavé</w:t>
      </w:r>
      <w:bookmarkEnd w:id="23"/>
      <w:proofErr w:type="spellEnd"/>
      <w:r w:rsidRPr="00ED3E4E">
        <w:rPr>
          <w:rFonts w:cs="Arial"/>
        </w:rPr>
        <w:t xml:space="preserve">, J., </w:t>
      </w:r>
      <w:proofErr w:type="spellStart"/>
      <w:r w:rsidRPr="00ED3E4E">
        <w:rPr>
          <w:rFonts w:cs="Arial"/>
        </w:rPr>
        <w:t>Katjene</w:t>
      </w:r>
      <w:proofErr w:type="spellEnd"/>
      <w:r w:rsidRPr="00ED3E4E">
        <w:rPr>
          <w:rFonts w:cs="Arial"/>
        </w:rPr>
        <w:t xml:space="preserve">, M. and </w:t>
      </w:r>
      <w:proofErr w:type="spellStart"/>
      <w:r w:rsidRPr="00ED3E4E">
        <w:rPr>
          <w:rFonts w:cs="Arial"/>
        </w:rPr>
        <w:t>Roos</w:t>
      </w:r>
      <w:proofErr w:type="spellEnd"/>
      <w:r w:rsidRPr="00ED3E4E">
        <w:rPr>
          <w:rFonts w:cs="Arial"/>
        </w:rPr>
        <w:t>, V., 2024. A scoping review of Rogers’ person-centred approach to identify constructs relevant to optimal intergenerational relationships. </w:t>
      </w:r>
      <w:r w:rsidRPr="00ED3E4E">
        <w:rPr>
          <w:rFonts w:cs="Arial"/>
          <w:i/>
          <w:iCs/>
        </w:rPr>
        <w:t>South African Journal of Psychology</w:t>
      </w:r>
      <w:r w:rsidRPr="00ED3E4E">
        <w:rPr>
          <w:rFonts w:cs="Arial"/>
        </w:rPr>
        <w:t>, </w:t>
      </w:r>
      <w:r w:rsidRPr="00ED3E4E">
        <w:rPr>
          <w:rFonts w:cs="Arial"/>
          <w:i/>
          <w:iCs/>
        </w:rPr>
        <w:t>54</w:t>
      </w:r>
      <w:r w:rsidRPr="00ED3E4E">
        <w:rPr>
          <w:rFonts w:cs="Arial"/>
        </w:rPr>
        <w:t>(3), pp.402-414.</w:t>
      </w:r>
    </w:p>
    <w:p w14:paraId="587EC28A" w14:textId="77777777" w:rsidR="00ED3E4E" w:rsidRPr="00ED3E4E" w:rsidRDefault="00ED3E4E" w:rsidP="000C5C81">
      <w:pPr>
        <w:pStyle w:val="ListParagraph"/>
        <w:numPr>
          <w:ilvl w:val="0"/>
          <w:numId w:val="2"/>
        </w:numPr>
        <w:spacing w:line="360" w:lineRule="auto"/>
        <w:rPr>
          <w:rFonts w:cs="Arial"/>
        </w:rPr>
      </w:pPr>
      <w:r w:rsidRPr="00ED3E4E">
        <w:rPr>
          <w:rFonts w:cs="Arial"/>
        </w:rPr>
        <w:t xml:space="preserve">Damant, J., </w:t>
      </w:r>
      <w:proofErr w:type="spellStart"/>
      <w:r w:rsidRPr="00ED3E4E">
        <w:rPr>
          <w:rFonts w:cs="Arial"/>
        </w:rPr>
        <w:t>Hamashima</w:t>
      </w:r>
      <w:proofErr w:type="spellEnd"/>
      <w:r w:rsidRPr="00ED3E4E">
        <w:rPr>
          <w:rFonts w:cs="Arial"/>
        </w:rPr>
        <w:t xml:space="preserve">, Y., Toma, M., Smith, N., Taylor, J., Caprioli, T., Jasim, S., Prato, L., </w:t>
      </w:r>
      <w:proofErr w:type="spellStart"/>
      <w:r w:rsidRPr="00ED3E4E">
        <w:rPr>
          <w:rFonts w:cs="Arial"/>
        </w:rPr>
        <w:t>Mcleod</w:t>
      </w:r>
      <w:proofErr w:type="spellEnd"/>
      <w:r w:rsidRPr="00ED3E4E">
        <w:rPr>
          <w:rFonts w:cs="Arial"/>
        </w:rPr>
        <w:t>, H., Giebel, C. and Peters, M., 2025. Investigating Person</w:t>
      </w:r>
      <w:r w:rsidRPr="00ED3E4E">
        <w:rPr>
          <w:rFonts w:ascii="Cambria Math" w:hAnsi="Cambria Math" w:cs="Cambria Math"/>
        </w:rPr>
        <w:t>‐</w:t>
      </w:r>
      <w:r w:rsidRPr="00ED3E4E">
        <w:rPr>
          <w:rFonts w:cs="Arial"/>
        </w:rPr>
        <w:t>Centred Care Planning in Care Homes Across England: An Exploratory Study of Practices and Contextual Factors. </w:t>
      </w:r>
      <w:r w:rsidRPr="00ED3E4E">
        <w:rPr>
          <w:rFonts w:cs="Arial"/>
          <w:i/>
          <w:iCs/>
        </w:rPr>
        <w:t>Journal of Advanced Nursing</w:t>
      </w:r>
      <w:r w:rsidRPr="00ED3E4E">
        <w:rPr>
          <w:rFonts w:cs="Arial"/>
        </w:rPr>
        <w:t>.</w:t>
      </w:r>
    </w:p>
    <w:p w14:paraId="11FA1B4D"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Davidson, L., Scott, J. and Forster, N., 2021. Patient experiences of integrated care within the United Kingdom: a systematic review. </w:t>
      </w:r>
      <w:r w:rsidRPr="00ED3E4E">
        <w:rPr>
          <w:rFonts w:ascii="Arial" w:hAnsi="Arial" w:cs="Arial"/>
          <w:i/>
          <w:iCs/>
          <w:color w:val="000000"/>
          <w:sz w:val="22"/>
          <w:szCs w:val="22"/>
        </w:rPr>
        <w:t>International Journal of Care Coordination</w:t>
      </w:r>
      <w:r w:rsidRPr="00ED3E4E">
        <w:rPr>
          <w:rFonts w:ascii="Arial" w:hAnsi="Arial" w:cs="Arial"/>
          <w:color w:val="000000"/>
          <w:sz w:val="22"/>
          <w:szCs w:val="22"/>
        </w:rPr>
        <w:t>, </w:t>
      </w:r>
      <w:r w:rsidRPr="00ED3E4E">
        <w:rPr>
          <w:rFonts w:ascii="Arial" w:hAnsi="Arial" w:cs="Arial"/>
          <w:i/>
          <w:iCs/>
          <w:color w:val="000000"/>
          <w:sz w:val="22"/>
          <w:szCs w:val="22"/>
        </w:rPr>
        <w:t>24</w:t>
      </w:r>
      <w:r w:rsidRPr="00ED3E4E">
        <w:rPr>
          <w:rFonts w:ascii="Arial" w:hAnsi="Arial" w:cs="Arial"/>
          <w:color w:val="000000"/>
          <w:sz w:val="22"/>
          <w:szCs w:val="22"/>
        </w:rPr>
        <w:t>(2), pp.39-56.</w:t>
      </w:r>
    </w:p>
    <w:p w14:paraId="42F6136B"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 xml:space="preserve">Dunn, P., Fraser, C., Williamson, S. and </w:t>
      </w:r>
      <w:proofErr w:type="spellStart"/>
      <w:r w:rsidRPr="00ED3E4E">
        <w:rPr>
          <w:rFonts w:ascii="Arial" w:hAnsi="Arial" w:cs="Arial"/>
          <w:color w:val="000000"/>
          <w:sz w:val="22"/>
          <w:szCs w:val="22"/>
        </w:rPr>
        <w:t>Alderwick</w:t>
      </w:r>
      <w:proofErr w:type="spellEnd"/>
      <w:r w:rsidRPr="00ED3E4E">
        <w:rPr>
          <w:rFonts w:ascii="Arial" w:hAnsi="Arial" w:cs="Arial"/>
          <w:color w:val="000000"/>
          <w:sz w:val="22"/>
          <w:szCs w:val="22"/>
        </w:rPr>
        <w:t>, H., 2022. Integrated care systems: what do they look like. </w:t>
      </w:r>
      <w:r w:rsidRPr="00ED3E4E">
        <w:rPr>
          <w:rFonts w:ascii="Arial" w:hAnsi="Arial" w:cs="Arial"/>
          <w:i/>
          <w:iCs/>
          <w:color w:val="000000"/>
          <w:sz w:val="22"/>
          <w:szCs w:val="22"/>
        </w:rPr>
        <w:t>Health Foundation</w:t>
      </w:r>
      <w:r w:rsidRPr="00ED3E4E">
        <w:rPr>
          <w:rFonts w:ascii="Arial" w:hAnsi="Arial" w:cs="Arial"/>
          <w:color w:val="000000"/>
          <w:sz w:val="22"/>
          <w:szCs w:val="22"/>
        </w:rPr>
        <w:t>.</w:t>
      </w:r>
    </w:p>
    <w:p w14:paraId="7553BD6B"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Ekman, I., 2022. Practising the ethics of person</w:t>
      </w:r>
      <w:r w:rsidRPr="00ED3E4E">
        <w:rPr>
          <w:rFonts w:ascii="Cambria Math" w:hAnsi="Cambria Math" w:cs="Cambria Math"/>
          <w:color w:val="000000"/>
          <w:sz w:val="22"/>
          <w:szCs w:val="22"/>
        </w:rPr>
        <w:t>‐</w:t>
      </w:r>
      <w:r w:rsidRPr="00ED3E4E">
        <w:rPr>
          <w:rFonts w:ascii="Arial" w:hAnsi="Arial" w:cs="Arial"/>
          <w:color w:val="000000"/>
          <w:sz w:val="22"/>
          <w:szCs w:val="22"/>
        </w:rPr>
        <w:t>centred care balancing ethical conviction and moral obligations. </w:t>
      </w:r>
      <w:r w:rsidRPr="00ED3E4E">
        <w:rPr>
          <w:rFonts w:ascii="Arial" w:hAnsi="Arial" w:cs="Arial"/>
          <w:i/>
          <w:iCs/>
          <w:color w:val="000000"/>
          <w:sz w:val="22"/>
          <w:szCs w:val="22"/>
        </w:rPr>
        <w:t>Nursing Philosophy</w:t>
      </w:r>
      <w:r w:rsidRPr="00ED3E4E">
        <w:rPr>
          <w:rFonts w:ascii="Arial" w:hAnsi="Arial" w:cs="Arial"/>
          <w:color w:val="000000"/>
          <w:sz w:val="22"/>
          <w:szCs w:val="22"/>
        </w:rPr>
        <w:t>, </w:t>
      </w:r>
      <w:r w:rsidRPr="00ED3E4E">
        <w:rPr>
          <w:rFonts w:ascii="Arial" w:hAnsi="Arial" w:cs="Arial"/>
          <w:i/>
          <w:iCs/>
          <w:color w:val="000000"/>
          <w:sz w:val="22"/>
          <w:szCs w:val="22"/>
        </w:rPr>
        <w:t>23</w:t>
      </w:r>
      <w:r w:rsidRPr="00ED3E4E">
        <w:rPr>
          <w:rFonts w:ascii="Arial" w:hAnsi="Arial" w:cs="Arial"/>
          <w:color w:val="000000"/>
          <w:sz w:val="22"/>
          <w:szCs w:val="22"/>
        </w:rPr>
        <w:t>(3), p.e12382.</w:t>
      </w:r>
    </w:p>
    <w:p w14:paraId="2896B200"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Glasby, J., Dickinson, H. and Miller, R., 2011. Partnership working in England—where we are now and where we’ve come from. </w:t>
      </w:r>
      <w:r w:rsidRPr="00ED3E4E">
        <w:rPr>
          <w:rFonts w:ascii="Arial" w:hAnsi="Arial" w:cs="Arial"/>
          <w:i/>
          <w:iCs/>
          <w:color w:val="000000"/>
          <w:sz w:val="22"/>
          <w:szCs w:val="22"/>
        </w:rPr>
        <w:t>International journal of integrated care</w:t>
      </w:r>
      <w:r w:rsidRPr="00ED3E4E">
        <w:rPr>
          <w:rFonts w:ascii="Arial" w:hAnsi="Arial" w:cs="Arial"/>
          <w:color w:val="000000"/>
          <w:sz w:val="22"/>
          <w:szCs w:val="22"/>
        </w:rPr>
        <w:t>, </w:t>
      </w:r>
      <w:r w:rsidRPr="00ED3E4E">
        <w:rPr>
          <w:rFonts w:ascii="Arial" w:hAnsi="Arial" w:cs="Arial"/>
          <w:i/>
          <w:iCs/>
          <w:color w:val="000000"/>
          <w:sz w:val="22"/>
          <w:szCs w:val="22"/>
        </w:rPr>
        <w:t>11</w:t>
      </w:r>
      <w:r w:rsidRPr="00ED3E4E">
        <w:rPr>
          <w:rFonts w:ascii="Arial" w:hAnsi="Arial" w:cs="Arial"/>
          <w:color w:val="000000"/>
          <w:sz w:val="22"/>
          <w:szCs w:val="22"/>
        </w:rPr>
        <w:t>(Special 10th Anniversary Edition), p.e002.</w:t>
      </w:r>
    </w:p>
    <w:p w14:paraId="383774DB"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Gordon, A.L., Goodman, C., Davies, S.L., Dening, T., Gage, H., Meyer, J., Schneider, J., Bell, B., Jordan, J., Martin, F.C. and Iliffe, S., 2018. Optimal healthcare delivery to care homes in the UK: a realist evaluation of what supports effective working to improve healthcare outcomes. </w:t>
      </w:r>
      <w:r w:rsidRPr="00ED3E4E">
        <w:rPr>
          <w:rFonts w:ascii="Arial" w:hAnsi="Arial" w:cs="Arial"/>
          <w:i/>
          <w:iCs/>
          <w:color w:val="000000"/>
          <w:sz w:val="22"/>
          <w:szCs w:val="22"/>
        </w:rPr>
        <w:t>Age and Ageing</w:t>
      </w:r>
      <w:r w:rsidRPr="00ED3E4E">
        <w:rPr>
          <w:rFonts w:ascii="Arial" w:hAnsi="Arial" w:cs="Arial"/>
          <w:color w:val="000000"/>
          <w:sz w:val="22"/>
          <w:szCs w:val="22"/>
        </w:rPr>
        <w:t>, </w:t>
      </w:r>
      <w:r w:rsidRPr="00ED3E4E">
        <w:rPr>
          <w:rFonts w:ascii="Arial" w:hAnsi="Arial" w:cs="Arial"/>
          <w:i/>
          <w:iCs/>
          <w:color w:val="000000"/>
          <w:sz w:val="22"/>
          <w:szCs w:val="22"/>
        </w:rPr>
        <w:t>47</w:t>
      </w:r>
      <w:r w:rsidRPr="00ED3E4E">
        <w:rPr>
          <w:rFonts w:ascii="Arial" w:hAnsi="Arial" w:cs="Arial"/>
          <w:color w:val="000000"/>
          <w:sz w:val="22"/>
          <w:szCs w:val="22"/>
        </w:rPr>
        <w:t>(4), pp.595-603.</w:t>
      </w:r>
    </w:p>
    <w:p w14:paraId="428ABAA5"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lastRenderedPageBreak/>
        <w:t xml:space="preserve">Haahr, A., Norlyk, A., Martinsen, B. and Dreyer, P., 2020. </w:t>
      </w:r>
      <w:proofErr w:type="gramStart"/>
      <w:r w:rsidRPr="00ED3E4E">
        <w:rPr>
          <w:rFonts w:ascii="Arial" w:hAnsi="Arial" w:cs="Arial"/>
          <w:color w:val="000000"/>
          <w:sz w:val="22"/>
          <w:szCs w:val="22"/>
        </w:rPr>
        <w:t>Nurses</w:t>
      </w:r>
      <w:proofErr w:type="gramEnd"/>
      <w:r w:rsidRPr="00ED3E4E">
        <w:rPr>
          <w:rFonts w:ascii="Arial" w:hAnsi="Arial" w:cs="Arial"/>
          <w:color w:val="000000"/>
          <w:sz w:val="22"/>
          <w:szCs w:val="22"/>
        </w:rPr>
        <w:t xml:space="preserve"> experiences of ethical dilemmas: a review. </w:t>
      </w:r>
      <w:r w:rsidRPr="00ED3E4E">
        <w:rPr>
          <w:rFonts w:ascii="Arial" w:hAnsi="Arial" w:cs="Arial"/>
          <w:i/>
          <w:iCs/>
          <w:color w:val="000000"/>
          <w:sz w:val="22"/>
          <w:szCs w:val="22"/>
        </w:rPr>
        <w:t>Nursing ethics</w:t>
      </w:r>
      <w:r w:rsidRPr="00ED3E4E">
        <w:rPr>
          <w:rFonts w:ascii="Arial" w:hAnsi="Arial" w:cs="Arial"/>
          <w:color w:val="000000"/>
          <w:sz w:val="22"/>
          <w:szCs w:val="22"/>
        </w:rPr>
        <w:t>, </w:t>
      </w:r>
      <w:r w:rsidRPr="00ED3E4E">
        <w:rPr>
          <w:rFonts w:ascii="Arial" w:hAnsi="Arial" w:cs="Arial"/>
          <w:i/>
          <w:iCs/>
          <w:color w:val="000000"/>
          <w:sz w:val="22"/>
          <w:szCs w:val="22"/>
        </w:rPr>
        <w:t>27</w:t>
      </w:r>
      <w:r w:rsidRPr="00ED3E4E">
        <w:rPr>
          <w:rFonts w:ascii="Arial" w:hAnsi="Arial" w:cs="Arial"/>
          <w:color w:val="000000"/>
          <w:sz w:val="22"/>
          <w:szCs w:val="22"/>
        </w:rPr>
        <w:t>(1), pp.258-272.</w:t>
      </w:r>
    </w:p>
    <w:p w14:paraId="5F27118C" w14:textId="77777777" w:rsidR="00ED3E4E" w:rsidRPr="00ED3E4E" w:rsidRDefault="00ED3E4E" w:rsidP="000C5C81">
      <w:pPr>
        <w:pStyle w:val="ListParagraph"/>
        <w:numPr>
          <w:ilvl w:val="0"/>
          <w:numId w:val="2"/>
        </w:numPr>
        <w:spacing w:line="360" w:lineRule="auto"/>
        <w:rPr>
          <w:rFonts w:cs="Arial"/>
        </w:rPr>
      </w:pPr>
      <w:r w:rsidRPr="00ED3E4E">
        <w:rPr>
          <w:rFonts w:cs="Arial"/>
        </w:rPr>
        <w:t>Hodge, G., Byng, R., Page, G., Lang, I. and Pearce, S., 2024. A Multiple Case Study Exploring Person</w:t>
      </w:r>
      <w:r w:rsidRPr="00ED3E4E">
        <w:rPr>
          <w:rFonts w:ascii="Cambria Math" w:hAnsi="Cambria Math" w:cs="Cambria Math"/>
        </w:rPr>
        <w:t>‐</w:t>
      </w:r>
      <w:r w:rsidRPr="00ED3E4E">
        <w:rPr>
          <w:rFonts w:cs="Arial"/>
        </w:rPr>
        <w:t>Centred Care in Care Homes. </w:t>
      </w:r>
      <w:r w:rsidRPr="00ED3E4E">
        <w:rPr>
          <w:rFonts w:cs="Arial"/>
          <w:i/>
          <w:iCs/>
        </w:rPr>
        <w:t>Health &amp; Social Care in the Community</w:t>
      </w:r>
      <w:r w:rsidRPr="00ED3E4E">
        <w:rPr>
          <w:rFonts w:cs="Arial"/>
        </w:rPr>
        <w:t>, </w:t>
      </w:r>
      <w:r w:rsidRPr="00ED3E4E">
        <w:rPr>
          <w:rFonts w:cs="Arial"/>
          <w:i/>
          <w:iCs/>
        </w:rPr>
        <w:t>2024</w:t>
      </w:r>
      <w:r w:rsidRPr="00ED3E4E">
        <w:rPr>
          <w:rFonts w:cs="Arial"/>
        </w:rPr>
        <w:t>(1), p.9888828.</w:t>
      </w:r>
    </w:p>
    <w:p w14:paraId="78D91E3E"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Holding, E., Blank, L., Crowder, M. and Goyder, E., 2020. Bridging the gap between the home and the hospital: a qualitative study of partnership working across housing, health and social care. </w:t>
      </w:r>
      <w:r w:rsidRPr="00ED3E4E">
        <w:rPr>
          <w:rFonts w:ascii="Arial" w:hAnsi="Arial" w:cs="Arial"/>
          <w:i/>
          <w:iCs/>
          <w:color w:val="000000"/>
          <w:sz w:val="22"/>
          <w:szCs w:val="22"/>
        </w:rPr>
        <w:t>Journal of interprofessional care</w:t>
      </w:r>
      <w:r w:rsidRPr="00ED3E4E">
        <w:rPr>
          <w:rFonts w:ascii="Arial" w:hAnsi="Arial" w:cs="Arial"/>
          <w:color w:val="000000"/>
          <w:sz w:val="22"/>
          <w:szCs w:val="22"/>
        </w:rPr>
        <w:t>, </w:t>
      </w:r>
      <w:r w:rsidRPr="00ED3E4E">
        <w:rPr>
          <w:rFonts w:ascii="Arial" w:hAnsi="Arial" w:cs="Arial"/>
          <w:i/>
          <w:iCs/>
          <w:color w:val="000000"/>
          <w:sz w:val="22"/>
          <w:szCs w:val="22"/>
        </w:rPr>
        <w:t>34</w:t>
      </w:r>
      <w:r w:rsidRPr="00ED3E4E">
        <w:rPr>
          <w:rFonts w:ascii="Arial" w:hAnsi="Arial" w:cs="Arial"/>
          <w:color w:val="000000"/>
          <w:sz w:val="22"/>
          <w:szCs w:val="22"/>
        </w:rPr>
        <w:t>(4), pp.493-499.</w:t>
      </w:r>
    </w:p>
    <w:p w14:paraId="3C6A306D"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Kadri, A., Rapaport, P., Livingston, G., Cooper, C., Robertson, S. and Higgs, P., 2018. Care workers, the unacknowledged persons in person-centred care: A secondary qualitative analysis of UK care home staff interviews. </w:t>
      </w:r>
      <w:proofErr w:type="spellStart"/>
      <w:r w:rsidRPr="00ED3E4E">
        <w:rPr>
          <w:rFonts w:ascii="Arial" w:hAnsi="Arial" w:cs="Arial"/>
          <w:i/>
          <w:iCs/>
          <w:color w:val="000000"/>
          <w:sz w:val="22"/>
          <w:szCs w:val="22"/>
        </w:rPr>
        <w:t>PLoS</w:t>
      </w:r>
      <w:proofErr w:type="spellEnd"/>
      <w:r w:rsidRPr="00ED3E4E">
        <w:rPr>
          <w:rFonts w:ascii="Arial" w:hAnsi="Arial" w:cs="Arial"/>
          <w:i/>
          <w:iCs/>
          <w:color w:val="000000"/>
          <w:sz w:val="22"/>
          <w:szCs w:val="22"/>
        </w:rPr>
        <w:t xml:space="preserve"> One</w:t>
      </w:r>
      <w:r w:rsidRPr="00ED3E4E">
        <w:rPr>
          <w:rFonts w:ascii="Arial" w:hAnsi="Arial" w:cs="Arial"/>
          <w:color w:val="000000"/>
          <w:sz w:val="22"/>
          <w:szCs w:val="22"/>
        </w:rPr>
        <w:t>, </w:t>
      </w:r>
      <w:r w:rsidRPr="00ED3E4E">
        <w:rPr>
          <w:rFonts w:ascii="Arial" w:hAnsi="Arial" w:cs="Arial"/>
          <w:i/>
          <w:iCs/>
          <w:color w:val="000000"/>
          <w:sz w:val="22"/>
          <w:szCs w:val="22"/>
        </w:rPr>
        <w:t>13</w:t>
      </w:r>
      <w:r w:rsidRPr="00ED3E4E">
        <w:rPr>
          <w:rFonts w:ascii="Arial" w:hAnsi="Arial" w:cs="Arial"/>
          <w:color w:val="000000"/>
          <w:sz w:val="22"/>
          <w:szCs w:val="22"/>
        </w:rPr>
        <w:t>(7), p.e0200031.</w:t>
      </w:r>
    </w:p>
    <w:p w14:paraId="50D0A1D5"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222222"/>
          <w:sz w:val="22"/>
          <w:szCs w:val="22"/>
          <w:shd w:val="clear" w:color="auto" w:fill="FFFFFF"/>
        </w:rPr>
        <w:t>Kwame, A. and Petrucka, P.M., 2021. A literature-based study of patient-</w:t>
      </w:r>
      <w:proofErr w:type="spellStart"/>
      <w:r w:rsidRPr="00ED3E4E">
        <w:rPr>
          <w:rFonts w:ascii="Arial" w:hAnsi="Arial" w:cs="Arial"/>
          <w:color w:val="222222"/>
          <w:sz w:val="22"/>
          <w:szCs w:val="22"/>
          <w:shd w:val="clear" w:color="auto" w:fill="FFFFFF"/>
        </w:rPr>
        <w:t>centered</w:t>
      </w:r>
      <w:proofErr w:type="spellEnd"/>
      <w:r w:rsidRPr="00ED3E4E">
        <w:rPr>
          <w:rFonts w:ascii="Arial" w:hAnsi="Arial" w:cs="Arial"/>
          <w:color w:val="222222"/>
          <w:sz w:val="22"/>
          <w:szCs w:val="22"/>
          <w:shd w:val="clear" w:color="auto" w:fill="FFFFFF"/>
        </w:rPr>
        <w:t xml:space="preserve"> care and communication in nurse-patient interactions: barriers, facilitators, and the way forward.</w:t>
      </w:r>
      <w:r w:rsidRPr="00ED3E4E">
        <w:rPr>
          <w:rStyle w:val="apple-converted-space"/>
          <w:rFonts w:ascii="Arial" w:hAnsi="Arial" w:cs="Arial"/>
          <w:color w:val="222222"/>
          <w:sz w:val="22"/>
          <w:szCs w:val="22"/>
          <w:shd w:val="clear" w:color="auto" w:fill="FFFFFF"/>
        </w:rPr>
        <w:t> </w:t>
      </w:r>
      <w:r w:rsidRPr="00ED3E4E">
        <w:rPr>
          <w:rFonts w:ascii="Arial" w:hAnsi="Arial" w:cs="Arial"/>
          <w:i/>
          <w:iCs/>
          <w:color w:val="222222"/>
          <w:sz w:val="22"/>
          <w:szCs w:val="22"/>
        </w:rPr>
        <w:t>BMC nursing</w:t>
      </w:r>
      <w:r w:rsidRPr="00ED3E4E">
        <w:rPr>
          <w:rFonts w:ascii="Arial" w:hAnsi="Arial" w:cs="Arial"/>
          <w:color w:val="222222"/>
          <w:sz w:val="22"/>
          <w:szCs w:val="22"/>
          <w:shd w:val="clear" w:color="auto" w:fill="FFFFFF"/>
        </w:rPr>
        <w:t>,</w:t>
      </w:r>
      <w:r w:rsidRPr="00ED3E4E">
        <w:rPr>
          <w:rStyle w:val="apple-converted-space"/>
          <w:rFonts w:ascii="Arial" w:hAnsi="Arial" w:cs="Arial"/>
          <w:color w:val="222222"/>
          <w:sz w:val="22"/>
          <w:szCs w:val="22"/>
          <w:shd w:val="clear" w:color="auto" w:fill="FFFFFF"/>
        </w:rPr>
        <w:t> </w:t>
      </w:r>
      <w:r w:rsidRPr="00ED3E4E">
        <w:rPr>
          <w:rFonts w:ascii="Arial" w:hAnsi="Arial" w:cs="Arial"/>
          <w:i/>
          <w:iCs/>
          <w:color w:val="222222"/>
          <w:sz w:val="22"/>
          <w:szCs w:val="22"/>
        </w:rPr>
        <w:t>20</w:t>
      </w:r>
      <w:r w:rsidRPr="00ED3E4E">
        <w:rPr>
          <w:rFonts w:ascii="Arial" w:hAnsi="Arial" w:cs="Arial"/>
          <w:color w:val="222222"/>
          <w:sz w:val="22"/>
          <w:szCs w:val="22"/>
          <w:shd w:val="clear" w:color="auto" w:fill="FFFFFF"/>
        </w:rPr>
        <w:t>(1), p.158.</w:t>
      </w:r>
    </w:p>
    <w:p w14:paraId="6EDD5938" w14:textId="77777777" w:rsidR="00ED3E4E" w:rsidRPr="00ED3E4E" w:rsidRDefault="00ED3E4E" w:rsidP="000C5C81">
      <w:pPr>
        <w:pStyle w:val="ListParagraph"/>
        <w:numPr>
          <w:ilvl w:val="0"/>
          <w:numId w:val="2"/>
        </w:numPr>
        <w:spacing w:line="360" w:lineRule="auto"/>
        <w:rPr>
          <w:rFonts w:cs="Arial"/>
        </w:rPr>
      </w:pPr>
      <w:r w:rsidRPr="00ED3E4E">
        <w:rPr>
          <w:rFonts w:cs="Arial"/>
        </w:rPr>
        <w:t>Liao, L., Feng, M., You, Y., Chen, Y., Guan, C. and Liu, Y., 2023. Experiences of older people, healthcare providers and caregivers on implementing person-</w:t>
      </w:r>
      <w:proofErr w:type="spellStart"/>
      <w:r w:rsidRPr="00ED3E4E">
        <w:rPr>
          <w:rFonts w:cs="Arial"/>
        </w:rPr>
        <w:t>centered</w:t>
      </w:r>
      <w:proofErr w:type="spellEnd"/>
      <w:r w:rsidRPr="00ED3E4E">
        <w:rPr>
          <w:rFonts w:cs="Arial"/>
        </w:rPr>
        <w:t xml:space="preserve"> care for community-dwelling older people: a systematic review and qualitative meta-synthesis. </w:t>
      </w:r>
      <w:r w:rsidRPr="00ED3E4E">
        <w:rPr>
          <w:rFonts w:cs="Arial"/>
          <w:i/>
          <w:iCs/>
        </w:rPr>
        <w:t>BMC geriatrics</w:t>
      </w:r>
      <w:r w:rsidRPr="00ED3E4E">
        <w:rPr>
          <w:rFonts w:cs="Arial"/>
        </w:rPr>
        <w:t>, </w:t>
      </w:r>
      <w:r w:rsidRPr="00ED3E4E">
        <w:rPr>
          <w:rFonts w:cs="Arial"/>
          <w:i/>
          <w:iCs/>
        </w:rPr>
        <w:t>23</w:t>
      </w:r>
      <w:r w:rsidRPr="00ED3E4E">
        <w:rPr>
          <w:rFonts w:cs="Arial"/>
        </w:rPr>
        <w:t>(1), p.207.</w:t>
      </w:r>
    </w:p>
    <w:p w14:paraId="3CB4A850" w14:textId="77777777" w:rsidR="00ED3E4E" w:rsidRPr="00ED3E4E" w:rsidRDefault="00ED3E4E" w:rsidP="000C5C81">
      <w:pPr>
        <w:pStyle w:val="ListParagraph"/>
        <w:numPr>
          <w:ilvl w:val="0"/>
          <w:numId w:val="2"/>
        </w:numPr>
        <w:spacing w:line="360" w:lineRule="auto"/>
        <w:rPr>
          <w:rFonts w:cs="Arial"/>
        </w:rPr>
      </w:pPr>
      <w:r w:rsidRPr="00ED3E4E">
        <w:rPr>
          <w:rFonts w:cs="Arial"/>
        </w:rPr>
        <w:t xml:space="preserve">Moore, L., Britten, N., Lydahl, D., </w:t>
      </w:r>
      <w:proofErr w:type="spellStart"/>
      <w:r w:rsidRPr="00ED3E4E">
        <w:rPr>
          <w:rFonts w:cs="Arial"/>
        </w:rPr>
        <w:t>Naldemirci</w:t>
      </w:r>
      <w:proofErr w:type="spellEnd"/>
      <w:r w:rsidRPr="00ED3E4E">
        <w:rPr>
          <w:rFonts w:cs="Arial"/>
        </w:rPr>
        <w:t>, Ö., Elam, M. and Wolf, A., 2017. Barriers and facilitators to the implementation of person</w:t>
      </w:r>
      <w:r w:rsidRPr="00ED3E4E">
        <w:rPr>
          <w:rFonts w:ascii="Cambria Math" w:hAnsi="Cambria Math" w:cs="Cambria Math"/>
        </w:rPr>
        <w:t>‐</w:t>
      </w:r>
      <w:r w:rsidRPr="00ED3E4E">
        <w:rPr>
          <w:rFonts w:cs="Arial"/>
        </w:rPr>
        <w:t>centred care in different healthcare contexts. </w:t>
      </w:r>
      <w:r w:rsidRPr="00ED3E4E">
        <w:rPr>
          <w:rFonts w:cs="Arial"/>
          <w:i/>
          <w:iCs/>
        </w:rPr>
        <w:t>Scandinavian journal of caring sciences</w:t>
      </w:r>
      <w:r w:rsidRPr="00ED3E4E">
        <w:rPr>
          <w:rFonts w:cs="Arial"/>
        </w:rPr>
        <w:t>, </w:t>
      </w:r>
      <w:r w:rsidRPr="00ED3E4E">
        <w:rPr>
          <w:rFonts w:cs="Arial"/>
          <w:i/>
          <w:iCs/>
        </w:rPr>
        <w:t>31</w:t>
      </w:r>
      <w:r w:rsidRPr="00ED3E4E">
        <w:rPr>
          <w:rFonts w:cs="Arial"/>
        </w:rPr>
        <w:t>(4), pp.662-673.</w:t>
      </w:r>
    </w:p>
    <w:p w14:paraId="79A9DF59" w14:textId="77777777" w:rsidR="00ED3E4E" w:rsidRPr="00ED3E4E" w:rsidRDefault="00ED3E4E" w:rsidP="000C5C81">
      <w:pPr>
        <w:pStyle w:val="NormalWeb"/>
        <w:numPr>
          <w:ilvl w:val="0"/>
          <w:numId w:val="2"/>
        </w:numPr>
        <w:spacing w:before="0" w:beforeAutospacing="0" w:after="240" w:afterAutospacing="0" w:line="360" w:lineRule="auto"/>
        <w:rPr>
          <w:rFonts w:ascii="Arial" w:hAnsi="Arial" w:cs="Arial"/>
          <w:sz w:val="22"/>
          <w:szCs w:val="22"/>
        </w:rPr>
      </w:pPr>
      <w:r w:rsidRPr="00ED3E4E">
        <w:rPr>
          <w:rFonts w:ascii="Arial" w:hAnsi="Arial" w:cs="Arial"/>
          <w:sz w:val="22"/>
          <w:szCs w:val="22"/>
        </w:rPr>
        <w:t xml:space="preserve">NHS England (2023). </w:t>
      </w:r>
      <w:r w:rsidRPr="00ED3E4E">
        <w:rPr>
          <w:rFonts w:ascii="Arial" w:hAnsi="Arial" w:cs="Arial"/>
          <w:i/>
          <w:iCs/>
          <w:sz w:val="22"/>
          <w:szCs w:val="22"/>
        </w:rPr>
        <w:t>NHS England» Providing Proactive Care for People Living in Care Homes – Enhanced Health in Care Homes Framework</w:t>
      </w:r>
      <w:r w:rsidRPr="00ED3E4E">
        <w:rPr>
          <w:rFonts w:ascii="Arial" w:hAnsi="Arial" w:cs="Arial"/>
          <w:sz w:val="22"/>
          <w:szCs w:val="22"/>
        </w:rPr>
        <w:t xml:space="preserve">. [online] www.england.nhs.uk. Available at: </w:t>
      </w:r>
      <w:hyperlink r:id="rId10" w:history="1">
        <w:r w:rsidRPr="00ED3E4E">
          <w:rPr>
            <w:rStyle w:val="Hyperlink"/>
            <w:rFonts w:ascii="Arial" w:hAnsi="Arial" w:cs="Arial"/>
            <w:sz w:val="22"/>
            <w:szCs w:val="22"/>
          </w:rPr>
          <w:t>https://www.england.nhs.uk/long-read/providing-proactive-care-for-people-living-in-care-homes-enhanced-health-in-care-homes-framework/</w:t>
        </w:r>
      </w:hyperlink>
      <w:r w:rsidRPr="00ED3E4E">
        <w:rPr>
          <w:rFonts w:ascii="Arial" w:hAnsi="Arial" w:cs="Arial"/>
          <w:sz w:val="22"/>
          <w:szCs w:val="22"/>
        </w:rPr>
        <w:t xml:space="preserve"> [Accessed 23 Nov. 2025].</w:t>
      </w:r>
    </w:p>
    <w:p w14:paraId="04EA54D1" w14:textId="77777777" w:rsidR="00ED3E4E" w:rsidRPr="00ED3E4E" w:rsidRDefault="00ED3E4E" w:rsidP="000C5C81">
      <w:pPr>
        <w:pStyle w:val="ListParagraph"/>
        <w:numPr>
          <w:ilvl w:val="0"/>
          <w:numId w:val="2"/>
        </w:numPr>
        <w:spacing w:line="360" w:lineRule="auto"/>
        <w:rPr>
          <w:rFonts w:cs="Arial"/>
        </w:rPr>
      </w:pPr>
      <w:r w:rsidRPr="00ED3E4E">
        <w:rPr>
          <w:rFonts w:cs="Arial"/>
        </w:rPr>
        <w:t xml:space="preserve">Rosengren, K., </w:t>
      </w:r>
      <w:proofErr w:type="spellStart"/>
      <w:r w:rsidRPr="00ED3E4E">
        <w:rPr>
          <w:rFonts w:cs="Arial"/>
        </w:rPr>
        <w:t>Brannefors</w:t>
      </w:r>
      <w:proofErr w:type="spellEnd"/>
      <w:r w:rsidRPr="00ED3E4E">
        <w:rPr>
          <w:rFonts w:cs="Arial"/>
        </w:rPr>
        <w:t>, P. and Carlstrom, E., 2021. Adoption of the concept of person-centred care into discourse in Europe: a systematic literature review. </w:t>
      </w:r>
      <w:r w:rsidRPr="00ED3E4E">
        <w:rPr>
          <w:rFonts w:cs="Arial"/>
          <w:i/>
          <w:iCs/>
        </w:rPr>
        <w:t>Journal of Health Organization and Management</w:t>
      </w:r>
      <w:r w:rsidRPr="00ED3E4E">
        <w:rPr>
          <w:rFonts w:cs="Arial"/>
        </w:rPr>
        <w:t>, </w:t>
      </w:r>
      <w:r w:rsidRPr="00ED3E4E">
        <w:rPr>
          <w:rFonts w:cs="Arial"/>
          <w:i/>
          <w:iCs/>
        </w:rPr>
        <w:t>35</w:t>
      </w:r>
      <w:r w:rsidRPr="00ED3E4E">
        <w:rPr>
          <w:rFonts w:cs="Arial"/>
        </w:rPr>
        <w:t>(9), pp.265-280.</w:t>
      </w:r>
    </w:p>
    <w:p w14:paraId="2CC49697"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 xml:space="preserve">Schot, E., </w:t>
      </w:r>
      <w:proofErr w:type="spellStart"/>
      <w:r w:rsidRPr="00ED3E4E">
        <w:rPr>
          <w:rFonts w:ascii="Arial" w:hAnsi="Arial" w:cs="Arial"/>
          <w:color w:val="000000"/>
          <w:sz w:val="22"/>
          <w:szCs w:val="22"/>
        </w:rPr>
        <w:t>Tummers</w:t>
      </w:r>
      <w:proofErr w:type="spellEnd"/>
      <w:r w:rsidRPr="00ED3E4E">
        <w:rPr>
          <w:rFonts w:ascii="Arial" w:hAnsi="Arial" w:cs="Arial"/>
          <w:color w:val="000000"/>
          <w:sz w:val="22"/>
          <w:szCs w:val="22"/>
        </w:rPr>
        <w:t>, L. and Noordegraaf, M., 2020. Working on working together. A systematic review on how healthcare professionals contribute to interprofessional collaboration. </w:t>
      </w:r>
      <w:r w:rsidRPr="00ED3E4E">
        <w:rPr>
          <w:rFonts w:ascii="Arial" w:hAnsi="Arial" w:cs="Arial"/>
          <w:i/>
          <w:iCs/>
          <w:color w:val="000000"/>
          <w:sz w:val="22"/>
          <w:szCs w:val="22"/>
        </w:rPr>
        <w:t>Journal of interprofessional care</w:t>
      </w:r>
      <w:r w:rsidRPr="00ED3E4E">
        <w:rPr>
          <w:rFonts w:ascii="Arial" w:hAnsi="Arial" w:cs="Arial"/>
          <w:color w:val="000000"/>
          <w:sz w:val="22"/>
          <w:szCs w:val="22"/>
        </w:rPr>
        <w:t>, </w:t>
      </w:r>
      <w:r w:rsidRPr="00ED3E4E">
        <w:rPr>
          <w:rFonts w:ascii="Arial" w:hAnsi="Arial" w:cs="Arial"/>
          <w:i/>
          <w:iCs/>
          <w:color w:val="000000"/>
          <w:sz w:val="22"/>
          <w:szCs w:val="22"/>
        </w:rPr>
        <w:t>34</w:t>
      </w:r>
      <w:r w:rsidRPr="00ED3E4E">
        <w:rPr>
          <w:rFonts w:ascii="Arial" w:hAnsi="Arial" w:cs="Arial"/>
          <w:color w:val="000000"/>
          <w:sz w:val="22"/>
          <w:szCs w:val="22"/>
        </w:rPr>
        <w:t>(3), pp.332-342.</w:t>
      </w:r>
    </w:p>
    <w:p w14:paraId="0CD1EF55"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bookmarkStart w:id="24" w:name="_Hlk214827639"/>
      <w:r w:rsidRPr="00ED3E4E">
        <w:rPr>
          <w:rFonts w:ascii="Arial" w:hAnsi="Arial" w:cs="Arial"/>
          <w:color w:val="000000"/>
          <w:sz w:val="22"/>
          <w:szCs w:val="22"/>
        </w:rPr>
        <w:lastRenderedPageBreak/>
        <w:t>Tsiachristas</w:t>
      </w:r>
      <w:bookmarkEnd w:id="24"/>
      <w:r w:rsidRPr="00ED3E4E">
        <w:rPr>
          <w:rFonts w:ascii="Arial" w:hAnsi="Arial" w:cs="Arial"/>
          <w:color w:val="000000"/>
          <w:sz w:val="22"/>
          <w:szCs w:val="22"/>
        </w:rPr>
        <w:t>, A., Vrangbæk, K., Gongora-Salazar, P. and Kristensen, S.R., 2023. Integrated care in a Beveridge system: experiences from England and Denmark. </w:t>
      </w:r>
      <w:r w:rsidRPr="00ED3E4E">
        <w:rPr>
          <w:rFonts w:ascii="Arial" w:hAnsi="Arial" w:cs="Arial"/>
          <w:i/>
          <w:iCs/>
          <w:color w:val="000000"/>
          <w:sz w:val="22"/>
          <w:szCs w:val="22"/>
        </w:rPr>
        <w:t>Health Economics, Policy and Law</w:t>
      </w:r>
      <w:r w:rsidRPr="00ED3E4E">
        <w:rPr>
          <w:rFonts w:ascii="Arial" w:hAnsi="Arial" w:cs="Arial"/>
          <w:color w:val="000000"/>
          <w:sz w:val="22"/>
          <w:szCs w:val="22"/>
        </w:rPr>
        <w:t>, </w:t>
      </w:r>
      <w:r w:rsidRPr="00ED3E4E">
        <w:rPr>
          <w:rFonts w:ascii="Arial" w:hAnsi="Arial" w:cs="Arial"/>
          <w:i/>
          <w:iCs/>
          <w:color w:val="000000"/>
          <w:sz w:val="22"/>
          <w:szCs w:val="22"/>
        </w:rPr>
        <w:t>18</w:t>
      </w:r>
      <w:r w:rsidRPr="00ED3E4E">
        <w:rPr>
          <w:rFonts w:ascii="Arial" w:hAnsi="Arial" w:cs="Arial"/>
          <w:color w:val="000000"/>
          <w:sz w:val="22"/>
          <w:szCs w:val="22"/>
        </w:rPr>
        <w:t>(4), pp.345-361.</w:t>
      </w:r>
    </w:p>
    <w:p w14:paraId="6CD74680"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Wei, H. and Watson, J., 2019. Healthcare interprofessional team members' perspectives on human caring: A directed content analysis study. </w:t>
      </w:r>
      <w:r w:rsidRPr="00ED3E4E">
        <w:rPr>
          <w:rFonts w:ascii="Arial" w:hAnsi="Arial" w:cs="Arial"/>
          <w:i/>
          <w:iCs/>
          <w:color w:val="000000"/>
          <w:sz w:val="22"/>
          <w:szCs w:val="22"/>
        </w:rPr>
        <w:t>International journal of nursing sciences</w:t>
      </w:r>
      <w:r w:rsidRPr="00ED3E4E">
        <w:rPr>
          <w:rFonts w:ascii="Arial" w:hAnsi="Arial" w:cs="Arial"/>
          <w:color w:val="000000"/>
          <w:sz w:val="22"/>
          <w:szCs w:val="22"/>
        </w:rPr>
        <w:t>, </w:t>
      </w:r>
      <w:r w:rsidRPr="00ED3E4E">
        <w:rPr>
          <w:rFonts w:ascii="Arial" w:hAnsi="Arial" w:cs="Arial"/>
          <w:i/>
          <w:iCs/>
          <w:color w:val="000000"/>
          <w:sz w:val="22"/>
          <w:szCs w:val="22"/>
        </w:rPr>
        <w:t>6</w:t>
      </w:r>
      <w:r w:rsidRPr="00ED3E4E">
        <w:rPr>
          <w:rFonts w:ascii="Arial" w:hAnsi="Arial" w:cs="Arial"/>
          <w:color w:val="000000"/>
          <w:sz w:val="22"/>
          <w:szCs w:val="22"/>
        </w:rPr>
        <w:t>(1), pp.17-23.</w:t>
      </w:r>
    </w:p>
    <w:p w14:paraId="19B8864D" w14:textId="77777777" w:rsidR="00ED3E4E" w:rsidRPr="00ED3E4E" w:rsidRDefault="00ED3E4E" w:rsidP="000C5C81">
      <w:pPr>
        <w:pStyle w:val="NormalWeb"/>
        <w:numPr>
          <w:ilvl w:val="0"/>
          <w:numId w:val="2"/>
        </w:numPr>
        <w:spacing w:before="0" w:beforeAutospacing="0" w:after="0" w:afterAutospacing="0" w:line="360" w:lineRule="auto"/>
        <w:rPr>
          <w:rFonts w:ascii="Arial" w:hAnsi="Arial" w:cs="Arial"/>
          <w:color w:val="000000"/>
          <w:sz w:val="22"/>
          <w:szCs w:val="22"/>
        </w:rPr>
      </w:pPr>
      <w:r w:rsidRPr="00ED3E4E">
        <w:rPr>
          <w:rFonts w:ascii="Arial" w:hAnsi="Arial" w:cs="Arial"/>
          <w:color w:val="000000"/>
          <w:sz w:val="22"/>
          <w:szCs w:val="22"/>
        </w:rPr>
        <w:t>Woodward, A. and Ruston, A., 2023. Empowerment of care home staff through effective collaboration with healthcare. </w:t>
      </w:r>
      <w:r w:rsidRPr="00ED3E4E">
        <w:rPr>
          <w:rFonts w:ascii="Arial" w:hAnsi="Arial" w:cs="Arial"/>
          <w:i/>
          <w:iCs/>
          <w:color w:val="000000"/>
          <w:sz w:val="22"/>
          <w:szCs w:val="22"/>
        </w:rPr>
        <w:t>Journal of Interprofessional Care</w:t>
      </w:r>
      <w:r w:rsidRPr="00ED3E4E">
        <w:rPr>
          <w:rFonts w:ascii="Arial" w:hAnsi="Arial" w:cs="Arial"/>
          <w:color w:val="000000"/>
          <w:sz w:val="22"/>
          <w:szCs w:val="22"/>
        </w:rPr>
        <w:t>, </w:t>
      </w:r>
      <w:r w:rsidRPr="00ED3E4E">
        <w:rPr>
          <w:rFonts w:ascii="Arial" w:hAnsi="Arial" w:cs="Arial"/>
          <w:i/>
          <w:iCs/>
          <w:color w:val="000000"/>
          <w:sz w:val="22"/>
          <w:szCs w:val="22"/>
        </w:rPr>
        <w:t>37</w:t>
      </w:r>
      <w:r w:rsidRPr="00ED3E4E">
        <w:rPr>
          <w:rFonts w:ascii="Arial" w:hAnsi="Arial" w:cs="Arial"/>
          <w:color w:val="000000"/>
          <w:sz w:val="22"/>
          <w:szCs w:val="22"/>
        </w:rPr>
        <w:t>(1), pp.109-117.</w:t>
      </w:r>
    </w:p>
    <w:p w14:paraId="44B145AF" w14:textId="77777777" w:rsidR="00ED3E4E" w:rsidRPr="00ED3E4E" w:rsidRDefault="00ED3E4E" w:rsidP="000C5C81">
      <w:pPr>
        <w:spacing w:line="360" w:lineRule="auto"/>
      </w:pPr>
    </w:p>
    <w:p w14:paraId="01D3B0ED" w14:textId="77777777" w:rsidR="00227AEC" w:rsidRDefault="00227AEC" w:rsidP="000C5C81">
      <w:pPr>
        <w:spacing w:line="360" w:lineRule="auto"/>
      </w:pPr>
    </w:p>
    <w:sectPr w:rsidR="00227AE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CE340" w14:textId="77777777" w:rsidR="00DA7DAE" w:rsidRDefault="00DA7DAE" w:rsidP="00ED3E4E">
      <w:pPr>
        <w:spacing w:after="0" w:line="240" w:lineRule="auto"/>
      </w:pPr>
      <w:r>
        <w:separator/>
      </w:r>
    </w:p>
  </w:endnote>
  <w:endnote w:type="continuationSeparator" w:id="0">
    <w:p w14:paraId="3781EA4A" w14:textId="77777777" w:rsidR="00DA7DAE" w:rsidRDefault="00DA7DAE" w:rsidP="00ED3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401188"/>
      <w:docPartObj>
        <w:docPartGallery w:val="Page Numbers (Bottom of Page)"/>
        <w:docPartUnique/>
      </w:docPartObj>
    </w:sdtPr>
    <w:sdtContent>
      <w:p w14:paraId="0ADAA10E" w14:textId="2FF9835B" w:rsidR="00ED3E4E" w:rsidRDefault="00ED3E4E">
        <w:pPr>
          <w:pStyle w:val="Footer"/>
          <w:jc w:val="center"/>
        </w:pPr>
        <w:r>
          <w:fldChar w:fldCharType="begin"/>
        </w:r>
        <w:r>
          <w:instrText>PAGE   \* MERGEFORMAT</w:instrText>
        </w:r>
        <w:r>
          <w:fldChar w:fldCharType="separate"/>
        </w:r>
        <w:r>
          <w:t>2</w:t>
        </w:r>
        <w:r>
          <w:fldChar w:fldCharType="end"/>
        </w:r>
      </w:p>
    </w:sdtContent>
  </w:sdt>
  <w:p w14:paraId="6768172C" w14:textId="77777777" w:rsidR="00ED3E4E" w:rsidRDefault="00ED3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33AB7" w14:textId="77777777" w:rsidR="00DA7DAE" w:rsidRDefault="00DA7DAE" w:rsidP="00ED3E4E">
      <w:pPr>
        <w:spacing w:after="0" w:line="240" w:lineRule="auto"/>
      </w:pPr>
      <w:r>
        <w:separator/>
      </w:r>
    </w:p>
  </w:footnote>
  <w:footnote w:type="continuationSeparator" w:id="0">
    <w:p w14:paraId="50B8ABE3" w14:textId="77777777" w:rsidR="00DA7DAE" w:rsidRDefault="00DA7DAE" w:rsidP="00ED3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40097"/>
    <w:multiLevelType w:val="multilevel"/>
    <w:tmpl w:val="DA740EC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65B5B71"/>
    <w:multiLevelType w:val="hybridMultilevel"/>
    <w:tmpl w:val="8CD20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9479248">
    <w:abstractNumId w:val="0"/>
  </w:num>
  <w:num w:numId="2" w16cid:durableId="50085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184"/>
    <w:rsid w:val="000C5C81"/>
    <w:rsid w:val="00227AEC"/>
    <w:rsid w:val="00304D9A"/>
    <w:rsid w:val="00323999"/>
    <w:rsid w:val="00337184"/>
    <w:rsid w:val="00C90D4B"/>
    <w:rsid w:val="00D53614"/>
    <w:rsid w:val="00DA7DAE"/>
    <w:rsid w:val="00E516D1"/>
    <w:rsid w:val="00ED3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C4773"/>
  <w15:chartTrackingRefBased/>
  <w15:docId w15:val="{474D8A3E-FF13-430B-95FF-7A0D42D65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ajorBidi"/>
        <w:color w:val="0F4761" w:themeColor="accent1" w:themeShade="BF"/>
        <w:kern w:val="2"/>
        <w:sz w:val="32"/>
        <w:szCs w:val="3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E4E"/>
    <w:rPr>
      <w:rFonts w:cstheme="minorBidi"/>
      <w:color w:val="auto"/>
      <w:sz w:val="22"/>
      <w:szCs w:val="22"/>
    </w:rPr>
  </w:style>
  <w:style w:type="paragraph" w:styleId="Heading1">
    <w:name w:val="heading 1"/>
    <w:basedOn w:val="Normal"/>
    <w:next w:val="Normal"/>
    <w:link w:val="Heading1Char"/>
    <w:uiPriority w:val="9"/>
    <w:qFormat/>
    <w:rsid w:val="00ED3E4E"/>
    <w:pPr>
      <w:keepNext/>
      <w:keepLines/>
      <w:spacing w:before="360" w:after="80"/>
      <w:outlineLvl w:val="0"/>
    </w:pPr>
    <w:rPr>
      <w:rFonts w:eastAsiaTheme="majorEastAsia"/>
      <w:color w:val="0E2841" w:themeColor="text2"/>
      <w:sz w:val="40"/>
      <w:szCs w:val="40"/>
    </w:rPr>
  </w:style>
  <w:style w:type="paragraph" w:styleId="Heading2">
    <w:name w:val="heading 2"/>
    <w:basedOn w:val="Normal"/>
    <w:next w:val="Normal"/>
    <w:link w:val="Heading2Char"/>
    <w:uiPriority w:val="9"/>
    <w:unhideWhenUsed/>
    <w:qFormat/>
    <w:rsid w:val="00ED3E4E"/>
    <w:pPr>
      <w:keepNext/>
      <w:keepLines/>
      <w:spacing w:before="160" w:after="80"/>
      <w:outlineLvl w:val="1"/>
    </w:pPr>
    <w:rPr>
      <w:rFonts w:eastAsiaTheme="majorEastAsia"/>
      <w:color w:val="0E2841" w:themeColor="text2"/>
    </w:rPr>
  </w:style>
  <w:style w:type="paragraph" w:styleId="Heading3">
    <w:name w:val="heading 3"/>
    <w:basedOn w:val="Normal"/>
    <w:next w:val="Normal"/>
    <w:link w:val="Heading3Char"/>
    <w:uiPriority w:val="9"/>
    <w:semiHidden/>
    <w:unhideWhenUsed/>
    <w:qFormat/>
    <w:rsid w:val="00337184"/>
    <w:pPr>
      <w:keepNext/>
      <w:keepLines/>
      <w:spacing w:before="160" w:after="80"/>
      <w:outlineLvl w:val="2"/>
    </w:pPr>
    <w:rPr>
      <w:rFonts w:asciiTheme="minorHAnsi" w:eastAsiaTheme="majorEastAsia" w:hAnsiTheme="minorHAnsi"/>
      <w:sz w:val="28"/>
      <w:szCs w:val="28"/>
    </w:rPr>
  </w:style>
  <w:style w:type="paragraph" w:styleId="Heading4">
    <w:name w:val="heading 4"/>
    <w:basedOn w:val="Normal"/>
    <w:next w:val="Normal"/>
    <w:link w:val="Heading4Char"/>
    <w:uiPriority w:val="9"/>
    <w:semiHidden/>
    <w:unhideWhenUsed/>
    <w:qFormat/>
    <w:rsid w:val="00337184"/>
    <w:pPr>
      <w:keepNext/>
      <w:keepLines/>
      <w:spacing w:before="80" w:after="40"/>
      <w:outlineLvl w:val="3"/>
    </w:pPr>
    <w:rPr>
      <w:rFonts w:asciiTheme="minorHAnsi" w:eastAsiaTheme="majorEastAsia" w:hAnsiTheme="minorHAnsi"/>
      <w:i/>
      <w:iCs/>
    </w:rPr>
  </w:style>
  <w:style w:type="paragraph" w:styleId="Heading5">
    <w:name w:val="heading 5"/>
    <w:basedOn w:val="Normal"/>
    <w:next w:val="Normal"/>
    <w:link w:val="Heading5Char"/>
    <w:uiPriority w:val="9"/>
    <w:semiHidden/>
    <w:unhideWhenUsed/>
    <w:qFormat/>
    <w:rsid w:val="00337184"/>
    <w:pPr>
      <w:keepNext/>
      <w:keepLines/>
      <w:spacing w:before="80" w:after="40"/>
      <w:outlineLvl w:val="4"/>
    </w:pPr>
    <w:rPr>
      <w:rFonts w:asciiTheme="minorHAnsi" w:eastAsiaTheme="majorEastAsia" w:hAnsiTheme="minorHAnsi"/>
    </w:rPr>
  </w:style>
  <w:style w:type="paragraph" w:styleId="Heading6">
    <w:name w:val="heading 6"/>
    <w:basedOn w:val="Normal"/>
    <w:next w:val="Normal"/>
    <w:link w:val="Heading6Char"/>
    <w:uiPriority w:val="9"/>
    <w:semiHidden/>
    <w:unhideWhenUsed/>
    <w:qFormat/>
    <w:rsid w:val="00337184"/>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337184"/>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337184"/>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337184"/>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E4E"/>
    <w:rPr>
      <w:rFonts w:eastAsiaTheme="majorEastAsia" w:cstheme="minorBidi"/>
      <w:color w:val="0E2841" w:themeColor="text2"/>
      <w:sz w:val="40"/>
      <w:szCs w:val="40"/>
    </w:rPr>
  </w:style>
  <w:style w:type="character" w:customStyle="1" w:styleId="Heading2Char">
    <w:name w:val="Heading 2 Char"/>
    <w:basedOn w:val="DefaultParagraphFont"/>
    <w:link w:val="Heading2"/>
    <w:uiPriority w:val="9"/>
    <w:rsid w:val="00ED3E4E"/>
    <w:rPr>
      <w:rFonts w:eastAsiaTheme="majorEastAsia" w:cstheme="minorBidi"/>
      <w:color w:val="0E2841" w:themeColor="text2"/>
      <w:sz w:val="22"/>
      <w:szCs w:val="22"/>
    </w:rPr>
  </w:style>
  <w:style w:type="character" w:customStyle="1" w:styleId="Heading3Char">
    <w:name w:val="Heading 3 Char"/>
    <w:basedOn w:val="DefaultParagraphFont"/>
    <w:link w:val="Heading3"/>
    <w:uiPriority w:val="9"/>
    <w:semiHidden/>
    <w:rsid w:val="00337184"/>
    <w:rPr>
      <w:rFonts w:asciiTheme="minorHAnsi" w:eastAsiaTheme="majorEastAsia" w:hAnsiTheme="minorHAnsi"/>
      <w:sz w:val="28"/>
      <w:szCs w:val="28"/>
    </w:rPr>
  </w:style>
  <w:style w:type="character" w:customStyle="1" w:styleId="Heading4Char">
    <w:name w:val="Heading 4 Char"/>
    <w:basedOn w:val="DefaultParagraphFont"/>
    <w:link w:val="Heading4"/>
    <w:uiPriority w:val="9"/>
    <w:semiHidden/>
    <w:rsid w:val="00337184"/>
    <w:rPr>
      <w:rFonts w:asciiTheme="minorHAnsi" w:eastAsiaTheme="majorEastAsia" w:hAnsiTheme="minorHAnsi"/>
      <w:i/>
      <w:iCs/>
    </w:rPr>
  </w:style>
  <w:style w:type="character" w:customStyle="1" w:styleId="Heading5Char">
    <w:name w:val="Heading 5 Char"/>
    <w:basedOn w:val="DefaultParagraphFont"/>
    <w:link w:val="Heading5"/>
    <w:uiPriority w:val="9"/>
    <w:semiHidden/>
    <w:rsid w:val="00337184"/>
    <w:rPr>
      <w:rFonts w:asciiTheme="minorHAnsi" w:eastAsiaTheme="majorEastAsia" w:hAnsiTheme="minorHAnsi"/>
    </w:rPr>
  </w:style>
  <w:style w:type="character" w:customStyle="1" w:styleId="Heading6Char">
    <w:name w:val="Heading 6 Char"/>
    <w:basedOn w:val="DefaultParagraphFont"/>
    <w:link w:val="Heading6"/>
    <w:uiPriority w:val="9"/>
    <w:semiHidden/>
    <w:rsid w:val="00337184"/>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337184"/>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337184"/>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337184"/>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337184"/>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337184"/>
    <w:rPr>
      <w:rFonts w:asciiTheme="majorHAnsi" w:eastAsiaTheme="majorEastAsia" w:hAnsiTheme="majorHAnsi"/>
      <w:color w:val="auto"/>
      <w:spacing w:val="-10"/>
      <w:kern w:val="28"/>
      <w:sz w:val="56"/>
      <w:szCs w:val="56"/>
    </w:rPr>
  </w:style>
  <w:style w:type="paragraph" w:styleId="Subtitle">
    <w:name w:val="Subtitle"/>
    <w:basedOn w:val="Normal"/>
    <w:next w:val="Normal"/>
    <w:link w:val="SubtitleChar"/>
    <w:uiPriority w:val="11"/>
    <w:qFormat/>
    <w:rsid w:val="00337184"/>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337184"/>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337184"/>
    <w:pPr>
      <w:spacing w:before="160"/>
      <w:jc w:val="center"/>
    </w:pPr>
    <w:rPr>
      <w:i/>
      <w:iCs/>
      <w:color w:val="404040" w:themeColor="text1" w:themeTint="BF"/>
    </w:rPr>
  </w:style>
  <w:style w:type="character" w:customStyle="1" w:styleId="QuoteChar">
    <w:name w:val="Quote Char"/>
    <w:basedOn w:val="DefaultParagraphFont"/>
    <w:link w:val="Quote"/>
    <w:uiPriority w:val="29"/>
    <w:rsid w:val="00337184"/>
    <w:rPr>
      <w:i/>
      <w:iCs/>
      <w:color w:val="404040" w:themeColor="text1" w:themeTint="BF"/>
    </w:rPr>
  </w:style>
  <w:style w:type="paragraph" w:styleId="ListParagraph">
    <w:name w:val="List Paragraph"/>
    <w:basedOn w:val="Normal"/>
    <w:uiPriority w:val="34"/>
    <w:qFormat/>
    <w:rsid w:val="00337184"/>
    <w:pPr>
      <w:ind w:left="720"/>
      <w:contextualSpacing/>
    </w:pPr>
  </w:style>
  <w:style w:type="character" w:styleId="IntenseEmphasis">
    <w:name w:val="Intense Emphasis"/>
    <w:basedOn w:val="DefaultParagraphFont"/>
    <w:uiPriority w:val="21"/>
    <w:qFormat/>
    <w:rsid w:val="00337184"/>
    <w:rPr>
      <w:i/>
      <w:iCs/>
      <w:color w:val="0F4761" w:themeColor="accent1" w:themeShade="BF"/>
    </w:rPr>
  </w:style>
  <w:style w:type="paragraph" w:styleId="IntenseQuote">
    <w:name w:val="Intense Quote"/>
    <w:basedOn w:val="Normal"/>
    <w:next w:val="Normal"/>
    <w:link w:val="IntenseQuoteChar"/>
    <w:uiPriority w:val="30"/>
    <w:qFormat/>
    <w:rsid w:val="00337184"/>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337184"/>
    <w:rPr>
      <w:i/>
      <w:iCs/>
    </w:rPr>
  </w:style>
  <w:style w:type="character" w:styleId="IntenseReference">
    <w:name w:val="Intense Reference"/>
    <w:basedOn w:val="DefaultParagraphFont"/>
    <w:uiPriority w:val="32"/>
    <w:qFormat/>
    <w:rsid w:val="00337184"/>
    <w:rPr>
      <w:b/>
      <w:bCs/>
      <w:smallCaps/>
      <w:color w:val="0F4761" w:themeColor="accent1" w:themeShade="BF"/>
      <w:spacing w:val="5"/>
    </w:rPr>
  </w:style>
  <w:style w:type="paragraph" w:styleId="TOCHeading">
    <w:name w:val="TOC Heading"/>
    <w:basedOn w:val="Heading1"/>
    <w:next w:val="Normal"/>
    <w:uiPriority w:val="39"/>
    <w:unhideWhenUsed/>
    <w:qFormat/>
    <w:rsid w:val="00ED3E4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D3E4E"/>
    <w:pPr>
      <w:spacing w:after="100"/>
    </w:pPr>
  </w:style>
  <w:style w:type="paragraph" w:styleId="TOC2">
    <w:name w:val="toc 2"/>
    <w:basedOn w:val="Normal"/>
    <w:next w:val="Normal"/>
    <w:autoRedefine/>
    <w:uiPriority w:val="39"/>
    <w:unhideWhenUsed/>
    <w:rsid w:val="00ED3E4E"/>
    <w:pPr>
      <w:spacing w:after="100"/>
      <w:ind w:left="220"/>
    </w:pPr>
  </w:style>
  <w:style w:type="character" w:styleId="Hyperlink">
    <w:name w:val="Hyperlink"/>
    <w:basedOn w:val="DefaultParagraphFont"/>
    <w:uiPriority w:val="99"/>
    <w:unhideWhenUsed/>
    <w:rsid w:val="00ED3E4E"/>
    <w:rPr>
      <w:color w:val="467886" w:themeColor="hyperlink"/>
      <w:u w:val="single"/>
    </w:rPr>
  </w:style>
  <w:style w:type="paragraph" w:styleId="NormalWeb">
    <w:name w:val="Normal (Web)"/>
    <w:basedOn w:val="Normal"/>
    <w:uiPriority w:val="99"/>
    <w:unhideWhenUsed/>
    <w:rsid w:val="00ED3E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ED3E4E"/>
  </w:style>
  <w:style w:type="paragraph" w:styleId="Header">
    <w:name w:val="header"/>
    <w:basedOn w:val="Normal"/>
    <w:link w:val="HeaderChar"/>
    <w:uiPriority w:val="99"/>
    <w:unhideWhenUsed/>
    <w:rsid w:val="00ED3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4E"/>
    <w:rPr>
      <w:rFonts w:cstheme="minorBidi"/>
      <w:color w:val="auto"/>
      <w:sz w:val="22"/>
      <w:szCs w:val="22"/>
    </w:rPr>
  </w:style>
  <w:style w:type="paragraph" w:styleId="Footer">
    <w:name w:val="footer"/>
    <w:basedOn w:val="Normal"/>
    <w:link w:val="FooterChar"/>
    <w:uiPriority w:val="99"/>
    <w:unhideWhenUsed/>
    <w:rsid w:val="00ED3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4E"/>
    <w:rPr>
      <w:rFonts w:cstheme="minorBid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CIA.S3858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acnnursing.org/5B-Tool-Kit/Themes/Person-Centered-Car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ngland.nhs.uk/long-read/providing-proactive-care-for-people-living-in-care-homes-enhanced-health-in-care-homes-framework/"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3055</Words>
  <Characters>16315</Characters>
  <Application>Microsoft Office Word</Application>
  <DocSecurity>0</DocSecurity>
  <Lines>339</Lines>
  <Paragraphs>161</Paragraphs>
  <ScaleCrop>false</ScaleCrop>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Sultana (2325938)</dc:creator>
  <cp:keywords/>
  <dc:description/>
  <cp:lastModifiedBy>Raluca Sultana (2325938)</cp:lastModifiedBy>
  <cp:revision>3</cp:revision>
  <dcterms:created xsi:type="dcterms:W3CDTF">2025-11-24T01:21:00Z</dcterms:created>
  <dcterms:modified xsi:type="dcterms:W3CDTF">2025-11-24T01:28:00Z</dcterms:modified>
</cp:coreProperties>
</file>