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58"/>
      </w:tblGrid>
      <w:tr w:rsidR="00F927A1" w:rsidRPr="005D3F07" w14:paraId="68CAA39D" w14:textId="77777777" w:rsidTr="00852259">
        <w:trPr>
          <w:trHeight w:val="3916"/>
        </w:trPr>
        <w:tc>
          <w:tcPr>
            <w:tcW w:w="10858" w:type="dxa"/>
            <w:shd w:val="clear" w:color="auto" w:fill="auto"/>
          </w:tcPr>
          <w:p w14:paraId="02F8EE88" w14:textId="3F2C3EB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852259">
              <w:rPr>
                <w:rFonts w:ascii="Times New Roman" w:hAnsi="Times New Roman" w:cs="Times New Roman"/>
                <w:b/>
                <w:color w:val="auto"/>
                <w:sz w:val="48"/>
              </w:rPr>
              <w:t>David Joshua Crowdie-Morgan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6C4AA90"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852259">
              <w:rPr>
                <w:rFonts w:ascii="Times New Roman" w:hAnsi="Times New Roman" w:cs="Times New Roman"/>
                <w:b/>
                <w:color w:val="auto"/>
                <w:sz w:val="48"/>
              </w:rPr>
              <w:t xml:space="preserve"> davidjoshuamorgan@live.co.uk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7D39CAB"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52259">
              <w:rPr>
                <w:rFonts w:ascii="Times New Roman" w:hAnsi="Times New Roman" w:cs="Times New Roman"/>
                <w:b/>
                <w:color w:val="auto"/>
                <w:sz w:val="48"/>
              </w:rPr>
              <w:t xml:space="preserve"> 2127458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3C474DA8" w14:textId="77777777" w:rsidR="00852259" w:rsidRDefault="00852259" w:rsidP="00FF7EBB">
            <w:pPr>
              <w:jc w:val="both"/>
              <w:rPr>
                <w:sz w:val="24"/>
                <w:szCs w:val="24"/>
              </w:rPr>
            </w:pPr>
          </w:p>
          <w:p w14:paraId="4FF8EBF3" w14:textId="48E9E24D"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4F9B9171" w14:textId="46165448" w:rsidR="00852259" w:rsidRDefault="00852259" w:rsidP="00FF7EBB">
            <w:pPr>
              <w:jc w:val="both"/>
              <w:rPr>
                <w:sz w:val="24"/>
                <w:szCs w:val="24"/>
              </w:rPr>
            </w:pPr>
          </w:p>
          <w:p w14:paraId="61AC3242" w14:textId="77777777" w:rsidR="00852259" w:rsidRDefault="00852259" w:rsidP="00FF7EBB">
            <w:pPr>
              <w:jc w:val="both"/>
              <w:rPr>
                <w:sz w:val="24"/>
                <w:szCs w:val="24"/>
              </w:rPr>
            </w:pPr>
          </w:p>
          <w:p w14:paraId="3D851E7C" w14:textId="77777777" w:rsidR="00852259" w:rsidRDefault="00852259" w:rsidP="00852259">
            <w:pPr>
              <w:jc w:val="both"/>
              <w:rPr>
                <w:sz w:val="24"/>
                <w:szCs w:val="24"/>
              </w:rPr>
            </w:pPr>
            <w:r>
              <w:rPr>
                <w:sz w:val="24"/>
                <w:szCs w:val="24"/>
              </w:rPr>
              <w:t>I will focus this task on safeguarding children; a child is defined as ‘a person aged under 18’ (S3 (3) Social Services and Well-being (Wales) Act 2014), and ‘Children at risk’ are defined as being at risk of, or experiencing neglect, abuse, or ‘other kinds of harm’ (S130 (4a) SSWBA 2014), and have ‘needs for care and support’ (S130 (4b) SSWBA 2014).</w:t>
            </w:r>
          </w:p>
          <w:p w14:paraId="36EF4035" w14:textId="77777777" w:rsidR="00852259" w:rsidRDefault="00852259" w:rsidP="00852259">
            <w:pPr>
              <w:jc w:val="both"/>
              <w:rPr>
                <w:sz w:val="24"/>
                <w:szCs w:val="24"/>
              </w:rPr>
            </w:pPr>
          </w:p>
          <w:p w14:paraId="137EFDD5" w14:textId="77777777" w:rsidR="00852259" w:rsidRDefault="00852259" w:rsidP="00852259">
            <w:pPr>
              <w:jc w:val="both"/>
              <w:rPr>
                <w:sz w:val="24"/>
                <w:szCs w:val="24"/>
              </w:rPr>
            </w:pPr>
            <w:r>
              <w:rPr>
                <w:sz w:val="24"/>
                <w:szCs w:val="24"/>
              </w:rPr>
              <w:t>The relevant legislation pertaining to children and safeguarding are the Social Services and Well-being (Wales) Act 2014, (notably, Part 7 ‘Working Together to Safeguard People’), Children Act 1989, Human Rights Act 1998 (incorporating the rights as set out within the European Convention on Human Rights into UK legislation, (Equality and Human Rights Commission 2017)), and the Well-being of Future Generations (Wales) Act 2015. Additionally, the Mental Capacity (Amendment) Act 2019: Liberty Protection Safeguards (LPS), although not yet implemented (at time of writing), will be relevant due to inclusion of ‘people aged 16 and above’ and the need to consider their decision-making ability (GOV.UK, 2022).</w:t>
            </w:r>
          </w:p>
          <w:p w14:paraId="09DCA049" w14:textId="77777777" w:rsidR="00852259" w:rsidRDefault="00852259" w:rsidP="00852259">
            <w:pPr>
              <w:jc w:val="both"/>
              <w:rPr>
                <w:sz w:val="24"/>
                <w:szCs w:val="24"/>
              </w:rPr>
            </w:pPr>
          </w:p>
          <w:p w14:paraId="6FFDC411" w14:textId="1DBFEE81" w:rsidR="00852259" w:rsidRDefault="00852259" w:rsidP="00852259">
            <w:pPr>
              <w:jc w:val="both"/>
              <w:rPr>
                <w:sz w:val="24"/>
                <w:szCs w:val="24"/>
              </w:rPr>
            </w:pPr>
            <w:r>
              <w:rPr>
                <w:sz w:val="24"/>
                <w:szCs w:val="24"/>
              </w:rPr>
              <w:t xml:space="preserve">Furthermore, within Wales the Violence against Women, Domestic Abuse and Sexual Violence (Wales) Act 2015 recognises the impact to children in ‘suffering’ either directly or indirectly, through witnessing </w:t>
            </w:r>
            <w:r w:rsidR="0062562E">
              <w:rPr>
                <w:sz w:val="24"/>
                <w:szCs w:val="24"/>
              </w:rPr>
              <w:t>or experiencing</w:t>
            </w:r>
            <w:r>
              <w:rPr>
                <w:sz w:val="24"/>
                <w:szCs w:val="24"/>
              </w:rPr>
              <w:t xml:space="preserve"> domestic violence. Therefore, regional policies and processes have been enacted to support children in such cir</w:t>
            </w:r>
            <w:bookmarkStart w:id="0" w:name="_GoBack"/>
            <w:bookmarkEnd w:id="0"/>
            <w:r>
              <w:rPr>
                <w:sz w:val="24"/>
                <w:szCs w:val="24"/>
              </w:rPr>
              <w:t>cumstances (Welsh Government, 2019).</w:t>
            </w:r>
          </w:p>
          <w:p w14:paraId="7557BF2D" w14:textId="77777777" w:rsidR="00852259" w:rsidRDefault="00852259" w:rsidP="00852259">
            <w:pPr>
              <w:jc w:val="both"/>
              <w:rPr>
                <w:sz w:val="24"/>
                <w:szCs w:val="24"/>
              </w:rPr>
            </w:pPr>
          </w:p>
          <w:p w14:paraId="424E1D0E" w14:textId="77777777" w:rsidR="00852259" w:rsidRDefault="00852259" w:rsidP="00852259">
            <w:pPr>
              <w:jc w:val="both"/>
              <w:rPr>
                <w:sz w:val="24"/>
                <w:szCs w:val="24"/>
              </w:rPr>
            </w:pPr>
            <w:r>
              <w:rPr>
                <w:sz w:val="24"/>
                <w:szCs w:val="24"/>
              </w:rPr>
              <w:t xml:space="preserve">In Wales, the national procedures provide guidance to protect children who are at risk of harm, neglect and abuse; identifying concerns, preventing or providing ‘early help’ with ‘emerging’ concerns, care and support planning to address any ‘unmet needs’ where a child may be found not experiencing, or being at risk of significant harm, and protection through care and support to keep the individual child safe if they are experiencing, or may be likely to continue </w:t>
            </w:r>
            <w:r>
              <w:rPr>
                <w:sz w:val="24"/>
                <w:szCs w:val="24"/>
              </w:rPr>
              <w:lastRenderedPageBreak/>
              <w:t xml:space="preserve">experiencing significant harm (Wales Safeguarding Procedures, 2019d). The procedures also highlight the ‘duty to report’ concerns relating to children at risk or experiencing such harm, abuse or neglect to the Local Authority (LA) (Wales Safeguarding Procedures, 2019d), and the subsequent LA duty to investigate those concerns (S47 Children Act 1989). Once a child has been reported to be at risk to the LA they have a duty to inform other relevant partners, (S130 SSWBA 2014), and must consider the necessity for carrying out a S47 investigation (Welsh Government, 2019). Within children’s services, </w:t>
            </w:r>
            <w:proofErr w:type="spellStart"/>
            <w:r>
              <w:rPr>
                <w:sz w:val="24"/>
                <w:szCs w:val="24"/>
              </w:rPr>
              <w:t>Turnell</w:t>
            </w:r>
            <w:proofErr w:type="spellEnd"/>
            <w:r>
              <w:rPr>
                <w:sz w:val="24"/>
                <w:szCs w:val="24"/>
              </w:rPr>
              <w:t xml:space="preserve"> and Edwards’ (1999) Signs of Safety model approach has been utilised as a means of focusing on children’s safety and wellbeing (Medway Council, 2022).</w:t>
            </w:r>
          </w:p>
          <w:p w14:paraId="49BD77BB" w14:textId="77777777" w:rsidR="00852259" w:rsidRDefault="00852259" w:rsidP="00852259">
            <w:pPr>
              <w:jc w:val="both"/>
              <w:rPr>
                <w:sz w:val="24"/>
                <w:szCs w:val="24"/>
              </w:rPr>
            </w:pPr>
          </w:p>
          <w:p w14:paraId="04A70C04" w14:textId="77777777" w:rsidR="00852259" w:rsidRDefault="00852259" w:rsidP="00852259">
            <w:pPr>
              <w:jc w:val="both"/>
              <w:rPr>
                <w:sz w:val="24"/>
                <w:szCs w:val="24"/>
              </w:rPr>
            </w:pPr>
            <w:r>
              <w:rPr>
                <w:sz w:val="24"/>
                <w:szCs w:val="24"/>
              </w:rPr>
              <w:t>Locally, there are policies and procedures which provide guidance on regional threshold and eligibility, including frameworks around ‘Universal Support’, ‘Enhanced Support’, ‘Targeted Support’, ‘Assessment for Care &amp; Support’, and ‘Protective Support’; each considering parenting, family, social and environmental factors, and a child/young person’s developmental needs (xxx Regional Safeguarding Board, 2017). Such Boards are in place to develop regional policies and procedures with the aim to encourage a consistent approach and response in safeguarding practice (xxx Regional Safeguarding Board, 2017).</w:t>
            </w:r>
          </w:p>
          <w:p w14:paraId="1784A915" w14:textId="77777777" w:rsidR="00852259" w:rsidRDefault="00852259" w:rsidP="00852259">
            <w:pPr>
              <w:jc w:val="both"/>
              <w:rPr>
                <w:sz w:val="24"/>
                <w:szCs w:val="24"/>
              </w:rPr>
            </w:pPr>
          </w:p>
          <w:p w14:paraId="575743DF" w14:textId="77777777" w:rsidR="00852259" w:rsidRDefault="00852259" w:rsidP="00852259">
            <w:pPr>
              <w:jc w:val="both"/>
              <w:rPr>
                <w:sz w:val="24"/>
                <w:szCs w:val="24"/>
              </w:rPr>
            </w:pPr>
            <w:r>
              <w:rPr>
                <w:sz w:val="24"/>
                <w:szCs w:val="24"/>
              </w:rPr>
              <w:t>Within local and regional practice there is a multi-agency agreed referral form to report concern(s) with regard to a child or young person at risk or experiencing harm, neglect or abuse (xxx Regional Safeguarding Board, 2017). This form is used within the LA where I practice, and is submitted to a single point of contact within children’s services to initially screen and make enquiries.</w:t>
            </w:r>
          </w:p>
          <w:p w14:paraId="49D3B986" w14:textId="77777777" w:rsidR="00852259" w:rsidRDefault="00852259" w:rsidP="00852259">
            <w:pPr>
              <w:jc w:val="both"/>
              <w:rPr>
                <w:sz w:val="24"/>
                <w:szCs w:val="24"/>
              </w:rPr>
            </w:pPr>
          </w:p>
          <w:p w14:paraId="03BD6D93" w14:textId="718ECF5B" w:rsidR="007A628F" w:rsidRPr="00852259" w:rsidRDefault="00852259" w:rsidP="00FF7EBB">
            <w:pPr>
              <w:pStyle w:val="ListParagraph"/>
              <w:numPr>
                <w:ilvl w:val="0"/>
                <w:numId w:val="54"/>
              </w:numPr>
              <w:jc w:val="both"/>
              <w:rPr>
                <w:sz w:val="24"/>
                <w:szCs w:val="24"/>
              </w:rPr>
            </w:pPr>
            <w:r>
              <w:rPr>
                <w:sz w:val="24"/>
                <w:szCs w:val="24"/>
              </w:rPr>
              <w:t>550</w:t>
            </w:r>
            <w:r w:rsidRPr="00571483">
              <w:rPr>
                <w:sz w:val="24"/>
                <w:szCs w:val="24"/>
              </w:rPr>
              <w:t xml:space="preserve"> words</w:t>
            </w: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5E8ADCD1" w14:textId="77777777" w:rsidR="00852259" w:rsidRDefault="00852259" w:rsidP="00FC0334">
            <w:pPr>
              <w:jc w:val="both"/>
              <w:rPr>
                <w:i/>
                <w:sz w:val="24"/>
                <w:szCs w:val="24"/>
              </w:rPr>
            </w:pPr>
          </w:p>
          <w:p w14:paraId="6BA3DD84" w14:textId="02D912A4"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5CACE25C" w14:textId="244B681C" w:rsidR="00852259" w:rsidRDefault="00852259" w:rsidP="00FC0334">
            <w:pPr>
              <w:jc w:val="both"/>
              <w:rPr>
                <w:i/>
                <w:sz w:val="24"/>
                <w:szCs w:val="24"/>
              </w:rPr>
            </w:pPr>
          </w:p>
          <w:p w14:paraId="7BE5D043" w14:textId="4A4058E7" w:rsidR="00852259" w:rsidRDefault="00852259" w:rsidP="00FC0334">
            <w:pPr>
              <w:jc w:val="both"/>
              <w:rPr>
                <w:i/>
                <w:sz w:val="24"/>
                <w:szCs w:val="24"/>
              </w:rPr>
            </w:pPr>
          </w:p>
          <w:p w14:paraId="7ED3AFE4" w14:textId="77777777" w:rsidR="00852259" w:rsidRDefault="00852259" w:rsidP="00852259">
            <w:pPr>
              <w:jc w:val="both"/>
              <w:rPr>
                <w:sz w:val="24"/>
                <w:szCs w:val="24"/>
              </w:rPr>
            </w:pPr>
            <w:r>
              <w:rPr>
                <w:sz w:val="24"/>
                <w:szCs w:val="24"/>
              </w:rPr>
              <w:t>Both the Social Services and Well-being (Wales) Act 2014 and the Well-being of Future Generations (Wales) Act 2015 place a duty on Local Authorities (LA) to promote individual well-being; adults and children, and to undertake sustainable development (S3 (1) WBFGA, 2015). The SSWBA 2014 implemented in 2016 became a significant change in bringing legislation for both adults and children’s services increasingly unified, whilst each area continuing to require specific individualised legislation, such as the Children Act 1989 and the Mental Capacity Act 2005, (Welsh Government, 2021).</w:t>
            </w:r>
          </w:p>
          <w:p w14:paraId="1A0FC5D3" w14:textId="77777777" w:rsidR="00852259" w:rsidRDefault="00852259" w:rsidP="00852259">
            <w:pPr>
              <w:jc w:val="both"/>
              <w:rPr>
                <w:sz w:val="24"/>
                <w:szCs w:val="24"/>
              </w:rPr>
            </w:pPr>
          </w:p>
          <w:p w14:paraId="6A24FD33" w14:textId="77777777" w:rsidR="00852259" w:rsidRDefault="00852259" w:rsidP="00852259">
            <w:pPr>
              <w:jc w:val="both"/>
              <w:rPr>
                <w:sz w:val="24"/>
                <w:szCs w:val="24"/>
              </w:rPr>
            </w:pPr>
            <w:r>
              <w:rPr>
                <w:sz w:val="24"/>
                <w:szCs w:val="24"/>
              </w:rPr>
              <w:t xml:space="preserve">I consider the most significant difference between working with adults’ or children in terms of safeguarding are mental capacity and the ability to consent. The Children Act 1989 places a duty that the welfare of a child is paramount (S1 CA, 1989) and although the wishes and </w:t>
            </w:r>
            <w:r>
              <w:rPr>
                <w:sz w:val="24"/>
                <w:szCs w:val="24"/>
              </w:rPr>
              <w:lastRenderedPageBreak/>
              <w:t>feelings of a child (where ascertainable) should be regarded, this is dependent of age and understanding (S1 (3) CA, 1989). The section 130 duty to report (SSWBA 2014) a child at risk and the S17 (1a) duty to safeguard a child (CA 1989) can be achieved with or without the child’s consent, although, it is considered better to obtain the child’s consent where possible.</w:t>
            </w:r>
          </w:p>
          <w:p w14:paraId="28128DA8" w14:textId="77777777" w:rsidR="00852259" w:rsidRDefault="00852259" w:rsidP="00852259">
            <w:pPr>
              <w:jc w:val="both"/>
              <w:rPr>
                <w:sz w:val="24"/>
                <w:szCs w:val="24"/>
              </w:rPr>
            </w:pPr>
          </w:p>
          <w:p w14:paraId="6AD130BC" w14:textId="77777777" w:rsidR="00852259" w:rsidRDefault="00852259" w:rsidP="00852259">
            <w:pPr>
              <w:jc w:val="both"/>
              <w:rPr>
                <w:sz w:val="24"/>
                <w:szCs w:val="24"/>
              </w:rPr>
            </w:pPr>
            <w:r>
              <w:rPr>
                <w:sz w:val="24"/>
                <w:szCs w:val="24"/>
              </w:rPr>
              <w:t>Alternatively, when an adult is considered to be ‘at risk’ although there remains a duty to report to the LA (S128 SSWBA, 2014), and the LA has a duty to ‘make enquiries’, the adult can decline any further investigation, provided they have the mental capacity to do so (S126 SSWBA, 2014). Furthermore, the principles of the Mental Capacity Act 2005 state that an individual must be ‘assumed’ to have the decision-making capacity and this can only change if it has been established that the individual lacks this capacity, and all ‘practicable steps’ have been taken to support them with no success (S1 MCA, 2005). Should an individual lack capacity, decisions pertaining to their well-being can be made by a lasting power of attorney (S9 (1a) MCA, 2005), or a nominated ‘decision-maker’ in their ‘best interests’ (S4 MCA 2005). The MCA 2005 is applicable to young people aged 16/17 who meet the criteria of having either an ‘impairment of, or a disturbance in the functioning of, their mind or brain’ (S2 (1) MCA 2005). Similarly, ‘</w:t>
            </w:r>
            <w:proofErr w:type="spellStart"/>
            <w:r>
              <w:rPr>
                <w:sz w:val="24"/>
                <w:szCs w:val="24"/>
              </w:rPr>
              <w:t>Gillick</w:t>
            </w:r>
            <w:proofErr w:type="spellEnd"/>
            <w:r>
              <w:rPr>
                <w:sz w:val="24"/>
                <w:szCs w:val="24"/>
              </w:rPr>
              <w:t xml:space="preserve"> competence’ is often used with children to assess a child’s decision-making ability; whether the child is able to demonstrate understanding of a particular choice, the consequences of such choice and their ability to process information and assess risk (Griffith, 2015).</w:t>
            </w:r>
          </w:p>
          <w:p w14:paraId="764779CE" w14:textId="77777777" w:rsidR="00852259" w:rsidRDefault="00852259" w:rsidP="00852259">
            <w:pPr>
              <w:jc w:val="both"/>
              <w:rPr>
                <w:sz w:val="24"/>
                <w:szCs w:val="24"/>
              </w:rPr>
            </w:pPr>
          </w:p>
          <w:p w14:paraId="2F18C80D" w14:textId="77777777" w:rsidR="00852259" w:rsidRDefault="00852259" w:rsidP="00852259">
            <w:pPr>
              <w:jc w:val="both"/>
              <w:rPr>
                <w:sz w:val="24"/>
                <w:szCs w:val="24"/>
              </w:rPr>
            </w:pPr>
            <w:r>
              <w:rPr>
                <w:sz w:val="24"/>
                <w:szCs w:val="24"/>
              </w:rPr>
              <w:t>Subsequently, the ability to safeguard an adult at risk is dependent on their capacity and/or choice, whereas safeguarding a child remains a statutory duty of the LA.</w:t>
            </w:r>
          </w:p>
          <w:p w14:paraId="219F6F29" w14:textId="3DA09849" w:rsidR="00852259" w:rsidRDefault="00852259" w:rsidP="00FC0334">
            <w:pPr>
              <w:jc w:val="both"/>
              <w:rPr>
                <w:i/>
                <w:sz w:val="24"/>
                <w:szCs w:val="24"/>
              </w:rPr>
            </w:pPr>
          </w:p>
          <w:p w14:paraId="08760B3D" w14:textId="31DC9724" w:rsidR="00FC0334" w:rsidRPr="00681EDF" w:rsidRDefault="00852259" w:rsidP="00681EDF">
            <w:pPr>
              <w:pStyle w:val="ListParagraph"/>
              <w:numPr>
                <w:ilvl w:val="0"/>
                <w:numId w:val="54"/>
              </w:numPr>
              <w:jc w:val="both"/>
              <w:rPr>
                <w:sz w:val="24"/>
                <w:szCs w:val="24"/>
              </w:rPr>
            </w:pPr>
            <w:r>
              <w:rPr>
                <w:sz w:val="24"/>
                <w:szCs w:val="24"/>
              </w:rPr>
              <w:t>439</w:t>
            </w:r>
            <w:r w:rsidRPr="00867052">
              <w:rPr>
                <w:sz w:val="24"/>
                <w:szCs w:val="24"/>
              </w:rPr>
              <w:t xml:space="preserve"> words</w:t>
            </w: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6283A007" w:rsidR="00A5656A" w:rsidRDefault="00A5656A">
    <w:pPr>
      <w:pStyle w:val="Footer"/>
      <w:jc w:val="right"/>
    </w:pPr>
    <w:r>
      <w:fldChar w:fldCharType="begin"/>
    </w:r>
    <w:r>
      <w:instrText xml:space="preserve"> PAGE   \* MERGEFORMAT </w:instrText>
    </w:r>
    <w:r>
      <w:fldChar w:fldCharType="separate"/>
    </w:r>
    <w:r w:rsidR="0062562E">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7CD35D8"/>
    <w:multiLevelType w:val="hybridMultilevel"/>
    <w:tmpl w:val="F1C8239C"/>
    <w:lvl w:ilvl="0" w:tplc="38100848">
      <w:start w:val="75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5"/>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29"/>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2562E"/>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EDF"/>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259"/>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8522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6C2A8D-4EA3-4B6B-9E34-F48C63144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4</Pages>
  <Words>1197</Words>
  <Characters>6544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Crowdie-Morgan, Joshua</cp:lastModifiedBy>
  <cp:revision>5</cp:revision>
  <cp:lastPrinted>2020-02-11T19:20:00Z</cp:lastPrinted>
  <dcterms:created xsi:type="dcterms:W3CDTF">2022-09-29T11:35:00Z</dcterms:created>
  <dcterms:modified xsi:type="dcterms:W3CDTF">2023-02-09T18:31:00Z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