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0E42" w:rsidRPr="00625DC2" w:rsidRDefault="00AF0E42" w:rsidP="00BA72B6">
      <w:pPr>
        <w:spacing w:line="360" w:lineRule="auto"/>
        <w:jc w:val="center"/>
        <w:rPr>
          <w:rFonts w:asciiTheme="majorBidi" w:eastAsia="Times New Roman" w:hAnsiTheme="majorBidi" w:cstheme="majorBidi"/>
          <w:b/>
          <w:bCs/>
          <w:color w:val="000000" w:themeColor="text1"/>
          <w:sz w:val="24"/>
          <w:szCs w:val="24"/>
          <w:lang w:val="en-GB"/>
        </w:rPr>
      </w:pPr>
    </w:p>
    <w:p w:rsidR="00AF0E42" w:rsidRPr="00625DC2" w:rsidRDefault="00AF0E42" w:rsidP="00BA72B6">
      <w:pPr>
        <w:spacing w:line="360" w:lineRule="auto"/>
        <w:jc w:val="center"/>
        <w:rPr>
          <w:rFonts w:asciiTheme="majorBidi" w:eastAsia="Times New Roman" w:hAnsiTheme="majorBidi" w:cstheme="majorBidi"/>
          <w:b/>
          <w:bCs/>
          <w:color w:val="000000" w:themeColor="text1"/>
          <w:sz w:val="24"/>
          <w:szCs w:val="24"/>
          <w:lang w:val="en-GB"/>
        </w:rPr>
      </w:pPr>
    </w:p>
    <w:p w:rsidR="00AF0E42" w:rsidRPr="00625DC2" w:rsidRDefault="00AF0E42" w:rsidP="00BA72B6">
      <w:pPr>
        <w:spacing w:line="360" w:lineRule="auto"/>
        <w:jc w:val="center"/>
        <w:rPr>
          <w:rFonts w:asciiTheme="majorBidi" w:eastAsia="Times New Roman" w:hAnsiTheme="majorBidi" w:cstheme="majorBidi"/>
          <w:b/>
          <w:bCs/>
          <w:color w:val="000000" w:themeColor="text1"/>
          <w:sz w:val="24"/>
          <w:szCs w:val="24"/>
          <w:lang w:val="en-GB"/>
        </w:rPr>
      </w:pPr>
    </w:p>
    <w:p w:rsidR="00AF0E42" w:rsidRPr="00625DC2" w:rsidRDefault="00AF0E42" w:rsidP="00BA72B6">
      <w:pPr>
        <w:spacing w:line="360" w:lineRule="auto"/>
        <w:jc w:val="center"/>
        <w:rPr>
          <w:rFonts w:asciiTheme="majorBidi" w:eastAsia="Times New Roman" w:hAnsiTheme="majorBidi" w:cstheme="majorBidi"/>
          <w:b/>
          <w:bCs/>
          <w:color w:val="000000" w:themeColor="text1"/>
          <w:sz w:val="24"/>
          <w:szCs w:val="24"/>
          <w:lang w:val="en-GB"/>
        </w:rPr>
      </w:pPr>
    </w:p>
    <w:p w:rsidR="00D851A5" w:rsidRPr="00625DC2" w:rsidRDefault="00D851A5" w:rsidP="00BA72B6">
      <w:pPr>
        <w:spacing w:line="360" w:lineRule="auto"/>
        <w:jc w:val="center"/>
        <w:rPr>
          <w:rFonts w:asciiTheme="majorBidi" w:eastAsia="Times New Roman" w:hAnsiTheme="majorBidi" w:cstheme="majorBidi"/>
          <w:b/>
          <w:bCs/>
          <w:color w:val="000000" w:themeColor="text1"/>
          <w:sz w:val="24"/>
          <w:szCs w:val="24"/>
          <w:lang w:val="en-GB"/>
        </w:rPr>
      </w:pPr>
    </w:p>
    <w:p w:rsidR="00AF0E42" w:rsidRPr="00625DC2" w:rsidRDefault="000A3837"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The Impact of Hybrid Working Practices on Employee Engagement and Retention in UK Service Organisations</w:t>
      </w:r>
    </w:p>
    <w:p w:rsidR="000A3837" w:rsidRPr="00625DC2" w:rsidRDefault="000A3837" w:rsidP="00BA72B6">
      <w:pPr>
        <w:spacing w:line="360" w:lineRule="auto"/>
        <w:jc w:val="center"/>
        <w:rPr>
          <w:rFonts w:asciiTheme="majorBidi" w:eastAsia="Times New Roman" w:hAnsiTheme="majorBidi" w:cstheme="majorBidi"/>
          <w:b/>
          <w:bCs/>
          <w:color w:val="000000" w:themeColor="text1"/>
          <w:sz w:val="24"/>
          <w:szCs w:val="24"/>
          <w:lang w:val="en-GB"/>
        </w:rPr>
      </w:pPr>
    </w:p>
    <w:p w:rsidR="00AF0E42" w:rsidRPr="00625DC2" w:rsidRDefault="00AF0E42"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Programme: BA (Hons) Leadership and Management Skills for the Workplace</w:t>
      </w:r>
    </w:p>
    <w:p w:rsidR="00A90C77" w:rsidRPr="00625DC2" w:rsidRDefault="00AF0E42"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Module: Research Methods for Business (LCLM6004)</w:t>
      </w:r>
      <w:r w:rsidRPr="00625DC2">
        <w:rPr>
          <w:rFonts w:asciiTheme="majorBidi" w:eastAsia="Times New Roman" w:hAnsiTheme="majorBidi" w:cstheme="majorBidi"/>
          <w:b/>
          <w:bCs/>
          <w:color w:val="000000" w:themeColor="text1"/>
          <w:sz w:val="24"/>
          <w:szCs w:val="24"/>
          <w:lang w:val="en-GB"/>
        </w:rPr>
        <w:br w:type="page"/>
      </w:r>
    </w:p>
    <w:p w:rsidR="00A90C77" w:rsidRPr="00625DC2" w:rsidRDefault="00A90C77" w:rsidP="00BA72B6">
      <w:pPr>
        <w:pStyle w:val="Heading1"/>
        <w:spacing w:line="360" w:lineRule="auto"/>
        <w:jc w:val="center"/>
        <w:rPr>
          <w:rFonts w:asciiTheme="majorBidi" w:hAnsiTheme="majorBidi"/>
          <w:b w:val="0"/>
          <w:bCs w:val="0"/>
          <w:color w:val="000000" w:themeColor="text1"/>
          <w:sz w:val="24"/>
          <w:szCs w:val="24"/>
          <w:lang w:val="en-GB"/>
        </w:rPr>
      </w:pPr>
      <w:bookmarkStart w:id="0" w:name="_Toc233458780"/>
      <w:r w:rsidRPr="00625DC2">
        <w:rPr>
          <w:rStyle w:val="Strong"/>
          <w:rFonts w:asciiTheme="majorBidi" w:hAnsiTheme="majorBidi"/>
          <w:b/>
          <w:bCs/>
          <w:color w:val="000000" w:themeColor="text1"/>
          <w:sz w:val="24"/>
          <w:szCs w:val="24"/>
          <w:lang w:val="en-GB"/>
        </w:rPr>
        <w:lastRenderedPageBreak/>
        <w:t>Abstract</w:t>
      </w:r>
      <w:bookmarkEnd w:id="0"/>
    </w:p>
    <w:p w:rsidR="003010D8" w:rsidRPr="00625DC2" w:rsidRDefault="003010D8"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Hybrid working is now a permanent part of the UK landscape of organisations</w:t>
      </w:r>
      <w:r w:rsidR="002A0DB4">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but there is debate about its impact on employee engagement and retention. This research aims to explore if hybrid working practices have an impact on employee engagement and intention to leave in service-based firms in the UK, and if employee engagement acts as a mediator between the two</w:t>
      </w:r>
      <w:r w:rsidR="002A0DB4">
        <w:rPr>
          <w:rFonts w:asciiTheme="majorBidi" w:hAnsiTheme="majorBidi" w:cstheme="majorBidi"/>
          <w:color w:val="000000" w:themeColor="text1"/>
          <w:sz w:val="24"/>
          <w:szCs w:val="24"/>
          <w:lang w:val="en-GB"/>
        </w:rPr>
        <w:t>.</w:t>
      </w:r>
      <w:r w:rsidR="004A170F" w:rsidRPr="00625DC2">
        <w:rPr>
          <w:rFonts w:asciiTheme="majorBidi" w:hAnsiTheme="majorBidi" w:cstheme="majorBidi"/>
          <w:color w:val="000000" w:themeColor="text1"/>
          <w:sz w:val="24"/>
          <w:szCs w:val="24"/>
          <w:lang w:val="en-GB"/>
        </w:rPr>
        <w:t xml:space="preserve"> A cross-sectional quantitative online survey was conducted with 100 employees working in hybrid roles </w:t>
      </w:r>
      <w:r w:rsidRPr="00625DC2">
        <w:rPr>
          <w:rFonts w:asciiTheme="majorBidi" w:hAnsiTheme="majorBidi" w:cstheme="majorBidi"/>
          <w:color w:val="000000" w:themeColor="text1"/>
          <w:sz w:val="24"/>
          <w:szCs w:val="24"/>
          <w:lang w:val="en-GB"/>
        </w:rPr>
        <w:t>(</w:t>
      </w:r>
      <w:r w:rsidR="004A170F" w:rsidRPr="00625DC2">
        <w:rPr>
          <w:rFonts w:asciiTheme="majorBidi" w:hAnsiTheme="majorBidi" w:cstheme="majorBidi"/>
          <w:color w:val="000000" w:themeColor="text1"/>
          <w:sz w:val="24"/>
          <w:szCs w:val="24"/>
          <w:lang w:val="en-GB"/>
        </w:rPr>
        <w:t>positivist</w:t>
      </w:r>
      <w:r w:rsidRPr="00625DC2">
        <w:rPr>
          <w:rFonts w:asciiTheme="majorBidi" w:hAnsiTheme="majorBidi" w:cstheme="majorBidi"/>
          <w:color w:val="000000" w:themeColor="text1"/>
          <w:sz w:val="24"/>
          <w:szCs w:val="24"/>
          <w:lang w:val="en-GB"/>
        </w:rPr>
        <w:t>, deductive approach based on the Job Demands–Resources model) and adopted non-probability convenience sampling. Flexibility, communication, managerial support and resource access were used to measure hybrid working in a multidimensional way, and engagement and intention to leave were measured by adapted validated scales. Data were analysed in Python (Google Colab) with Cronbach's alpha, Pearson correlation, simple linear regression and bootstrapped mediation. The internal consistencies of all scales were good. Hybrid working practices had a strong and positive relationship with engagement (r = .68)</w:t>
      </w:r>
      <w:r w:rsidR="002A0DB4">
        <w:rPr>
          <w:rFonts w:asciiTheme="majorBidi" w:hAnsiTheme="majorBidi" w:cstheme="majorBidi"/>
          <w:color w:val="000000" w:themeColor="text1"/>
          <w:sz w:val="24"/>
          <w:szCs w:val="24"/>
          <w:lang w:val="en-GB"/>
        </w:rPr>
        <w:t>, with engagement having a strong negative relationship with turnover intention (r = −.69) and hybrid working having a negative relationship with turnover intention (r = −.57),</w:t>
      </w:r>
      <w:r w:rsidRPr="00625DC2">
        <w:rPr>
          <w:rFonts w:asciiTheme="majorBidi" w:hAnsiTheme="majorBidi" w:cstheme="majorBidi"/>
          <w:color w:val="000000" w:themeColor="text1"/>
          <w:sz w:val="24"/>
          <w:szCs w:val="24"/>
          <w:lang w:val="en-GB"/>
        </w:rPr>
        <w:t xml:space="preserve"> all sig</w:t>
      </w:r>
      <w:r w:rsidR="004A170F" w:rsidRPr="00625DC2">
        <w:rPr>
          <w:rFonts w:asciiTheme="majorBidi" w:hAnsiTheme="majorBidi" w:cstheme="majorBidi"/>
          <w:color w:val="000000" w:themeColor="text1"/>
          <w:sz w:val="24"/>
          <w:szCs w:val="24"/>
          <w:lang w:val="en-GB"/>
        </w:rPr>
        <w:t>nificant at p &lt; .001. T</w:t>
      </w:r>
      <w:r w:rsidRPr="00625DC2">
        <w:rPr>
          <w:rFonts w:asciiTheme="majorBidi" w:hAnsiTheme="majorBidi" w:cstheme="majorBidi"/>
          <w:color w:val="000000" w:themeColor="text1"/>
          <w:sz w:val="24"/>
          <w:szCs w:val="24"/>
          <w:lang w:val="en-GB"/>
        </w:rPr>
        <w:t xml:space="preserve">he results confirmed the hypotheses as follows: </w:t>
      </w:r>
      <w:r w:rsidR="004A170F" w:rsidRPr="00625DC2">
        <w:rPr>
          <w:rFonts w:asciiTheme="majorBidi" w:hAnsiTheme="majorBidi" w:cstheme="majorBidi"/>
          <w:color w:val="000000" w:themeColor="text1"/>
          <w:sz w:val="24"/>
          <w:szCs w:val="24"/>
          <w:lang w:val="en-GB"/>
        </w:rPr>
        <w:t xml:space="preserve">The findings supported all four hypotheses, with employee engagement partially mediating the relationship between hybrid working and turnover intention. </w:t>
      </w:r>
      <w:r w:rsidRPr="00625DC2">
        <w:rPr>
          <w:rFonts w:asciiTheme="majorBidi" w:hAnsiTheme="majorBidi" w:cstheme="majorBidi"/>
          <w:color w:val="000000" w:themeColor="text1"/>
          <w:sz w:val="24"/>
          <w:szCs w:val="24"/>
          <w:lang w:val="en-GB"/>
        </w:rPr>
        <w:t>The results show that the design of the hybrid working model has an impact on engagement, and this po</w:t>
      </w:r>
      <w:r w:rsidR="00A64932" w:rsidRPr="00625DC2">
        <w:rPr>
          <w:rFonts w:asciiTheme="majorBidi" w:hAnsiTheme="majorBidi" w:cstheme="majorBidi"/>
          <w:color w:val="000000" w:themeColor="text1"/>
          <w:sz w:val="24"/>
          <w:szCs w:val="24"/>
          <w:lang w:val="en-GB"/>
        </w:rPr>
        <w:t xml:space="preserve">sitively influences retention </w:t>
      </w:r>
      <w:r w:rsidRPr="00625DC2">
        <w:rPr>
          <w:rFonts w:asciiTheme="majorBidi" w:hAnsiTheme="majorBidi" w:cstheme="majorBidi"/>
          <w:color w:val="000000" w:themeColor="text1"/>
          <w:sz w:val="24"/>
          <w:szCs w:val="24"/>
          <w:lang w:val="en-GB"/>
        </w:rPr>
        <w:t xml:space="preserve">in part through other channels. The results are indicative as the study was conducted on a </w:t>
      </w:r>
      <w:r w:rsidR="002A0DB4">
        <w:rPr>
          <w:rFonts w:asciiTheme="majorBidi" w:hAnsiTheme="majorBidi" w:cstheme="majorBidi"/>
          <w:color w:val="000000" w:themeColor="text1"/>
          <w:sz w:val="24"/>
          <w:szCs w:val="24"/>
          <w:lang w:val="en-GB"/>
        </w:rPr>
        <w:t>cross-sectional</w:t>
      </w:r>
      <w:r w:rsidRPr="00625DC2">
        <w:rPr>
          <w:rFonts w:asciiTheme="majorBidi" w:hAnsiTheme="majorBidi" w:cstheme="majorBidi"/>
          <w:color w:val="000000" w:themeColor="text1"/>
          <w:sz w:val="24"/>
          <w:szCs w:val="24"/>
          <w:lang w:val="en-GB"/>
        </w:rPr>
        <w:t>, convenience-sampled basis; therefore, there is a need for further longitudinal, multi-source studies.</w:t>
      </w:r>
    </w:p>
    <w:p w:rsidR="0060384F" w:rsidRPr="00625DC2" w:rsidRDefault="0060384F" w:rsidP="00BA72B6">
      <w:pPr>
        <w:spacing w:line="360" w:lineRule="auto"/>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br w:type="page"/>
      </w:r>
    </w:p>
    <w:sdt>
      <w:sdtPr>
        <w:rPr>
          <w:rFonts w:asciiTheme="majorBidi" w:eastAsiaTheme="minorHAnsi" w:hAnsiTheme="majorBidi" w:cstheme="minorBidi"/>
          <w:b w:val="0"/>
          <w:bCs w:val="0"/>
          <w:color w:val="auto"/>
          <w:sz w:val="24"/>
          <w:szCs w:val="24"/>
          <w:lang w:val="en-GB" w:eastAsia="en-US"/>
        </w:rPr>
        <w:id w:val="2096199068"/>
        <w:docPartObj>
          <w:docPartGallery w:val="Table of Contents"/>
          <w:docPartUnique/>
        </w:docPartObj>
      </w:sdtPr>
      <w:sdtEndPr/>
      <w:sdtContent>
        <w:p w:rsidR="0060384F" w:rsidRPr="00625DC2" w:rsidRDefault="0060384F" w:rsidP="00BA72B6">
          <w:pPr>
            <w:pStyle w:val="TOCHeading"/>
            <w:spacing w:line="360" w:lineRule="auto"/>
            <w:rPr>
              <w:rFonts w:asciiTheme="majorBidi" w:hAnsiTheme="majorBidi"/>
              <w:sz w:val="24"/>
              <w:szCs w:val="24"/>
              <w:lang w:val="en-GB"/>
            </w:rPr>
          </w:pPr>
          <w:r w:rsidRPr="00625DC2">
            <w:rPr>
              <w:rFonts w:asciiTheme="majorBidi" w:hAnsiTheme="majorBidi"/>
              <w:sz w:val="24"/>
              <w:szCs w:val="24"/>
              <w:lang w:val="en-GB"/>
            </w:rPr>
            <w:t>Contents</w:t>
          </w:r>
        </w:p>
        <w:p w:rsidR="006E07B9" w:rsidRPr="00625DC2" w:rsidRDefault="0060384F">
          <w:pPr>
            <w:pStyle w:val="TOC1"/>
            <w:tabs>
              <w:tab w:val="right" w:leader="dot" w:pos="9350"/>
            </w:tabs>
            <w:rPr>
              <w:rFonts w:eastAsiaTheme="minorEastAsia"/>
              <w:lang w:val="en-GB"/>
            </w:rPr>
          </w:pPr>
          <w:r w:rsidRPr="00625DC2">
            <w:rPr>
              <w:rFonts w:asciiTheme="majorBidi" w:hAnsiTheme="majorBidi" w:cstheme="majorBidi"/>
              <w:sz w:val="24"/>
              <w:szCs w:val="24"/>
              <w:lang w:val="en-GB"/>
            </w:rPr>
            <w:fldChar w:fldCharType="begin"/>
          </w:r>
          <w:r w:rsidRPr="00625DC2">
            <w:rPr>
              <w:rFonts w:asciiTheme="majorBidi" w:hAnsiTheme="majorBidi" w:cstheme="majorBidi"/>
              <w:sz w:val="24"/>
              <w:szCs w:val="24"/>
              <w:lang w:val="en-GB"/>
            </w:rPr>
            <w:instrText xml:space="preserve"> TOC \o "1-3" \h \z \u </w:instrText>
          </w:r>
          <w:r w:rsidRPr="00625DC2">
            <w:rPr>
              <w:rFonts w:asciiTheme="majorBidi" w:hAnsiTheme="majorBidi" w:cstheme="majorBidi"/>
              <w:sz w:val="24"/>
              <w:szCs w:val="24"/>
              <w:lang w:val="en-GB"/>
            </w:rPr>
            <w:fldChar w:fldCharType="separate"/>
          </w:r>
          <w:hyperlink w:anchor="_Toc233458780" w:history="1">
            <w:r w:rsidR="006E07B9" w:rsidRPr="00625DC2">
              <w:rPr>
                <w:rStyle w:val="Hyperlink"/>
                <w:rFonts w:asciiTheme="majorBidi" w:hAnsiTheme="majorBidi"/>
                <w:lang w:val="en-GB"/>
              </w:rPr>
              <w:t>Abstract</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_Toc233458780 \h </w:instrText>
            </w:r>
            <w:r w:rsidR="006E07B9" w:rsidRPr="00625DC2">
              <w:rPr>
                <w:webHidden/>
                <w:lang w:val="en-GB"/>
              </w:rPr>
            </w:r>
            <w:r w:rsidR="006E07B9" w:rsidRPr="00625DC2">
              <w:rPr>
                <w:webHidden/>
                <w:lang w:val="en-GB"/>
              </w:rPr>
              <w:fldChar w:fldCharType="separate"/>
            </w:r>
            <w:r w:rsidR="006E07B9" w:rsidRPr="00625DC2">
              <w:rPr>
                <w:webHidden/>
                <w:lang w:val="en-GB"/>
              </w:rPr>
              <w:t>2</w:t>
            </w:r>
            <w:r w:rsidR="006E07B9" w:rsidRPr="00625DC2">
              <w:rPr>
                <w:webHidden/>
                <w:lang w:val="en-GB"/>
              </w:rPr>
              <w:fldChar w:fldCharType="end"/>
            </w:r>
          </w:hyperlink>
        </w:p>
        <w:p w:rsidR="006E07B9" w:rsidRPr="00625DC2" w:rsidRDefault="00D4245E">
          <w:pPr>
            <w:pStyle w:val="TOC1"/>
            <w:tabs>
              <w:tab w:val="right" w:leader="dot" w:pos="9350"/>
            </w:tabs>
            <w:rPr>
              <w:rFonts w:eastAsiaTheme="minorEastAsia"/>
              <w:lang w:val="en-GB"/>
            </w:rPr>
          </w:pPr>
          <w:hyperlink w:anchor="_Toc233458781" w:history="1">
            <w:r w:rsidR="006E07B9" w:rsidRPr="00625DC2">
              <w:rPr>
                <w:rStyle w:val="Hyperlink"/>
                <w:rFonts w:asciiTheme="majorBidi" w:eastAsia="Times New Roman" w:hAnsiTheme="majorBidi"/>
                <w:lang w:val="en-GB"/>
              </w:rPr>
              <w:t>CHAPTER 1: INTRODUCTION</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_Toc233458781 \h </w:instrText>
            </w:r>
            <w:r w:rsidR="006E07B9" w:rsidRPr="00625DC2">
              <w:rPr>
                <w:webHidden/>
                <w:lang w:val="en-GB"/>
              </w:rPr>
            </w:r>
            <w:r w:rsidR="006E07B9" w:rsidRPr="00625DC2">
              <w:rPr>
                <w:webHidden/>
                <w:lang w:val="en-GB"/>
              </w:rPr>
              <w:fldChar w:fldCharType="separate"/>
            </w:r>
            <w:r w:rsidR="006E07B9" w:rsidRPr="00625DC2">
              <w:rPr>
                <w:webHidden/>
                <w:lang w:val="en-GB"/>
              </w:rPr>
              <w:t>5</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82" w:history="1">
            <w:r w:rsidR="006E07B9" w:rsidRPr="00625DC2">
              <w:rPr>
                <w:rStyle w:val="Hyperlink"/>
                <w:rFonts w:asciiTheme="majorBidi" w:eastAsia="Times New Roman" w:hAnsiTheme="majorBidi"/>
                <w:lang w:val="en-GB"/>
              </w:rPr>
              <w:t>1.1 Background</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_Toc233458782 \h </w:instrText>
            </w:r>
            <w:r w:rsidR="006E07B9" w:rsidRPr="00625DC2">
              <w:rPr>
                <w:webHidden/>
                <w:lang w:val="en-GB"/>
              </w:rPr>
            </w:r>
            <w:r w:rsidR="006E07B9" w:rsidRPr="00625DC2">
              <w:rPr>
                <w:webHidden/>
                <w:lang w:val="en-GB"/>
              </w:rPr>
              <w:fldChar w:fldCharType="separate"/>
            </w:r>
            <w:r w:rsidR="006E07B9" w:rsidRPr="00625DC2">
              <w:rPr>
                <w:webHidden/>
                <w:lang w:val="en-GB"/>
              </w:rPr>
              <w:t>5</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83" w:history="1">
            <w:r w:rsidR="006E07B9" w:rsidRPr="00625DC2">
              <w:rPr>
                <w:rStyle w:val="Hyperlink"/>
                <w:rFonts w:asciiTheme="majorBidi" w:eastAsia="Times New Roman" w:hAnsiTheme="majorBidi"/>
                <w:lang w:val="en-GB"/>
              </w:rPr>
              <w:t>1.2 Problem Statement</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_Toc233458783 \h </w:instrText>
            </w:r>
            <w:r w:rsidR="006E07B9" w:rsidRPr="00625DC2">
              <w:rPr>
                <w:webHidden/>
                <w:lang w:val="en-GB"/>
              </w:rPr>
            </w:r>
            <w:r w:rsidR="006E07B9" w:rsidRPr="00625DC2">
              <w:rPr>
                <w:webHidden/>
                <w:lang w:val="en-GB"/>
              </w:rPr>
              <w:fldChar w:fldCharType="separate"/>
            </w:r>
            <w:r w:rsidR="006E07B9" w:rsidRPr="00625DC2">
              <w:rPr>
                <w:webHidden/>
                <w:lang w:val="en-GB"/>
              </w:rPr>
              <w:t>6</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84" w:history="1">
            <w:r w:rsidR="006E07B9" w:rsidRPr="00625DC2">
              <w:rPr>
                <w:rStyle w:val="Hyperlink"/>
                <w:rFonts w:asciiTheme="majorBidi" w:eastAsia="Times New Roman" w:hAnsiTheme="majorBidi"/>
                <w:lang w:val="en-GB"/>
              </w:rPr>
              <w:t>1.3 Research Aim and Objectives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_Toc233458784 \h </w:instrText>
            </w:r>
            <w:r w:rsidR="006E07B9" w:rsidRPr="00625DC2">
              <w:rPr>
                <w:webHidden/>
                <w:lang w:val="en-GB"/>
              </w:rPr>
            </w:r>
            <w:r w:rsidR="006E07B9" w:rsidRPr="00625DC2">
              <w:rPr>
                <w:webHidden/>
                <w:lang w:val="en-GB"/>
              </w:rPr>
              <w:fldChar w:fldCharType="separate"/>
            </w:r>
            <w:r w:rsidR="006E07B9" w:rsidRPr="00625DC2">
              <w:rPr>
                <w:webHidden/>
                <w:lang w:val="en-GB"/>
              </w:rPr>
              <w:t>6</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85" w:history="1">
            <w:r w:rsidR="006E07B9" w:rsidRPr="00625DC2">
              <w:rPr>
                <w:rStyle w:val="Hyperlink"/>
                <w:rFonts w:asciiTheme="majorBidi" w:eastAsia="Times New Roman" w:hAnsiTheme="majorBidi"/>
                <w:lang w:val="en-GB"/>
              </w:rPr>
              <w:t>1.4 Research Rationale and Significance</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_Toc233458785 \h </w:instrText>
            </w:r>
            <w:r w:rsidR="006E07B9" w:rsidRPr="00625DC2">
              <w:rPr>
                <w:webHidden/>
                <w:lang w:val="en-GB"/>
              </w:rPr>
            </w:r>
            <w:r w:rsidR="006E07B9" w:rsidRPr="00625DC2">
              <w:rPr>
                <w:webHidden/>
                <w:lang w:val="en-GB"/>
              </w:rPr>
              <w:fldChar w:fldCharType="separate"/>
            </w:r>
            <w:r w:rsidR="006E07B9" w:rsidRPr="00625DC2">
              <w:rPr>
                <w:webHidden/>
                <w:lang w:val="en-GB"/>
              </w:rPr>
              <w:t>6</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86" w:history="1">
            <w:r w:rsidR="006E07B9" w:rsidRPr="00625DC2">
              <w:rPr>
                <w:rStyle w:val="Hyperlink"/>
                <w:rFonts w:asciiTheme="majorBidi" w:eastAsia="Times New Roman" w:hAnsiTheme="majorBidi"/>
                <w:lang w:val="en-GB"/>
              </w:rPr>
              <w:t>1.5 Structure of the Dissertation</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_Toc233458786 \h </w:instrText>
            </w:r>
            <w:r w:rsidR="006E07B9" w:rsidRPr="00625DC2">
              <w:rPr>
                <w:webHidden/>
                <w:lang w:val="en-GB"/>
              </w:rPr>
            </w:r>
            <w:r w:rsidR="006E07B9" w:rsidRPr="00625DC2">
              <w:rPr>
                <w:webHidden/>
                <w:lang w:val="en-GB"/>
              </w:rPr>
              <w:fldChar w:fldCharType="separate"/>
            </w:r>
            <w:r w:rsidR="006E07B9" w:rsidRPr="00625DC2">
              <w:rPr>
                <w:webHidden/>
                <w:lang w:val="en-GB"/>
              </w:rPr>
              <w:t>7</w:t>
            </w:r>
            <w:r w:rsidR="006E07B9" w:rsidRPr="00625DC2">
              <w:rPr>
                <w:webHidden/>
                <w:lang w:val="en-GB"/>
              </w:rPr>
              <w:fldChar w:fldCharType="end"/>
            </w:r>
          </w:hyperlink>
        </w:p>
        <w:p w:rsidR="006E07B9" w:rsidRPr="00625DC2" w:rsidRDefault="00D4245E">
          <w:pPr>
            <w:pStyle w:val="TOC1"/>
            <w:tabs>
              <w:tab w:val="right" w:leader="dot" w:pos="9350"/>
            </w:tabs>
            <w:rPr>
              <w:rFonts w:eastAsiaTheme="minorEastAsia"/>
              <w:lang w:val="en-GB"/>
            </w:rPr>
          </w:pPr>
          <w:hyperlink w:anchor="_Toc233458787" w:history="1">
            <w:r w:rsidR="006E07B9" w:rsidRPr="00625DC2">
              <w:rPr>
                <w:rStyle w:val="Hyperlink"/>
                <w:rFonts w:asciiTheme="majorBidi" w:hAnsiTheme="majorBidi"/>
                <w:lang w:val="en-GB"/>
              </w:rPr>
              <w:t>Chapter 2: Literature Review</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_Toc233458787 \h </w:instrText>
            </w:r>
            <w:r w:rsidR="006E07B9" w:rsidRPr="00625DC2">
              <w:rPr>
                <w:webHidden/>
                <w:lang w:val="en-GB"/>
              </w:rPr>
            </w:r>
            <w:r w:rsidR="006E07B9" w:rsidRPr="00625DC2">
              <w:rPr>
                <w:webHidden/>
                <w:lang w:val="en-GB"/>
              </w:rPr>
              <w:fldChar w:fldCharType="separate"/>
            </w:r>
            <w:r w:rsidR="006E07B9" w:rsidRPr="00625DC2">
              <w:rPr>
                <w:webHidden/>
                <w:lang w:val="en-GB"/>
              </w:rPr>
              <w:t>7</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88" w:history="1">
            <w:r w:rsidR="006E07B9" w:rsidRPr="00625DC2">
              <w:rPr>
                <w:rStyle w:val="Hyperlink"/>
                <w:rFonts w:asciiTheme="majorBidi" w:hAnsiTheme="majorBidi"/>
                <w:lang w:val="en-GB"/>
              </w:rPr>
              <w:t>2.1 Introduction</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_Toc233458788 \h </w:instrText>
            </w:r>
            <w:r w:rsidR="006E07B9" w:rsidRPr="00625DC2">
              <w:rPr>
                <w:webHidden/>
                <w:lang w:val="en-GB"/>
              </w:rPr>
            </w:r>
            <w:r w:rsidR="006E07B9" w:rsidRPr="00625DC2">
              <w:rPr>
                <w:webHidden/>
                <w:lang w:val="en-GB"/>
              </w:rPr>
              <w:fldChar w:fldCharType="separate"/>
            </w:r>
            <w:r w:rsidR="006E07B9" w:rsidRPr="00625DC2">
              <w:rPr>
                <w:webHidden/>
                <w:lang w:val="en-GB"/>
              </w:rPr>
              <w:t>7</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89" w:history="1">
            <w:r w:rsidR="006E07B9" w:rsidRPr="00625DC2">
              <w:rPr>
                <w:rStyle w:val="Hyperlink"/>
                <w:rFonts w:asciiTheme="majorBidi" w:hAnsiTheme="majorBidi"/>
                <w:lang w:val="en-GB"/>
              </w:rPr>
              <w:t>2.2 Conceptualising Hybrid Working in Contemporary Organisations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_Toc233458789 \h </w:instrText>
            </w:r>
            <w:r w:rsidR="006E07B9" w:rsidRPr="00625DC2">
              <w:rPr>
                <w:webHidden/>
                <w:lang w:val="en-GB"/>
              </w:rPr>
            </w:r>
            <w:r w:rsidR="006E07B9" w:rsidRPr="00625DC2">
              <w:rPr>
                <w:webHidden/>
                <w:lang w:val="en-GB"/>
              </w:rPr>
              <w:fldChar w:fldCharType="separate"/>
            </w:r>
            <w:r w:rsidR="006E07B9" w:rsidRPr="00625DC2">
              <w:rPr>
                <w:webHidden/>
                <w:lang w:val="en-GB"/>
              </w:rPr>
              <w:t>8</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90" w:history="1">
            <w:r w:rsidR="006E07B9" w:rsidRPr="00625DC2">
              <w:rPr>
                <w:rStyle w:val="Hyperlink"/>
                <w:rFonts w:asciiTheme="majorBidi" w:hAnsiTheme="majorBidi"/>
                <w:lang w:val="en-GB"/>
              </w:rPr>
              <w:t>2.3 Employee Engagement and Organisational Performance</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_Toc233458790 \h </w:instrText>
            </w:r>
            <w:r w:rsidR="006E07B9" w:rsidRPr="00625DC2">
              <w:rPr>
                <w:webHidden/>
                <w:lang w:val="en-GB"/>
              </w:rPr>
            </w:r>
            <w:r w:rsidR="006E07B9" w:rsidRPr="00625DC2">
              <w:rPr>
                <w:webHidden/>
                <w:lang w:val="en-GB"/>
              </w:rPr>
              <w:fldChar w:fldCharType="separate"/>
            </w:r>
            <w:r w:rsidR="006E07B9" w:rsidRPr="00625DC2">
              <w:rPr>
                <w:webHidden/>
                <w:lang w:val="en-GB"/>
              </w:rPr>
              <w:t>9</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91" w:history="1">
            <w:r w:rsidR="006E07B9" w:rsidRPr="00625DC2">
              <w:rPr>
                <w:rStyle w:val="Hyperlink"/>
                <w:rFonts w:asciiTheme="majorBidi" w:hAnsiTheme="majorBidi"/>
                <w:lang w:val="en-GB"/>
              </w:rPr>
              <w:t>2.4 Hybrid Working and Employee Engagement</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_Toc233458791 \h </w:instrText>
            </w:r>
            <w:r w:rsidR="006E07B9" w:rsidRPr="00625DC2">
              <w:rPr>
                <w:webHidden/>
                <w:lang w:val="en-GB"/>
              </w:rPr>
            </w:r>
            <w:r w:rsidR="006E07B9" w:rsidRPr="00625DC2">
              <w:rPr>
                <w:webHidden/>
                <w:lang w:val="en-GB"/>
              </w:rPr>
              <w:fldChar w:fldCharType="separate"/>
            </w:r>
            <w:r w:rsidR="006E07B9" w:rsidRPr="00625DC2">
              <w:rPr>
                <w:webHidden/>
                <w:lang w:val="en-GB"/>
              </w:rPr>
              <w:t>9</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92" w:history="1">
            <w:r w:rsidR="006E07B9" w:rsidRPr="00625DC2">
              <w:rPr>
                <w:rStyle w:val="Hyperlink"/>
                <w:rFonts w:asciiTheme="majorBidi" w:hAnsiTheme="majorBidi"/>
                <w:lang w:val="en-GB"/>
              </w:rPr>
              <w:t>2.5 Employee Retention and Turnover Intention</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_Toc233458792 \h </w:instrText>
            </w:r>
            <w:r w:rsidR="006E07B9" w:rsidRPr="00625DC2">
              <w:rPr>
                <w:webHidden/>
                <w:lang w:val="en-GB"/>
              </w:rPr>
            </w:r>
            <w:r w:rsidR="006E07B9" w:rsidRPr="00625DC2">
              <w:rPr>
                <w:webHidden/>
                <w:lang w:val="en-GB"/>
              </w:rPr>
              <w:fldChar w:fldCharType="separate"/>
            </w:r>
            <w:r w:rsidR="006E07B9" w:rsidRPr="00625DC2">
              <w:rPr>
                <w:webHidden/>
                <w:lang w:val="en-GB"/>
              </w:rPr>
              <w:t>11</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93" w:history="1">
            <w:r w:rsidR="006E07B9" w:rsidRPr="00625DC2">
              <w:rPr>
                <w:rStyle w:val="Hyperlink"/>
                <w:rFonts w:asciiTheme="majorBidi" w:eastAsia="Times New Roman" w:hAnsiTheme="majorBidi"/>
                <w:lang w:val="en-GB"/>
              </w:rPr>
              <w:t>2.6 Hybrid Working in Railways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_Toc233458793 \h </w:instrText>
            </w:r>
            <w:r w:rsidR="006E07B9" w:rsidRPr="00625DC2">
              <w:rPr>
                <w:webHidden/>
                <w:lang w:val="en-GB"/>
              </w:rPr>
            </w:r>
            <w:r w:rsidR="006E07B9" w:rsidRPr="00625DC2">
              <w:rPr>
                <w:webHidden/>
                <w:lang w:val="en-GB"/>
              </w:rPr>
              <w:fldChar w:fldCharType="separate"/>
            </w:r>
            <w:r w:rsidR="006E07B9" w:rsidRPr="00625DC2">
              <w:rPr>
                <w:webHidden/>
                <w:lang w:val="en-GB"/>
              </w:rPr>
              <w:t>12</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94" w:history="1">
            <w:r w:rsidR="006E07B9" w:rsidRPr="00625DC2">
              <w:rPr>
                <w:rStyle w:val="Hyperlink"/>
                <w:rFonts w:asciiTheme="majorBidi" w:eastAsia="Times New Roman" w:hAnsiTheme="majorBidi"/>
                <w:lang w:val="en-GB"/>
              </w:rPr>
              <w:t>2.7 Retention in Railways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_Toc233458794 \h </w:instrText>
            </w:r>
            <w:r w:rsidR="006E07B9" w:rsidRPr="00625DC2">
              <w:rPr>
                <w:webHidden/>
                <w:lang w:val="en-GB"/>
              </w:rPr>
            </w:r>
            <w:r w:rsidR="006E07B9" w:rsidRPr="00625DC2">
              <w:rPr>
                <w:webHidden/>
                <w:lang w:val="en-GB"/>
              </w:rPr>
              <w:fldChar w:fldCharType="separate"/>
            </w:r>
            <w:r w:rsidR="006E07B9" w:rsidRPr="00625DC2">
              <w:rPr>
                <w:webHidden/>
                <w:lang w:val="en-GB"/>
              </w:rPr>
              <w:t>14</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95" w:history="1">
            <w:r w:rsidR="006E07B9" w:rsidRPr="00625DC2">
              <w:rPr>
                <w:rStyle w:val="Hyperlink"/>
                <w:rFonts w:asciiTheme="majorBidi" w:hAnsiTheme="majorBidi"/>
                <w:lang w:val="en-GB"/>
              </w:rPr>
              <w:t>2.6 Literature Gap</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_Toc233458795 \h </w:instrText>
            </w:r>
            <w:r w:rsidR="006E07B9" w:rsidRPr="00625DC2">
              <w:rPr>
                <w:webHidden/>
                <w:lang w:val="en-GB"/>
              </w:rPr>
            </w:r>
            <w:r w:rsidR="006E07B9" w:rsidRPr="00625DC2">
              <w:rPr>
                <w:webHidden/>
                <w:lang w:val="en-GB"/>
              </w:rPr>
              <w:fldChar w:fldCharType="separate"/>
            </w:r>
            <w:r w:rsidR="006E07B9" w:rsidRPr="00625DC2">
              <w:rPr>
                <w:webHidden/>
                <w:lang w:val="en-GB"/>
              </w:rPr>
              <w:t>19</w:t>
            </w:r>
            <w:r w:rsidR="006E07B9" w:rsidRPr="00625DC2">
              <w:rPr>
                <w:webHidden/>
                <w:lang w:val="en-GB"/>
              </w:rPr>
              <w:fldChar w:fldCharType="end"/>
            </w:r>
          </w:hyperlink>
        </w:p>
        <w:p w:rsidR="006E07B9" w:rsidRPr="00625DC2" w:rsidRDefault="00D4245E">
          <w:pPr>
            <w:pStyle w:val="TOC1"/>
            <w:tabs>
              <w:tab w:val="right" w:leader="dot" w:pos="9350"/>
            </w:tabs>
            <w:rPr>
              <w:rFonts w:eastAsiaTheme="minorEastAsia"/>
              <w:lang w:val="en-GB"/>
            </w:rPr>
          </w:pPr>
          <w:hyperlink w:anchor="_Toc233458796" w:history="1">
            <w:r w:rsidR="006E07B9" w:rsidRPr="00625DC2">
              <w:rPr>
                <w:rStyle w:val="Hyperlink"/>
                <w:rFonts w:asciiTheme="majorBidi" w:hAnsiTheme="majorBidi"/>
                <w:lang w:val="en-GB"/>
              </w:rPr>
              <w:t>CHAPTER 3: METHODOLOGY</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_Toc233458796 \h </w:instrText>
            </w:r>
            <w:r w:rsidR="006E07B9" w:rsidRPr="00625DC2">
              <w:rPr>
                <w:webHidden/>
                <w:lang w:val="en-GB"/>
              </w:rPr>
            </w:r>
            <w:r w:rsidR="006E07B9" w:rsidRPr="00625DC2">
              <w:rPr>
                <w:webHidden/>
                <w:lang w:val="en-GB"/>
              </w:rPr>
              <w:fldChar w:fldCharType="separate"/>
            </w:r>
            <w:r w:rsidR="006E07B9" w:rsidRPr="00625DC2">
              <w:rPr>
                <w:webHidden/>
                <w:lang w:val="en-GB"/>
              </w:rPr>
              <w:t>20</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97" w:history="1">
            <w:r w:rsidR="006E07B9" w:rsidRPr="00625DC2">
              <w:rPr>
                <w:rStyle w:val="Hyperlink"/>
                <w:rFonts w:asciiTheme="majorBidi" w:hAnsiTheme="majorBidi"/>
                <w:lang w:val="en-GB"/>
              </w:rPr>
              <w:t>3.1 Research Philosophy and Approach</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_Toc233458797 \h </w:instrText>
            </w:r>
            <w:r w:rsidR="006E07B9" w:rsidRPr="00625DC2">
              <w:rPr>
                <w:webHidden/>
                <w:lang w:val="en-GB"/>
              </w:rPr>
            </w:r>
            <w:r w:rsidR="006E07B9" w:rsidRPr="00625DC2">
              <w:rPr>
                <w:webHidden/>
                <w:lang w:val="en-GB"/>
              </w:rPr>
              <w:fldChar w:fldCharType="separate"/>
            </w:r>
            <w:r w:rsidR="006E07B9" w:rsidRPr="00625DC2">
              <w:rPr>
                <w:webHidden/>
                <w:lang w:val="en-GB"/>
              </w:rPr>
              <w:t>20</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98" w:history="1">
            <w:r w:rsidR="006E07B9" w:rsidRPr="00625DC2">
              <w:rPr>
                <w:rStyle w:val="Hyperlink"/>
                <w:rFonts w:asciiTheme="majorBidi" w:hAnsiTheme="majorBidi"/>
                <w:lang w:val="en-GB"/>
              </w:rPr>
              <w:t>3.2 Research Design</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_Toc233458798 \h </w:instrText>
            </w:r>
            <w:r w:rsidR="006E07B9" w:rsidRPr="00625DC2">
              <w:rPr>
                <w:webHidden/>
                <w:lang w:val="en-GB"/>
              </w:rPr>
            </w:r>
            <w:r w:rsidR="006E07B9" w:rsidRPr="00625DC2">
              <w:rPr>
                <w:webHidden/>
                <w:lang w:val="en-GB"/>
              </w:rPr>
              <w:fldChar w:fldCharType="separate"/>
            </w:r>
            <w:r w:rsidR="006E07B9" w:rsidRPr="00625DC2">
              <w:rPr>
                <w:webHidden/>
                <w:lang w:val="en-GB"/>
              </w:rPr>
              <w:t>20</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799" w:history="1">
            <w:r w:rsidR="006E07B9" w:rsidRPr="00625DC2">
              <w:rPr>
                <w:rStyle w:val="Hyperlink"/>
                <w:rFonts w:asciiTheme="majorBidi" w:hAnsiTheme="majorBidi"/>
                <w:lang w:val="en-GB"/>
              </w:rPr>
              <w:t>3.3 Variables and Instrument</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_Toc233458799 \h </w:instrText>
            </w:r>
            <w:r w:rsidR="006E07B9" w:rsidRPr="00625DC2">
              <w:rPr>
                <w:webHidden/>
                <w:lang w:val="en-GB"/>
              </w:rPr>
            </w:r>
            <w:r w:rsidR="006E07B9" w:rsidRPr="00625DC2">
              <w:rPr>
                <w:webHidden/>
                <w:lang w:val="en-GB"/>
              </w:rPr>
              <w:fldChar w:fldCharType="separate"/>
            </w:r>
            <w:r w:rsidR="006E07B9" w:rsidRPr="00625DC2">
              <w:rPr>
                <w:webHidden/>
                <w:lang w:val="en-GB"/>
              </w:rPr>
              <w:t>20</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800" w:history="1">
            <w:r w:rsidR="006E07B9" w:rsidRPr="00625DC2">
              <w:rPr>
                <w:rStyle w:val="Hyperlink"/>
                <w:rFonts w:asciiTheme="majorBidi" w:hAnsiTheme="majorBidi"/>
                <w:lang w:val="en-GB"/>
              </w:rPr>
              <w:t>3.4 Sampling Strategy</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_Toc233458800 \h </w:instrText>
            </w:r>
            <w:r w:rsidR="006E07B9" w:rsidRPr="00625DC2">
              <w:rPr>
                <w:webHidden/>
                <w:lang w:val="en-GB"/>
              </w:rPr>
            </w:r>
            <w:r w:rsidR="006E07B9" w:rsidRPr="00625DC2">
              <w:rPr>
                <w:webHidden/>
                <w:lang w:val="en-GB"/>
              </w:rPr>
              <w:fldChar w:fldCharType="separate"/>
            </w:r>
            <w:r w:rsidR="006E07B9" w:rsidRPr="00625DC2">
              <w:rPr>
                <w:webHidden/>
                <w:lang w:val="en-GB"/>
              </w:rPr>
              <w:t>21</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801" w:history="1">
            <w:r w:rsidR="006E07B9" w:rsidRPr="00625DC2">
              <w:rPr>
                <w:rStyle w:val="Hyperlink"/>
                <w:rFonts w:asciiTheme="majorBidi" w:hAnsiTheme="majorBidi"/>
                <w:lang w:val="en-GB"/>
              </w:rPr>
              <w:t>3.5 Data Analysis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_Toc233458801 \h </w:instrText>
            </w:r>
            <w:r w:rsidR="006E07B9" w:rsidRPr="00625DC2">
              <w:rPr>
                <w:webHidden/>
                <w:lang w:val="en-GB"/>
              </w:rPr>
            </w:r>
            <w:r w:rsidR="006E07B9" w:rsidRPr="00625DC2">
              <w:rPr>
                <w:webHidden/>
                <w:lang w:val="en-GB"/>
              </w:rPr>
              <w:fldChar w:fldCharType="separate"/>
            </w:r>
            <w:r w:rsidR="006E07B9" w:rsidRPr="00625DC2">
              <w:rPr>
                <w:webHidden/>
                <w:lang w:val="en-GB"/>
              </w:rPr>
              <w:t>21</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802" w:history="1">
            <w:r w:rsidR="006E07B9" w:rsidRPr="00625DC2">
              <w:rPr>
                <w:rStyle w:val="Hyperlink"/>
                <w:rFonts w:asciiTheme="majorBidi" w:hAnsiTheme="majorBidi"/>
                <w:lang w:val="en-GB"/>
              </w:rPr>
              <w:t>3.6 Reliability, Validity and Ethics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_Toc233458802 \h </w:instrText>
            </w:r>
            <w:r w:rsidR="006E07B9" w:rsidRPr="00625DC2">
              <w:rPr>
                <w:webHidden/>
                <w:lang w:val="en-GB"/>
              </w:rPr>
            </w:r>
            <w:r w:rsidR="006E07B9" w:rsidRPr="00625DC2">
              <w:rPr>
                <w:webHidden/>
                <w:lang w:val="en-GB"/>
              </w:rPr>
              <w:fldChar w:fldCharType="separate"/>
            </w:r>
            <w:r w:rsidR="006E07B9" w:rsidRPr="00625DC2">
              <w:rPr>
                <w:webHidden/>
                <w:lang w:val="en-GB"/>
              </w:rPr>
              <w:t>22</w:t>
            </w:r>
            <w:r w:rsidR="006E07B9" w:rsidRPr="00625DC2">
              <w:rPr>
                <w:webHidden/>
                <w:lang w:val="en-GB"/>
              </w:rPr>
              <w:fldChar w:fldCharType="end"/>
            </w:r>
          </w:hyperlink>
        </w:p>
        <w:p w:rsidR="006E07B9" w:rsidRPr="00625DC2" w:rsidRDefault="00D4245E">
          <w:pPr>
            <w:pStyle w:val="TOC1"/>
            <w:tabs>
              <w:tab w:val="right" w:leader="dot" w:pos="9350"/>
            </w:tabs>
            <w:rPr>
              <w:rFonts w:eastAsiaTheme="minorEastAsia"/>
              <w:lang w:val="en-GB"/>
            </w:rPr>
          </w:pPr>
          <w:hyperlink w:anchor="_Toc233458803" w:history="1">
            <w:r w:rsidR="006E07B9" w:rsidRPr="00625DC2">
              <w:rPr>
                <w:rStyle w:val="Hyperlink"/>
                <w:rFonts w:asciiTheme="majorBidi" w:eastAsia="Arial" w:hAnsiTheme="majorBidi"/>
                <w:lang w:val="en-GB"/>
              </w:rPr>
              <w:t xml:space="preserve">Chapter 4: Presentation </w:t>
            </w:r>
            <w:r w:rsidR="006E07B9" w:rsidRPr="00625DC2">
              <w:rPr>
                <w:rStyle w:val="Hyperlink"/>
                <w:rFonts w:asciiTheme="majorBidi" w:hAnsiTheme="majorBidi"/>
                <w:lang w:val="en-GB"/>
              </w:rPr>
              <w:t>and</w:t>
            </w:r>
            <w:r w:rsidR="006E07B9" w:rsidRPr="00625DC2">
              <w:rPr>
                <w:rStyle w:val="Hyperlink"/>
                <w:rFonts w:asciiTheme="majorBidi" w:eastAsia="Arial" w:hAnsiTheme="majorBidi"/>
                <w:lang w:val="en-GB"/>
              </w:rPr>
              <w:t xml:space="preserve"> Analysis of Findings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_Toc233458803 \h </w:instrText>
            </w:r>
            <w:r w:rsidR="006E07B9" w:rsidRPr="00625DC2">
              <w:rPr>
                <w:webHidden/>
                <w:lang w:val="en-GB"/>
              </w:rPr>
            </w:r>
            <w:r w:rsidR="006E07B9" w:rsidRPr="00625DC2">
              <w:rPr>
                <w:webHidden/>
                <w:lang w:val="en-GB"/>
              </w:rPr>
              <w:fldChar w:fldCharType="separate"/>
            </w:r>
            <w:r w:rsidR="006E07B9" w:rsidRPr="00625DC2">
              <w:rPr>
                <w:webHidden/>
                <w:lang w:val="en-GB"/>
              </w:rPr>
              <w:t>23</w:t>
            </w:r>
            <w:r w:rsidR="006E07B9" w:rsidRPr="00625DC2">
              <w:rPr>
                <w:webHidden/>
                <w:lang w:val="en-GB"/>
              </w:rPr>
              <w:fldChar w:fldCharType="end"/>
            </w:r>
          </w:hyperlink>
        </w:p>
        <w:p w:rsidR="006E07B9" w:rsidRPr="00625DC2" w:rsidRDefault="00D4245E">
          <w:pPr>
            <w:pStyle w:val="TOC3"/>
            <w:tabs>
              <w:tab w:val="right" w:leader="dot" w:pos="9350"/>
            </w:tabs>
            <w:rPr>
              <w:rFonts w:eastAsiaTheme="minorEastAsia"/>
              <w:lang w:val="en-GB"/>
            </w:rPr>
          </w:pPr>
          <w:hyperlink w:anchor="_Toc233458804" w:history="1">
            <w:r w:rsidR="006E07B9" w:rsidRPr="00625DC2">
              <w:rPr>
                <w:rStyle w:val="Hyperlink"/>
                <w:rFonts w:asciiTheme="majorBidi" w:eastAsia="Arial" w:hAnsiTheme="majorBidi" w:cstheme="majorBidi"/>
                <w:lang w:val="en-GB"/>
              </w:rPr>
              <w:t>4.1 Introduction</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_Toc233458804 \h </w:instrText>
            </w:r>
            <w:r w:rsidR="006E07B9" w:rsidRPr="00625DC2">
              <w:rPr>
                <w:webHidden/>
                <w:lang w:val="en-GB"/>
              </w:rPr>
            </w:r>
            <w:r w:rsidR="006E07B9" w:rsidRPr="00625DC2">
              <w:rPr>
                <w:webHidden/>
                <w:lang w:val="en-GB"/>
              </w:rPr>
              <w:fldChar w:fldCharType="separate"/>
            </w:r>
            <w:r w:rsidR="006E07B9" w:rsidRPr="00625DC2">
              <w:rPr>
                <w:webHidden/>
                <w:lang w:val="en-GB"/>
              </w:rPr>
              <w:t>23</w:t>
            </w:r>
            <w:r w:rsidR="006E07B9" w:rsidRPr="00625DC2">
              <w:rPr>
                <w:webHidden/>
                <w:lang w:val="en-GB"/>
              </w:rPr>
              <w:fldChar w:fldCharType="end"/>
            </w:r>
          </w:hyperlink>
        </w:p>
        <w:p w:rsidR="006E07B9" w:rsidRPr="00625DC2" w:rsidRDefault="00D4245E">
          <w:pPr>
            <w:pStyle w:val="TOC3"/>
            <w:tabs>
              <w:tab w:val="right" w:leader="dot" w:pos="9350"/>
            </w:tabs>
            <w:rPr>
              <w:rFonts w:eastAsiaTheme="minorEastAsia"/>
              <w:lang w:val="en-GB"/>
            </w:rPr>
          </w:pPr>
          <w:hyperlink w:anchor="_Toc233458805" w:history="1">
            <w:r w:rsidR="006E07B9" w:rsidRPr="00625DC2">
              <w:rPr>
                <w:rStyle w:val="Hyperlink"/>
                <w:rFonts w:asciiTheme="majorBidi" w:eastAsia="Arial" w:hAnsiTheme="majorBidi" w:cstheme="majorBidi"/>
                <w:lang w:val="en-GB"/>
              </w:rPr>
              <w:t>4.2 Respondent Profile</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_Toc233458805 \h </w:instrText>
            </w:r>
            <w:r w:rsidR="006E07B9" w:rsidRPr="00625DC2">
              <w:rPr>
                <w:webHidden/>
                <w:lang w:val="en-GB"/>
              </w:rPr>
            </w:r>
            <w:r w:rsidR="006E07B9" w:rsidRPr="00625DC2">
              <w:rPr>
                <w:webHidden/>
                <w:lang w:val="en-GB"/>
              </w:rPr>
              <w:fldChar w:fldCharType="separate"/>
            </w:r>
            <w:r w:rsidR="006E07B9" w:rsidRPr="00625DC2">
              <w:rPr>
                <w:webHidden/>
                <w:lang w:val="en-GB"/>
              </w:rPr>
              <w:t>23</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806" w:history="1">
            <w:r w:rsidR="006E07B9" w:rsidRPr="00625DC2">
              <w:rPr>
                <w:rStyle w:val="Hyperlink"/>
                <w:rFonts w:asciiTheme="majorBidi" w:eastAsia="Arial" w:hAnsiTheme="majorBidi"/>
                <w:lang w:val="en-GB"/>
              </w:rPr>
              <w:t>4.4 Correlation Analysis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_Toc233458806 \h </w:instrText>
            </w:r>
            <w:r w:rsidR="006E07B9" w:rsidRPr="00625DC2">
              <w:rPr>
                <w:webHidden/>
                <w:lang w:val="en-GB"/>
              </w:rPr>
            </w:r>
            <w:r w:rsidR="006E07B9" w:rsidRPr="00625DC2">
              <w:rPr>
                <w:webHidden/>
                <w:lang w:val="en-GB"/>
              </w:rPr>
              <w:fldChar w:fldCharType="separate"/>
            </w:r>
            <w:r w:rsidR="006E07B9" w:rsidRPr="00625DC2">
              <w:rPr>
                <w:webHidden/>
                <w:lang w:val="en-GB"/>
              </w:rPr>
              <w:t>28</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807" w:history="1">
            <w:r w:rsidR="006E07B9" w:rsidRPr="00625DC2">
              <w:rPr>
                <w:rStyle w:val="Hyperlink"/>
                <w:rFonts w:asciiTheme="majorBidi" w:eastAsia="Arial" w:hAnsiTheme="majorBidi"/>
                <w:lang w:val="en-GB"/>
              </w:rPr>
              <w:t>4.5 Regression Analysis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_Toc233458807 \h </w:instrText>
            </w:r>
            <w:r w:rsidR="006E07B9" w:rsidRPr="00625DC2">
              <w:rPr>
                <w:webHidden/>
                <w:lang w:val="en-GB"/>
              </w:rPr>
            </w:r>
            <w:r w:rsidR="006E07B9" w:rsidRPr="00625DC2">
              <w:rPr>
                <w:webHidden/>
                <w:lang w:val="en-GB"/>
              </w:rPr>
              <w:fldChar w:fldCharType="separate"/>
            </w:r>
            <w:r w:rsidR="006E07B9" w:rsidRPr="00625DC2">
              <w:rPr>
                <w:webHidden/>
                <w:lang w:val="en-GB"/>
              </w:rPr>
              <w:t>30</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808" w:history="1">
            <w:r w:rsidR="006E07B9" w:rsidRPr="00625DC2">
              <w:rPr>
                <w:rStyle w:val="Hyperlink"/>
                <w:rFonts w:asciiTheme="majorBidi" w:eastAsia="Arial" w:hAnsiTheme="majorBidi"/>
                <w:lang w:val="en-GB"/>
              </w:rPr>
              <w:t>4.6 Mediation Analysis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_Toc233458808 \h </w:instrText>
            </w:r>
            <w:r w:rsidR="006E07B9" w:rsidRPr="00625DC2">
              <w:rPr>
                <w:webHidden/>
                <w:lang w:val="en-GB"/>
              </w:rPr>
            </w:r>
            <w:r w:rsidR="006E07B9" w:rsidRPr="00625DC2">
              <w:rPr>
                <w:webHidden/>
                <w:lang w:val="en-GB"/>
              </w:rPr>
              <w:fldChar w:fldCharType="separate"/>
            </w:r>
            <w:r w:rsidR="006E07B9" w:rsidRPr="00625DC2">
              <w:rPr>
                <w:webHidden/>
                <w:lang w:val="en-GB"/>
              </w:rPr>
              <w:t>32</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809" w:history="1">
            <w:r w:rsidR="006E07B9" w:rsidRPr="00625DC2">
              <w:rPr>
                <w:rStyle w:val="Hyperlink"/>
                <w:rFonts w:asciiTheme="majorBidi" w:eastAsia="Arial" w:hAnsiTheme="majorBidi"/>
                <w:lang w:val="en-GB"/>
              </w:rPr>
              <w:t>4.7 Summary of Findings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_Toc233458809 \h </w:instrText>
            </w:r>
            <w:r w:rsidR="006E07B9" w:rsidRPr="00625DC2">
              <w:rPr>
                <w:webHidden/>
                <w:lang w:val="en-GB"/>
              </w:rPr>
            </w:r>
            <w:r w:rsidR="006E07B9" w:rsidRPr="00625DC2">
              <w:rPr>
                <w:webHidden/>
                <w:lang w:val="en-GB"/>
              </w:rPr>
              <w:fldChar w:fldCharType="separate"/>
            </w:r>
            <w:r w:rsidR="006E07B9" w:rsidRPr="00625DC2">
              <w:rPr>
                <w:webHidden/>
                <w:lang w:val="en-GB"/>
              </w:rPr>
              <w:t>33</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810" w:history="1">
            <w:r w:rsidR="006E07B9" w:rsidRPr="00625DC2">
              <w:rPr>
                <w:rStyle w:val="Hyperlink"/>
                <w:rFonts w:asciiTheme="majorBidi" w:hAnsiTheme="majorBidi"/>
                <w:lang w:val="en-GB"/>
              </w:rPr>
              <w:t>4.8: Discussion of Findings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_Toc233458810 \h </w:instrText>
            </w:r>
            <w:r w:rsidR="006E07B9" w:rsidRPr="00625DC2">
              <w:rPr>
                <w:webHidden/>
                <w:lang w:val="en-GB"/>
              </w:rPr>
            </w:r>
            <w:r w:rsidR="006E07B9" w:rsidRPr="00625DC2">
              <w:rPr>
                <w:webHidden/>
                <w:lang w:val="en-GB"/>
              </w:rPr>
              <w:fldChar w:fldCharType="separate"/>
            </w:r>
            <w:r w:rsidR="006E07B9" w:rsidRPr="00625DC2">
              <w:rPr>
                <w:webHidden/>
                <w:lang w:val="en-GB"/>
              </w:rPr>
              <w:t>34</w:t>
            </w:r>
            <w:r w:rsidR="006E07B9" w:rsidRPr="00625DC2">
              <w:rPr>
                <w:webHidden/>
                <w:lang w:val="en-GB"/>
              </w:rPr>
              <w:fldChar w:fldCharType="end"/>
            </w:r>
          </w:hyperlink>
        </w:p>
        <w:p w:rsidR="006E07B9" w:rsidRPr="00625DC2" w:rsidRDefault="00D4245E">
          <w:pPr>
            <w:pStyle w:val="TOC3"/>
            <w:tabs>
              <w:tab w:val="right" w:leader="dot" w:pos="9350"/>
            </w:tabs>
            <w:rPr>
              <w:rFonts w:eastAsiaTheme="minorEastAsia"/>
              <w:lang w:val="en-GB"/>
            </w:rPr>
          </w:pPr>
          <w:hyperlink w:anchor="_Toc233458811" w:history="1">
            <w:r w:rsidR="006E07B9" w:rsidRPr="00625DC2">
              <w:rPr>
                <w:rStyle w:val="Hyperlink"/>
                <w:rFonts w:asciiTheme="majorBidi" w:hAnsiTheme="majorBidi" w:cstheme="majorBidi"/>
                <w:lang w:val="en-GB"/>
              </w:rPr>
              <w:t>4.8.1 Introduction</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_Toc233458811 \h </w:instrText>
            </w:r>
            <w:r w:rsidR="006E07B9" w:rsidRPr="00625DC2">
              <w:rPr>
                <w:webHidden/>
                <w:lang w:val="en-GB"/>
              </w:rPr>
            </w:r>
            <w:r w:rsidR="006E07B9" w:rsidRPr="00625DC2">
              <w:rPr>
                <w:webHidden/>
                <w:lang w:val="en-GB"/>
              </w:rPr>
              <w:fldChar w:fldCharType="separate"/>
            </w:r>
            <w:r w:rsidR="006E07B9" w:rsidRPr="00625DC2">
              <w:rPr>
                <w:webHidden/>
                <w:lang w:val="en-GB"/>
              </w:rPr>
              <w:t>34</w:t>
            </w:r>
            <w:r w:rsidR="006E07B9" w:rsidRPr="00625DC2">
              <w:rPr>
                <w:webHidden/>
                <w:lang w:val="en-GB"/>
              </w:rPr>
              <w:fldChar w:fldCharType="end"/>
            </w:r>
          </w:hyperlink>
        </w:p>
        <w:p w:rsidR="006E07B9" w:rsidRPr="00625DC2" w:rsidRDefault="00D4245E">
          <w:pPr>
            <w:pStyle w:val="TOC3"/>
            <w:tabs>
              <w:tab w:val="right" w:leader="dot" w:pos="9350"/>
            </w:tabs>
            <w:rPr>
              <w:rFonts w:eastAsiaTheme="minorEastAsia"/>
              <w:lang w:val="en-GB"/>
            </w:rPr>
          </w:pPr>
          <w:hyperlink w:anchor="_Toc233458812" w:history="1">
            <w:r w:rsidR="006E07B9" w:rsidRPr="00625DC2">
              <w:rPr>
                <w:rStyle w:val="Hyperlink"/>
                <w:rFonts w:asciiTheme="majorBidi" w:hAnsiTheme="majorBidi" w:cstheme="majorBidi"/>
                <w:lang w:val="en-GB"/>
              </w:rPr>
              <w:t>4.8.2 Hybrid Working and Employee Engagement (H1)</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_Toc233458812 \h </w:instrText>
            </w:r>
            <w:r w:rsidR="006E07B9" w:rsidRPr="00625DC2">
              <w:rPr>
                <w:webHidden/>
                <w:lang w:val="en-GB"/>
              </w:rPr>
            </w:r>
            <w:r w:rsidR="006E07B9" w:rsidRPr="00625DC2">
              <w:rPr>
                <w:webHidden/>
                <w:lang w:val="en-GB"/>
              </w:rPr>
              <w:fldChar w:fldCharType="separate"/>
            </w:r>
            <w:r w:rsidR="006E07B9" w:rsidRPr="00625DC2">
              <w:rPr>
                <w:webHidden/>
                <w:lang w:val="en-GB"/>
              </w:rPr>
              <w:t>34</w:t>
            </w:r>
            <w:r w:rsidR="006E07B9" w:rsidRPr="00625DC2">
              <w:rPr>
                <w:webHidden/>
                <w:lang w:val="en-GB"/>
              </w:rPr>
              <w:fldChar w:fldCharType="end"/>
            </w:r>
          </w:hyperlink>
        </w:p>
        <w:p w:rsidR="006E07B9" w:rsidRPr="00625DC2" w:rsidRDefault="00D4245E">
          <w:pPr>
            <w:pStyle w:val="TOC3"/>
            <w:tabs>
              <w:tab w:val="right" w:leader="dot" w:pos="9350"/>
            </w:tabs>
            <w:rPr>
              <w:rFonts w:eastAsiaTheme="minorEastAsia"/>
              <w:lang w:val="en-GB"/>
            </w:rPr>
          </w:pPr>
          <w:hyperlink w:anchor="_Toc233458813" w:history="1">
            <w:r w:rsidR="006E07B9" w:rsidRPr="00625DC2">
              <w:rPr>
                <w:rStyle w:val="Hyperlink"/>
                <w:rFonts w:asciiTheme="majorBidi" w:hAnsiTheme="majorBidi" w:cstheme="majorBidi"/>
                <w:lang w:val="en-GB"/>
              </w:rPr>
              <w:t>4.8.3 Employee Engagement and Turnover Intention (H2)</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_Toc233458813 \h </w:instrText>
            </w:r>
            <w:r w:rsidR="006E07B9" w:rsidRPr="00625DC2">
              <w:rPr>
                <w:webHidden/>
                <w:lang w:val="en-GB"/>
              </w:rPr>
            </w:r>
            <w:r w:rsidR="006E07B9" w:rsidRPr="00625DC2">
              <w:rPr>
                <w:webHidden/>
                <w:lang w:val="en-GB"/>
              </w:rPr>
              <w:fldChar w:fldCharType="separate"/>
            </w:r>
            <w:r w:rsidR="006E07B9" w:rsidRPr="00625DC2">
              <w:rPr>
                <w:webHidden/>
                <w:lang w:val="en-GB"/>
              </w:rPr>
              <w:t>35</w:t>
            </w:r>
            <w:r w:rsidR="006E07B9" w:rsidRPr="00625DC2">
              <w:rPr>
                <w:webHidden/>
                <w:lang w:val="en-GB"/>
              </w:rPr>
              <w:fldChar w:fldCharType="end"/>
            </w:r>
          </w:hyperlink>
        </w:p>
        <w:p w:rsidR="006E07B9" w:rsidRPr="00625DC2" w:rsidRDefault="00D4245E">
          <w:pPr>
            <w:pStyle w:val="TOC3"/>
            <w:tabs>
              <w:tab w:val="right" w:leader="dot" w:pos="9350"/>
            </w:tabs>
            <w:rPr>
              <w:rFonts w:eastAsiaTheme="minorEastAsia"/>
              <w:lang w:val="en-GB"/>
            </w:rPr>
          </w:pPr>
          <w:hyperlink w:anchor="_Toc233458814" w:history="1">
            <w:r w:rsidR="006E07B9" w:rsidRPr="00625DC2">
              <w:rPr>
                <w:rStyle w:val="Hyperlink"/>
                <w:rFonts w:asciiTheme="majorBidi" w:hAnsiTheme="majorBidi" w:cstheme="majorBidi"/>
                <w:lang w:val="en-GB"/>
              </w:rPr>
              <w:t>4.8.4 Hybrid Working, Turnover, and the Role of Engagement (H3 and H4)</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_Toc233458814 \h </w:instrText>
            </w:r>
            <w:r w:rsidR="006E07B9" w:rsidRPr="00625DC2">
              <w:rPr>
                <w:webHidden/>
                <w:lang w:val="en-GB"/>
              </w:rPr>
            </w:r>
            <w:r w:rsidR="006E07B9" w:rsidRPr="00625DC2">
              <w:rPr>
                <w:webHidden/>
                <w:lang w:val="en-GB"/>
              </w:rPr>
              <w:fldChar w:fldCharType="separate"/>
            </w:r>
            <w:r w:rsidR="006E07B9" w:rsidRPr="00625DC2">
              <w:rPr>
                <w:webHidden/>
                <w:lang w:val="en-GB"/>
              </w:rPr>
              <w:t>36</w:t>
            </w:r>
            <w:r w:rsidR="006E07B9" w:rsidRPr="00625DC2">
              <w:rPr>
                <w:webHidden/>
                <w:lang w:val="en-GB"/>
              </w:rPr>
              <w:fldChar w:fldCharType="end"/>
            </w:r>
          </w:hyperlink>
        </w:p>
        <w:p w:rsidR="006E07B9" w:rsidRPr="00625DC2" w:rsidRDefault="00D4245E">
          <w:pPr>
            <w:pStyle w:val="TOC3"/>
            <w:tabs>
              <w:tab w:val="right" w:leader="dot" w:pos="9350"/>
            </w:tabs>
            <w:rPr>
              <w:rFonts w:eastAsiaTheme="minorEastAsia"/>
              <w:lang w:val="en-GB"/>
            </w:rPr>
          </w:pPr>
          <w:hyperlink w:anchor="_Toc233458815" w:history="1">
            <w:r w:rsidR="006E07B9" w:rsidRPr="00625DC2">
              <w:rPr>
                <w:rStyle w:val="Hyperlink"/>
                <w:rFonts w:asciiTheme="majorBidi" w:hAnsiTheme="majorBidi" w:cstheme="majorBidi"/>
                <w:lang w:val="en-GB"/>
              </w:rPr>
              <w:t>4.8.5 Size of the Results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_Toc233458815 \h </w:instrText>
            </w:r>
            <w:r w:rsidR="006E07B9" w:rsidRPr="00625DC2">
              <w:rPr>
                <w:webHidden/>
                <w:lang w:val="en-GB"/>
              </w:rPr>
            </w:r>
            <w:r w:rsidR="006E07B9" w:rsidRPr="00625DC2">
              <w:rPr>
                <w:webHidden/>
                <w:lang w:val="en-GB"/>
              </w:rPr>
              <w:fldChar w:fldCharType="separate"/>
            </w:r>
            <w:r w:rsidR="006E07B9" w:rsidRPr="00625DC2">
              <w:rPr>
                <w:webHidden/>
                <w:lang w:val="en-GB"/>
              </w:rPr>
              <w:t>36</w:t>
            </w:r>
            <w:r w:rsidR="006E07B9" w:rsidRPr="00625DC2">
              <w:rPr>
                <w:webHidden/>
                <w:lang w:val="en-GB"/>
              </w:rPr>
              <w:fldChar w:fldCharType="end"/>
            </w:r>
          </w:hyperlink>
        </w:p>
        <w:p w:rsidR="006E07B9" w:rsidRPr="00625DC2" w:rsidRDefault="00D4245E">
          <w:pPr>
            <w:pStyle w:val="TOC1"/>
            <w:tabs>
              <w:tab w:val="right" w:leader="dot" w:pos="9350"/>
            </w:tabs>
            <w:rPr>
              <w:rFonts w:eastAsiaTheme="minorEastAsia"/>
              <w:lang w:val="en-GB"/>
            </w:rPr>
          </w:pPr>
          <w:hyperlink w:anchor="_Toc233458816" w:history="1">
            <w:r w:rsidR="006E07B9" w:rsidRPr="00625DC2">
              <w:rPr>
                <w:rStyle w:val="Hyperlink"/>
                <w:rFonts w:asciiTheme="majorBidi" w:hAnsiTheme="majorBidi"/>
                <w:lang w:val="en-GB"/>
              </w:rPr>
              <w:t>Chapter 5: Recommendations, Conclusion and limitations of the research</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_Toc233458816 \h </w:instrText>
            </w:r>
            <w:r w:rsidR="006E07B9" w:rsidRPr="00625DC2">
              <w:rPr>
                <w:webHidden/>
                <w:lang w:val="en-GB"/>
              </w:rPr>
            </w:r>
            <w:r w:rsidR="006E07B9" w:rsidRPr="00625DC2">
              <w:rPr>
                <w:webHidden/>
                <w:lang w:val="en-GB"/>
              </w:rPr>
              <w:fldChar w:fldCharType="separate"/>
            </w:r>
            <w:r w:rsidR="006E07B9" w:rsidRPr="00625DC2">
              <w:rPr>
                <w:webHidden/>
                <w:lang w:val="en-GB"/>
              </w:rPr>
              <w:t>38</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817" w:history="1">
            <w:r w:rsidR="006E07B9" w:rsidRPr="00625DC2">
              <w:rPr>
                <w:rStyle w:val="Hyperlink"/>
                <w:rFonts w:asciiTheme="majorBidi" w:hAnsiTheme="majorBidi"/>
                <w:lang w:val="en-GB"/>
              </w:rPr>
              <w:t>5.1: Conclusion</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_Toc233458817 \h </w:instrText>
            </w:r>
            <w:r w:rsidR="006E07B9" w:rsidRPr="00625DC2">
              <w:rPr>
                <w:webHidden/>
                <w:lang w:val="en-GB"/>
              </w:rPr>
            </w:r>
            <w:r w:rsidR="006E07B9" w:rsidRPr="00625DC2">
              <w:rPr>
                <w:webHidden/>
                <w:lang w:val="en-GB"/>
              </w:rPr>
              <w:fldChar w:fldCharType="separate"/>
            </w:r>
            <w:r w:rsidR="006E07B9" w:rsidRPr="00625DC2">
              <w:rPr>
                <w:webHidden/>
                <w:lang w:val="en-GB"/>
              </w:rPr>
              <w:t>38</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818" w:history="1">
            <w:r w:rsidR="006E07B9" w:rsidRPr="00625DC2">
              <w:rPr>
                <w:rStyle w:val="Hyperlink"/>
                <w:rFonts w:asciiTheme="majorBidi" w:hAnsiTheme="majorBidi"/>
                <w:lang w:val="en-GB"/>
              </w:rPr>
              <w:t>5.2 Limitations of the Research</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_Toc233458818 \h </w:instrText>
            </w:r>
            <w:r w:rsidR="006E07B9" w:rsidRPr="00625DC2">
              <w:rPr>
                <w:webHidden/>
                <w:lang w:val="en-GB"/>
              </w:rPr>
            </w:r>
            <w:r w:rsidR="006E07B9" w:rsidRPr="00625DC2">
              <w:rPr>
                <w:webHidden/>
                <w:lang w:val="en-GB"/>
              </w:rPr>
              <w:fldChar w:fldCharType="separate"/>
            </w:r>
            <w:r w:rsidR="006E07B9" w:rsidRPr="00625DC2">
              <w:rPr>
                <w:webHidden/>
                <w:lang w:val="en-GB"/>
              </w:rPr>
              <w:t>38</w:t>
            </w:r>
            <w:r w:rsidR="006E07B9" w:rsidRPr="00625DC2">
              <w:rPr>
                <w:webHidden/>
                <w:lang w:val="en-GB"/>
              </w:rPr>
              <w:fldChar w:fldCharType="end"/>
            </w:r>
          </w:hyperlink>
        </w:p>
        <w:p w:rsidR="006E07B9" w:rsidRPr="00625DC2" w:rsidRDefault="00D4245E">
          <w:pPr>
            <w:pStyle w:val="TOC2"/>
            <w:tabs>
              <w:tab w:val="right" w:leader="dot" w:pos="9350"/>
            </w:tabs>
            <w:rPr>
              <w:rFonts w:eastAsiaTheme="minorEastAsia"/>
              <w:lang w:val="en-GB"/>
            </w:rPr>
          </w:pPr>
          <w:hyperlink w:anchor="_Toc233458819" w:history="1">
            <w:r w:rsidR="006E07B9" w:rsidRPr="00625DC2">
              <w:rPr>
                <w:rStyle w:val="Hyperlink"/>
                <w:rFonts w:asciiTheme="majorBidi" w:hAnsiTheme="majorBidi"/>
                <w:lang w:val="en-GB"/>
              </w:rPr>
              <w:t>5.3 Recommendations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_Toc233458819 \h </w:instrText>
            </w:r>
            <w:r w:rsidR="006E07B9" w:rsidRPr="00625DC2">
              <w:rPr>
                <w:webHidden/>
                <w:lang w:val="en-GB"/>
              </w:rPr>
            </w:r>
            <w:r w:rsidR="006E07B9" w:rsidRPr="00625DC2">
              <w:rPr>
                <w:webHidden/>
                <w:lang w:val="en-GB"/>
              </w:rPr>
              <w:fldChar w:fldCharType="separate"/>
            </w:r>
            <w:r w:rsidR="006E07B9" w:rsidRPr="00625DC2">
              <w:rPr>
                <w:webHidden/>
                <w:lang w:val="en-GB"/>
              </w:rPr>
              <w:t>39</w:t>
            </w:r>
            <w:r w:rsidR="006E07B9" w:rsidRPr="00625DC2">
              <w:rPr>
                <w:webHidden/>
                <w:lang w:val="en-GB"/>
              </w:rPr>
              <w:fldChar w:fldCharType="end"/>
            </w:r>
          </w:hyperlink>
        </w:p>
        <w:p w:rsidR="006E07B9" w:rsidRPr="00625DC2" w:rsidRDefault="00D4245E">
          <w:pPr>
            <w:pStyle w:val="TOC3"/>
            <w:tabs>
              <w:tab w:val="right" w:leader="dot" w:pos="9350"/>
            </w:tabs>
            <w:rPr>
              <w:rFonts w:eastAsiaTheme="minorEastAsia"/>
              <w:lang w:val="en-GB"/>
            </w:rPr>
          </w:pPr>
          <w:hyperlink w:anchor="_Toc233458820" w:history="1">
            <w:r w:rsidR="006E07B9" w:rsidRPr="00625DC2">
              <w:rPr>
                <w:rStyle w:val="Hyperlink"/>
                <w:rFonts w:asciiTheme="majorBidi" w:hAnsiTheme="majorBidi" w:cstheme="majorBidi"/>
                <w:lang w:val="en-GB"/>
              </w:rPr>
              <w:t>5.3.1 Recommendations for Practice</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_Toc233458820 \h </w:instrText>
            </w:r>
            <w:r w:rsidR="006E07B9" w:rsidRPr="00625DC2">
              <w:rPr>
                <w:webHidden/>
                <w:lang w:val="en-GB"/>
              </w:rPr>
            </w:r>
            <w:r w:rsidR="006E07B9" w:rsidRPr="00625DC2">
              <w:rPr>
                <w:webHidden/>
                <w:lang w:val="en-GB"/>
              </w:rPr>
              <w:fldChar w:fldCharType="separate"/>
            </w:r>
            <w:r w:rsidR="006E07B9" w:rsidRPr="00625DC2">
              <w:rPr>
                <w:webHidden/>
                <w:lang w:val="en-GB"/>
              </w:rPr>
              <w:t>39</w:t>
            </w:r>
            <w:r w:rsidR="006E07B9" w:rsidRPr="00625DC2">
              <w:rPr>
                <w:webHidden/>
                <w:lang w:val="en-GB"/>
              </w:rPr>
              <w:fldChar w:fldCharType="end"/>
            </w:r>
          </w:hyperlink>
        </w:p>
        <w:p w:rsidR="006E07B9" w:rsidRPr="00625DC2" w:rsidRDefault="00D4245E">
          <w:pPr>
            <w:pStyle w:val="TOC3"/>
            <w:tabs>
              <w:tab w:val="right" w:leader="dot" w:pos="9350"/>
            </w:tabs>
            <w:rPr>
              <w:rFonts w:eastAsiaTheme="minorEastAsia"/>
              <w:lang w:val="en-GB"/>
            </w:rPr>
          </w:pPr>
          <w:hyperlink w:anchor="_Toc233458821" w:history="1">
            <w:r w:rsidR="006E07B9" w:rsidRPr="00625DC2">
              <w:rPr>
                <w:rStyle w:val="Hyperlink"/>
                <w:rFonts w:asciiTheme="majorBidi" w:hAnsiTheme="majorBidi" w:cstheme="majorBidi"/>
                <w:lang w:val="en-GB"/>
              </w:rPr>
              <w:t>5.3.2 Recommendations for Future Research</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_Toc233458821 \h </w:instrText>
            </w:r>
            <w:r w:rsidR="006E07B9" w:rsidRPr="00625DC2">
              <w:rPr>
                <w:webHidden/>
                <w:lang w:val="en-GB"/>
              </w:rPr>
            </w:r>
            <w:r w:rsidR="006E07B9" w:rsidRPr="00625DC2">
              <w:rPr>
                <w:webHidden/>
                <w:lang w:val="en-GB"/>
              </w:rPr>
              <w:fldChar w:fldCharType="separate"/>
            </w:r>
            <w:r w:rsidR="006E07B9" w:rsidRPr="00625DC2">
              <w:rPr>
                <w:webHidden/>
                <w:lang w:val="en-GB"/>
              </w:rPr>
              <w:t>40</w:t>
            </w:r>
            <w:r w:rsidR="006E07B9" w:rsidRPr="00625DC2">
              <w:rPr>
                <w:webHidden/>
                <w:lang w:val="en-GB"/>
              </w:rPr>
              <w:fldChar w:fldCharType="end"/>
            </w:r>
          </w:hyperlink>
        </w:p>
        <w:p w:rsidR="006E07B9" w:rsidRPr="00625DC2" w:rsidRDefault="00D4245E">
          <w:pPr>
            <w:pStyle w:val="TOC3"/>
            <w:tabs>
              <w:tab w:val="right" w:leader="dot" w:pos="9350"/>
            </w:tabs>
            <w:rPr>
              <w:rFonts w:eastAsiaTheme="minorEastAsia"/>
              <w:lang w:val="en-GB"/>
            </w:rPr>
          </w:pPr>
          <w:hyperlink w:anchor="_Toc233458822" w:history="1">
            <w:r w:rsidR="006E07B9" w:rsidRPr="00625DC2">
              <w:rPr>
                <w:rStyle w:val="Hyperlink"/>
                <w:rFonts w:asciiTheme="majorBidi" w:eastAsia="Times New Roman" w:hAnsiTheme="majorBidi" w:cstheme="majorBidi"/>
                <w:b/>
                <w:bCs/>
                <w:lang w:val="en-GB"/>
              </w:rPr>
              <w:t>Reference</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_Toc233458822 \h </w:instrText>
            </w:r>
            <w:r w:rsidR="006E07B9" w:rsidRPr="00625DC2">
              <w:rPr>
                <w:webHidden/>
                <w:lang w:val="en-GB"/>
              </w:rPr>
            </w:r>
            <w:r w:rsidR="006E07B9" w:rsidRPr="00625DC2">
              <w:rPr>
                <w:webHidden/>
                <w:lang w:val="en-GB"/>
              </w:rPr>
              <w:fldChar w:fldCharType="separate"/>
            </w:r>
            <w:r w:rsidR="006E07B9" w:rsidRPr="00625DC2">
              <w:rPr>
                <w:webHidden/>
                <w:lang w:val="en-GB"/>
              </w:rPr>
              <w:t>42</w:t>
            </w:r>
            <w:r w:rsidR="006E07B9" w:rsidRPr="00625DC2">
              <w:rPr>
                <w:webHidden/>
                <w:lang w:val="en-GB"/>
              </w:rPr>
              <w:fldChar w:fldCharType="end"/>
            </w:r>
          </w:hyperlink>
        </w:p>
        <w:p w:rsidR="006E07B9" w:rsidRPr="00625DC2" w:rsidRDefault="00D4245E">
          <w:pPr>
            <w:pStyle w:val="TOC3"/>
            <w:tabs>
              <w:tab w:val="right" w:leader="dot" w:pos="9350"/>
            </w:tabs>
            <w:rPr>
              <w:rFonts w:eastAsiaTheme="minorEastAsia"/>
              <w:lang w:val="en-GB"/>
            </w:rPr>
          </w:pPr>
          <w:hyperlink w:anchor="_Toc233458823" w:history="1">
            <w:r w:rsidR="006E07B9" w:rsidRPr="00625DC2">
              <w:rPr>
                <w:rStyle w:val="Hyperlink"/>
                <w:rFonts w:asciiTheme="majorBidi" w:hAnsiTheme="majorBidi" w:cstheme="majorBidi"/>
                <w:lang w:val="en-GB"/>
              </w:rPr>
              <w:t>Appendices</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_Toc233458823 \h </w:instrText>
            </w:r>
            <w:r w:rsidR="006E07B9" w:rsidRPr="00625DC2">
              <w:rPr>
                <w:webHidden/>
                <w:lang w:val="en-GB"/>
              </w:rPr>
            </w:r>
            <w:r w:rsidR="006E07B9" w:rsidRPr="00625DC2">
              <w:rPr>
                <w:webHidden/>
                <w:lang w:val="en-GB"/>
              </w:rPr>
              <w:fldChar w:fldCharType="separate"/>
            </w:r>
            <w:r w:rsidR="006E07B9" w:rsidRPr="00625DC2">
              <w:rPr>
                <w:webHidden/>
                <w:lang w:val="en-GB"/>
              </w:rPr>
              <w:t>48</w:t>
            </w:r>
            <w:r w:rsidR="006E07B9" w:rsidRPr="00625DC2">
              <w:rPr>
                <w:webHidden/>
                <w:lang w:val="en-GB"/>
              </w:rPr>
              <w:fldChar w:fldCharType="end"/>
            </w:r>
          </w:hyperlink>
        </w:p>
        <w:p w:rsidR="006E07B9" w:rsidRPr="00625DC2" w:rsidRDefault="00D4245E">
          <w:pPr>
            <w:pStyle w:val="TOC3"/>
            <w:tabs>
              <w:tab w:val="right" w:leader="dot" w:pos="9350"/>
            </w:tabs>
            <w:rPr>
              <w:rFonts w:eastAsiaTheme="minorEastAsia"/>
              <w:lang w:val="en-GB"/>
            </w:rPr>
          </w:pPr>
          <w:hyperlink w:anchor="_Toc233458824" w:history="1">
            <w:r w:rsidR="006E07B9" w:rsidRPr="00625DC2">
              <w:rPr>
                <w:rStyle w:val="Hyperlink"/>
                <w:rFonts w:asciiTheme="majorBidi" w:hAnsiTheme="majorBidi" w:cstheme="majorBidi"/>
                <w:lang w:val="en-GB"/>
              </w:rPr>
              <w:t>Appendix 1: QUESTIONNAIRE INSTRUMENT</w:t>
            </w:r>
            <w:r w:rsidR="006E07B9" w:rsidRPr="00625DC2">
              <w:rPr>
                <w:webHidden/>
                <w:lang w:val="en-GB"/>
              </w:rPr>
              <w:tab/>
            </w:r>
            <w:r w:rsidR="006E07B9" w:rsidRPr="00625DC2">
              <w:rPr>
                <w:webHidden/>
                <w:lang w:val="en-GB"/>
              </w:rPr>
              <w:fldChar w:fldCharType="begin"/>
            </w:r>
            <w:r w:rsidR="006E07B9" w:rsidRPr="00625DC2">
              <w:rPr>
                <w:webHidden/>
                <w:lang w:val="en-GB"/>
              </w:rPr>
              <w:instrText xml:space="preserve"> PAGEREF _Toc233458824 \h </w:instrText>
            </w:r>
            <w:r w:rsidR="006E07B9" w:rsidRPr="00625DC2">
              <w:rPr>
                <w:webHidden/>
                <w:lang w:val="en-GB"/>
              </w:rPr>
            </w:r>
            <w:r w:rsidR="006E07B9" w:rsidRPr="00625DC2">
              <w:rPr>
                <w:webHidden/>
                <w:lang w:val="en-GB"/>
              </w:rPr>
              <w:fldChar w:fldCharType="separate"/>
            </w:r>
            <w:r w:rsidR="006E07B9" w:rsidRPr="00625DC2">
              <w:rPr>
                <w:webHidden/>
                <w:lang w:val="en-GB"/>
              </w:rPr>
              <w:t>48</w:t>
            </w:r>
            <w:r w:rsidR="006E07B9" w:rsidRPr="00625DC2">
              <w:rPr>
                <w:webHidden/>
                <w:lang w:val="en-GB"/>
              </w:rPr>
              <w:fldChar w:fldCharType="end"/>
            </w:r>
          </w:hyperlink>
        </w:p>
        <w:p w:rsidR="00A90C77" w:rsidRPr="00625DC2" w:rsidRDefault="0060384F" w:rsidP="00BA72B6">
          <w:pPr>
            <w:spacing w:line="360" w:lineRule="auto"/>
            <w:rPr>
              <w:rFonts w:asciiTheme="majorBidi" w:hAnsiTheme="majorBidi" w:cstheme="majorBidi"/>
              <w:sz w:val="24"/>
              <w:szCs w:val="24"/>
              <w:lang w:val="en-GB"/>
            </w:rPr>
          </w:pPr>
          <w:r w:rsidRPr="00625DC2">
            <w:rPr>
              <w:rFonts w:asciiTheme="majorBidi" w:hAnsiTheme="majorBidi" w:cstheme="majorBidi"/>
              <w:b/>
              <w:bCs/>
              <w:sz w:val="24"/>
              <w:szCs w:val="24"/>
              <w:lang w:val="en-GB"/>
            </w:rPr>
            <w:fldChar w:fldCharType="end"/>
          </w:r>
        </w:p>
      </w:sdtContent>
    </w:sdt>
    <w:p w:rsidR="00CF1D61" w:rsidRPr="00625DC2" w:rsidRDefault="00CF1D61" w:rsidP="00BA72B6">
      <w:pPr>
        <w:spacing w:line="360" w:lineRule="auto"/>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br w:type="page"/>
      </w:r>
    </w:p>
    <w:p w:rsidR="004B49F1" w:rsidRPr="00625DC2" w:rsidRDefault="004B49F1" w:rsidP="00BA72B6">
      <w:pPr>
        <w:pStyle w:val="Heading1"/>
        <w:spacing w:line="360" w:lineRule="auto"/>
        <w:jc w:val="center"/>
        <w:rPr>
          <w:rFonts w:asciiTheme="majorBidi" w:eastAsia="Times New Roman" w:hAnsiTheme="majorBidi"/>
          <w:color w:val="000000" w:themeColor="text1"/>
          <w:sz w:val="24"/>
          <w:szCs w:val="24"/>
          <w:lang w:val="en-GB"/>
        </w:rPr>
      </w:pPr>
      <w:bookmarkStart w:id="1" w:name="_Toc233458781"/>
      <w:r w:rsidRPr="00625DC2">
        <w:rPr>
          <w:rFonts w:asciiTheme="majorBidi" w:eastAsia="Times New Roman" w:hAnsiTheme="majorBidi"/>
          <w:color w:val="000000" w:themeColor="text1"/>
          <w:sz w:val="24"/>
          <w:szCs w:val="24"/>
          <w:lang w:val="en-GB"/>
        </w:rPr>
        <w:lastRenderedPageBreak/>
        <w:t>CHAPTER 1: INTRODUCTION</w:t>
      </w:r>
      <w:bookmarkEnd w:id="1"/>
    </w:p>
    <w:p w:rsidR="004B49F1" w:rsidRPr="00625DC2" w:rsidRDefault="004B49F1" w:rsidP="00BA72B6">
      <w:pPr>
        <w:pStyle w:val="Heading2"/>
        <w:spacing w:line="360" w:lineRule="auto"/>
        <w:rPr>
          <w:rFonts w:asciiTheme="majorBidi" w:eastAsia="Times New Roman" w:hAnsiTheme="majorBidi"/>
          <w:color w:val="000000" w:themeColor="text1"/>
          <w:sz w:val="24"/>
          <w:szCs w:val="24"/>
          <w:lang w:val="en-GB"/>
        </w:rPr>
      </w:pPr>
      <w:bookmarkStart w:id="2" w:name="_Toc233458782"/>
      <w:r w:rsidRPr="00625DC2">
        <w:rPr>
          <w:rFonts w:asciiTheme="majorBidi" w:eastAsia="Times New Roman" w:hAnsiTheme="majorBidi"/>
          <w:color w:val="000000" w:themeColor="text1"/>
          <w:sz w:val="24"/>
          <w:szCs w:val="24"/>
          <w:lang w:val="en-GB"/>
        </w:rPr>
        <w:t>1.1 Background</w:t>
      </w:r>
      <w:bookmarkEnd w:id="2"/>
    </w:p>
    <w:p w:rsidR="00315020" w:rsidRPr="00625DC2" w:rsidRDefault="004A170F"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Hybrid working, the splitting of working hours between a central workplace and home</w:t>
      </w:r>
      <w:r w:rsidR="003010D8" w:rsidRPr="00625DC2">
        <w:rPr>
          <w:rFonts w:asciiTheme="majorBidi" w:hAnsiTheme="majorBidi" w:cstheme="majorBidi"/>
          <w:color w:val="000000" w:themeColor="text1"/>
          <w:sz w:val="24"/>
          <w:szCs w:val="24"/>
          <w:lang w:val="en-GB"/>
        </w:rPr>
        <w:t xml:space="preserve">, </w:t>
      </w:r>
      <w:r w:rsidRPr="00625DC2">
        <w:rPr>
          <w:rFonts w:asciiTheme="majorBidi" w:hAnsiTheme="majorBidi" w:cstheme="majorBidi"/>
          <w:color w:val="000000" w:themeColor="text1"/>
          <w:sz w:val="24"/>
          <w:szCs w:val="24"/>
          <w:lang w:val="en-GB"/>
        </w:rPr>
        <w:t>has been a contingency during the pandemic</w:t>
      </w:r>
      <w:r w:rsidR="003010D8" w:rsidRPr="00625DC2">
        <w:rPr>
          <w:rFonts w:asciiTheme="majorBidi" w:hAnsiTheme="majorBidi" w:cstheme="majorBidi"/>
          <w:color w:val="000000" w:themeColor="text1"/>
          <w:sz w:val="24"/>
          <w:szCs w:val="24"/>
          <w:lang w:val="en-GB"/>
        </w:rPr>
        <w:t xml:space="preserve">, but it has become part of the organisational design of the UK (Allen et al., 2015). </w:t>
      </w:r>
      <w:r w:rsidR="000A3837" w:rsidRPr="00625DC2">
        <w:rPr>
          <w:rFonts w:asciiTheme="majorBidi" w:hAnsiTheme="majorBidi" w:cstheme="majorBidi"/>
          <w:color w:val="000000" w:themeColor="text1"/>
          <w:sz w:val="24"/>
          <w:szCs w:val="24"/>
          <w:lang w:val="en-GB"/>
        </w:rPr>
        <w:t xml:space="preserve">As per </w:t>
      </w:r>
      <w:r w:rsidR="003010D8" w:rsidRPr="00625DC2">
        <w:rPr>
          <w:rFonts w:asciiTheme="majorBidi" w:hAnsiTheme="majorBidi" w:cstheme="majorBidi"/>
          <w:color w:val="000000" w:themeColor="text1"/>
          <w:sz w:val="24"/>
          <w:szCs w:val="24"/>
          <w:lang w:val="en-GB"/>
        </w:rPr>
        <w:t>the Office for National Statistics (ONS)</w:t>
      </w:r>
      <w:r w:rsidR="000A3837" w:rsidRPr="00625DC2">
        <w:rPr>
          <w:rFonts w:asciiTheme="majorBidi" w:hAnsiTheme="majorBidi" w:cstheme="majorBidi"/>
          <w:color w:val="000000" w:themeColor="text1"/>
          <w:sz w:val="24"/>
          <w:szCs w:val="24"/>
          <w:lang w:val="en-GB"/>
        </w:rPr>
        <w:t xml:space="preserve">, </w:t>
      </w:r>
      <w:r w:rsidR="003010D8" w:rsidRPr="00625DC2">
        <w:rPr>
          <w:rFonts w:asciiTheme="majorBidi" w:hAnsiTheme="majorBidi" w:cstheme="majorBidi"/>
          <w:color w:val="000000" w:themeColor="text1"/>
          <w:sz w:val="24"/>
          <w:szCs w:val="24"/>
          <w:lang w:val="en-GB"/>
        </w:rPr>
        <w:t xml:space="preserve">28% of working-age adults have been working in a hybrid way in 2023, which is significantly higher than the 10% recorded prior to the pandemic (ONS, 2023). That is especially true in service industries, where the level of service produced is largely a function of human effort and decision. </w:t>
      </w:r>
      <w:r w:rsidR="00315020" w:rsidRPr="00625DC2">
        <w:rPr>
          <w:rFonts w:asciiTheme="majorBidi" w:hAnsiTheme="majorBidi" w:cstheme="majorBidi"/>
          <w:color w:val="000000" w:themeColor="text1"/>
          <w:sz w:val="24"/>
          <w:szCs w:val="24"/>
          <w:lang w:val="en-GB"/>
        </w:rPr>
        <w:t>The permanence of hybrid working can be observed in practice. For example, Microsoft has embedded flexible and hybrid working arrangements into its long-term people strategy, arguing that flexibility improves employee experience and talent attraction. In contrast, Amazon has gradually shifted employees back towards office-based work, citing concerns regarding collaboration, organisational culture and innovation. These contrasting organisational responses illustrate the ongoing debate regarding the effects of hybrid working on employees and organisations.</w:t>
      </w:r>
    </w:p>
    <w:p w:rsidR="003010D8" w:rsidRPr="00625DC2" w:rsidRDefault="003010D8"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Regular/occasional homeworking is the most prevalent form of flexibility offered, and </w:t>
      </w:r>
      <w:r w:rsidR="004A170F" w:rsidRPr="00625DC2">
        <w:rPr>
          <w:rFonts w:asciiTheme="majorBidi" w:hAnsiTheme="majorBidi" w:cstheme="majorBidi"/>
          <w:color w:val="000000" w:themeColor="text1"/>
          <w:sz w:val="24"/>
          <w:szCs w:val="24"/>
          <w:lang w:val="en-GB"/>
        </w:rPr>
        <w:t xml:space="preserve">staff clearly prefer arrangements </w:t>
      </w:r>
      <w:r w:rsidRPr="00625DC2">
        <w:rPr>
          <w:rFonts w:asciiTheme="majorBidi" w:hAnsiTheme="majorBidi" w:cstheme="majorBidi"/>
          <w:color w:val="000000" w:themeColor="text1"/>
          <w:sz w:val="24"/>
          <w:szCs w:val="24"/>
          <w:lang w:val="en-GB"/>
        </w:rPr>
        <w:t xml:space="preserve">that offer a degree of autonomy with stability, revealed the CIPD (2023). But the expected benefits of the increased productivity and satisfaction have not always been </w:t>
      </w:r>
      <w:r w:rsidR="00C6420F" w:rsidRPr="00625DC2">
        <w:rPr>
          <w:rFonts w:asciiTheme="majorBidi" w:hAnsiTheme="majorBidi" w:cstheme="majorBidi"/>
          <w:color w:val="000000" w:themeColor="text1"/>
          <w:sz w:val="24"/>
          <w:szCs w:val="24"/>
          <w:lang w:val="en-GB"/>
        </w:rPr>
        <w:t>realised</w:t>
      </w:r>
      <w:r w:rsidRPr="00625DC2">
        <w:rPr>
          <w:rFonts w:asciiTheme="majorBidi" w:hAnsiTheme="majorBidi" w:cstheme="majorBidi"/>
          <w:color w:val="000000" w:themeColor="text1"/>
          <w:sz w:val="24"/>
          <w:szCs w:val="24"/>
          <w:lang w:val="en-GB"/>
        </w:rPr>
        <w:t xml:space="preserve">. Some staff members feel their work–life balance and sense of autonomy have improved, whereas others feel isolated socially, have </w:t>
      </w:r>
      <w:r w:rsidR="004A170F" w:rsidRPr="00625DC2">
        <w:rPr>
          <w:rFonts w:asciiTheme="majorBidi" w:hAnsiTheme="majorBidi" w:cstheme="majorBidi"/>
          <w:color w:val="000000" w:themeColor="text1"/>
          <w:sz w:val="24"/>
          <w:szCs w:val="24"/>
          <w:lang w:val="en-GB"/>
        </w:rPr>
        <w:t xml:space="preserve">blurred work–life boundaries </w:t>
      </w:r>
      <w:r w:rsidRPr="00625DC2">
        <w:rPr>
          <w:rFonts w:asciiTheme="majorBidi" w:hAnsiTheme="majorBidi" w:cstheme="majorBidi"/>
          <w:color w:val="000000" w:themeColor="text1"/>
          <w:sz w:val="24"/>
          <w:szCs w:val="24"/>
          <w:lang w:val="en-GB"/>
        </w:rPr>
        <w:t>and are not recognised for their work (Felstead and Reuschke, 2020). This tension serves as a backdrop to the understanding of engagement and retention outcomes.</w:t>
      </w:r>
    </w:p>
    <w:p w:rsidR="00EA33B9" w:rsidRPr="00625DC2" w:rsidRDefault="00EA33B9"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Despite the widespread adoption of hybrid working, organisations remain divided regarding its consequences for employees. While some organisations perceive hybrid working as an important mechanism for increasing flexibility and retaining talent, others remain concerned about its effects on engagement and collaboration. Consequently, there remains uncertainty regarding whether hybrid working ultimately strengthens or weakens employee engagement and retention, particularly within UK service organisations.</w:t>
      </w:r>
    </w:p>
    <w:p w:rsidR="004B49F1" w:rsidRPr="00625DC2" w:rsidRDefault="004B49F1" w:rsidP="00BA72B6">
      <w:pPr>
        <w:pStyle w:val="Heading2"/>
        <w:spacing w:line="360" w:lineRule="auto"/>
        <w:rPr>
          <w:rFonts w:asciiTheme="majorBidi" w:eastAsia="Times New Roman" w:hAnsiTheme="majorBidi"/>
          <w:color w:val="000000" w:themeColor="text1"/>
          <w:sz w:val="24"/>
          <w:szCs w:val="24"/>
          <w:lang w:val="en-GB"/>
        </w:rPr>
      </w:pPr>
      <w:bookmarkStart w:id="3" w:name="_Toc233458783"/>
      <w:r w:rsidRPr="00625DC2">
        <w:rPr>
          <w:rFonts w:asciiTheme="majorBidi" w:eastAsia="Times New Roman" w:hAnsiTheme="majorBidi"/>
          <w:color w:val="000000" w:themeColor="text1"/>
          <w:sz w:val="24"/>
          <w:szCs w:val="24"/>
          <w:lang w:val="en-GB"/>
        </w:rPr>
        <w:lastRenderedPageBreak/>
        <w:t>1.2 Problem Statement</w:t>
      </w:r>
      <w:bookmarkEnd w:id="3"/>
    </w:p>
    <w:p w:rsidR="003010D8" w:rsidRPr="00625DC2" w:rsidRDefault="003010D8"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In service </w:t>
      </w:r>
      <w:r w:rsidR="00C6420F" w:rsidRPr="00625DC2">
        <w:rPr>
          <w:rFonts w:asciiTheme="majorBidi" w:hAnsiTheme="majorBidi" w:cstheme="majorBidi"/>
          <w:color w:val="000000" w:themeColor="text1"/>
          <w:sz w:val="24"/>
          <w:szCs w:val="24"/>
          <w:lang w:val="en-GB"/>
        </w:rPr>
        <w:t>organisations, specifically in the UK,</w:t>
      </w:r>
      <w:r w:rsidRPr="00625DC2">
        <w:rPr>
          <w:rFonts w:asciiTheme="majorBidi" w:hAnsiTheme="majorBidi" w:cstheme="majorBidi"/>
          <w:color w:val="000000" w:themeColor="text1"/>
          <w:sz w:val="24"/>
          <w:szCs w:val="24"/>
          <w:lang w:val="en-GB"/>
        </w:rPr>
        <w:t xml:space="preserve"> </w:t>
      </w:r>
      <w:r w:rsidR="004A170F" w:rsidRPr="00625DC2">
        <w:rPr>
          <w:rFonts w:asciiTheme="majorBidi" w:hAnsiTheme="majorBidi" w:cstheme="majorBidi"/>
          <w:color w:val="000000" w:themeColor="text1"/>
          <w:sz w:val="24"/>
          <w:szCs w:val="24"/>
          <w:lang w:val="en-GB"/>
        </w:rPr>
        <w:t>involvement and retention are critical components</w:t>
      </w:r>
      <w:r w:rsidRPr="00625DC2">
        <w:rPr>
          <w:rFonts w:asciiTheme="majorBidi" w:hAnsiTheme="majorBidi" w:cstheme="majorBidi"/>
          <w:color w:val="000000" w:themeColor="text1"/>
          <w:sz w:val="24"/>
          <w:szCs w:val="24"/>
          <w:lang w:val="en-GB"/>
        </w:rPr>
        <w:t xml:space="preserve"> of service quality, customer satisfaction and competitiveness, as the quality of service a customer receives is directly influenced by the involvement and continuity of its staff (Harter et al., 2002; Roy et al., 2022). There is a worry among senior managers that hybrid might lead to a decreased sense of belonging and informal working relationships, and generate inequalities between those working remotely and in the office (Yang et al., 2022). </w:t>
      </w:r>
      <w:r w:rsidR="000F1563" w:rsidRPr="00625DC2">
        <w:rPr>
          <w:rFonts w:asciiTheme="majorBidi" w:hAnsiTheme="majorBidi" w:cstheme="majorBidi"/>
          <w:color w:val="000000" w:themeColor="text1"/>
          <w:sz w:val="24"/>
          <w:szCs w:val="24"/>
          <w:lang w:val="en-GB"/>
        </w:rPr>
        <w:t>These concerns appear in lower engagement-survey scores, higher absenteeism and increased turnover, especially among skilled and customer-facing workers</w:t>
      </w:r>
      <w:r w:rsidRPr="00625DC2">
        <w:rPr>
          <w:rFonts w:asciiTheme="majorBidi" w:hAnsiTheme="majorBidi" w:cstheme="majorBidi"/>
          <w:color w:val="000000" w:themeColor="text1"/>
          <w:sz w:val="24"/>
          <w:szCs w:val="24"/>
          <w:lang w:val="en-GB"/>
        </w:rPr>
        <w:t>. The challenge is that hybrid working is multi-layered</w:t>
      </w:r>
      <w:r w:rsidR="00C6420F" w:rsidRPr="00625DC2">
        <w:rPr>
          <w:rFonts w:asciiTheme="majorBidi" w:hAnsiTheme="majorBidi" w:cstheme="majorBidi"/>
          <w:color w:val="000000" w:themeColor="text1"/>
          <w:sz w:val="24"/>
          <w:szCs w:val="24"/>
          <w:lang w:val="en-GB"/>
        </w:rPr>
        <w:t xml:space="preserve"> and related to a range of issues,</w:t>
      </w:r>
      <w:r w:rsidRPr="00625DC2">
        <w:rPr>
          <w:rFonts w:asciiTheme="majorBidi" w:hAnsiTheme="majorBidi" w:cstheme="majorBidi"/>
          <w:color w:val="000000" w:themeColor="text1"/>
          <w:sz w:val="24"/>
          <w:szCs w:val="24"/>
          <w:lang w:val="en-GB"/>
        </w:rPr>
        <w:t xml:space="preserve"> including leadership, communication, performance management, and </w:t>
      </w:r>
      <w:r w:rsidR="00C6420F" w:rsidRPr="00625DC2">
        <w:rPr>
          <w:rFonts w:asciiTheme="majorBidi" w:hAnsiTheme="majorBidi" w:cstheme="majorBidi"/>
          <w:color w:val="000000" w:themeColor="text1"/>
          <w:sz w:val="24"/>
          <w:szCs w:val="24"/>
          <w:lang w:val="en-GB"/>
        </w:rPr>
        <w:t>well-being</w:t>
      </w:r>
      <w:r w:rsidRPr="00625DC2">
        <w:rPr>
          <w:rFonts w:asciiTheme="majorBidi" w:hAnsiTheme="majorBidi" w:cstheme="majorBidi"/>
          <w:color w:val="000000" w:themeColor="text1"/>
          <w:sz w:val="24"/>
          <w:szCs w:val="24"/>
          <w:lang w:val="en-GB"/>
        </w:rPr>
        <w:t xml:space="preserve"> (Wang et al., 2021). This means that few organisations have a strong, </w:t>
      </w:r>
      <w:r w:rsidR="00C6420F" w:rsidRPr="00625DC2">
        <w:rPr>
          <w:rFonts w:asciiTheme="majorBidi" w:hAnsiTheme="majorBidi" w:cstheme="majorBidi"/>
          <w:color w:val="000000" w:themeColor="text1"/>
          <w:sz w:val="24"/>
          <w:szCs w:val="24"/>
          <w:lang w:val="en-GB"/>
        </w:rPr>
        <w:t>evidence-based</w:t>
      </w:r>
      <w:r w:rsidRPr="00625DC2">
        <w:rPr>
          <w:rFonts w:asciiTheme="majorBidi" w:hAnsiTheme="majorBidi" w:cstheme="majorBidi"/>
          <w:color w:val="000000" w:themeColor="text1"/>
          <w:sz w:val="24"/>
          <w:szCs w:val="24"/>
          <w:lang w:val="en-GB"/>
        </w:rPr>
        <w:t xml:space="preserve"> understanding of the impact of these arrangements on engagement and retention, </w:t>
      </w:r>
      <w:r w:rsidR="00EA33B9" w:rsidRPr="00625DC2">
        <w:rPr>
          <w:rFonts w:asciiTheme="majorBidi" w:hAnsiTheme="majorBidi" w:cstheme="majorBidi"/>
          <w:color w:val="000000" w:themeColor="text1"/>
          <w:sz w:val="24"/>
          <w:szCs w:val="24"/>
          <w:lang w:val="en-GB"/>
        </w:rPr>
        <w:t>meaning managers often lack an evidence-based foundation for developing effective hybrid working policies</w:t>
      </w:r>
      <w:r w:rsidRPr="00625DC2">
        <w:rPr>
          <w:rFonts w:asciiTheme="majorBidi" w:hAnsiTheme="majorBidi" w:cstheme="majorBidi"/>
          <w:color w:val="000000" w:themeColor="text1"/>
          <w:sz w:val="24"/>
          <w:szCs w:val="24"/>
          <w:lang w:val="en-GB"/>
        </w:rPr>
        <w:t>. To fill this gap, this study explores the effects of hybrid working on engagement and retention in the UK service sector and how this happens.</w:t>
      </w:r>
    </w:p>
    <w:p w:rsidR="004B49F1" w:rsidRPr="00625DC2" w:rsidRDefault="004B49F1" w:rsidP="00BA72B6">
      <w:pPr>
        <w:pStyle w:val="Heading2"/>
        <w:spacing w:line="360" w:lineRule="auto"/>
        <w:rPr>
          <w:rFonts w:asciiTheme="majorBidi" w:eastAsia="Times New Roman" w:hAnsiTheme="majorBidi"/>
          <w:color w:val="000000" w:themeColor="text1"/>
          <w:sz w:val="24"/>
          <w:szCs w:val="24"/>
          <w:lang w:val="en-GB"/>
        </w:rPr>
      </w:pPr>
      <w:bookmarkStart w:id="4" w:name="_Toc233458784"/>
      <w:r w:rsidRPr="00625DC2">
        <w:rPr>
          <w:rFonts w:asciiTheme="majorBidi" w:eastAsia="Times New Roman" w:hAnsiTheme="majorBidi"/>
          <w:color w:val="000000" w:themeColor="text1"/>
          <w:sz w:val="24"/>
          <w:szCs w:val="24"/>
          <w:lang w:val="en-GB"/>
        </w:rPr>
        <w:t>1.3 Research Aim and Objectives</w:t>
      </w:r>
      <w:bookmarkEnd w:id="4"/>
    </w:p>
    <w:p w:rsidR="004B49F1" w:rsidRPr="00625DC2" w:rsidRDefault="004B49F1" w:rsidP="00BA72B6">
      <w:pPr>
        <w:spacing w:before="100" w:beforeAutospacing="1" w:after="100" w:afterAutospacing="1"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This research aims to examine the impact of hybrid working practices on employee engagement and retention in UK service organisations. The objectives are:</w:t>
      </w:r>
    </w:p>
    <w:p w:rsidR="004B49F1" w:rsidRPr="00625DC2" w:rsidRDefault="004B49F1" w:rsidP="00BA72B6">
      <w:pPr>
        <w:numPr>
          <w:ilvl w:val="0"/>
          <w:numId w:val="1"/>
        </w:numPr>
        <w:spacing w:before="100" w:beforeAutospacing="1" w:after="100" w:afterAutospacing="1"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To measure employees' perceptions of hybrid working practices within UK service organisations.</w:t>
      </w:r>
    </w:p>
    <w:p w:rsidR="004B49F1" w:rsidRPr="00625DC2" w:rsidRDefault="004B49F1" w:rsidP="00BA72B6">
      <w:pPr>
        <w:numPr>
          <w:ilvl w:val="0"/>
          <w:numId w:val="1"/>
        </w:numPr>
        <w:spacing w:before="100" w:beforeAutospacing="1" w:after="100" w:afterAutospacing="1"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To analyse the relationship between hybrid working practices and employee engagement.</w:t>
      </w:r>
    </w:p>
    <w:p w:rsidR="004B49F1" w:rsidRPr="00625DC2" w:rsidRDefault="004B49F1" w:rsidP="00BA72B6">
      <w:pPr>
        <w:numPr>
          <w:ilvl w:val="0"/>
          <w:numId w:val="1"/>
        </w:numPr>
        <w:spacing w:before="100" w:beforeAutospacing="1" w:after="100" w:afterAutospacing="1"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To examine the relationship between employee engagement and turnover intention.</w:t>
      </w:r>
    </w:p>
    <w:p w:rsidR="004B49F1" w:rsidRPr="00625DC2" w:rsidRDefault="004B49F1" w:rsidP="00BA72B6">
      <w:pPr>
        <w:numPr>
          <w:ilvl w:val="0"/>
          <w:numId w:val="1"/>
        </w:numPr>
        <w:spacing w:before="100" w:beforeAutospacing="1" w:after="100" w:afterAutospacing="1"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To assess whether employee engagement mediates the relationship between hybrid working practices and employee retention.</w:t>
      </w:r>
    </w:p>
    <w:p w:rsidR="004B49F1" w:rsidRPr="00625DC2" w:rsidRDefault="004B49F1" w:rsidP="00BA72B6">
      <w:pPr>
        <w:pStyle w:val="Heading2"/>
        <w:spacing w:line="360" w:lineRule="auto"/>
        <w:rPr>
          <w:rFonts w:asciiTheme="majorBidi" w:eastAsia="Times New Roman" w:hAnsiTheme="majorBidi"/>
          <w:color w:val="000000" w:themeColor="text1"/>
          <w:sz w:val="24"/>
          <w:szCs w:val="24"/>
          <w:lang w:val="en-GB"/>
        </w:rPr>
      </w:pPr>
      <w:bookmarkStart w:id="5" w:name="_Toc233458785"/>
      <w:r w:rsidRPr="00625DC2">
        <w:rPr>
          <w:rFonts w:asciiTheme="majorBidi" w:eastAsia="Times New Roman" w:hAnsiTheme="majorBidi"/>
          <w:color w:val="000000" w:themeColor="text1"/>
          <w:sz w:val="24"/>
          <w:szCs w:val="24"/>
          <w:lang w:val="en-GB"/>
        </w:rPr>
        <w:t>1.4 Research Rationale and Significance</w:t>
      </w:r>
      <w:bookmarkEnd w:id="5"/>
    </w:p>
    <w:p w:rsidR="003010D8" w:rsidRPr="00625DC2" w:rsidRDefault="003010D8"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 reasons for this are not only empirical but also practical. The evidence is actually mixed: Gajendran et al. (2015) </w:t>
      </w:r>
      <w:r w:rsidR="00C6420F" w:rsidRPr="00625DC2">
        <w:rPr>
          <w:rFonts w:asciiTheme="majorBidi" w:hAnsiTheme="majorBidi" w:cstheme="majorBidi"/>
          <w:color w:val="000000" w:themeColor="text1"/>
          <w:sz w:val="24"/>
          <w:szCs w:val="24"/>
          <w:lang w:val="en-GB"/>
        </w:rPr>
        <w:t>found that a greater engagement level is correlated with a greater engagement level, while Contreras et al. (2020) found that low perceived support and high levels of isolation are correlated with a greater engagement level</w:t>
      </w:r>
      <w:r w:rsidRPr="00625DC2">
        <w:rPr>
          <w:rFonts w:asciiTheme="majorBidi" w:hAnsiTheme="majorBidi" w:cstheme="majorBidi"/>
          <w:color w:val="000000" w:themeColor="text1"/>
          <w:sz w:val="24"/>
          <w:szCs w:val="24"/>
          <w:lang w:val="en-GB"/>
        </w:rPr>
        <w:t xml:space="preserve">. There has been some recent debate </w:t>
      </w:r>
      <w:r w:rsidRPr="00625DC2">
        <w:rPr>
          <w:rFonts w:asciiTheme="majorBidi" w:hAnsiTheme="majorBidi" w:cstheme="majorBidi"/>
          <w:color w:val="000000" w:themeColor="text1"/>
          <w:sz w:val="24"/>
          <w:szCs w:val="24"/>
          <w:lang w:val="en-GB"/>
        </w:rPr>
        <w:lastRenderedPageBreak/>
        <w:t xml:space="preserve">that has now been limited in scope; Singh and Sant (2025) found that engagement-enhancing practices are more effective in hybrid than fully remote settings, but the study was </w:t>
      </w:r>
      <w:r w:rsidR="00C6420F" w:rsidRPr="00625DC2">
        <w:rPr>
          <w:rFonts w:asciiTheme="majorBidi" w:hAnsiTheme="majorBidi" w:cstheme="majorBidi"/>
          <w:color w:val="000000" w:themeColor="text1"/>
          <w:sz w:val="24"/>
          <w:szCs w:val="24"/>
          <w:lang w:val="en-GB"/>
        </w:rPr>
        <w:t xml:space="preserve">cross-sectional and single-sector, which limits the generalisability, while Jindain and Gilitwala (2024) found a </w:t>
      </w:r>
      <w:r w:rsidRPr="00625DC2">
        <w:rPr>
          <w:rFonts w:asciiTheme="majorBidi" w:hAnsiTheme="majorBidi" w:cstheme="majorBidi"/>
          <w:color w:val="000000" w:themeColor="text1"/>
          <w:sz w:val="24"/>
          <w:szCs w:val="24"/>
          <w:lang w:val="en-GB"/>
        </w:rPr>
        <w:t>single organisational case study. In particular, this research focuses on the gap created by the lack of studies, as few studies are indirect and rely on engagement as a mediating process when examining retention. In practice, knowing these relationships may give senior managers valuable guidance on how to manage managers' training, communication systems, and resource design (Bakker and Demerouti, 2014), and indeed, with turnover intention a known predictor of actual turnover (Allen et al., 2010), clarifying these relationships is important for giving managers actionable guidance. This has therefore two values: firstly, that practitioners have evidence to inform their practice of optimi</w:t>
      </w:r>
      <w:r w:rsidR="00205C54" w:rsidRPr="00625DC2">
        <w:rPr>
          <w:rFonts w:asciiTheme="majorBidi" w:hAnsiTheme="majorBidi" w:cstheme="majorBidi"/>
          <w:color w:val="000000" w:themeColor="text1"/>
          <w:sz w:val="24"/>
          <w:szCs w:val="24"/>
          <w:lang w:val="en-GB"/>
        </w:rPr>
        <w:t>s</w:t>
      </w:r>
      <w:r w:rsidRPr="00625DC2">
        <w:rPr>
          <w:rFonts w:asciiTheme="majorBidi" w:hAnsiTheme="majorBidi" w:cstheme="majorBidi"/>
          <w:color w:val="000000" w:themeColor="text1"/>
          <w:sz w:val="24"/>
          <w:szCs w:val="24"/>
          <w:lang w:val="en-GB"/>
        </w:rPr>
        <w:t>ing the hybrid policy and reducing expensive turnover, but also that they have the opportunity to test a mediated model in a service context which has not been extensively researched in the UK.</w:t>
      </w:r>
    </w:p>
    <w:p w:rsidR="004B49F1" w:rsidRPr="00625DC2" w:rsidRDefault="004B49F1" w:rsidP="00BA72B6">
      <w:pPr>
        <w:pStyle w:val="Heading2"/>
        <w:spacing w:line="360" w:lineRule="auto"/>
        <w:rPr>
          <w:rFonts w:asciiTheme="majorBidi" w:eastAsia="Times New Roman" w:hAnsiTheme="majorBidi"/>
          <w:color w:val="000000" w:themeColor="text1"/>
          <w:sz w:val="24"/>
          <w:szCs w:val="24"/>
          <w:lang w:val="en-GB"/>
        </w:rPr>
      </w:pPr>
      <w:bookmarkStart w:id="6" w:name="_Toc233458786"/>
      <w:r w:rsidRPr="00625DC2">
        <w:rPr>
          <w:rFonts w:asciiTheme="majorBidi" w:eastAsia="Times New Roman" w:hAnsiTheme="majorBidi"/>
          <w:color w:val="000000" w:themeColor="text1"/>
          <w:sz w:val="24"/>
          <w:szCs w:val="24"/>
          <w:lang w:val="en-GB"/>
        </w:rPr>
        <w:t>1.5 Structure of the Dissertation</w:t>
      </w:r>
      <w:bookmarkEnd w:id="6"/>
    </w:p>
    <w:p w:rsidR="003010D8" w:rsidRPr="00625DC2" w:rsidRDefault="003010D8"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 dissertation consists of five chapters. The background, problem, aim, objectives, rationale and significance are introduced in Chapter One. Chapter Two provides a critical review of literature and constructs </w:t>
      </w:r>
      <w:r w:rsidR="00A640B6" w:rsidRPr="00625DC2">
        <w:rPr>
          <w:rFonts w:asciiTheme="majorBidi" w:hAnsiTheme="majorBidi" w:cstheme="majorBidi"/>
          <w:color w:val="000000" w:themeColor="text1"/>
          <w:sz w:val="24"/>
          <w:szCs w:val="24"/>
          <w:lang w:val="en-GB"/>
        </w:rPr>
        <w:t>a conceptual framework and hypotheses</w:t>
      </w:r>
      <w:r w:rsidRPr="00625DC2">
        <w:rPr>
          <w:rFonts w:asciiTheme="majorBidi" w:hAnsiTheme="majorBidi" w:cstheme="majorBidi"/>
          <w:color w:val="000000" w:themeColor="text1"/>
          <w:sz w:val="24"/>
          <w:szCs w:val="24"/>
          <w:lang w:val="en-GB"/>
        </w:rPr>
        <w:t xml:space="preserve"> on ‘hybrid working', 'engagement and retention'. The quantitative methodology is discussed in Chapter Three with justification of the use of variables, the survey instrument, sampling and ethics. The results from the study are presented and analysed in Chapter Four with the following analysis methods: descriptive, correlation, regression and mediation analysis. </w:t>
      </w:r>
      <w:r w:rsidR="00ED108A" w:rsidRPr="00625DC2">
        <w:rPr>
          <w:rFonts w:asciiTheme="majorBidi" w:hAnsiTheme="majorBidi" w:cstheme="majorBidi"/>
          <w:color w:val="000000" w:themeColor="text1"/>
          <w:sz w:val="24"/>
          <w:szCs w:val="24"/>
          <w:lang w:val="en-GB"/>
        </w:rPr>
        <w:t xml:space="preserve">Chapter Five provides conclusions, </w:t>
      </w:r>
      <w:r w:rsidRPr="00625DC2">
        <w:rPr>
          <w:rFonts w:asciiTheme="majorBidi" w:hAnsiTheme="majorBidi" w:cstheme="majorBidi"/>
          <w:color w:val="000000" w:themeColor="text1"/>
          <w:sz w:val="24"/>
          <w:szCs w:val="24"/>
          <w:lang w:val="en-GB"/>
        </w:rPr>
        <w:t>limitations and recommendations for senior management and future research.</w:t>
      </w:r>
    </w:p>
    <w:p w:rsidR="00ED108A" w:rsidRPr="00625DC2" w:rsidRDefault="00ED108A" w:rsidP="00BA72B6">
      <w:pPr>
        <w:pStyle w:val="Heading1"/>
        <w:spacing w:line="360" w:lineRule="auto"/>
        <w:rPr>
          <w:rFonts w:asciiTheme="majorBidi" w:hAnsiTheme="majorBidi"/>
          <w:color w:val="000000" w:themeColor="text1"/>
          <w:sz w:val="24"/>
          <w:szCs w:val="24"/>
          <w:lang w:val="en-GB"/>
        </w:rPr>
      </w:pPr>
      <w:bookmarkStart w:id="7" w:name="_Toc233458787"/>
      <w:r w:rsidRPr="00625DC2">
        <w:rPr>
          <w:rFonts w:asciiTheme="majorBidi" w:hAnsiTheme="majorBidi"/>
          <w:color w:val="000000" w:themeColor="text1"/>
          <w:sz w:val="24"/>
          <w:szCs w:val="24"/>
          <w:lang w:val="en-GB"/>
        </w:rPr>
        <w:t>Chapter 2: Literature Review</w:t>
      </w:r>
      <w:bookmarkEnd w:id="7"/>
    </w:p>
    <w:p w:rsidR="00AD375C" w:rsidRPr="00625DC2" w:rsidRDefault="00AD375C" w:rsidP="00BA72B6">
      <w:pPr>
        <w:pStyle w:val="Heading2"/>
        <w:spacing w:line="360" w:lineRule="auto"/>
        <w:rPr>
          <w:rFonts w:asciiTheme="majorBidi" w:hAnsiTheme="majorBidi"/>
          <w:color w:val="000000" w:themeColor="text1"/>
          <w:sz w:val="24"/>
          <w:szCs w:val="24"/>
          <w:lang w:val="en-GB"/>
        </w:rPr>
      </w:pPr>
      <w:bookmarkStart w:id="8" w:name="_Toc233458788"/>
      <w:r w:rsidRPr="00625DC2">
        <w:rPr>
          <w:rFonts w:asciiTheme="majorBidi" w:hAnsiTheme="majorBidi"/>
          <w:color w:val="000000" w:themeColor="text1"/>
          <w:sz w:val="24"/>
          <w:szCs w:val="24"/>
          <w:lang w:val="en-GB"/>
        </w:rPr>
        <w:t>2.1 Introduction</w:t>
      </w:r>
      <w:bookmarkEnd w:id="8"/>
    </w:p>
    <w:p w:rsidR="00EA33B9" w:rsidRPr="00625DC2" w:rsidRDefault="00EA33B9"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This chapter critically reviews the literature surrounding hybrid working, employee engagement and employee retention. The review is organised into four interconnected themes. The first conceptualises hybrid working and highlights definitional debates. The second examines employee engagement and its organisational implications. The third explores the relationship between hybrid working and engagement, considering both positive and negative perspectives. </w:t>
      </w:r>
      <w:r w:rsidRPr="00625DC2">
        <w:rPr>
          <w:rFonts w:asciiTheme="majorBidi" w:hAnsiTheme="majorBidi" w:cstheme="majorBidi"/>
          <w:color w:val="000000" w:themeColor="text1"/>
          <w:sz w:val="24"/>
          <w:szCs w:val="24"/>
          <w:lang w:val="en-GB"/>
        </w:rPr>
        <w:lastRenderedPageBreak/>
        <w:t xml:space="preserve">The fourth </w:t>
      </w:r>
      <w:r w:rsidR="00A640B6" w:rsidRPr="00625DC2">
        <w:rPr>
          <w:rFonts w:asciiTheme="majorBidi" w:hAnsiTheme="majorBidi" w:cstheme="majorBidi"/>
          <w:color w:val="000000" w:themeColor="text1"/>
          <w:sz w:val="24"/>
          <w:szCs w:val="24"/>
          <w:lang w:val="en-GB"/>
        </w:rPr>
        <w:t>analysis examines</w:t>
      </w:r>
      <w:r w:rsidRPr="00625DC2">
        <w:rPr>
          <w:rFonts w:asciiTheme="majorBidi" w:hAnsiTheme="majorBidi" w:cstheme="majorBidi"/>
          <w:color w:val="000000" w:themeColor="text1"/>
          <w:sz w:val="24"/>
          <w:szCs w:val="24"/>
          <w:lang w:val="en-GB"/>
        </w:rPr>
        <w:t xml:space="preserve"> employee retention and turnover intention and evaluates the potential mediating role of engagement. Throughout the review, contrasting theoretical and empirical arguments are critically examined to identify gaps that justify the present study.</w:t>
      </w:r>
    </w:p>
    <w:p w:rsidR="00ED108A" w:rsidRPr="00625DC2" w:rsidRDefault="00ED108A"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 methodological </w:t>
      </w:r>
      <w:r w:rsidR="00A640B6" w:rsidRPr="00625DC2">
        <w:rPr>
          <w:rFonts w:asciiTheme="majorBidi" w:hAnsiTheme="majorBidi" w:cstheme="majorBidi"/>
          <w:color w:val="000000" w:themeColor="text1"/>
          <w:sz w:val="24"/>
          <w:szCs w:val="24"/>
          <w:lang w:val="en-GB"/>
        </w:rPr>
        <w:t>strengths and weaknesses are assessed in each theme, rather than in a separate section,</w:t>
      </w:r>
      <w:r w:rsidRPr="00625DC2">
        <w:rPr>
          <w:rFonts w:asciiTheme="majorBidi" w:hAnsiTheme="majorBidi" w:cstheme="majorBidi"/>
          <w:color w:val="000000" w:themeColor="text1"/>
          <w:sz w:val="24"/>
          <w:szCs w:val="24"/>
          <w:lang w:val="en-GB"/>
        </w:rPr>
        <w:t xml:space="preserve"> so that the quality of the design is also assessed with the results it delivers. The chapter concludes with a summary of the gap that was filled in the study.</w:t>
      </w:r>
    </w:p>
    <w:p w:rsidR="00AD375C" w:rsidRPr="00625DC2" w:rsidRDefault="00AD375C" w:rsidP="00BA72B6">
      <w:pPr>
        <w:pStyle w:val="Heading2"/>
        <w:spacing w:line="360" w:lineRule="auto"/>
        <w:rPr>
          <w:rFonts w:asciiTheme="majorBidi" w:hAnsiTheme="majorBidi"/>
          <w:color w:val="000000" w:themeColor="text1"/>
          <w:sz w:val="24"/>
          <w:szCs w:val="24"/>
          <w:lang w:val="en-GB"/>
        </w:rPr>
      </w:pPr>
      <w:bookmarkStart w:id="9" w:name="_Toc233458789"/>
      <w:r w:rsidRPr="00625DC2">
        <w:rPr>
          <w:rFonts w:asciiTheme="majorBidi" w:hAnsiTheme="majorBidi"/>
          <w:color w:val="000000" w:themeColor="text1"/>
          <w:sz w:val="24"/>
          <w:szCs w:val="24"/>
          <w:lang w:val="en-GB"/>
        </w:rPr>
        <w:t>2.2 Conceptualising Hybrid Working in Contemporary Organisations</w:t>
      </w:r>
      <w:bookmarkEnd w:id="9"/>
    </w:p>
    <w:p w:rsidR="00ED108A" w:rsidRPr="00625DC2" w:rsidRDefault="00ED108A"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One of the core flaws in this area is </w:t>
      </w:r>
      <w:r w:rsidR="00A640B6" w:rsidRPr="00625DC2">
        <w:rPr>
          <w:rFonts w:asciiTheme="majorBidi" w:hAnsiTheme="majorBidi" w:cstheme="majorBidi"/>
          <w:color w:val="000000" w:themeColor="text1"/>
          <w:sz w:val="24"/>
          <w:szCs w:val="24"/>
          <w:lang w:val="en-GB"/>
        </w:rPr>
        <w:t xml:space="preserve">a </w:t>
      </w:r>
      <w:r w:rsidRPr="00625DC2">
        <w:rPr>
          <w:rFonts w:asciiTheme="majorBidi" w:hAnsiTheme="majorBidi" w:cstheme="majorBidi"/>
          <w:color w:val="000000" w:themeColor="text1"/>
          <w:sz w:val="24"/>
          <w:szCs w:val="24"/>
          <w:lang w:val="en-GB"/>
        </w:rPr>
        <w:t>lack of conceptual clarity. Inevitably, the term “hybrid work” is used too broadly, which makes it difficult to compare across studies because it includes all manner of combinations of where, when, and how often staff members work remotely.</w:t>
      </w:r>
      <w:r w:rsidR="00A640B6" w:rsidRPr="00625DC2">
        <w:rPr>
          <w:rFonts w:asciiTheme="majorBidi" w:hAnsiTheme="majorBidi" w:cstheme="majorBidi"/>
          <w:color w:val="000000" w:themeColor="text1"/>
          <w:sz w:val="24"/>
          <w:szCs w:val="24"/>
          <w:lang w:val="en-GB"/>
        </w:rPr>
        <w:t xml:space="preserve"> </w:t>
      </w:r>
      <w:r w:rsidRPr="00625DC2">
        <w:rPr>
          <w:rFonts w:asciiTheme="majorBidi" w:hAnsiTheme="majorBidi" w:cstheme="majorBidi"/>
          <w:color w:val="000000" w:themeColor="text1"/>
          <w:sz w:val="24"/>
          <w:szCs w:val="24"/>
          <w:lang w:val="en-GB"/>
        </w:rPr>
        <w:t>The term “hybrid work” is being used in such a wide variety of ways that comparing different studies becomes difficult, as the modes of hybrid work (who, what, where, when, and how) differ widely. This does not just happen to be a semantic issue, but it is a methodological fault line, as a lot of evidence that has been fed into the hybrid debates has been produced on telework. Although both Gajendran and Harrison (2007) and Allen, Golden and Shockley (2015) included a large portion of home-based work in their meta-analysis and review, respectively, their results are often applied to hybrid work as if they were the same. Now Felstead and Reuschke (2020) reveal the cost empirically by demonstrating how results from homeworking in the UK differ significantly across occupations and households, undermining research that defines the nature of hybrid working as a binary between remote and office. Changing the focus from geography to work design, Wang et al. (2021) suggest that hybrid working is a transformation of the demands (disruption, self-management, digital load) or resources (flexible time, technology, and tools) of work; whereas Mujtaba and Lawrence (2024) describe flexibility as a strategic tool for talent retention. What is critical, though, is that the outcomes associated with “hybrid working” are likely to be dependent on how hybrid working is designed and measured, and indeed, the conflicting results of studies are likely to stem from incompatible definitions, not from genuine differences in the impact of hybrid working.</w:t>
      </w:r>
    </w:p>
    <w:p w:rsidR="00BA3B15" w:rsidRPr="00625DC2" w:rsidRDefault="000E71C8"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 differences in organisational responses to hybrid work further demonstrate the absence of consensus regarding its effectiveness. Microsoft has continued to promote hybrid work as a strategic tool for increasing employee flexibility and supporting talent attraction and retention. </w:t>
      </w:r>
      <w:r w:rsidRPr="00625DC2">
        <w:rPr>
          <w:rFonts w:asciiTheme="majorBidi" w:hAnsiTheme="majorBidi" w:cstheme="majorBidi"/>
          <w:color w:val="000000" w:themeColor="text1"/>
          <w:sz w:val="24"/>
          <w:szCs w:val="24"/>
          <w:lang w:val="en-GB"/>
        </w:rPr>
        <w:lastRenderedPageBreak/>
        <w:t>Conversely, Amazon has encouraged employees to return to office settings because senior management argued that greater physical proximity strengthens collaboration and organisational culture. These contrasting approaches suggest that hybrid working outcomes may depend less on the existence of hybrid arrangements and more on how such arrangements are designed and implemented.</w:t>
      </w:r>
    </w:p>
    <w:p w:rsidR="00AD375C" w:rsidRPr="00625DC2" w:rsidRDefault="00AD375C" w:rsidP="00BA72B6">
      <w:pPr>
        <w:pStyle w:val="Heading2"/>
        <w:spacing w:line="360" w:lineRule="auto"/>
        <w:rPr>
          <w:rFonts w:asciiTheme="majorBidi" w:hAnsiTheme="majorBidi"/>
          <w:color w:val="000000" w:themeColor="text1"/>
          <w:sz w:val="24"/>
          <w:szCs w:val="24"/>
          <w:lang w:val="en-GB"/>
        </w:rPr>
      </w:pPr>
      <w:bookmarkStart w:id="10" w:name="_Toc233458790"/>
      <w:r w:rsidRPr="00625DC2">
        <w:rPr>
          <w:rFonts w:asciiTheme="majorBidi" w:hAnsiTheme="majorBidi"/>
          <w:color w:val="000000" w:themeColor="text1"/>
          <w:sz w:val="24"/>
          <w:szCs w:val="24"/>
          <w:lang w:val="en-GB"/>
        </w:rPr>
        <w:t>2.3 Employee Engagement and Organisational Performance</w:t>
      </w:r>
      <w:bookmarkEnd w:id="10"/>
    </w:p>
    <w:p w:rsidR="0086103C" w:rsidRPr="00625DC2" w:rsidRDefault="0086103C"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 most broadly accepted definition of engagement, following that of Schaufeli et al. (2002), is a positive state of vigour, dedication and absorption, based on Kahn's (1990) notion of psychological presence, and on Saks's (2006) model of antecedents and consequences of psychological presence. The theory most often used to explain these relationships is the Job Demands–Resources (JD-R) theory (Bakker and Demerouti, 2017), which states that resources contribute to engagement, while high demands lead to its depletion. The performance case is also empirically sound, as Harter, Schmidt and Hayes (2002) found an association between engagement and other outcomes </w:t>
      </w:r>
      <w:r w:rsidR="00284A18"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such as lower turnover</w:t>
      </w:r>
      <w:r w:rsidR="00284A18"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at the business-unit level, and Saks (2006) explained how engagement is the link between </w:t>
      </w:r>
      <w:r w:rsidR="00A640B6" w:rsidRPr="00625DC2">
        <w:rPr>
          <w:rFonts w:asciiTheme="majorBidi" w:hAnsiTheme="majorBidi" w:cstheme="majorBidi"/>
          <w:color w:val="000000" w:themeColor="text1"/>
          <w:sz w:val="24"/>
          <w:szCs w:val="24"/>
          <w:lang w:val="en-GB"/>
        </w:rPr>
        <w:t>organisational</w:t>
      </w:r>
      <w:r w:rsidRPr="00625DC2">
        <w:rPr>
          <w:rFonts w:asciiTheme="majorBidi" w:hAnsiTheme="majorBidi" w:cstheme="majorBidi"/>
          <w:color w:val="000000" w:themeColor="text1"/>
          <w:sz w:val="24"/>
          <w:szCs w:val="24"/>
          <w:lang w:val="en-GB"/>
        </w:rPr>
        <w:t xml:space="preserve"> practices and retention. Most importantly for this study, Roy, Gruner and Guo (2022) demonstrate that in </w:t>
      </w:r>
      <w:r w:rsidR="00A640B6" w:rsidRPr="00625DC2">
        <w:rPr>
          <w:rFonts w:asciiTheme="majorBidi" w:hAnsiTheme="majorBidi" w:cstheme="majorBidi"/>
          <w:color w:val="000000" w:themeColor="text1"/>
          <w:sz w:val="24"/>
          <w:szCs w:val="24"/>
          <w:lang w:val="en-GB"/>
        </w:rPr>
        <w:t>service</w:t>
      </w:r>
      <w:r w:rsidRPr="00625DC2">
        <w:rPr>
          <w:rFonts w:asciiTheme="majorBidi" w:hAnsiTheme="majorBidi" w:cstheme="majorBidi"/>
          <w:color w:val="000000" w:themeColor="text1"/>
          <w:sz w:val="24"/>
          <w:szCs w:val="24"/>
          <w:lang w:val="en-GB"/>
        </w:rPr>
        <w:t xml:space="preserve"> companies, service employees' emotional involvement has a direct impact on customer perceptions. The evidentiary base, however, is dubious from two methodological perspectives. However, many engagement–performance studies are cross-sectional and self-reported, which opens up the possibility for common method bias and does not allow for causal inferences. Second, the systematic review by Sinisterra, Peñalver and Salanova (2024) shows that there has been no uniformity in the concept of engagement and its respective measurement across the literature</w:t>
      </w:r>
      <w:r w:rsidR="00A640B6" w:rsidRPr="00625DC2">
        <w:rPr>
          <w:rFonts w:asciiTheme="majorBidi" w:hAnsiTheme="majorBidi" w:cstheme="majorBidi"/>
          <w:color w:val="000000" w:themeColor="text1"/>
          <w:sz w:val="24"/>
          <w:szCs w:val="24"/>
          <w:lang w:val="en-GB"/>
        </w:rPr>
        <w:t>. Adding</w:t>
      </w:r>
      <w:r w:rsidRPr="00625DC2">
        <w:rPr>
          <w:rFonts w:asciiTheme="majorBidi" w:hAnsiTheme="majorBidi" w:cstheme="majorBidi"/>
          <w:color w:val="000000" w:themeColor="text1"/>
          <w:sz w:val="24"/>
          <w:szCs w:val="24"/>
          <w:lang w:val="en-GB"/>
        </w:rPr>
        <w:t xml:space="preserve"> to the cumulative knowledge, it is difficult to compare the studies below. Engagement, then, is a strong yet less fully implemented concept</w:t>
      </w:r>
      <w:r w:rsidR="00A640B6"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as a result of which all that follows needs to be understood with this qualification in mind.</w:t>
      </w:r>
    </w:p>
    <w:p w:rsidR="00AD375C" w:rsidRPr="00625DC2" w:rsidRDefault="00AD375C" w:rsidP="00BA72B6">
      <w:pPr>
        <w:pStyle w:val="Heading2"/>
        <w:spacing w:line="360" w:lineRule="auto"/>
        <w:rPr>
          <w:rFonts w:asciiTheme="majorBidi" w:hAnsiTheme="majorBidi"/>
          <w:color w:val="000000" w:themeColor="text1"/>
          <w:sz w:val="24"/>
          <w:szCs w:val="24"/>
          <w:lang w:val="en-GB"/>
        </w:rPr>
      </w:pPr>
      <w:bookmarkStart w:id="11" w:name="_Toc233458791"/>
      <w:r w:rsidRPr="00625DC2">
        <w:rPr>
          <w:rFonts w:asciiTheme="majorBidi" w:hAnsiTheme="majorBidi"/>
          <w:color w:val="000000" w:themeColor="text1"/>
          <w:sz w:val="24"/>
          <w:szCs w:val="24"/>
          <w:lang w:val="en-GB"/>
        </w:rPr>
        <w:t>2.4 Hybrid Working and Employee Engagement</w:t>
      </w:r>
      <w:bookmarkEnd w:id="11"/>
    </w:p>
    <w:p w:rsidR="00EA33B9" w:rsidRPr="00625DC2" w:rsidRDefault="00EA33B9" w:rsidP="00BA72B6">
      <w:pPr>
        <w:pStyle w:val="NormalWeb"/>
        <w:spacing w:line="360" w:lineRule="auto"/>
        <w:rPr>
          <w:rFonts w:asciiTheme="majorBidi" w:hAnsiTheme="majorBidi" w:cstheme="majorBidi"/>
          <w:lang w:val="en-GB"/>
        </w:rPr>
      </w:pPr>
      <w:r w:rsidRPr="00625DC2">
        <w:rPr>
          <w:rFonts w:asciiTheme="majorBidi" w:hAnsiTheme="majorBidi" w:cstheme="majorBidi"/>
          <w:lang w:val="en-GB"/>
        </w:rPr>
        <w:t xml:space="preserve">Evidence from practice also remains divided. Organisations such as Microsoft argue that flexibility enhances employee wellbeing and engagement, whereas Amazon's return-to-office </w:t>
      </w:r>
      <w:r w:rsidRPr="00625DC2">
        <w:rPr>
          <w:rFonts w:asciiTheme="majorBidi" w:hAnsiTheme="majorBidi" w:cstheme="majorBidi"/>
          <w:lang w:val="en-GB"/>
        </w:rPr>
        <w:lastRenderedPageBreak/>
        <w:t>policies suggest concerns that prolonged remote working may weaken communication, social connection and collaborative performance.</w:t>
      </w:r>
    </w:p>
    <w:p w:rsidR="00DF7CC2" w:rsidRPr="00625DC2" w:rsidRDefault="0086103C"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 link between hybrid working and engagement is truly debatable, and the JD-R framework provides </w:t>
      </w:r>
      <w:r w:rsidR="00A640B6" w:rsidRPr="00625DC2">
        <w:rPr>
          <w:rFonts w:asciiTheme="majorBidi" w:hAnsiTheme="majorBidi" w:cstheme="majorBidi"/>
          <w:color w:val="000000" w:themeColor="text1"/>
          <w:sz w:val="24"/>
          <w:szCs w:val="24"/>
          <w:lang w:val="en-GB"/>
        </w:rPr>
        <w:t xml:space="preserve">an </w:t>
      </w:r>
      <w:r w:rsidRPr="00625DC2">
        <w:rPr>
          <w:rFonts w:asciiTheme="majorBidi" w:hAnsiTheme="majorBidi" w:cstheme="majorBidi"/>
          <w:color w:val="000000" w:themeColor="text1"/>
          <w:sz w:val="24"/>
          <w:szCs w:val="24"/>
          <w:lang w:val="en-GB"/>
        </w:rPr>
        <w:t>explanation for this: hybrid working provides and withdraws resources at the same time. On the resource side, Gajendran, Harrison and Delaney-Klinger (2015) conclude that flexibility promotes engagement through its influence on boundary control</w:t>
      </w:r>
      <w:r w:rsidR="00A640B6"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and Koroglu and Özmen (2022) validate the mediation role of engagement in JD-R relationships. To reinforce Theme 1, Naqshbandi et al. (2024), in a study of 277 employees using PLS-SEM, directly compared the effects of flexible work and telework on engagement, and found that flexible work had a significant positive effect on engagement, while telework did not; based on this</w:t>
      </w:r>
      <w:r w:rsidR="00A640B6"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the authors concluded that the two constructs are not the same and should not be mixed together. The evidence on the</w:t>
      </w:r>
      <w:r w:rsidR="00DF7CC2" w:rsidRPr="00625DC2">
        <w:rPr>
          <w:rFonts w:asciiTheme="majorBidi" w:hAnsiTheme="majorBidi" w:cstheme="majorBidi"/>
          <w:color w:val="000000" w:themeColor="text1"/>
          <w:sz w:val="24"/>
          <w:szCs w:val="24"/>
          <w:lang w:val="en-GB"/>
        </w:rPr>
        <w:t xml:space="preserve"> demand side is discouraging. Positively</w:t>
      </w:r>
      <w:r w:rsidRPr="00625DC2">
        <w:rPr>
          <w:rFonts w:asciiTheme="majorBidi" w:hAnsiTheme="majorBidi" w:cstheme="majorBidi"/>
          <w:color w:val="000000" w:themeColor="text1"/>
          <w:sz w:val="24"/>
          <w:szCs w:val="24"/>
          <w:lang w:val="en-GB"/>
        </w:rPr>
        <w:t xml:space="preserve">, Sardeshmukh, Sharma and Golden (2012) conclude that telework negatively affects engagement because it eliminates supervisory feedback and peer support, while Contreras, Baykal and Abid (2020) reported negative associations between longer remote work and feelings of isolation and less perceived support, and Yang et al. (2022), using firm level behavioural data instead of self-report, found that remote work reduces collaboration networks and informal communication. </w:t>
      </w:r>
    </w:p>
    <w:p w:rsidR="0086103C" w:rsidRPr="00625DC2" w:rsidRDefault="0086103C"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Nevertheless, qualitative evidence can also bring nuance and limitation: Jaß et al. (2024) find that German workers who are hybrid experienced the same social resources and work-design competencies in both roles, as resource and as demand, suggesting that flexibility is not the only factor to consider and risk generalisability due to the limiting sample of 13 interviewees; In a similar vein, Wirth et al. (2025) conclude that social resources and work-design competencies, not flexibility in itself, predict engagement. Both of these views are tempered, however, by Shifrin and Michel's (2022) meta-analysis, which found that flexible arrangements </w:t>
      </w:r>
      <w:r w:rsidR="008D19C7" w:rsidRPr="00625DC2">
        <w:rPr>
          <w:rFonts w:asciiTheme="majorBidi" w:hAnsiTheme="majorBidi" w:cstheme="majorBidi"/>
          <w:color w:val="000000" w:themeColor="text1"/>
          <w:sz w:val="24"/>
          <w:szCs w:val="24"/>
          <w:lang w:val="en-GB"/>
        </w:rPr>
        <w:t xml:space="preserve">have a modest effect on health; however, </w:t>
      </w:r>
      <w:r w:rsidRPr="00625DC2">
        <w:rPr>
          <w:rFonts w:asciiTheme="majorBidi" w:hAnsiTheme="majorBidi" w:cstheme="majorBidi"/>
          <w:color w:val="000000" w:themeColor="text1"/>
          <w:sz w:val="24"/>
          <w:szCs w:val="24"/>
          <w:lang w:val="en-GB"/>
        </w:rPr>
        <w:t xml:space="preserve">these effects are positive. </w:t>
      </w:r>
      <w:r w:rsidR="008A1BAE" w:rsidRPr="00625DC2">
        <w:rPr>
          <w:rFonts w:asciiTheme="majorBidi" w:hAnsiTheme="majorBidi" w:cstheme="majorBidi"/>
          <w:color w:val="000000" w:themeColor="text1"/>
          <w:sz w:val="24"/>
          <w:szCs w:val="24"/>
          <w:lang w:val="en-GB"/>
        </w:rPr>
        <w:t>Differences in findings may reflect unmeasured contextual variables</w:t>
      </w:r>
      <w:r w:rsidR="008D19C7" w:rsidRPr="00625DC2">
        <w:rPr>
          <w:rFonts w:asciiTheme="majorBidi" w:hAnsiTheme="majorBidi" w:cstheme="majorBidi"/>
          <w:color w:val="000000" w:themeColor="text1"/>
          <w:sz w:val="24"/>
          <w:szCs w:val="24"/>
          <w:lang w:val="en-GB"/>
        </w:rPr>
        <w:t xml:space="preserve"> (</w:t>
      </w:r>
      <w:r w:rsidRPr="00625DC2">
        <w:rPr>
          <w:rFonts w:asciiTheme="majorBidi" w:hAnsiTheme="majorBidi" w:cstheme="majorBidi"/>
          <w:color w:val="000000" w:themeColor="text1"/>
          <w:sz w:val="24"/>
          <w:szCs w:val="24"/>
          <w:lang w:val="en-GB"/>
        </w:rPr>
        <w:t>such as whether supportive services have</w:t>
      </w:r>
      <w:r w:rsidR="008D19C7" w:rsidRPr="00625DC2">
        <w:rPr>
          <w:rFonts w:asciiTheme="majorBidi" w:hAnsiTheme="majorBidi" w:cstheme="majorBidi"/>
          <w:color w:val="000000" w:themeColor="text1"/>
          <w:sz w:val="24"/>
          <w:szCs w:val="24"/>
          <w:lang w:val="en-GB"/>
        </w:rPr>
        <w:t xml:space="preserve"> been intentionally repurposed)</w:t>
      </w:r>
      <w:r w:rsidRPr="00625DC2">
        <w:rPr>
          <w:rFonts w:asciiTheme="majorBidi" w:hAnsiTheme="majorBidi" w:cstheme="majorBidi"/>
          <w:color w:val="000000" w:themeColor="text1"/>
          <w:sz w:val="24"/>
          <w:szCs w:val="24"/>
          <w:lang w:val="en-GB"/>
        </w:rPr>
        <w:t xml:space="preserve"> and contextual skew, as samples consisted chiefly of Nigeria, Germany and the US service settings, rather than the UK. Hybrid working</w:t>
      </w:r>
      <w:r w:rsidR="00A640B6" w:rsidRPr="00625DC2">
        <w:rPr>
          <w:rFonts w:asciiTheme="majorBidi" w:hAnsiTheme="majorBidi" w:cstheme="majorBidi"/>
          <w:color w:val="000000" w:themeColor="text1"/>
          <w:sz w:val="24"/>
          <w:szCs w:val="24"/>
          <w:lang w:val="en-GB"/>
        </w:rPr>
        <w:t>, therefore,</w:t>
      </w:r>
      <w:r w:rsidRPr="00625DC2">
        <w:rPr>
          <w:rFonts w:asciiTheme="majorBidi" w:hAnsiTheme="majorBidi" w:cstheme="majorBidi"/>
          <w:color w:val="000000" w:themeColor="text1"/>
          <w:sz w:val="24"/>
          <w:szCs w:val="24"/>
          <w:lang w:val="en-GB"/>
        </w:rPr>
        <w:t xml:space="preserve"> does not have a uniform effect on engagement, but it is conditionally, contextually and structurally dependent.</w:t>
      </w:r>
    </w:p>
    <w:p w:rsidR="00AD375C" w:rsidRPr="00625DC2" w:rsidRDefault="00AD375C" w:rsidP="00BA72B6">
      <w:pPr>
        <w:pStyle w:val="Heading2"/>
        <w:spacing w:line="360" w:lineRule="auto"/>
        <w:rPr>
          <w:rFonts w:asciiTheme="majorBidi" w:hAnsiTheme="majorBidi"/>
          <w:color w:val="000000" w:themeColor="text1"/>
          <w:sz w:val="24"/>
          <w:szCs w:val="24"/>
          <w:lang w:val="en-GB"/>
        </w:rPr>
      </w:pPr>
      <w:bookmarkStart w:id="12" w:name="_Toc233458792"/>
      <w:r w:rsidRPr="00625DC2">
        <w:rPr>
          <w:rFonts w:asciiTheme="majorBidi" w:hAnsiTheme="majorBidi"/>
          <w:color w:val="000000" w:themeColor="text1"/>
          <w:sz w:val="24"/>
          <w:szCs w:val="24"/>
          <w:lang w:val="en-GB"/>
        </w:rPr>
        <w:lastRenderedPageBreak/>
        <w:t>2.5 Employee Retention and Turnover Intention</w:t>
      </w:r>
      <w:bookmarkEnd w:id="12"/>
    </w:p>
    <w:p w:rsidR="00DF7CC2" w:rsidRPr="00625DC2" w:rsidRDefault="00DF7CC2"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There is a relatively high degree of confidence in the relationship between turnover intention and actual turnover (Allen, Bryant and Vardaman, 2010), and the relationship between engagement and turnover is also relatively solid, albeit with some less consistent studies in between. In their meta-analysis of nurses, Zhu et al. (2023) reported that both work engagement and perceived organisational support (POS) were inversely associated with turnover intention; however, they were aware that there was significant heterogeneity among the included studies, thus making it difficult to draw definitive conclusions. First, Sinisterra et al.'s (2024) PRISMA review of 43 studies finds that engagement is a mediator between organisational practices and turnover intention; direct theoretical support for the mediated model proposed here. The evidence for hybrids, however, is less substantial and ambiguous. </w:t>
      </w:r>
    </w:p>
    <w:p w:rsidR="00DF7CC2" w:rsidRPr="00625DC2" w:rsidRDefault="00DF7CC2"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Although engagement-enhancing practices have been found to be more effective in hybrid settings than fully remote settings, Singh and Sant (2025) have done so with a cross-sectional, single-sector design (Mumbai IT), limiting inferences. Jindain and Gilitwala (2024) show that engagement affects performance through PSO and trust</w:t>
      </w:r>
      <w:r w:rsidR="00A640B6"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and do not look at more than one organisation; instead, they focus on the emotional condition rather than on the retention results. The strongest causal evidence was provided by Bloom, Han and Liang's (2024) </w:t>
      </w:r>
      <w:r w:rsidR="00A640B6" w:rsidRPr="00625DC2">
        <w:rPr>
          <w:rFonts w:asciiTheme="majorBidi" w:hAnsiTheme="majorBidi" w:cstheme="majorBidi"/>
          <w:color w:val="000000" w:themeColor="text1"/>
          <w:sz w:val="24"/>
          <w:szCs w:val="24"/>
          <w:lang w:val="en-GB"/>
        </w:rPr>
        <w:t>randomised controlled trial,</w:t>
      </w:r>
      <w:r w:rsidRPr="00625DC2">
        <w:rPr>
          <w:rFonts w:asciiTheme="majorBidi" w:hAnsiTheme="majorBidi" w:cstheme="majorBidi"/>
          <w:color w:val="000000" w:themeColor="text1"/>
          <w:sz w:val="24"/>
          <w:szCs w:val="24"/>
          <w:lang w:val="en-GB"/>
        </w:rPr>
        <w:t xml:space="preserve"> which demonstrated that hybrid scheduling reduced attrition by approximately one-third, and that this was not associated with any negative effect on performance, but only performance and not the pathway to engagement. The use of flexibility alone is not enough to explain turnover, as Peltokorpi and Allen (2024) demonstrate that embeddedness and job insecurity also influence turnover. The literature surrounding flexible work, which is adjacent to the current research, is also polarised: Choi (2020) documents that FWAs are associated with enhanced retention over time in the US federal sector; Wong, Chan and Teh (2020) meta-analytically conclude that FWAs are correlated with organisational performance; Kumar, Sarkar and Chahar (2023) argue that such outcomes are context-dependent; and Junça Silva and Coelho (2023) demonstrate that the effects of flexible work on organisational outcomes are mediated by organisational culture.</w:t>
      </w:r>
    </w:p>
    <w:p w:rsidR="00DF7CC2" w:rsidRPr="00625DC2" w:rsidRDefault="00DF7CC2"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The picture that emerges from these conflicting results is consistent: When POS, trust, or culture is high, so is engagement, and when it is low, so is engagement</w:t>
      </w:r>
      <w:r w:rsidR="00AA1CC9"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or even engagement is </w:t>
      </w:r>
      <w:r w:rsidRPr="00625DC2">
        <w:rPr>
          <w:rFonts w:asciiTheme="majorBidi" w:hAnsiTheme="majorBidi" w:cstheme="majorBidi"/>
          <w:color w:val="000000" w:themeColor="text1"/>
          <w:sz w:val="24"/>
          <w:szCs w:val="24"/>
          <w:lang w:val="en-GB"/>
        </w:rPr>
        <w:lastRenderedPageBreak/>
        <w:t xml:space="preserve">nonexistent, accounting for the disparities on POS–turnover that Zhu et al. (2023) have reported. Methodologically, the field continues to be dominated by the self-report </w:t>
      </w:r>
      <w:r w:rsidR="00A640B6" w:rsidRPr="00625DC2">
        <w:rPr>
          <w:rFonts w:asciiTheme="majorBidi" w:hAnsiTheme="majorBidi" w:cstheme="majorBidi"/>
          <w:color w:val="000000" w:themeColor="text1"/>
          <w:sz w:val="24"/>
          <w:szCs w:val="24"/>
          <w:lang w:val="en-GB"/>
        </w:rPr>
        <w:t>cross-sectional approach, except for Bloom et al. (2024), a rare experimental study,</w:t>
      </w:r>
      <w:r w:rsidRPr="00625DC2">
        <w:rPr>
          <w:rFonts w:asciiTheme="majorBidi" w:hAnsiTheme="majorBidi" w:cstheme="majorBidi"/>
          <w:color w:val="000000" w:themeColor="text1"/>
          <w:sz w:val="24"/>
          <w:szCs w:val="24"/>
          <w:lang w:val="en-GB"/>
        </w:rPr>
        <w:t xml:space="preserve"> and the engagement-as-mediator pathway is rarely tested directly in hybrid contexts.</w:t>
      </w:r>
    </w:p>
    <w:p w:rsidR="00A64932" w:rsidRPr="00625DC2" w:rsidRDefault="00A64932" w:rsidP="00BA72B6">
      <w:pPr>
        <w:pStyle w:val="Heading2"/>
        <w:rPr>
          <w:rFonts w:asciiTheme="majorBidi" w:eastAsia="Times New Roman" w:hAnsiTheme="majorBidi"/>
          <w:sz w:val="24"/>
          <w:szCs w:val="24"/>
          <w:lang w:val="en-GB"/>
        </w:rPr>
      </w:pPr>
      <w:bookmarkStart w:id="13" w:name="_Toc233458793"/>
      <w:r w:rsidRPr="00625DC2">
        <w:rPr>
          <w:rFonts w:asciiTheme="majorBidi" w:eastAsia="Times New Roman" w:hAnsiTheme="majorBidi"/>
          <w:sz w:val="24"/>
          <w:szCs w:val="24"/>
          <w:lang w:val="en-GB"/>
        </w:rPr>
        <w:t>2.6 Hybrid Working in Railways</w:t>
      </w:r>
      <w:bookmarkEnd w:id="13"/>
      <w:r w:rsidRPr="00625DC2">
        <w:rPr>
          <w:rFonts w:asciiTheme="majorBidi" w:eastAsia="Times New Roman" w:hAnsiTheme="majorBidi"/>
          <w:sz w:val="24"/>
          <w:szCs w:val="24"/>
          <w:lang w:val="en-GB"/>
        </w:rPr>
        <w:t xml:space="preserve"> </w:t>
      </w:r>
    </w:p>
    <w:p w:rsidR="00BA72B6" w:rsidRPr="00625DC2" w:rsidRDefault="00BA72B6" w:rsidP="00BA72B6">
      <w:pPr>
        <w:spacing w:line="360" w:lineRule="auto"/>
        <w:rPr>
          <w:rFonts w:asciiTheme="majorBidi" w:eastAsia="Times New Roman" w:hAnsiTheme="majorBidi" w:cstheme="majorBidi"/>
          <w:sz w:val="24"/>
          <w:szCs w:val="24"/>
          <w:lang w:val="en-GB"/>
        </w:rPr>
      </w:pPr>
      <w:r w:rsidRPr="00625DC2">
        <w:rPr>
          <w:rFonts w:asciiTheme="majorBidi" w:eastAsia="Times New Roman" w:hAnsiTheme="majorBidi" w:cstheme="majorBidi"/>
          <w:sz w:val="24"/>
          <w:szCs w:val="24"/>
          <w:lang w:val="en-GB"/>
        </w:rPr>
        <w:t>The idea of the hybrid working argument</w:t>
      </w:r>
      <w:r w:rsidR="002A0DB4">
        <w:rPr>
          <w:rFonts w:asciiTheme="majorBidi" w:eastAsia="Times New Roman" w:hAnsiTheme="majorBidi" w:cstheme="majorBidi"/>
          <w:sz w:val="24"/>
          <w:szCs w:val="24"/>
          <w:lang w:val="en-GB"/>
        </w:rPr>
        <w:t>, when applied to the railway industry, seems counterintuitive</w:t>
      </w:r>
      <w:r w:rsidRPr="00625DC2">
        <w:rPr>
          <w:rFonts w:asciiTheme="majorBidi" w:eastAsia="Times New Roman" w:hAnsiTheme="majorBidi" w:cstheme="majorBidi"/>
          <w:sz w:val="24"/>
          <w:szCs w:val="24"/>
          <w:lang w:val="en-GB"/>
        </w:rPr>
        <w:t xml:space="preserve">. The industry is filled with safety-critical, place-based jobs, as drivers, conductors, signallers, station staff and trackside maintenance crews cannot be taken home; and the UK rail workforce of approximately 221,788 individuals is still significantly skewed towards these activities (National Skills Academy for Rail, 2025). Hybrid working in the rail </w:t>
      </w:r>
      <w:r w:rsidR="002A0DB4">
        <w:rPr>
          <w:rFonts w:asciiTheme="majorBidi" w:eastAsia="Times New Roman" w:hAnsiTheme="majorBidi" w:cstheme="majorBidi"/>
          <w:sz w:val="24"/>
          <w:szCs w:val="24"/>
          <w:lang w:val="en-GB"/>
        </w:rPr>
        <w:t xml:space="preserve">industry may seem like </w:t>
      </w:r>
      <w:r w:rsidRPr="00625DC2">
        <w:rPr>
          <w:rFonts w:asciiTheme="majorBidi" w:eastAsia="Times New Roman" w:hAnsiTheme="majorBidi" w:cstheme="majorBidi"/>
          <w:sz w:val="24"/>
          <w:szCs w:val="24"/>
          <w:lang w:val="en-GB"/>
        </w:rPr>
        <w:t xml:space="preserve">nonsense when reading it. This perspective, though, equates the operational core with the entire organisation. The office-based, engineering, planning, commercial, customer-information and control-centre groups of staff, which work in the rail sector, also have large cohorts; location is much less rigid there, and the larger UK picture displays exactly this trend: remote and hybrid work is clustering in information, communication, professional and technical jobs and not on skilled trades and front-line service jobs (Parliamentary Office of Science and Technology, 2023). Viewing rail as a singular and never to be hybridised block thus hides an internally stratified labour force where the question at issue is not whether it can be hybrid working, but what and how to design. </w:t>
      </w:r>
    </w:p>
    <w:p w:rsidR="00BA72B6" w:rsidRPr="00625DC2" w:rsidRDefault="00BA72B6" w:rsidP="00BA72B6">
      <w:pPr>
        <w:spacing w:line="360" w:lineRule="auto"/>
        <w:rPr>
          <w:rFonts w:asciiTheme="majorBidi" w:eastAsia="Times New Roman" w:hAnsiTheme="majorBidi" w:cstheme="majorBidi"/>
          <w:sz w:val="24"/>
          <w:szCs w:val="24"/>
          <w:lang w:val="en-GB"/>
        </w:rPr>
      </w:pPr>
      <w:r w:rsidRPr="00625DC2">
        <w:rPr>
          <w:rFonts w:asciiTheme="majorBidi" w:eastAsia="Times New Roman" w:hAnsiTheme="majorBidi" w:cstheme="majorBidi"/>
          <w:sz w:val="24"/>
          <w:szCs w:val="24"/>
          <w:lang w:val="en-GB"/>
        </w:rPr>
        <w:t>This chance is more evident when hybrid working is juxtaposed with the digital transformation of the sector. This move towards digital signalling, centralised traffic control and remote condition monitoring is gradually disconnecting some monitoring, diagnostic and analytical functions with a specific physical site that work traditionally linked to the lineside or the depot</w:t>
      </w:r>
      <w:r w:rsidR="002A0DB4">
        <w:rPr>
          <w:rFonts w:asciiTheme="majorBidi" w:eastAsia="Times New Roman" w:hAnsiTheme="majorBidi" w:cstheme="majorBidi"/>
          <w:sz w:val="24"/>
          <w:szCs w:val="24"/>
          <w:lang w:val="en-GB"/>
        </w:rPr>
        <w:t>, and</w:t>
      </w:r>
      <w:r w:rsidRPr="00625DC2">
        <w:rPr>
          <w:rFonts w:asciiTheme="majorBidi" w:eastAsia="Times New Roman" w:hAnsiTheme="majorBidi" w:cstheme="majorBidi"/>
          <w:sz w:val="24"/>
          <w:szCs w:val="24"/>
          <w:lang w:val="en-GB"/>
        </w:rPr>
        <w:t xml:space="preserve"> is slowly being done in one of the regional control centres or, in theory, off-site. This digitalisation and data-sharing are put in the reform agenda of the government as a clear path to an efficient and </w:t>
      </w:r>
      <w:r w:rsidR="002A0DB4">
        <w:rPr>
          <w:rFonts w:asciiTheme="majorBidi" w:eastAsia="Times New Roman" w:hAnsiTheme="majorBidi" w:cstheme="majorBidi"/>
          <w:sz w:val="24"/>
          <w:szCs w:val="24"/>
          <w:lang w:val="en-GB"/>
        </w:rPr>
        <w:t>financially</w:t>
      </w:r>
      <w:r w:rsidRPr="00625DC2">
        <w:rPr>
          <w:rFonts w:asciiTheme="majorBidi" w:eastAsia="Times New Roman" w:hAnsiTheme="majorBidi" w:cstheme="majorBidi"/>
          <w:sz w:val="24"/>
          <w:szCs w:val="24"/>
          <w:lang w:val="en-GB"/>
        </w:rPr>
        <w:t xml:space="preserve"> sustainable railway (Department for Transport, 2021). Considering this, hybrid working in rail is an imported fashion rather than the by-product of how rail communications and operations are being re-engineered and the more fruitful line of enquiry is whether this can enhance the efficiency of operations and not undermine the engagement and cohesion that the </w:t>
      </w:r>
      <w:r w:rsidR="002A0DB4">
        <w:rPr>
          <w:rFonts w:asciiTheme="majorBidi" w:eastAsia="Times New Roman" w:hAnsiTheme="majorBidi" w:cstheme="majorBidi"/>
          <w:sz w:val="24"/>
          <w:szCs w:val="24"/>
          <w:lang w:val="en-GB"/>
        </w:rPr>
        <w:t>safety-critical</w:t>
      </w:r>
      <w:r w:rsidRPr="00625DC2">
        <w:rPr>
          <w:rFonts w:asciiTheme="majorBidi" w:eastAsia="Times New Roman" w:hAnsiTheme="majorBidi" w:cstheme="majorBidi"/>
          <w:sz w:val="24"/>
          <w:szCs w:val="24"/>
          <w:lang w:val="en-GB"/>
        </w:rPr>
        <w:t xml:space="preserve"> system relies upon. The warning here is that the productivity </w:t>
      </w:r>
      <w:r w:rsidRPr="00625DC2">
        <w:rPr>
          <w:rFonts w:asciiTheme="majorBidi" w:eastAsia="Times New Roman" w:hAnsiTheme="majorBidi" w:cstheme="majorBidi"/>
          <w:sz w:val="24"/>
          <w:szCs w:val="24"/>
          <w:lang w:val="en-GB"/>
        </w:rPr>
        <w:lastRenderedPageBreak/>
        <w:t>argument of hybrid working is contentious beyond the railway industry, in which employers in the UK are roughly split</w:t>
      </w:r>
      <w:r w:rsidR="002A0DB4">
        <w:rPr>
          <w:rFonts w:asciiTheme="majorBidi" w:eastAsia="Times New Roman" w:hAnsiTheme="majorBidi" w:cstheme="majorBidi"/>
          <w:sz w:val="24"/>
          <w:szCs w:val="24"/>
          <w:lang w:val="en-GB"/>
        </w:rPr>
        <w:t xml:space="preserve">, and a significant minority of </w:t>
      </w:r>
      <w:r w:rsidRPr="00625DC2">
        <w:rPr>
          <w:rFonts w:asciiTheme="majorBidi" w:eastAsia="Times New Roman" w:hAnsiTheme="majorBidi" w:cstheme="majorBidi"/>
          <w:sz w:val="24"/>
          <w:szCs w:val="24"/>
          <w:lang w:val="en-GB"/>
        </w:rPr>
        <w:t xml:space="preserve">documents yielded </w:t>
      </w:r>
      <w:r w:rsidR="002A0DB4">
        <w:rPr>
          <w:rFonts w:asciiTheme="majorBidi" w:eastAsia="Times New Roman" w:hAnsiTheme="majorBidi" w:cstheme="majorBidi"/>
          <w:sz w:val="24"/>
          <w:szCs w:val="24"/>
          <w:lang w:val="en-GB"/>
        </w:rPr>
        <w:t xml:space="preserve">decreased productivity rather </w:t>
      </w:r>
      <w:r w:rsidRPr="00625DC2">
        <w:rPr>
          <w:rFonts w:asciiTheme="majorBidi" w:eastAsia="Times New Roman" w:hAnsiTheme="majorBidi" w:cstheme="majorBidi"/>
          <w:sz w:val="24"/>
          <w:szCs w:val="24"/>
          <w:lang w:val="en-GB"/>
        </w:rPr>
        <w:t xml:space="preserve">than increased productivity (Parliamentary Office of Science and Technology, 2023). </w:t>
      </w:r>
    </w:p>
    <w:p w:rsidR="00BA72B6" w:rsidRPr="00625DC2" w:rsidRDefault="00BA72B6" w:rsidP="00BA72B6">
      <w:pPr>
        <w:spacing w:line="360" w:lineRule="auto"/>
        <w:rPr>
          <w:rFonts w:asciiTheme="majorBidi" w:eastAsia="Times New Roman" w:hAnsiTheme="majorBidi" w:cstheme="majorBidi"/>
          <w:sz w:val="24"/>
          <w:szCs w:val="24"/>
          <w:lang w:val="en-GB"/>
        </w:rPr>
      </w:pPr>
      <w:r w:rsidRPr="00625DC2">
        <w:rPr>
          <w:rFonts w:asciiTheme="majorBidi" w:eastAsia="Times New Roman" w:hAnsiTheme="majorBidi" w:cstheme="majorBidi"/>
          <w:sz w:val="24"/>
          <w:szCs w:val="24"/>
          <w:lang w:val="en-GB"/>
        </w:rPr>
        <w:t xml:space="preserve">The partial motivation behind centralised digital control and remote diagnostics is efficiency, and the elasticity of deploying the few technical and engineering skills in a geographically distributed network, in principle, would help alleviate the chronic shortages of the next section. </w:t>
      </w:r>
      <w:r w:rsidR="002A0DB4">
        <w:rPr>
          <w:rFonts w:asciiTheme="majorBidi" w:eastAsia="Times New Roman" w:hAnsiTheme="majorBidi" w:cstheme="majorBidi"/>
          <w:sz w:val="24"/>
          <w:szCs w:val="24"/>
          <w:lang w:val="en-GB"/>
        </w:rPr>
        <w:t>It</w:t>
      </w:r>
      <w:r w:rsidRPr="00625DC2">
        <w:rPr>
          <w:rFonts w:asciiTheme="majorBidi" w:eastAsia="Times New Roman" w:hAnsiTheme="majorBidi" w:cstheme="majorBidi"/>
          <w:sz w:val="24"/>
          <w:szCs w:val="24"/>
          <w:lang w:val="en-GB"/>
        </w:rPr>
        <w:t xml:space="preserve"> is much less definite whether such arrangements can effectively drive up engagement. According to a report by Lee, Chong and Ojo (2024), workspace flexibility is positively linked to engagement in younger workers, but in the same study</w:t>
      </w:r>
      <w:r w:rsidR="002A0DB4">
        <w:rPr>
          <w:rFonts w:asciiTheme="majorBidi" w:eastAsia="Times New Roman" w:hAnsiTheme="majorBidi" w:cstheme="majorBidi"/>
          <w:sz w:val="24"/>
          <w:szCs w:val="24"/>
          <w:lang w:val="en-GB"/>
        </w:rPr>
        <w:t>,</w:t>
      </w:r>
      <w:r w:rsidRPr="00625DC2">
        <w:rPr>
          <w:rFonts w:asciiTheme="majorBidi" w:eastAsia="Times New Roman" w:hAnsiTheme="majorBidi" w:cstheme="majorBidi"/>
          <w:sz w:val="24"/>
          <w:szCs w:val="24"/>
          <w:lang w:val="en-GB"/>
        </w:rPr>
        <w:t xml:space="preserve"> operational flexibility does not have a significant impact, which is a helpful reminder that merely moving or re-timing rail work will not necessarily raise engagement. Mujtaba and Lawrence (2024) also consider flexibility an effective retention counter-argument instead of a sure motivational asset.</w:t>
      </w:r>
    </w:p>
    <w:p w:rsidR="00BA72B6" w:rsidRPr="00625DC2" w:rsidRDefault="00BA72B6" w:rsidP="00BA72B6">
      <w:pPr>
        <w:spacing w:line="360" w:lineRule="auto"/>
        <w:rPr>
          <w:rFonts w:asciiTheme="majorBidi" w:eastAsia="Times New Roman" w:hAnsiTheme="majorBidi" w:cstheme="majorBidi"/>
          <w:sz w:val="24"/>
          <w:szCs w:val="24"/>
          <w:lang w:val="en-GB"/>
        </w:rPr>
      </w:pPr>
      <w:r w:rsidRPr="00625DC2">
        <w:rPr>
          <w:rFonts w:asciiTheme="majorBidi" w:eastAsia="Times New Roman" w:hAnsiTheme="majorBidi" w:cstheme="majorBidi"/>
          <w:sz w:val="24"/>
          <w:szCs w:val="24"/>
          <w:lang w:val="en-GB"/>
        </w:rPr>
        <w:t>These possibilities are sharpened by cost pressure. Pandemic-induced financial sustainability in UK rail has shifted to a necessary requirement, and reform has been explicitly supported by the necessity to cut costs and eliminate redundancy in an already fractured system (Department for Transport, 2021). In the office-based segment, the possibility of hybrid working provides a realistic efficiency lever in terms of reduced accommodation and estate costs and access to broader and more diverse talent pools</w:t>
      </w:r>
      <w:r w:rsidR="002A0DB4">
        <w:rPr>
          <w:rFonts w:asciiTheme="majorBidi" w:eastAsia="Times New Roman" w:hAnsiTheme="majorBidi" w:cstheme="majorBidi"/>
          <w:sz w:val="24"/>
          <w:szCs w:val="24"/>
          <w:lang w:val="en-GB"/>
        </w:rPr>
        <w:t>,</w:t>
      </w:r>
      <w:r w:rsidRPr="00625DC2">
        <w:rPr>
          <w:rFonts w:asciiTheme="majorBidi" w:eastAsia="Times New Roman" w:hAnsiTheme="majorBidi" w:cstheme="majorBidi"/>
          <w:sz w:val="24"/>
          <w:szCs w:val="24"/>
          <w:lang w:val="en-GB"/>
        </w:rPr>
        <w:t xml:space="preserve"> but it has a distributional risk that is especially intense in rail. Since the core workforce is non-flexible, lavish hybrid accommodation of the back-office staff and fixed attendance of the front-line workforce may solidify a visible two-tier workforce, resurrecting the equity and a sense of belonging issues that had pervaded the general literature (Yang et al., 2022). This strain is not only hypothetical: nationally, hybrid provision has started to decline, where the percentage of organisations providing it has decreased to 74%</w:t>
      </w:r>
      <w:r w:rsidR="002A0DB4">
        <w:rPr>
          <w:rFonts w:asciiTheme="majorBidi" w:eastAsia="Times New Roman" w:hAnsiTheme="majorBidi" w:cstheme="majorBidi"/>
          <w:sz w:val="24"/>
          <w:szCs w:val="24"/>
          <w:lang w:val="en-GB"/>
        </w:rPr>
        <w:t>, with an increasing minority of organisations restoring compulsory days in the office (CIPD, 2025),</w:t>
      </w:r>
      <w:r w:rsidRPr="00625DC2">
        <w:rPr>
          <w:rFonts w:asciiTheme="majorBidi" w:eastAsia="Times New Roman" w:hAnsiTheme="majorBidi" w:cstheme="majorBidi"/>
          <w:sz w:val="24"/>
          <w:szCs w:val="24"/>
          <w:lang w:val="en-GB"/>
        </w:rPr>
        <w:t xml:space="preserve"> indicating that even where hybrid working works cannot be presupposed. </w:t>
      </w:r>
    </w:p>
    <w:p w:rsidR="0024174E" w:rsidRPr="00625DC2" w:rsidRDefault="00BA72B6" w:rsidP="00BA72B6">
      <w:pPr>
        <w:spacing w:line="360" w:lineRule="auto"/>
        <w:rPr>
          <w:rFonts w:asciiTheme="majorBidi" w:hAnsiTheme="majorBidi" w:cstheme="majorBidi"/>
          <w:color w:val="000000" w:themeColor="text1"/>
          <w:sz w:val="24"/>
          <w:szCs w:val="24"/>
          <w:lang w:val="en-GB"/>
        </w:rPr>
      </w:pPr>
      <w:r w:rsidRPr="00625DC2">
        <w:rPr>
          <w:rFonts w:asciiTheme="majorBidi" w:eastAsia="Times New Roman" w:hAnsiTheme="majorBidi" w:cstheme="majorBidi"/>
          <w:sz w:val="24"/>
          <w:szCs w:val="24"/>
          <w:lang w:val="en-GB"/>
        </w:rPr>
        <w:t xml:space="preserve">When put in this context, hybrid working in railways </w:t>
      </w:r>
      <w:r w:rsidR="002A0DB4">
        <w:rPr>
          <w:rFonts w:asciiTheme="majorBidi" w:eastAsia="Times New Roman" w:hAnsiTheme="majorBidi" w:cstheme="majorBidi"/>
          <w:sz w:val="24"/>
          <w:szCs w:val="24"/>
          <w:lang w:val="en-GB"/>
        </w:rPr>
        <w:t>raises reasonable doubts about</w:t>
      </w:r>
      <w:r w:rsidRPr="00625DC2">
        <w:rPr>
          <w:rFonts w:asciiTheme="majorBidi" w:eastAsia="Times New Roman" w:hAnsiTheme="majorBidi" w:cstheme="majorBidi"/>
          <w:sz w:val="24"/>
          <w:szCs w:val="24"/>
          <w:lang w:val="en-GB"/>
        </w:rPr>
        <w:t xml:space="preserve"> how efficient operations work and not just the convenience of employees. The encouragement of </w:t>
      </w:r>
      <w:r w:rsidR="002A0DB4">
        <w:rPr>
          <w:rFonts w:asciiTheme="majorBidi" w:eastAsia="Times New Roman" w:hAnsiTheme="majorBidi" w:cstheme="majorBidi"/>
          <w:sz w:val="24"/>
          <w:szCs w:val="24"/>
          <w:lang w:val="en-GB"/>
        </w:rPr>
        <w:t>centralised</w:t>
      </w:r>
      <w:r w:rsidRPr="00625DC2">
        <w:rPr>
          <w:rFonts w:asciiTheme="majorBidi" w:eastAsia="Times New Roman" w:hAnsiTheme="majorBidi" w:cstheme="majorBidi"/>
          <w:sz w:val="24"/>
          <w:szCs w:val="24"/>
          <w:lang w:val="en-GB"/>
        </w:rPr>
        <w:t xml:space="preserve"> digital control and remote diagnostics is partly driven by cost efficiency and the ability to move scarce technical and engineering competencies to a network distributed geographically</w:t>
      </w:r>
      <w:r w:rsidR="002A0DB4">
        <w:rPr>
          <w:rFonts w:asciiTheme="majorBidi" w:eastAsia="Times New Roman" w:hAnsiTheme="majorBidi" w:cstheme="majorBidi"/>
          <w:sz w:val="24"/>
          <w:szCs w:val="24"/>
          <w:lang w:val="en-GB"/>
        </w:rPr>
        <w:t>, which can, in theory,</w:t>
      </w:r>
      <w:r w:rsidRPr="00625DC2">
        <w:rPr>
          <w:rFonts w:asciiTheme="majorBidi" w:eastAsia="Times New Roman" w:hAnsiTheme="majorBidi" w:cstheme="majorBidi"/>
          <w:sz w:val="24"/>
          <w:szCs w:val="24"/>
          <w:lang w:val="en-GB"/>
        </w:rPr>
        <w:t xml:space="preserve"> alleviate the chronic deficit in the next section. It is much </w:t>
      </w:r>
      <w:r w:rsidRPr="00625DC2">
        <w:rPr>
          <w:rFonts w:asciiTheme="majorBidi" w:eastAsia="Times New Roman" w:hAnsiTheme="majorBidi" w:cstheme="majorBidi"/>
          <w:sz w:val="24"/>
          <w:szCs w:val="24"/>
          <w:lang w:val="en-GB"/>
        </w:rPr>
        <w:lastRenderedPageBreak/>
        <w:t>less clear whether such arrangements indeed enhance engagement. According to Lee, Chong and Ojo, workspace flexibility has a positive relationship with engagement among younger workers, but operational flexibility has no significant impact in the same study - a valuable warning against the assumption that simply shifting rail work or rescheduling rail work will boost engagement. Mujtaba and Lawrence (2024) also see flexibility as a strategic retention tool, instead of a predetermined motivational improvement</w:t>
      </w:r>
      <w:r w:rsidR="0024174E" w:rsidRPr="00625DC2">
        <w:rPr>
          <w:rFonts w:asciiTheme="majorBidi" w:hAnsiTheme="majorBidi" w:cstheme="majorBidi"/>
          <w:color w:val="000000" w:themeColor="text1"/>
          <w:sz w:val="24"/>
          <w:szCs w:val="24"/>
          <w:lang w:val="en-GB"/>
        </w:rPr>
        <w:t>.</w:t>
      </w:r>
    </w:p>
    <w:p w:rsidR="00A64932" w:rsidRPr="00625DC2" w:rsidRDefault="00A64932" w:rsidP="00BA72B6">
      <w:pPr>
        <w:pStyle w:val="Heading2"/>
        <w:rPr>
          <w:rFonts w:asciiTheme="majorBidi" w:eastAsia="Times New Roman" w:hAnsiTheme="majorBidi"/>
          <w:sz w:val="24"/>
          <w:szCs w:val="24"/>
          <w:lang w:val="en-GB"/>
        </w:rPr>
      </w:pPr>
      <w:bookmarkStart w:id="14" w:name="_Toc233458794"/>
      <w:r w:rsidRPr="00625DC2">
        <w:rPr>
          <w:rFonts w:asciiTheme="majorBidi" w:eastAsia="Times New Roman" w:hAnsiTheme="majorBidi"/>
          <w:sz w:val="24"/>
          <w:szCs w:val="24"/>
          <w:lang w:val="en-GB"/>
        </w:rPr>
        <w:t>2.7 Retention in Railways</w:t>
      </w:r>
      <w:bookmarkEnd w:id="14"/>
      <w:r w:rsidRPr="00625DC2">
        <w:rPr>
          <w:rFonts w:asciiTheme="majorBidi" w:eastAsia="Times New Roman" w:hAnsiTheme="majorBidi"/>
          <w:sz w:val="24"/>
          <w:szCs w:val="24"/>
          <w:lang w:val="en-GB"/>
        </w:rPr>
        <w:t xml:space="preserve"> </w:t>
      </w:r>
    </w:p>
    <w:p w:rsidR="00BA72B6" w:rsidRPr="00625DC2" w:rsidRDefault="00BA72B6" w:rsidP="002E11C0">
      <w:pPr>
        <w:spacing w:before="100" w:beforeAutospacing="1" w:after="100" w:afterAutospacing="1" w:line="360" w:lineRule="auto"/>
        <w:rPr>
          <w:rFonts w:asciiTheme="majorBidi" w:eastAsia="Times New Roman" w:hAnsiTheme="majorBidi" w:cstheme="majorBidi"/>
          <w:sz w:val="24"/>
          <w:szCs w:val="24"/>
          <w:lang w:val="en-GB"/>
        </w:rPr>
      </w:pPr>
      <w:r w:rsidRPr="00625DC2">
        <w:rPr>
          <w:rFonts w:asciiTheme="majorBidi" w:eastAsia="Times New Roman" w:hAnsiTheme="majorBidi" w:cstheme="majorBidi"/>
          <w:sz w:val="24"/>
          <w:szCs w:val="24"/>
          <w:lang w:val="en-GB"/>
        </w:rPr>
        <w:t xml:space="preserve">Retention is not a peripheral issue in rail but a strategic issue at hand. The current </w:t>
      </w:r>
      <w:r w:rsidR="002A0DB4">
        <w:rPr>
          <w:rFonts w:asciiTheme="majorBidi" w:eastAsia="Times New Roman" w:hAnsiTheme="majorBidi" w:cstheme="majorBidi"/>
          <w:sz w:val="24"/>
          <w:szCs w:val="24"/>
          <w:lang w:val="en-GB"/>
        </w:rPr>
        <w:t>fifty-and-above</w:t>
      </w:r>
      <w:r w:rsidRPr="00625DC2">
        <w:rPr>
          <w:rFonts w:asciiTheme="majorBidi" w:eastAsia="Times New Roman" w:hAnsiTheme="majorBidi" w:cstheme="majorBidi"/>
          <w:sz w:val="24"/>
          <w:szCs w:val="24"/>
          <w:lang w:val="en-GB"/>
        </w:rPr>
        <w:t xml:space="preserve"> workforce is estimated to retire alongside other attrition, potentially taking away up to 70,000 employees by 2030, whereas the industry is continuing to struggle in attracting younger and more varied entrants (National Skills Academy for Rail, 2025). The industry is therefore being confronted with a prototypical retention squeegee, whereby an ageing and experienced employee base leaves at a higher rate than it can be replenished</w:t>
      </w:r>
      <w:r w:rsidR="002A0DB4">
        <w:rPr>
          <w:rFonts w:asciiTheme="majorBidi" w:eastAsia="Times New Roman" w:hAnsiTheme="majorBidi" w:cstheme="majorBidi"/>
          <w:sz w:val="24"/>
          <w:szCs w:val="24"/>
          <w:lang w:val="en-GB"/>
        </w:rPr>
        <w:t>,</w:t>
      </w:r>
      <w:r w:rsidRPr="00625DC2">
        <w:rPr>
          <w:rFonts w:asciiTheme="majorBidi" w:eastAsia="Times New Roman" w:hAnsiTheme="majorBidi" w:cstheme="majorBidi"/>
          <w:sz w:val="24"/>
          <w:szCs w:val="24"/>
          <w:lang w:val="en-GB"/>
        </w:rPr>
        <w:t xml:space="preserve"> and this is where the engagement-retention nexus under study comes into direct focus. </w:t>
      </w:r>
      <w:r w:rsidR="002E11C0" w:rsidRPr="00625DC2">
        <w:rPr>
          <w:rFonts w:asciiTheme="majorBidi" w:eastAsia="Times New Roman" w:hAnsiTheme="majorBidi" w:cstheme="majorBidi"/>
          <w:sz w:val="24"/>
          <w:szCs w:val="24"/>
          <w:lang w:val="en-GB"/>
        </w:rPr>
        <w:t>The</w:t>
      </w:r>
      <w:r w:rsidRPr="00625DC2">
        <w:rPr>
          <w:rFonts w:asciiTheme="majorBidi" w:eastAsia="Times New Roman" w:hAnsiTheme="majorBidi" w:cstheme="majorBidi"/>
          <w:sz w:val="24"/>
          <w:szCs w:val="24"/>
          <w:lang w:val="en-GB"/>
        </w:rPr>
        <w:t xml:space="preserve"> current results suggest that </w:t>
      </w:r>
      <w:r w:rsidR="002A0DB4">
        <w:rPr>
          <w:rFonts w:asciiTheme="majorBidi" w:eastAsia="Times New Roman" w:hAnsiTheme="majorBidi" w:cstheme="majorBidi"/>
          <w:sz w:val="24"/>
          <w:szCs w:val="24"/>
          <w:lang w:val="en-GB"/>
        </w:rPr>
        <w:t>well-designed</w:t>
      </w:r>
      <w:r w:rsidRPr="00625DC2">
        <w:rPr>
          <w:rFonts w:asciiTheme="majorBidi" w:eastAsia="Times New Roman" w:hAnsiTheme="majorBidi" w:cstheme="majorBidi"/>
          <w:sz w:val="24"/>
          <w:szCs w:val="24"/>
          <w:lang w:val="en-GB"/>
        </w:rPr>
        <w:t xml:space="preserve"> working practices increase engagement and engagement reduces turnover intention, </w:t>
      </w:r>
      <w:r w:rsidR="002A0DB4">
        <w:rPr>
          <w:rFonts w:asciiTheme="majorBidi" w:eastAsia="Times New Roman" w:hAnsiTheme="majorBidi" w:cstheme="majorBidi"/>
          <w:sz w:val="24"/>
          <w:szCs w:val="24"/>
          <w:lang w:val="en-GB"/>
        </w:rPr>
        <w:t>so</w:t>
      </w:r>
      <w:r w:rsidRPr="00625DC2">
        <w:rPr>
          <w:rFonts w:asciiTheme="majorBidi" w:eastAsia="Times New Roman" w:hAnsiTheme="majorBidi" w:cstheme="majorBidi"/>
          <w:sz w:val="24"/>
          <w:szCs w:val="24"/>
          <w:lang w:val="en-GB"/>
        </w:rPr>
        <w:t xml:space="preserve"> the levers that rail employers possess regarding the office and engineering segment, including hybrid working itself, have an actual economic impact. </w:t>
      </w:r>
    </w:p>
    <w:p w:rsidR="00BA72B6" w:rsidRPr="00625DC2" w:rsidRDefault="00BA72B6" w:rsidP="00BA72B6">
      <w:pPr>
        <w:spacing w:before="100" w:beforeAutospacing="1" w:after="100" w:afterAutospacing="1" w:line="360" w:lineRule="auto"/>
        <w:rPr>
          <w:rFonts w:asciiTheme="majorBidi" w:eastAsia="Times New Roman" w:hAnsiTheme="majorBidi" w:cstheme="majorBidi"/>
          <w:sz w:val="24"/>
          <w:szCs w:val="24"/>
          <w:lang w:val="en-GB"/>
        </w:rPr>
      </w:pPr>
      <w:r w:rsidRPr="00625DC2">
        <w:rPr>
          <w:rFonts w:asciiTheme="majorBidi" w:eastAsia="Times New Roman" w:hAnsiTheme="majorBidi" w:cstheme="majorBidi"/>
          <w:sz w:val="24"/>
          <w:szCs w:val="24"/>
          <w:lang w:val="en-GB"/>
        </w:rPr>
        <w:t xml:space="preserve">Evidence of </w:t>
      </w:r>
      <w:r w:rsidR="002A0DB4">
        <w:rPr>
          <w:rFonts w:asciiTheme="majorBidi" w:eastAsia="Times New Roman" w:hAnsiTheme="majorBidi" w:cstheme="majorBidi"/>
          <w:sz w:val="24"/>
          <w:szCs w:val="24"/>
          <w:lang w:val="en-GB"/>
        </w:rPr>
        <w:t>well-being</w:t>
      </w:r>
      <w:r w:rsidRPr="00625DC2">
        <w:rPr>
          <w:rFonts w:asciiTheme="majorBidi" w:eastAsia="Times New Roman" w:hAnsiTheme="majorBidi" w:cstheme="majorBidi"/>
          <w:sz w:val="24"/>
          <w:szCs w:val="24"/>
          <w:lang w:val="en-GB"/>
        </w:rPr>
        <w:t xml:space="preserve"> adds weight to the argument but makes it tricky. The initial sector-wide survey of mental health in the rail industry discovered that over a third of the workforce was meeting the requirements of a clinical mental condition, and anxiety was approximately 1.5 times more prevalent than </w:t>
      </w:r>
      <w:r w:rsidR="002A0DB4">
        <w:rPr>
          <w:rFonts w:asciiTheme="majorBidi" w:eastAsia="Times New Roman" w:hAnsiTheme="majorBidi" w:cstheme="majorBidi"/>
          <w:sz w:val="24"/>
          <w:szCs w:val="24"/>
          <w:lang w:val="en-GB"/>
        </w:rPr>
        <w:t xml:space="preserve">in </w:t>
      </w:r>
      <w:r w:rsidRPr="00625DC2">
        <w:rPr>
          <w:rFonts w:asciiTheme="majorBidi" w:eastAsia="Times New Roman" w:hAnsiTheme="majorBidi" w:cstheme="majorBidi"/>
          <w:sz w:val="24"/>
          <w:szCs w:val="24"/>
          <w:lang w:val="en-GB"/>
        </w:rPr>
        <w:t xml:space="preserve">the general population and attributed workplace pressures and social isolation to the core of the issue (Rail Industry Connect, 2025). Flexible and hybrid structures are often promoted as one of the solutions since they provide the freedom and greater work-life balance that can help to sustain engagement and, consequently, retention. The challenge is once again distributional: the workers who are potentially most vulnerable to fatigue, isolation and burnout, namely, the </w:t>
      </w:r>
      <w:r w:rsidR="002A0DB4">
        <w:rPr>
          <w:rFonts w:asciiTheme="majorBidi" w:eastAsia="Times New Roman" w:hAnsiTheme="majorBidi" w:cstheme="majorBidi"/>
          <w:sz w:val="24"/>
          <w:szCs w:val="24"/>
          <w:lang w:val="en-GB"/>
        </w:rPr>
        <w:t>shift-based</w:t>
      </w:r>
      <w:r w:rsidRPr="00625DC2">
        <w:rPr>
          <w:rFonts w:asciiTheme="majorBidi" w:eastAsia="Times New Roman" w:hAnsiTheme="majorBidi" w:cstheme="majorBidi"/>
          <w:sz w:val="24"/>
          <w:szCs w:val="24"/>
          <w:lang w:val="en-GB"/>
        </w:rPr>
        <w:t xml:space="preserve"> operational and trackside workers, are the very ones who do not have access to the flexibility of locations. Hybrid working is</w:t>
      </w:r>
      <w:r w:rsidR="002A0DB4">
        <w:rPr>
          <w:rFonts w:asciiTheme="majorBidi" w:eastAsia="Times New Roman" w:hAnsiTheme="majorBidi" w:cstheme="majorBidi"/>
          <w:sz w:val="24"/>
          <w:szCs w:val="24"/>
          <w:lang w:val="en-GB"/>
        </w:rPr>
        <w:t>, in any case,</w:t>
      </w:r>
      <w:r w:rsidRPr="00625DC2">
        <w:rPr>
          <w:rFonts w:asciiTheme="majorBidi" w:eastAsia="Times New Roman" w:hAnsiTheme="majorBidi" w:cstheme="majorBidi"/>
          <w:sz w:val="24"/>
          <w:szCs w:val="24"/>
          <w:lang w:val="en-GB"/>
        </w:rPr>
        <w:t xml:space="preserve"> only a partial retention tool to the rail population as a whole, capable of holding one group together when leaving the welfare and retention of the working core to be addressed elsewhere, through other retention tools, such as roster design, welfare provision and managerial support. </w:t>
      </w:r>
    </w:p>
    <w:p w:rsidR="00BA72B6" w:rsidRPr="00625DC2" w:rsidRDefault="00BA72B6" w:rsidP="00BA72B6">
      <w:pPr>
        <w:spacing w:before="100" w:beforeAutospacing="1" w:after="100" w:afterAutospacing="1" w:line="360" w:lineRule="auto"/>
        <w:rPr>
          <w:rFonts w:asciiTheme="majorBidi" w:eastAsia="Times New Roman" w:hAnsiTheme="majorBidi" w:cstheme="majorBidi"/>
          <w:sz w:val="24"/>
          <w:szCs w:val="24"/>
          <w:lang w:val="en-GB"/>
        </w:rPr>
      </w:pPr>
      <w:r w:rsidRPr="00625DC2">
        <w:rPr>
          <w:rFonts w:asciiTheme="majorBidi" w:eastAsia="Times New Roman" w:hAnsiTheme="majorBidi" w:cstheme="majorBidi"/>
          <w:sz w:val="24"/>
          <w:szCs w:val="24"/>
          <w:lang w:val="en-GB"/>
        </w:rPr>
        <w:lastRenderedPageBreak/>
        <w:t>Whether flexible and hybrid arrangements are possible to aid retention in this context is debatable. In addition to rail, flexible working practices have been associated with both long-term retention benefits (Choi, 2020) and relatively small benefits in employee wellbeing (Shifrin and Michel, 2022), and industry commentators are steadily making flexibility, culture and a sense of belonging the key to retaining rail talent (RDG, 2024). To the office, commercial and control segment of the workforce, hybrid working might be a realistic element of a competitive package in a labour market where technology and energy employers are competing off with rail, over the same digital and engineering skills. In the case of the frontline, conventional hybrid work, however, is not generally an option</w:t>
      </w:r>
      <w:r w:rsidR="002A0DB4">
        <w:rPr>
          <w:rFonts w:asciiTheme="majorBidi" w:eastAsia="Times New Roman" w:hAnsiTheme="majorBidi" w:cstheme="majorBidi"/>
          <w:sz w:val="24"/>
          <w:szCs w:val="24"/>
          <w:lang w:val="en-GB"/>
        </w:rPr>
        <w:t>,</w:t>
      </w:r>
      <w:r w:rsidRPr="00625DC2">
        <w:rPr>
          <w:rFonts w:asciiTheme="majorBidi" w:eastAsia="Times New Roman" w:hAnsiTheme="majorBidi" w:cstheme="majorBidi"/>
          <w:sz w:val="24"/>
          <w:szCs w:val="24"/>
          <w:lang w:val="en-GB"/>
        </w:rPr>
        <w:t xml:space="preserve"> and it is more likely that the more pertinent retention drivers will be scheduling flexibility, equitable shift structure and expression as opposed to home working.</w:t>
      </w:r>
    </w:p>
    <w:p w:rsidR="00BA72B6" w:rsidRPr="00625DC2" w:rsidRDefault="00BA72B6" w:rsidP="00BA72B6">
      <w:pPr>
        <w:spacing w:before="100" w:beforeAutospacing="1" w:after="100" w:afterAutospacing="1" w:line="360" w:lineRule="auto"/>
        <w:rPr>
          <w:rFonts w:asciiTheme="majorBidi" w:eastAsia="Times New Roman" w:hAnsiTheme="majorBidi" w:cstheme="majorBidi"/>
          <w:sz w:val="24"/>
          <w:szCs w:val="24"/>
          <w:lang w:val="en-GB"/>
        </w:rPr>
      </w:pPr>
      <w:r w:rsidRPr="00625DC2">
        <w:rPr>
          <w:rFonts w:asciiTheme="majorBidi" w:eastAsia="Times New Roman" w:hAnsiTheme="majorBidi" w:cstheme="majorBidi"/>
          <w:sz w:val="24"/>
          <w:szCs w:val="24"/>
          <w:lang w:val="en-GB"/>
        </w:rPr>
        <w:t xml:space="preserve">The magnitude of the retention issue in rail is, more so, adequately demonstrated at </w:t>
      </w:r>
      <w:r w:rsidR="002A0DB4">
        <w:rPr>
          <w:rFonts w:asciiTheme="majorBidi" w:eastAsia="Times New Roman" w:hAnsiTheme="majorBidi" w:cstheme="majorBidi"/>
          <w:sz w:val="24"/>
          <w:szCs w:val="24"/>
          <w:lang w:val="en-GB"/>
        </w:rPr>
        <w:t xml:space="preserve">the </w:t>
      </w:r>
      <w:r w:rsidRPr="00625DC2">
        <w:rPr>
          <w:rFonts w:asciiTheme="majorBidi" w:eastAsia="Times New Roman" w:hAnsiTheme="majorBidi" w:cstheme="majorBidi"/>
          <w:sz w:val="24"/>
          <w:szCs w:val="24"/>
          <w:lang w:val="en-GB"/>
        </w:rPr>
        <w:t>sector scale, rather than the sparse literature about hybrid-working conjectures. The European social partners project that by 2030</w:t>
      </w:r>
      <w:r w:rsidR="002A0DB4">
        <w:rPr>
          <w:rFonts w:asciiTheme="majorBidi" w:eastAsia="Times New Roman" w:hAnsiTheme="majorBidi" w:cstheme="majorBidi"/>
          <w:sz w:val="24"/>
          <w:szCs w:val="24"/>
          <w:lang w:val="en-GB"/>
        </w:rPr>
        <w:t>,</w:t>
      </w:r>
      <w:r w:rsidRPr="00625DC2">
        <w:rPr>
          <w:rFonts w:asciiTheme="majorBidi" w:eastAsia="Times New Roman" w:hAnsiTheme="majorBidi" w:cstheme="majorBidi"/>
          <w:sz w:val="24"/>
          <w:szCs w:val="24"/>
          <w:lang w:val="en-GB"/>
        </w:rPr>
        <w:t xml:space="preserve"> half the existing rail workforce will have retired in most countries to come at a time when the sector is still struggling to fill core working professions like train drivers and traffic-control and maintenance workers, and will be forced to compete with other employers in IT, sales and research and development with younger, more digitally skilled employees (Voss, 2022). This focuses the previous argument: to the extent that flexibility is needed to make rail attractive to the office and manage the workforce it now competes with, the value of retaining it is not so much in its direct impact on the frontline, but in enabling the sector to compete in a labour market that it has not traditionally had to compete in.</w:t>
      </w:r>
    </w:p>
    <w:p w:rsidR="00BA72B6" w:rsidRPr="00625DC2" w:rsidRDefault="00BA72B6" w:rsidP="00BA72B6">
      <w:pPr>
        <w:spacing w:before="100" w:beforeAutospacing="1" w:after="100" w:afterAutospacing="1" w:line="360" w:lineRule="auto"/>
        <w:rPr>
          <w:rFonts w:asciiTheme="majorBidi" w:eastAsia="Times New Roman" w:hAnsiTheme="majorBidi" w:cstheme="majorBidi"/>
          <w:sz w:val="24"/>
          <w:szCs w:val="24"/>
          <w:lang w:val="en-GB"/>
        </w:rPr>
      </w:pPr>
      <w:r w:rsidRPr="00625DC2">
        <w:rPr>
          <w:rFonts w:asciiTheme="majorBidi" w:eastAsia="Times New Roman" w:hAnsiTheme="majorBidi" w:cstheme="majorBidi"/>
          <w:sz w:val="24"/>
          <w:szCs w:val="24"/>
          <w:lang w:val="en-GB"/>
        </w:rPr>
        <w:t>As far as the core of operations is concerned, the limited studies specific to railways clearly indicate that home working is not a strong incentive to retain. Surveys of lower-level employees find job satisfaction in workload and work design and person-job fit more than work location: a study of 654 subway train drivers by Gottwald and Lejsková (2023) attributes it to perceived workload and personality-type, and a survey of the railway workforce attributes medium-to-high stress and low satisfaction to shift and seasonal work, irregular hours, physically demanding work, low wages and low rest areas (Özturk Eyimaya and Tezel, 2021). These are operational safety essentials features which cannot be contacted by conventional hybrid arrangements</w:t>
      </w:r>
      <w:r w:rsidR="002A0DB4">
        <w:rPr>
          <w:rFonts w:asciiTheme="majorBidi" w:eastAsia="Times New Roman" w:hAnsiTheme="majorBidi" w:cstheme="majorBidi"/>
          <w:sz w:val="24"/>
          <w:szCs w:val="24"/>
          <w:lang w:val="en-GB"/>
        </w:rPr>
        <w:t>,</w:t>
      </w:r>
      <w:r w:rsidRPr="00625DC2">
        <w:rPr>
          <w:rFonts w:asciiTheme="majorBidi" w:eastAsia="Times New Roman" w:hAnsiTheme="majorBidi" w:cstheme="majorBidi"/>
          <w:sz w:val="24"/>
          <w:szCs w:val="24"/>
          <w:lang w:val="en-GB"/>
        </w:rPr>
        <w:t xml:space="preserve"> and this suggests that the frontline retention strategy should be focused on rostering, rest and reward </w:t>
      </w:r>
      <w:r w:rsidRPr="00625DC2">
        <w:rPr>
          <w:rFonts w:asciiTheme="majorBidi" w:eastAsia="Times New Roman" w:hAnsiTheme="majorBidi" w:cstheme="majorBidi"/>
          <w:sz w:val="24"/>
          <w:szCs w:val="24"/>
          <w:lang w:val="en-GB"/>
        </w:rPr>
        <w:lastRenderedPageBreak/>
        <w:t xml:space="preserve">instead of remote access. The retention issue in rail is not, then, whether hybrid working is beneficial but rather who it is beneficial: a practical, albeit unequal, support to the office and control workforce, and mostly counterintuitive to the working majority, who find other reasons </w:t>
      </w:r>
      <w:r w:rsidR="002A0DB4">
        <w:rPr>
          <w:rFonts w:asciiTheme="majorBidi" w:eastAsia="Times New Roman" w:hAnsiTheme="majorBidi" w:cstheme="majorBidi"/>
          <w:sz w:val="24"/>
          <w:szCs w:val="24"/>
          <w:lang w:val="en-GB"/>
        </w:rPr>
        <w:t>for</w:t>
      </w:r>
      <w:r w:rsidRPr="00625DC2">
        <w:rPr>
          <w:rFonts w:asciiTheme="majorBidi" w:eastAsia="Times New Roman" w:hAnsiTheme="majorBidi" w:cstheme="majorBidi"/>
          <w:sz w:val="24"/>
          <w:szCs w:val="24"/>
          <w:lang w:val="en-GB"/>
        </w:rPr>
        <w:t xml:space="preserve"> dissatisfaction</w:t>
      </w:r>
      <w:r w:rsidR="00A64932" w:rsidRPr="00625DC2">
        <w:rPr>
          <w:rFonts w:asciiTheme="majorBidi" w:eastAsia="Times New Roman" w:hAnsiTheme="majorBidi" w:cstheme="majorBidi"/>
          <w:sz w:val="24"/>
          <w:szCs w:val="24"/>
          <w:lang w:val="en-GB"/>
        </w:rPr>
        <w:t>.</w:t>
      </w:r>
    </w:p>
    <w:p w:rsidR="00A64932" w:rsidRPr="00625DC2" w:rsidRDefault="00BA72B6" w:rsidP="00BA72B6">
      <w:pPr>
        <w:spacing w:before="100" w:beforeAutospacing="1" w:after="100" w:afterAutospacing="1" w:line="360" w:lineRule="auto"/>
        <w:rPr>
          <w:rFonts w:asciiTheme="majorBidi" w:eastAsia="Times New Roman" w:hAnsiTheme="majorBidi" w:cstheme="majorBidi"/>
          <w:sz w:val="24"/>
          <w:szCs w:val="24"/>
          <w:lang w:val="en-GB"/>
        </w:rPr>
      </w:pPr>
      <w:r w:rsidRPr="00625DC2">
        <w:rPr>
          <w:rFonts w:asciiTheme="majorBidi" w:eastAsia="Times New Roman" w:hAnsiTheme="majorBidi" w:cstheme="majorBidi"/>
          <w:sz w:val="24"/>
          <w:szCs w:val="24"/>
          <w:lang w:val="en-GB"/>
        </w:rPr>
        <w:t>The informative quality of that scarcity</w:t>
      </w:r>
      <w:r w:rsidR="002A0DB4">
        <w:rPr>
          <w:rFonts w:asciiTheme="majorBidi" w:eastAsia="Times New Roman" w:hAnsiTheme="majorBidi" w:cstheme="majorBidi"/>
          <w:sz w:val="24"/>
          <w:szCs w:val="24"/>
          <w:lang w:val="en-GB"/>
        </w:rPr>
        <w:t xml:space="preserve"> itself</w:t>
      </w:r>
      <w:r w:rsidRPr="00625DC2">
        <w:rPr>
          <w:rFonts w:asciiTheme="majorBidi" w:eastAsia="Times New Roman" w:hAnsiTheme="majorBidi" w:cstheme="majorBidi"/>
          <w:sz w:val="24"/>
          <w:szCs w:val="24"/>
          <w:lang w:val="en-GB"/>
        </w:rPr>
        <w:t xml:space="preserve"> is informative, in the sense that it introduces rail as an original and under-researched situation where the mediated model might be applied, and preconditions the gap identified below. </w:t>
      </w:r>
      <w:r w:rsidR="00A64932" w:rsidRPr="00625DC2">
        <w:rPr>
          <w:rFonts w:asciiTheme="majorBidi" w:eastAsia="Times New Roman" w:hAnsiTheme="majorBidi" w:cstheme="majorBidi"/>
          <w:sz w:val="24"/>
          <w:szCs w:val="24"/>
          <w:lang w:val="en-GB"/>
        </w:rPr>
        <w:t xml:space="preserve"> </w:t>
      </w:r>
    </w:p>
    <w:p w:rsidR="00A64932" w:rsidRPr="00625DC2" w:rsidRDefault="00A64932" w:rsidP="00BA72B6">
      <w:pPr>
        <w:keepNext/>
        <w:spacing w:before="120" w:after="60" w:line="360" w:lineRule="auto"/>
        <w:rPr>
          <w:rFonts w:asciiTheme="majorBidi" w:hAnsiTheme="majorBidi" w:cstheme="majorBidi"/>
          <w:b/>
          <w:color w:val="000000" w:themeColor="text1"/>
          <w:sz w:val="24"/>
          <w:szCs w:val="24"/>
          <w:lang w:val="en-GB"/>
        </w:rPr>
      </w:pPr>
      <w:r w:rsidRPr="00625DC2">
        <w:rPr>
          <w:rFonts w:asciiTheme="majorBidi" w:hAnsiTheme="majorBidi" w:cstheme="majorBidi"/>
          <w:b/>
          <w:color w:val="000000" w:themeColor="text1"/>
          <w:sz w:val="24"/>
          <w:szCs w:val="24"/>
          <w:lang w:val="en-GB"/>
        </w:rPr>
        <w:t xml:space="preserve">Table 2.1: </w:t>
      </w:r>
      <w:r w:rsidR="00BA72B6" w:rsidRPr="00625DC2">
        <w:rPr>
          <w:rFonts w:asciiTheme="majorBidi" w:hAnsiTheme="majorBidi" w:cstheme="majorBidi"/>
          <w:b/>
          <w:color w:val="000000" w:themeColor="text1"/>
          <w:sz w:val="24"/>
          <w:szCs w:val="24"/>
          <w:lang w:val="en-GB"/>
        </w:rPr>
        <w:t>Overview of the literature regarding the impact of hybrid working (engagement, retention and performance)</w:t>
      </w:r>
    </w:p>
    <w:tbl>
      <w:tblPr>
        <w:tblStyle w:val="LightList-Accent1"/>
        <w:tblW w:w="10816" w:type="dxa"/>
        <w:tblLook w:val="04A0" w:firstRow="1" w:lastRow="0" w:firstColumn="1" w:lastColumn="0" w:noHBand="0" w:noVBand="1"/>
      </w:tblPr>
      <w:tblGrid>
        <w:gridCol w:w="1550"/>
        <w:gridCol w:w="2436"/>
        <w:gridCol w:w="2495"/>
        <w:gridCol w:w="1790"/>
        <w:gridCol w:w="1509"/>
        <w:gridCol w:w="1036"/>
      </w:tblGrid>
      <w:tr w:rsidR="002406C9" w:rsidRPr="00625DC2" w:rsidTr="00BA72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8" w:type="dxa"/>
          </w:tcPr>
          <w:p w:rsidR="002406C9" w:rsidRPr="00625DC2" w:rsidRDefault="002406C9" w:rsidP="00BA72B6">
            <w:pPr>
              <w:spacing w:before="40" w:after="40" w:line="360" w:lineRule="auto"/>
              <w:rPr>
                <w:rFonts w:asciiTheme="majorBidi" w:hAnsiTheme="majorBidi" w:cstheme="majorBidi"/>
                <w:b w:val="0"/>
                <w:color w:val="FFFFFF"/>
                <w:sz w:val="24"/>
                <w:szCs w:val="24"/>
                <w:lang w:val="en-GB"/>
              </w:rPr>
            </w:pPr>
            <w:r w:rsidRPr="00625DC2">
              <w:rPr>
                <w:rFonts w:asciiTheme="majorBidi" w:hAnsiTheme="majorBidi" w:cstheme="majorBidi"/>
                <w:color w:val="FFFFFF"/>
                <w:sz w:val="24"/>
                <w:szCs w:val="24"/>
                <w:lang w:val="en-GB"/>
              </w:rPr>
              <w:t>Outcome</w:t>
            </w:r>
          </w:p>
        </w:tc>
        <w:tc>
          <w:tcPr>
            <w:tcW w:w="2508" w:type="dxa"/>
          </w:tcPr>
          <w:p w:rsidR="002406C9" w:rsidRPr="00625DC2" w:rsidRDefault="002406C9" w:rsidP="00BA72B6">
            <w:pPr>
              <w:spacing w:before="40" w:after="40"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color w:val="FFFFFF"/>
                <w:sz w:val="24"/>
                <w:szCs w:val="24"/>
                <w:lang w:val="en-GB"/>
              </w:rPr>
            </w:pPr>
            <w:r w:rsidRPr="00625DC2">
              <w:rPr>
                <w:rFonts w:asciiTheme="majorBidi" w:hAnsiTheme="majorBidi" w:cstheme="majorBidi"/>
                <w:color w:val="FFFFFF"/>
                <w:sz w:val="24"/>
                <w:szCs w:val="24"/>
                <w:lang w:val="en-GB"/>
              </w:rPr>
              <w:t>Positive effects (+)</w:t>
            </w:r>
          </w:p>
        </w:tc>
        <w:tc>
          <w:tcPr>
            <w:tcW w:w="2571" w:type="dxa"/>
          </w:tcPr>
          <w:p w:rsidR="002406C9" w:rsidRPr="00625DC2" w:rsidRDefault="002406C9" w:rsidP="00BA72B6">
            <w:pPr>
              <w:spacing w:before="40" w:after="40"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color w:val="FFFFFF"/>
                <w:sz w:val="24"/>
                <w:szCs w:val="24"/>
                <w:lang w:val="en-GB"/>
              </w:rPr>
            </w:pPr>
            <w:r w:rsidRPr="00625DC2">
              <w:rPr>
                <w:rFonts w:asciiTheme="majorBidi" w:hAnsiTheme="majorBidi" w:cstheme="majorBidi"/>
                <w:color w:val="FFFFFF"/>
                <w:sz w:val="24"/>
                <w:szCs w:val="24"/>
                <w:lang w:val="en-GB"/>
              </w:rPr>
              <w:t>Negative or mixed effects (−)</w:t>
            </w:r>
          </w:p>
        </w:tc>
        <w:tc>
          <w:tcPr>
            <w:tcW w:w="1730" w:type="dxa"/>
          </w:tcPr>
          <w:p w:rsidR="002406C9" w:rsidRPr="00625DC2" w:rsidRDefault="002406C9" w:rsidP="00BA72B6">
            <w:pPr>
              <w:spacing w:before="40" w:after="40"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color w:val="FFFFFF"/>
                <w:sz w:val="24"/>
                <w:szCs w:val="24"/>
                <w:lang w:val="en-GB"/>
              </w:rPr>
            </w:pPr>
            <w:r w:rsidRPr="00625DC2">
              <w:rPr>
                <w:rFonts w:asciiTheme="majorBidi" w:hAnsiTheme="majorBidi" w:cstheme="majorBidi"/>
                <w:color w:val="FFFFFF"/>
                <w:sz w:val="24"/>
                <w:szCs w:val="24"/>
                <w:lang w:val="en-GB"/>
              </w:rPr>
              <w:t>Overall direction</w:t>
            </w:r>
          </w:p>
        </w:tc>
        <w:tc>
          <w:tcPr>
            <w:tcW w:w="1463" w:type="dxa"/>
            <w:vAlign w:val="center"/>
          </w:tcPr>
          <w:p w:rsidR="002406C9" w:rsidRPr="00625DC2" w:rsidRDefault="002406C9" w:rsidP="00BA72B6">
            <w:pPr>
              <w:spacing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sz w:val="24"/>
                <w:szCs w:val="24"/>
                <w:lang w:val="en-GB"/>
              </w:rPr>
            </w:pPr>
            <w:r w:rsidRPr="00625DC2">
              <w:rPr>
                <w:rFonts w:asciiTheme="majorBidi" w:hAnsiTheme="majorBidi" w:cstheme="majorBidi"/>
                <w:color w:val="000000" w:themeColor="text1"/>
                <w:sz w:val="24"/>
                <w:szCs w:val="24"/>
                <w:lang w:val="en-GB"/>
              </w:rPr>
              <w:t>Summary of evidence from the review</w:t>
            </w:r>
          </w:p>
        </w:tc>
        <w:tc>
          <w:tcPr>
            <w:tcW w:w="1106" w:type="dxa"/>
          </w:tcPr>
          <w:p w:rsidR="002406C9" w:rsidRPr="00625DC2" w:rsidRDefault="002406C9" w:rsidP="00BA72B6">
            <w:pPr>
              <w:spacing w:before="40" w:after="40"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color w:val="FFFFFF"/>
                <w:sz w:val="24"/>
                <w:szCs w:val="24"/>
                <w:lang w:val="en-GB"/>
              </w:rPr>
            </w:pPr>
          </w:p>
        </w:tc>
      </w:tr>
      <w:tr w:rsidR="00BA72B6" w:rsidRPr="00625DC2" w:rsidTr="00BA72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8" w:type="dxa"/>
          </w:tcPr>
          <w:p w:rsidR="00BA72B6" w:rsidRPr="00625DC2" w:rsidRDefault="00BA72B6" w:rsidP="00BA72B6">
            <w:pPr>
              <w:spacing w:before="40" w:after="40" w:line="360" w:lineRule="auto"/>
              <w:rPr>
                <w:rFonts w:asciiTheme="majorBidi" w:hAnsiTheme="majorBidi" w:cstheme="majorBidi"/>
                <w:b w:val="0"/>
                <w:color w:val="000000" w:themeColor="text1"/>
                <w:sz w:val="24"/>
                <w:szCs w:val="24"/>
                <w:lang w:val="en-GB"/>
              </w:rPr>
            </w:pPr>
            <w:r w:rsidRPr="00625DC2">
              <w:rPr>
                <w:rFonts w:asciiTheme="majorBidi" w:hAnsiTheme="majorBidi" w:cstheme="majorBidi"/>
                <w:color w:val="000000" w:themeColor="text1"/>
                <w:sz w:val="24"/>
                <w:szCs w:val="24"/>
                <w:lang w:val="en-GB"/>
              </w:rPr>
              <w:t>Engagement</w:t>
            </w:r>
          </w:p>
        </w:tc>
        <w:tc>
          <w:tcPr>
            <w:tcW w:w="2508" w:type="dxa"/>
          </w:tcPr>
          <w:p w:rsidR="00BA72B6" w:rsidRPr="00625DC2" w:rsidRDefault="00BA72B6"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GB"/>
              </w:rPr>
            </w:pPr>
            <w:r w:rsidRPr="00625DC2">
              <w:rPr>
                <w:rFonts w:asciiTheme="majorBidi" w:hAnsiTheme="majorBidi" w:cstheme="majorBidi"/>
                <w:sz w:val="24"/>
                <w:szCs w:val="24"/>
                <w:lang w:val="en-GB"/>
              </w:rPr>
              <w:t>Job resources such as flexibility and autonomy increase engagement (Gajendran et al., 2015).</w:t>
            </w:r>
          </w:p>
        </w:tc>
        <w:tc>
          <w:tcPr>
            <w:tcW w:w="2571" w:type="dxa"/>
          </w:tcPr>
          <w:p w:rsidR="00BA72B6" w:rsidRPr="00625DC2" w:rsidRDefault="00BA72B6"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GB"/>
              </w:rPr>
            </w:pPr>
            <w:r w:rsidRPr="00625DC2">
              <w:rPr>
                <w:rFonts w:asciiTheme="majorBidi" w:hAnsiTheme="majorBidi" w:cstheme="majorBidi"/>
                <w:sz w:val="24"/>
                <w:szCs w:val="24"/>
                <w:lang w:val="en-GB"/>
              </w:rPr>
              <w:t>It can be depressed by isolation and lack of supervisory and peer support (Sardeshmukh et al., 2012).</w:t>
            </w:r>
          </w:p>
        </w:tc>
        <w:tc>
          <w:tcPr>
            <w:tcW w:w="1730" w:type="dxa"/>
          </w:tcPr>
          <w:p w:rsidR="00BA72B6" w:rsidRPr="00625DC2" w:rsidRDefault="00BA72B6"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GB"/>
              </w:rPr>
            </w:pPr>
            <w:r w:rsidRPr="00625DC2">
              <w:rPr>
                <w:rFonts w:asciiTheme="majorBidi" w:hAnsiTheme="majorBidi" w:cstheme="majorBidi"/>
                <w:sz w:val="24"/>
                <w:szCs w:val="24"/>
                <w:lang w:val="en-GB"/>
              </w:rPr>
              <w:t>Yes, although dependent on design.</w:t>
            </w:r>
          </w:p>
        </w:tc>
        <w:tc>
          <w:tcPr>
            <w:tcW w:w="1463" w:type="dxa"/>
          </w:tcPr>
          <w:p w:rsidR="00BA72B6" w:rsidRPr="00625DC2" w:rsidRDefault="00BA72B6"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GB"/>
              </w:rPr>
            </w:pPr>
            <w:r w:rsidRPr="00625DC2">
              <w:rPr>
                <w:rFonts w:asciiTheme="majorBidi" w:hAnsiTheme="majorBidi" w:cstheme="majorBidi"/>
                <w:sz w:val="24"/>
                <w:szCs w:val="24"/>
                <w:lang w:val="en-GB"/>
              </w:rPr>
              <w:t xml:space="preserve">Job resources (flexibility and autonomy) may increase engagement, especially workspace flexibility among younger employees, but not all types of flexibility </w:t>
            </w:r>
            <w:r w:rsidRPr="00625DC2">
              <w:rPr>
                <w:rFonts w:asciiTheme="majorBidi" w:hAnsiTheme="majorBidi" w:cstheme="majorBidi"/>
                <w:sz w:val="24"/>
                <w:szCs w:val="24"/>
                <w:lang w:val="en-GB"/>
              </w:rPr>
              <w:lastRenderedPageBreak/>
              <w:t>can have an impact, and poor-quality remote working may reduce it (Lee, Chong and Ojo, 2024).</w:t>
            </w:r>
          </w:p>
        </w:tc>
        <w:tc>
          <w:tcPr>
            <w:tcW w:w="1106" w:type="dxa"/>
          </w:tcPr>
          <w:p w:rsidR="00BA72B6" w:rsidRPr="00625DC2" w:rsidRDefault="00BA72B6" w:rsidP="00BA72B6">
            <w:pPr>
              <w:spacing w:before="40" w:after="40"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lang w:val="en-GB"/>
              </w:rPr>
            </w:pPr>
          </w:p>
        </w:tc>
      </w:tr>
      <w:tr w:rsidR="00BA72B6" w:rsidRPr="00625DC2" w:rsidTr="00BA72B6">
        <w:tc>
          <w:tcPr>
            <w:cnfStyle w:val="001000000000" w:firstRow="0" w:lastRow="0" w:firstColumn="1" w:lastColumn="0" w:oddVBand="0" w:evenVBand="0" w:oddHBand="0" w:evenHBand="0" w:firstRowFirstColumn="0" w:firstRowLastColumn="0" w:lastRowFirstColumn="0" w:lastRowLastColumn="0"/>
            <w:tcW w:w="1438" w:type="dxa"/>
          </w:tcPr>
          <w:p w:rsidR="00BA72B6" w:rsidRPr="00625DC2" w:rsidRDefault="00BA72B6" w:rsidP="00BA72B6">
            <w:pPr>
              <w:spacing w:before="40" w:after="40" w:line="360" w:lineRule="auto"/>
              <w:rPr>
                <w:rFonts w:asciiTheme="majorBidi" w:hAnsiTheme="majorBidi" w:cstheme="majorBidi"/>
                <w:b w:val="0"/>
                <w:color w:val="000000" w:themeColor="text1"/>
                <w:sz w:val="24"/>
                <w:szCs w:val="24"/>
                <w:lang w:val="en-GB"/>
              </w:rPr>
            </w:pPr>
            <w:r w:rsidRPr="00625DC2">
              <w:rPr>
                <w:rFonts w:asciiTheme="majorBidi" w:hAnsiTheme="majorBidi" w:cstheme="majorBidi"/>
                <w:color w:val="000000" w:themeColor="text1"/>
                <w:sz w:val="24"/>
                <w:szCs w:val="24"/>
                <w:lang w:val="en-GB"/>
              </w:rPr>
              <w:t>Retention</w:t>
            </w:r>
          </w:p>
        </w:tc>
        <w:tc>
          <w:tcPr>
            <w:tcW w:w="2508" w:type="dxa"/>
          </w:tcPr>
          <w:p w:rsidR="00BA72B6" w:rsidRPr="00625DC2" w:rsidRDefault="002A0DB4" w:rsidP="002A0DB4">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GB"/>
              </w:rPr>
            </w:pPr>
            <w:r>
              <w:rPr>
                <w:rFonts w:asciiTheme="majorBidi" w:hAnsiTheme="majorBidi" w:cstheme="majorBidi"/>
                <w:sz w:val="24"/>
                <w:szCs w:val="24"/>
                <w:lang w:val="en-GB"/>
              </w:rPr>
              <w:t>Hybrid</w:t>
            </w:r>
            <w:r w:rsidR="00BA72B6" w:rsidRPr="00625DC2">
              <w:rPr>
                <w:rFonts w:asciiTheme="majorBidi" w:hAnsiTheme="majorBidi" w:cstheme="majorBidi"/>
                <w:sz w:val="24"/>
                <w:szCs w:val="24"/>
                <w:lang w:val="en-GB"/>
              </w:rPr>
              <w:t xml:space="preserve"> scheduling, randomly assigned, reduced attrition by approximately one-third (Bloom et al., 2024).</w:t>
            </w:r>
          </w:p>
        </w:tc>
        <w:tc>
          <w:tcPr>
            <w:tcW w:w="2571" w:type="dxa"/>
          </w:tcPr>
          <w:p w:rsidR="00BA72B6" w:rsidRPr="00625DC2" w:rsidRDefault="002A0DB4" w:rsidP="002A0DB4">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GB"/>
              </w:rPr>
            </w:pPr>
            <w:r>
              <w:rPr>
                <w:rFonts w:asciiTheme="majorBidi" w:hAnsiTheme="majorBidi" w:cstheme="majorBidi"/>
                <w:sz w:val="24"/>
                <w:szCs w:val="24"/>
                <w:lang w:val="en-GB"/>
              </w:rPr>
              <w:t>Turnover</w:t>
            </w:r>
            <w:r w:rsidR="00BA72B6" w:rsidRPr="00625DC2">
              <w:rPr>
                <w:rFonts w:asciiTheme="majorBidi" w:hAnsiTheme="majorBidi" w:cstheme="majorBidi"/>
                <w:sz w:val="24"/>
                <w:szCs w:val="24"/>
                <w:lang w:val="en-GB"/>
              </w:rPr>
              <w:t xml:space="preserve"> is also motivated by embeddedness and insecurity, and the operational rail majority is not able to gain access to flexibility (Peltokorpi and Allen, 2024).</w:t>
            </w:r>
          </w:p>
        </w:tc>
        <w:tc>
          <w:tcPr>
            <w:tcW w:w="1730" w:type="dxa"/>
          </w:tcPr>
          <w:p w:rsidR="00BA72B6" w:rsidRPr="00625DC2" w:rsidRDefault="002A0DB4"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GB"/>
              </w:rPr>
            </w:pPr>
            <w:r>
              <w:rPr>
                <w:rFonts w:asciiTheme="majorBidi" w:hAnsiTheme="majorBidi" w:cstheme="majorBidi"/>
                <w:sz w:val="24"/>
                <w:szCs w:val="24"/>
                <w:lang w:val="en-GB"/>
              </w:rPr>
              <w:t>Favourable,</w:t>
            </w:r>
            <w:r w:rsidR="00BA72B6" w:rsidRPr="00625DC2">
              <w:rPr>
                <w:rFonts w:asciiTheme="majorBidi" w:hAnsiTheme="majorBidi" w:cstheme="majorBidi"/>
                <w:sz w:val="24"/>
                <w:szCs w:val="24"/>
                <w:lang w:val="en-GB"/>
              </w:rPr>
              <w:t xml:space="preserve"> though biased and disproportionate between places.</w:t>
            </w:r>
          </w:p>
        </w:tc>
        <w:tc>
          <w:tcPr>
            <w:tcW w:w="1463" w:type="dxa"/>
          </w:tcPr>
          <w:p w:rsidR="00BA72B6" w:rsidRPr="00625DC2" w:rsidRDefault="00BA72B6"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GB"/>
              </w:rPr>
            </w:pPr>
            <w:r w:rsidRPr="00625DC2">
              <w:rPr>
                <w:rFonts w:asciiTheme="majorBidi" w:hAnsiTheme="majorBidi" w:cstheme="majorBidi"/>
                <w:sz w:val="24"/>
                <w:szCs w:val="24"/>
                <w:lang w:val="en-GB"/>
              </w:rPr>
              <w:t>Flexible arrangements may be able to facilitate retention, but can be influenced by the context and culture within the organisation, and not in an automatic manner (Kumar, Sarkar and Chahar, 2023).</w:t>
            </w:r>
          </w:p>
        </w:tc>
        <w:tc>
          <w:tcPr>
            <w:tcW w:w="1106" w:type="dxa"/>
          </w:tcPr>
          <w:p w:rsidR="00BA72B6" w:rsidRPr="00625DC2" w:rsidRDefault="00BA72B6" w:rsidP="00BA72B6">
            <w:pPr>
              <w:spacing w:before="40" w:after="40"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lang w:val="en-GB"/>
              </w:rPr>
            </w:pPr>
          </w:p>
        </w:tc>
      </w:tr>
      <w:tr w:rsidR="00BA72B6" w:rsidRPr="00625DC2" w:rsidTr="00BA72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8" w:type="dxa"/>
          </w:tcPr>
          <w:p w:rsidR="00BA72B6" w:rsidRPr="00625DC2" w:rsidRDefault="00BA72B6" w:rsidP="00BA72B6">
            <w:pPr>
              <w:spacing w:before="40" w:after="40" w:line="360" w:lineRule="auto"/>
              <w:rPr>
                <w:rFonts w:asciiTheme="majorBidi" w:hAnsiTheme="majorBidi" w:cstheme="majorBidi"/>
                <w:b w:val="0"/>
                <w:color w:val="000000" w:themeColor="text1"/>
                <w:sz w:val="24"/>
                <w:szCs w:val="24"/>
                <w:lang w:val="en-GB"/>
              </w:rPr>
            </w:pPr>
            <w:r w:rsidRPr="00625DC2">
              <w:rPr>
                <w:rFonts w:asciiTheme="majorBidi" w:hAnsiTheme="majorBidi" w:cstheme="majorBidi"/>
                <w:color w:val="000000" w:themeColor="text1"/>
                <w:sz w:val="24"/>
                <w:szCs w:val="24"/>
                <w:lang w:val="en-GB"/>
              </w:rPr>
              <w:t>Performance</w:t>
            </w:r>
          </w:p>
        </w:tc>
        <w:tc>
          <w:tcPr>
            <w:tcW w:w="2508" w:type="dxa"/>
          </w:tcPr>
          <w:p w:rsidR="00BA72B6" w:rsidRPr="00625DC2" w:rsidRDefault="00BA72B6"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GB"/>
              </w:rPr>
            </w:pPr>
            <w:r w:rsidRPr="00625DC2">
              <w:rPr>
                <w:rFonts w:asciiTheme="majorBidi" w:hAnsiTheme="majorBidi" w:cstheme="majorBidi"/>
                <w:sz w:val="24"/>
                <w:szCs w:val="24"/>
                <w:lang w:val="en-GB"/>
              </w:rPr>
              <w:t xml:space="preserve">Hybrid scheduling has no negative effect on performance; flexible </w:t>
            </w:r>
            <w:r w:rsidRPr="00625DC2">
              <w:rPr>
                <w:rFonts w:asciiTheme="majorBidi" w:hAnsiTheme="majorBidi" w:cstheme="majorBidi"/>
                <w:sz w:val="24"/>
                <w:szCs w:val="24"/>
                <w:lang w:val="en-GB"/>
              </w:rPr>
              <w:lastRenderedPageBreak/>
              <w:t>scheduling arrangements have a neutral-positive effect on organisational performance overall (Wong et al., 2020).</w:t>
            </w:r>
          </w:p>
        </w:tc>
        <w:tc>
          <w:tcPr>
            <w:tcW w:w="2571" w:type="dxa"/>
          </w:tcPr>
          <w:p w:rsidR="00BA72B6" w:rsidRPr="00625DC2" w:rsidRDefault="00BA72B6"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GB"/>
              </w:rPr>
            </w:pPr>
            <w:r w:rsidRPr="00625DC2">
              <w:rPr>
                <w:rFonts w:asciiTheme="majorBidi" w:hAnsiTheme="majorBidi" w:cstheme="majorBidi"/>
                <w:sz w:val="24"/>
                <w:szCs w:val="24"/>
                <w:lang w:val="en-GB"/>
              </w:rPr>
              <w:lastRenderedPageBreak/>
              <w:t xml:space="preserve">Less teamwork and unofficial exchanges, and disaggregated </w:t>
            </w:r>
            <w:r w:rsidRPr="00625DC2">
              <w:rPr>
                <w:rFonts w:asciiTheme="majorBidi" w:hAnsiTheme="majorBidi" w:cstheme="majorBidi"/>
                <w:sz w:val="24"/>
                <w:szCs w:val="24"/>
                <w:lang w:val="en-GB"/>
              </w:rPr>
              <w:lastRenderedPageBreak/>
              <w:t>employer ratings of productivity (Yang et al., 2022).</w:t>
            </w:r>
          </w:p>
        </w:tc>
        <w:tc>
          <w:tcPr>
            <w:tcW w:w="1730" w:type="dxa"/>
          </w:tcPr>
          <w:p w:rsidR="00BA72B6" w:rsidRPr="00625DC2" w:rsidRDefault="00BA72B6" w:rsidP="002A0DB4">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GB"/>
              </w:rPr>
            </w:pPr>
            <w:r w:rsidRPr="00625DC2">
              <w:rPr>
                <w:rFonts w:asciiTheme="majorBidi" w:hAnsiTheme="majorBidi" w:cstheme="majorBidi"/>
                <w:sz w:val="24"/>
                <w:szCs w:val="24"/>
                <w:lang w:val="en-GB"/>
              </w:rPr>
              <w:lastRenderedPageBreak/>
              <w:t>I</w:t>
            </w:r>
            <w:r w:rsidR="002A0DB4">
              <w:rPr>
                <w:rFonts w:asciiTheme="majorBidi" w:hAnsiTheme="majorBidi" w:cstheme="majorBidi"/>
                <w:sz w:val="24"/>
                <w:szCs w:val="24"/>
                <w:lang w:val="en-GB"/>
              </w:rPr>
              <w:t>different</w:t>
            </w:r>
            <w:r w:rsidRPr="00625DC2">
              <w:rPr>
                <w:rFonts w:asciiTheme="majorBidi" w:hAnsiTheme="majorBidi" w:cstheme="majorBidi"/>
                <w:sz w:val="24"/>
                <w:szCs w:val="24"/>
                <w:lang w:val="en-GB"/>
              </w:rPr>
              <w:t xml:space="preserve"> and widely neutral.</w:t>
            </w:r>
          </w:p>
        </w:tc>
        <w:tc>
          <w:tcPr>
            <w:tcW w:w="1463" w:type="dxa"/>
          </w:tcPr>
          <w:p w:rsidR="00BA72B6" w:rsidRPr="00625DC2" w:rsidRDefault="00BA72B6" w:rsidP="002A0DB4">
            <w:pPr>
              <w:spacing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GB"/>
              </w:rPr>
            </w:pPr>
            <w:r w:rsidRPr="00625DC2">
              <w:rPr>
                <w:rFonts w:asciiTheme="majorBidi" w:hAnsiTheme="majorBidi" w:cstheme="majorBidi"/>
                <w:sz w:val="24"/>
                <w:szCs w:val="24"/>
                <w:lang w:val="en-GB"/>
              </w:rPr>
              <w:t xml:space="preserve">Flexible working is positively </w:t>
            </w:r>
            <w:r w:rsidRPr="00625DC2">
              <w:rPr>
                <w:rFonts w:asciiTheme="majorBidi" w:hAnsiTheme="majorBidi" w:cstheme="majorBidi"/>
                <w:sz w:val="24"/>
                <w:szCs w:val="24"/>
                <w:lang w:val="en-GB"/>
              </w:rPr>
              <w:lastRenderedPageBreak/>
              <w:t xml:space="preserve">associated with the performance of the organisation in the aggregate, but in a </w:t>
            </w:r>
            <w:r w:rsidR="002A0DB4">
              <w:rPr>
                <w:rFonts w:asciiTheme="majorBidi" w:hAnsiTheme="majorBidi" w:cstheme="majorBidi"/>
                <w:sz w:val="24"/>
                <w:szCs w:val="24"/>
                <w:lang w:val="en-GB"/>
              </w:rPr>
              <w:t>cost-constrained, subsidy-reliant railway,</w:t>
            </w:r>
            <w:r w:rsidRPr="00625DC2">
              <w:rPr>
                <w:rFonts w:asciiTheme="majorBidi" w:hAnsiTheme="majorBidi" w:cstheme="majorBidi"/>
                <w:sz w:val="24"/>
                <w:szCs w:val="24"/>
                <w:lang w:val="en-GB"/>
              </w:rPr>
              <w:t xml:space="preserve"> the overall impact is whether efficiency is realised without undermining frontline engagement (Wong, Chan and Teh, 2020; ORR, 2025).</w:t>
            </w:r>
          </w:p>
        </w:tc>
        <w:tc>
          <w:tcPr>
            <w:tcW w:w="1106" w:type="dxa"/>
          </w:tcPr>
          <w:p w:rsidR="00BA72B6" w:rsidRPr="00625DC2" w:rsidRDefault="00BA72B6" w:rsidP="00BA72B6">
            <w:pPr>
              <w:spacing w:before="40" w:after="40" w:line="36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lang w:val="en-GB"/>
              </w:rPr>
            </w:pPr>
          </w:p>
        </w:tc>
      </w:tr>
    </w:tbl>
    <w:p w:rsidR="00A64932" w:rsidRPr="00625DC2" w:rsidRDefault="00A64932" w:rsidP="00BA72B6">
      <w:pPr>
        <w:spacing w:before="60" w:after="120" w:line="360" w:lineRule="auto"/>
        <w:rPr>
          <w:rFonts w:asciiTheme="majorBidi" w:hAnsiTheme="majorBidi" w:cstheme="majorBidi"/>
          <w:i/>
          <w:iCs/>
          <w:color w:val="000000" w:themeColor="text1"/>
          <w:sz w:val="24"/>
          <w:szCs w:val="24"/>
          <w:lang w:val="en-GB"/>
        </w:rPr>
      </w:pPr>
      <w:r w:rsidRPr="00625DC2">
        <w:rPr>
          <w:rFonts w:asciiTheme="majorBidi" w:hAnsiTheme="majorBidi" w:cstheme="majorBidi"/>
          <w:i/>
          <w:iCs/>
          <w:color w:val="000000" w:themeColor="text1"/>
          <w:sz w:val="24"/>
          <w:szCs w:val="24"/>
          <w:lang w:val="en-GB"/>
        </w:rPr>
        <w:t xml:space="preserve">Note. </w:t>
      </w:r>
      <w:r w:rsidR="00BA72B6" w:rsidRPr="00625DC2">
        <w:rPr>
          <w:rFonts w:asciiTheme="majorBidi" w:hAnsiTheme="majorBidi" w:cstheme="majorBidi"/>
          <w:i/>
          <w:iCs/>
          <w:color w:val="000000" w:themeColor="text1"/>
          <w:sz w:val="24"/>
          <w:szCs w:val="24"/>
          <w:lang w:val="en-GB"/>
        </w:rPr>
        <w:t>(−) indicates negative evidence or mixed evidence and ( + ) positive evidence; all citations and critical analysis can be found in Sections 2.2–2.7.</w:t>
      </w:r>
    </w:p>
    <w:p w:rsidR="00DF7CC2" w:rsidRPr="00625DC2" w:rsidRDefault="00DF7CC2" w:rsidP="00BA72B6">
      <w:pPr>
        <w:spacing w:line="360" w:lineRule="auto"/>
        <w:rPr>
          <w:rFonts w:asciiTheme="majorBidi" w:hAnsiTheme="majorBidi" w:cstheme="majorBidi"/>
          <w:color w:val="000000" w:themeColor="text1"/>
          <w:sz w:val="24"/>
          <w:szCs w:val="24"/>
          <w:lang w:val="en-GB"/>
        </w:rPr>
      </w:pPr>
    </w:p>
    <w:p w:rsidR="00AD375C" w:rsidRPr="00625DC2" w:rsidRDefault="00AD375C" w:rsidP="00BA72B6">
      <w:pPr>
        <w:pStyle w:val="Heading2"/>
        <w:spacing w:line="360" w:lineRule="auto"/>
        <w:rPr>
          <w:rFonts w:asciiTheme="majorBidi" w:hAnsiTheme="majorBidi"/>
          <w:color w:val="000000" w:themeColor="text1"/>
          <w:sz w:val="24"/>
          <w:szCs w:val="24"/>
          <w:lang w:val="en-GB"/>
        </w:rPr>
      </w:pPr>
      <w:bookmarkStart w:id="15" w:name="_Toc233458795"/>
      <w:r w:rsidRPr="00625DC2">
        <w:rPr>
          <w:rFonts w:asciiTheme="majorBidi" w:hAnsiTheme="majorBidi"/>
          <w:color w:val="000000" w:themeColor="text1"/>
          <w:sz w:val="24"/>
          <w:szCs w:val="24"/>
          <w:lang w:val="en-GB"/>
        </w:rPr>
        <w:lastRenderedPageBreak/>
        <w:t>2.6 Literature Gap</w:t>
      </w:r>
      <w:bookmarkEnd w:id="15"/>
    </w:p>
    <w:p w:rsidR="00DF7CC2" w:rsidRPr="00625DC2" w:rsidRDefault="00DF7CC2"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Combining the four themes and the three overlapping gaps identified above, three methodological gaps can be summarised as follows: First, a conceptual issue; the majority of studies conceptualise hybrid working as binary – either at home or in the office – despite evidence that the practices of hybrid working – the flexible, communication, managerial support and resource access dimensions – are the key drivers of outcomes (Felstead and Reuschke, 2020; Naqshbandi et al., 2024; Lauring and Jonasson, 2024). This melding inherited from the telework literature makes much of the existing evidence only partially transferable. Second, a mechanistic gap: while engagement is theorised as a mediator between organisational practices and retention (Saks, 2006; Sinisterra et al., 2024), and engagement is clearly linked to hybrid working (Sardeshmukh et al., 2012; Gajendran et al., 2015), as well as to turnover (Bloom et al., 2024; Singh and Sant, 2025), the mediated chain from hybrid working to engagement to retention has not been studied in a direct way in these contexts, and the logic remains under-specified, being largely cross-sectional in nature. Third, a contextual gap: the overwhelming majority of the evidence is non-UK (China, Nigeria, Germany, India, US) and focused on IT, public sector, nursing and academic contexts, and little quantitative work has focused on UK services</w:t>
      </w:r>
      <w:r w:rsidR="00FF0B4F"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where engagement is most economically relevant, as it directly impacts customer experience (Harter et al., 2002; Roy et al., 2022). This study aims to tackle all three gaps at once by quantitatively investigating the mediating role of employee engagement between employee hybrid working practices and retention in service firms in the UK, thereby synthesising an often contradictory body of evidence around the links between employee engagement and the retention of employees into a single, theoretically-driven model.</w:t>
      </w:r>
    </w:p>
    <w:p w:rsidR="00A44F6A" w:rsidRPr="00625DC2" w:rsidRDefault="00A44F6A" w:rsidP="00BA72B6">
      <w:pPr>
        <w:spacing w:line="360" w:lineRule="auto"/>
        <w:rPr>
          <w:rFonts w:asciiTheme="majorBidi" w:eastAsia="Times New Roman" w:hAnsiTheme="majorBidi" w:cstheme="majorBidi"/>
          <w:b/>
          <w:bCs/>
          <w:color w:val="000000" w:themeColor="text1"/>
          <w:sz w:val="24"/>
          <w:szCs w:val="24"/>
          <w:lang w:val="en-GB"/>
        </w:rPr>
      </w:pPr>
      <w:r w:rsidRPr="00625DC2">
        <w:rPr>
          <w:rFonts w:asciiTheme="majorBidi" w:hAnsiTheme="majorBidi" w:cstheme="majorBidi"/>
          <w:color w:val="000000" w:themeColor="text1"/>
          <w:sz w:val="24"/>
          <w:szCs w:val="24"/>
          <w:lang w:val="en-GB"/>
        </w:rPr>
        <w:br w:type="page"/>
      </w:r>
    </w:p>
    <w:p w:rsidR="00F1028B" w:rsidRPr="00625DC2" w:rsidRDefault="00F1028B" w:rsidP="00BA72B6">
      <w:pPr>
        <w:pStyle w:val="Heading1"/>
        <w:spacing w:line="360" w:lineRule="auto"/>
        <w:jc w:val="center"/>
        <w:rPr>
          <w:rFonts w:asciiTheme="majorBidi" w:hAnsiTheme="majorBidi"/>
          <w:color w:val="000000" w:themeColor="text1"/>
          <w:sz w:val="24"/>
          <w:szCs w:val="24"/>
          <w:lang w:val="en-GB"/>
        </w:rPr>
      </w:pPr>
      <w:bookmarkStart w:id="16" w:name="_Toc233458796"/>
      <w:r w:rsidRPr="00625DC2">
        <w:rPr>
          <w:rFonts w:asciiTheme="majorBidi" w:hAnsiTheme="majorBidi"/>
          <w:color w:val="000000" w:themeColor="text1"/>
          <w:sz w:val="24"/>
          <w:szCs w:val="24"/>
          <w:lang w:val="en-GB"/>
        </w:rPr>
        <w:lastRenderedPageBreak/>
        <w:t>CHAPTER 3: METHODOLOGY</w:t>
      </w:r>
      <w:bookmarkEnd w:id="16"/>
    </w:p>
    <w:p w:rsidR="00213A92" w:rsidRPr="00625DC2" w:rsidRDefault="00213A92" w:rsidP="00BA72B6">
      <w:pPr>
        <w:pStyle w:val="Heading2"/>
        <w:spacing w:line="360" w:lineRule="auto"/>
        <w:rPr>
          <w:rFonts w:asciiTheme="majorBidi" w:hAnsiTheme="majorBidi"/>
          <w:sz w:val="24"/>
          <w:szCs w:val="24"/>
          <w:lang w:val="en-GB"/>
        </w:rPr>
      </w:pPr>
      <w:bookmarkStart w:id="17" w:name="_Toc233458797"/>
      <w:r w:rsidRPr="00625DC2">
        <w:rPr>
          <w:rStyle w:val="animatingbsh3210"/>
          <w:rFonts w:asciiTheme="majorBidi" w:hAnsiTheme="majorBidi"/>
          <w:color w:val="000000" w:themeColor="text1"/>
          <w:sz w:val="24"/>
          <w:szCs w:val="24"/>
          <w:lang w:val="en-GB"/>
        </w:rPr>
        <w:t>3.1 Research Philosophy and Approach</w:t>
      </w:r>
      <w:bookmarkEnd w:id="17"/>
    </w:p>
    <w:p w:rsidR="00DF7CC2" w:rsidRPr="00625DC2" w:rsidRDefault="00DF7CC2"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The study takes a positivist approach</w:t>
      </w:r>
      <w:r w:rsidR="00A640B6" w:rsidRPr="00625DC2">
        <w:rPr>
          <w:rFonts w:asciiTheme="majorBidi" w:hAnsiTheme="majorBidi" w:cstheme="majorBidi"/>
          <w:color w:val="000000" w:themeColor="text1"/>
          <w:sz w:val="24"/>
          <w:szCs w:val="24"/>
          <w:lang w:val="en-GB"/>
        </w:rPr>
        <w:t>, which is suitable for this study as the study wanted to test pre-specified, theory-derived</w:t>
      </w:r>
      <w:r w:rsidRPr="00625DC2">
        <w:rPr>
          <w:rFonts w:asciiTheme="majorBidi" w:hAnsiTheme="majorBidi" w:cstheme="majorBidi"/>
          <w:color w:val="000000" w:themeColor="text1"/>
          <w:sz w:val="24"/>
          <w:szCs w:val="24"/>
          <w:lang w:val="en-GB"/>
        </w:rPr>
        <w:t xml:space="preserve"> hypotheses about measurable relationships between variables, rather than interpret the meaning of the data subjectively (Saunders, Lewis and Thornhill, 2009). The Job Demands–Resources framework and previous literature are the basis for deductively developing hypotheses H1–H4, before conducting empirical testing against data (Bryman, 2016). However, this stance, which can best be described as interpretivist, inductive, would best reflect the employees' experience of hybrid working but would not provide the generalisable, decision-relevant evidence that senior managers are looking for, so it is rejected here, in keeping with the Saunders et al. (2009) guidelines.</w:t>
      </w:r>
    </w:p>
    <w:p w:rsidR="00213A92" w:rsidRPr="00625DC2" w:rsidRDefault="00213A92" w:rsidP="00BA72B6">
      <w:pPr>
        <w:pStyle w:val="Heading2"/>
        <w:spacing w:line="360" w:lineRule="auto"/>
        <w:rPr>
          <w:rFonts w:asciiTheme="majorBidi" w:hAnsiTheme="majorBidi"/>
          <w:sz w:val="24"/>
          <w:szCs w:val="24"/>
          <w:lang w:val="en-GB"/>
        </w:rPr>
      </w:pPr>
      <w:bookmarkStart w:id="18" w:name="_Toc233458798"/>
      <w:r w:rsidRPr="00625DC2">
        <w:rPr>
          <w:rStyle w:val="animatingbsh3210"/>
          <w:rFonts w:asciiTheme="majorBidi" w:hAnsiTheme="majorBidi"/>
          <w:color w:val="000000" w:themeColor="text1"/>
          <w:sz w:val="24"/>
          <w:szCs w:val="24"/>
          <w:lang w:val="en-GB"/>
        </w:rPr>
        <w:t>3.2 Research Design</w:t>
      </w:r>
      <w:bookmarkEnd w:id="18"/>
    </w:p>
    <w:p w:rsidR="00DF7CC2" w:rsidRPr="00625DC2" w:rsidRDefault="00DF7CC2"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A quantitative, mono-method survey approach is used for three reasons. Firstly, the purpose is to explain, that is, to quantify the strength and direction of relationships, and quantitative designs are best suited for this (Bryman, 2016). Second, the available evidence is limited and sometimes anecdotal, so having a structured numeric approach will help to cut down on the number of isolated cases and make the study more comparable with validated studies. Third, the hypotheses</w:t>
      </w:r>
      <w:r w:rsidR="00A640B6" w:rsidRPr="00625DC2">
        <w:rPr>
          <w:rFonts w:asciiTheme="majorBidi" w:hAnsiTheme="majorBidi" w:cstheme="majorBidi"/>
          <w:color w:val="000000" w:themeColor="text1"/>
          <w:sz w:val="24"/>
          <w:szCs w:val="24"/>
          <w:lang w:val="en-GB"/>
        </w:rPr>
        <w:t>, notably the mediation hypothesis (H4),</w:t>
      </w:r>
      <w:r w:rsidRPr="00625DC2">
        <w:rPr>
          <w:rFonts w:asciiTheme="majorBidi" w:hAnsiTheme="majorBidi" w:cstheme="majorBidi"/>
          <w:color w:val="000000" w:themeColor="text1"/>
          <w:sz w:val="24"/>
          <w:szCs w:val="24"/>
          <w:lang w:val="en-GB"/>
        </w:rPr>
        <w:t xml:space="preserve"> can only be estimated statistically using numeric data. The cross-sectional time framework is used for </w:t>
      </w:r>
      <w:r w:rsidR="00A640B6" w:rsidRPr="00625DC2">
        <w:rPr>
          <w:rFonts w:asciiTheme="majorBidi" w:hAnsiTheme="majorBidi" w:cstheme="majorBidi"/>
          <w:color w:val="000000" w:themeColor="text1"/>
          <w:sz w:val="24"/>
          <w:szCs w:val="24"/>
          <w:lang w:val="en-GB"/>
        </w:rPr>
        <w:t xml:space="preserve">the </w:t>
      </w:r>
      <w:r w:rsidRPr="00625DC2">
        <w:rPr>
          <w:rFonts w:asciiTheme="majorBidi" w:hAnsiTheme="majorBidi" w:cstheme="majorBidi"/>
          <w:color w:val="000000" w:themeColor="text1"/>
          <w:sz w:val="24"/>
          <w:szCs w:val="24"/>
          <w:lang w:val="en-GB"/>
        </w:rPr>
        <w:t>feasibility of the study — even though this limits causal inferences (which are acknowledged below), it is the accepted time perspective for applied organisational survey research (Saunders et al., 2009).</w:t>
      </w:r>
    </w:p>
    <w:p w:rsidR="00213A92" w:rsidRPr="00625DC2" w:rsidRDefault="00213A92" w:rsidP="00BA72B6">
      <w:pPr>
        <w:pStyle w:val="Heading2"/>
        <w:spacing w:line="360" w:lineRule="auto"/>
        <w:rPr>
          <w:rFonts w:asciiTheme="majorBidi" w:hAnsiTheme="majorBidi"/>
          <w:sz w:val="24"/>
          <w:szCs w:val="24"/>
          <w:lang w:val="en-GB"/>
        </w:rPr>
      </w:pPr>
      <w:bookmarkStart w:id="19" w:name="_Toc233458799"/>
      <w:r w:rsidRPr="00625DC2">
        <w:rPr>
          <w:rStyle w:val="animatingbsh3210"/>
          <w:rFonts w:asciiTheme="majorBidi" w:hAnsiTheme="majorBidi"/>
          <w:sz w:val="24"/>
          <w:szCs w:val="24"/>
          <w:lang w:val="en-GB"/>
        </w:rPr>
        <w:t>3.3 Variables and Instrument</w:t>
      </w:r>
      <w:bookmarkEnd w:id="19"/>
    </w:p>
    <w:p w:rsidR="00DF7CC2" w:rsidRPr="00625DC2" w:rsidRDefault="00514ADE"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T</w:t>
      </w:r>
      <w:r w:rsidR="00DF7CC2" w:rsidRPr="00625DC2">
        <w:rPr>
          <w:rFonts w:asciiTheme="majorBidi" w:hAnsiTheme="majorBidi" w:cstheme="majorBidi"/>
          <w:color w:val="000000" w:themeColor="text1"/>
          <w:sz w:val="24"/>
          <w:szCs w:val="24"/>
          <w:lang w:val="en-GB"/>
        </w:rPr>
        <w:t>he independent variable is hybrid working, which, as with the work of Feinstein et al (2019), is operationalised multidimensionally, in this case as flexibility, communication effectiveness, managerial support and resource access, with the latter being a proxy for access to resources.</w:t>
      </w:r>
      <w:r w:rsidR="00A640B6" w:rsidRPr="00625DC2">
        <w:rPr>
          <w:rFonts w:asciiTheme="majorBidi" w:hAnsiTheme="majorBidi" w:cstheme="majorBidi"/>
          <w:color w:val="000000" w:themeColor="text1"/>
          <w:sz w:val="24"/>
          <w:szCs w:val="24"/>
          <w:lang w:val="en-GB"/>
        </w:rPr>
        <w:t xml:space="preserve"> </w:t>
      </w:r>
      <w:r w:rsidR="00DF7CC2" w:rsidRPr="00625DC2">
        <w:rPr>
          <w:rFonts w:asciiTheme="majorBidi" w:hAnsiTheme="majorBidi" w:cstheme="majorBidi"/>
          <w:color w:val="000000" w:themeColor="text1"/>
          <w:sz w:val="24"/>
          <w:szCs w:val="24"/>
          <w:lang w:val="en-GB"/>
        </w:rPr>
        <w:t xml:space="preserve">As per the proposal, the independent variable is hybrid working, which, in line with Feinstein et al (2019), is operationalised multidimensionally as flexibility, communication effectiveness, managerial support, and resource access, the latter of which is used as a proxy for access to resources. The dependent variables are employee engagement and intention to leave, which is also modelled as a mediator (H4). The data are obtained from a structured questionnaire (Google </w:t>
      </w:r>
      <w:r w:rsidR="00DF7CC2" w:rsidRPr="00625DC2">
        <w:rPr>
          <w:rFonts w:asciiTheme="majorBidi" w:hAnsiTheme="majorBidi" w:cstheme="majorBidi"/>
          <w:color w:val="000000" w:themeColor="text1"/>
          <w:sz w:val="24"/>
          <w:szCs w:val="24"/>
          <w:lang w:val="en-GB"/>
        </w:rPr>
        <w:lastRenderedPageBreak/>
        <w:t xml:space="preserve">Forms) with a Likert scale ranging from 1 to 5. Valid and reliable scales are adapted to strengthen the validity and comparability of the measures: the Utrecht Work Engagement Scale (Schaufeli et al., 2002) for engagement, and validated turnover-intention items (Allen, Bryant and Vardaman, 2010). The use of previously validated instruments </w:t>
      </w:r>
      <w:r w:rsidR="00A640B6" w:rsidRPr="00625DC2">
        <w:rPr>
          <w:rFonts w:asciiTheme="majorBidi" w:hAnsiTheme="majorBidi" w:cstheme="majorBidi"/>
          <w:color w:val="000000" w:themeColor="text1"/>
          <w:sz w:val="24"/>
          <w:szCs w:val="24"/>
          <w:lang w:val="en-GB"/>
        </w:rPr>
        <w:t>minimises measurement error</w:t>
      </w:r>
      <w:r w:rsidR="00DF7CC2" w:rsidRPr="00625DC2">
        <w:rPr>
          <w:rFonts w:asciiTheme="majorBidi" w:hAnsiTheme="majorBidi" w:cstheme="majorBidi"/>
          <w:color w:val="000000" w:themeColor="text1"/>
          <w:sz w:val="24"/>
          <w:szCs w:val="24"/>
          <w:lang w:val="en-GB"/>
        </w:rPr>
        <w:t xml:space="preserve"> and promotes construct validity (Field, 2024).</w:t>
      </w:r>
    </w:p>
    <w:p w:rsidR="00213A92" w:rsidRPr="00625DC2" w:rsidRDefault="00213A92" w:rsidP="00BA72B6">
      <w:pPr>
        <w:pStyle w:val="Heading2"/>
        <w:spacing w:line="360" w:lineRule="auto"/>
        <w:rPr>
          <w:rFonts w:asciiTheme="majorBidi" w:hAnsiTheme="majorBidi"/>
          <w:sz w:val="24"/>
          <w:szCs w:val="24"/>
          <w:lang w:val="en-GB"/>
        </w:rPr>
      </w:pPr>
      <w:bookmarkStart w:id="20" w:name="_Toc233458800"/>
      <w:r w:rsidRPr="00625DC2">
        <w:rPr>
          <w:rStyle w:val="animatingbsh3210"/>
          <w:rFonts w:asciiTheme="majorBidi" w:hAnsiTheme="majorBidi"/>
          <w:sz w:val="24"/>
          <w:szCs w:val="24"/>
          <w:lang w:val="en-GB"/>
        </w:rPr>
        <w:t>3.4 Sampling Strategy</w:t>
      </w:r>
      <w:bookmarkEnd w:id="20"/>
    </w:p>
    <w:p w:rsidR="00DF7CC2" w:rsidRPr="00625DC2" w:rsidRDefault="00DF7CC2"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The target population is employees of service organisations in the UK who work in hybrid roles</w:t>
      </w:r>
      <w:r w:rsidR="00A640B6"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and the target sample size is approximately 100 (corresponding to descriptive, correlation and regression analysis at this level (Krejcie and Morgan, 1970; Saunders et al., 2009). Using non-probability convenience sampling, the respondents are contacted by email and through LinkedIn contacts. This is pragmatic, in that applied research tends to have more of a time and access constraint, but the self-selection bias of convenience sampling and the statistical generalisability of the study to the broader workforce are recognised (Bryman, 2016). Findings are therefore presented as indicative and not necessarily representative.</w:t>
      </w:r>
    </w:p>
    <w:p w:rsidR="00213A92" w:rsidRPr="00625DC2" w:rsidRDefault="00213A92" w:rsidP="00BA72B6">
      <w:pPr>
        <w:pStyle w:val="Heading2"/>
        <w:spacing w:line="360" w:lineRule="auto"/>
        <w:rPr>
          <w:rFonts w:asciiTheme="majorBidi" w:hAnsiTheme="majorBidi"/>
          <w:sz w:val="24"/>
          <w:szCs w:val="24"/>
          <w:lang w:val="en-GB"/>
        </w:rPr>
      </w:pPr>
      <w:bookmarkStart w:id="21" w:name="_Toc233458801"/>
      <w:r w:rsidRPr="00625DC2">
        <w:rPr>
          <w:rStyle w:val="animatingbsh3210"/>
          <w:rFonts w:asciiTheme="majorBidi" w:hAnsiTheme="majorBidi"/>
          <w:sz w:val="24"/>
          <w:szCs w:val="24"/>
          <w:lang w:val="en-GB"/>
        </w:rPr>
        <w:t>3.5 Data Analysis</w:t>
      </w:r>
      <w:bookmarkEnd w:id="21"/>
    </w:p>
    <w:p w:rsidR="00DF7CC2" w:rsidRPr="00625DC2" w:rsidRDefault="00DF7CC2"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Data will not be </w:t>
      </w:r>
      <w:r w:rsidR="00A640B6" w:rsidRPr="00625DC2">
        <w:rPr>
          <w:rFonts w:asciiTheme="majorBidi" w:hAnsiTheme="majorBidi" w:cstheme="majorBidi"/>
          <w:color w:val="000000" w:themeColor="text1"/>
          <w:sz w:val="24"/>
          <w:szCs w:val="24"/>
          <w:lang w:val="en-GB"/>
        </w:rPr>
        <w:t>analysed</w:t>
      </w:r>
      <w:r w:rsidRPr="00625DC2">
        <w:rPr>
          <w:rFonts w:asciiTheme="majorBidi" w:hAnsiTheme="majorBidi" w:cstheme="majorBidi"/>
          <w:color w:val="000000" w:themeColor="text1"/>
          <w:sz w:val="24"/>
          <w:szCs w:val="24"/>
          <w:lang w:val="en-GB"/>
        </w:rPr>
        <w:t xml:space="preserve"> in SPSS but in Microsoft Excel and Python in Google Colab. This blend makes sense on practical and methodological considerations: both tools are open and </w:t>
      </w:r>
      <w:r w:rsidR="002A0DB4">
        <w:rPr>
          <w:rFonts w:asciiTheme="majorBidi" w:hAnsiTheme="majorBidi" w:cstheme="majorBidi"/>
          <w:color w:val="000000" w:themeColor="text1"/>
          <w:sz w:val="24"/>
          <w:szCs w:val="24"/>
          <w:lang w:val="en-GB"/>
        </w:rPr>
        <w:t>license-free, and the Colab environment offers a fully reproducible, shareable</w:t>
      </w:r>
      <w:r w:rsidRPr="00625DC2">
        <w:rPr>
          <w:rFonts w:asciiTheme="majorBidi" w:hAnsiTheme="majorBidi" w:cstheme="majorBidi"/>
          <w:color w:val="000000" w:themeColor="text1"/>
          <w:sz w:val="24"/>
          <w:szCs w:val="24"/>
          <w:lang w:val="en-GB"/>
        </w:rPr>
        <w:t xml:space="preserve"> analytical workflow, thereby enhancing the transparency and replicability of the analysis (Field, 2024). Initial screening of data will be done using Excel, </w:t>
      </w:r>
      <w:r w:rsidR="002A0DB4">
        <w:rPr>
          <w:rFonts w:asciiTheme="majorBidi" w:hAnsiTheme="majorBidi" w:cstheme="majorBidi"/>
          <w:color w:val="000000" w:themeColor="text1"/>
          <w:sz w:val="24"/>
          <w:szCs w:val="24"/>
          <w:lang w:val="en-GB"/>
        </w:rPr>
        <w:t xml:space="preserve">and </w:t>
      </w:r>
      <w:r w:rsidRPr="00625DC2">
        <w:rPr>
          <w:rFonts w:asciiTheme="majorBidi" w:hAnsiTheme="majorBidi" w:cstheme="majorBidi"/>
          <w:color w:val="000000" w:themeColor="text1"/>
          <w:sz w:val="24"/>
          <w:szCs w:val="24"/>
          <w:lang w:val="en-GB"/>
        </w:rPr>
        <w:t>coding and descriptive statistics (mean, standard deviation, frequencies) will be used to summarise the sample. Inferential analysis will be performed in Google Colab with libraries already developed in Python (pandas, scipy and statsmodels): Pearson's correlation will be used for the bivariate relationships in H1–H3; multiple regression will be used for the predictive relationships from H1–H3, controlling for the confounds. The mediation hypothesis (H4) will be tested using a bootstrapped indirect-effect analysis (e.g., the pingouin library; Hayes, 2018)</w:t>
      </w:r>
      <w:r w:rsidR="002A0DB4">
        <w:rPr>
          <w:rFonts w:asciiTheme="majorBidi" w:hAnsiTheme="majorBidi" w:cstheme="majorBidi"/>
          <w:color w:val="000000" w:themeColor="text1"/>
          <w:sz w:val="24"/>
          <w:szCs w:val="24"/>
          <w:lang w:val="en-GB"/>
        </w:rPr>
        <w:t>, favoured over the causal-steps approach of Baron and Kenny (1986),</w:t>
      </w:r>
      <w:r w:rsidRPr="00625DC2">
        <w:rPr>
          <w:rFonts w:asciiTheme="majorBidi" w:hAnsiTheme="majorBidi" w:cstheme="majorBidi"/>
          <w:color w:val="000000" w:themeColor="text1"/>
          <w:sz w:val="24"/>
          <w:szCs w:val="24"/>
          <w:lang w:val="en-GB"/>
        </w:rPr>
        <w:t xml:space="preserve"> which assumes a normally distributed sampling distribution and is less conducive to statistical power.</w:t>
      </w:r>
    </w:p>
    <w:p w:rsidR="00213A92" w:rsidRPr="00625DC2" w:rsidRDefault="00213A92" w:rsidP="00BA72B6">
      <w:pPr>
        <w:pStyle w:val="Heading2"/>
        <w:spacing w:line="360" w:lineRule="auto"/>
        <w:rPr>
          <w:rFonts w:asciiTheme="majorBidi" w:hAnsiTheme="majorBidi"/>
          <w:sz w:val="24"/>
          <w:szCs w:val="24"/>
          <w:lang w:val="en-GB"/>
        </w:rPr>
      </w:pPr>
      <w:bookmarkStart w:id="22" w:name="_Toc233458802"/>
      <w:r w:rsidRPr="00625DC2">
        <w:rPr>
          <w:rStyle w:val="animatingbsh3210"/>
          <w:rFonts w:asciiTheme="majorBidi" w:hAnsiTheme="majorBidi"/>
          <w:sz w:val="24"/>
          <w:szCs w:val="24"/>
          <w:lang w:val="en-GB"/>
        </w:rPr>
        <w:lastRenderedPageBreak/>
        <w:t>3.6 Reliability, Validity and Ethics</w:t>
      </w:r>
      <w:bookmarkEnd w:id="22"/>
    </w:p>
    <w:p w:rsidR="00DF7CC2" w:rsidRPr="00625DC2" w:rsidRDefault="00DF7CC2"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Reliability will be measured using Cronbach's alpha, and r values &gt; 0.70 are considered </w:t>
      </w:r>
      <w:r w:rsidR="002A0DB4">
        <w:rPr>
          <w:rFonts w:asciiTheme="majorBidi" w:hAnsiTheme="majorBidi" w:cstheme="majorBidi"/>
          <w:color w:val="000000" w:themeColor="text1"/>
          <w:sz w:val="24"/>
          <w:szCs w:val="24"/>
          <w:lang w:val="en-GB"/>
        </w:rPr>
        <w:t xml:space="preserve">an </w:t>
      </w:r>
      <w:r w:rsidRPr="00625DC2">
        <w:rPr>
          <w:rFonts w:asciiTheme="majorBidi" w:hAnsiTheme="majorBidi" w:cstheme="majorBidi"/>
          <w:color w:val="000000" w:themeColor="text1"/>
          <w:sz w:val="24"/>
          <w:szCs w:val="24"/>
          <w:lang w:val="en-GB"/>
        </w:rPr>
        <w:t>acceptable level of internal consistency of measures (Field, 2024). Validity is supported with the use of established scales and by pre-testing the questionnaire to improve the clarity of the items administered. Common method bias is a potential pr</w:t>
      </w:r>
      <w:r w:rsidR="00205C54" w:rsidRPr="00625DC2">
        <w:rPr>
          <w:rFonts w:asciiTheme="majorBidi" w:hAnsiTheme="majorBidi" w:cstheme="majorBidi"/>
          <w:color w:val="000000" w:themeColor="text1"/>
          <w:sz w:val="24"/>
          <w:szCs w:val="24"/>
          <w:lang w:val="en-GB"/>
        </w:rPr>
        <w:t>oblem as all variables are self-</w:t>
      </w:r>
      <w:r w:rsidRPr="00625DC2">
        <w:rPr>
          <w:rFonts w:asciiTheme="majorBidi" w:hAnsiTheme="majorBidi" w:cstheme="majorBidi"/>
          <w:color w:val="000000" w:themeColor="text1"/>
          <w:sz w:val="24"/>
          <w:szCs w:val="24"/>
          <w:lang w:val="en-GB"/>
        </w:rPr>
        <w:t>reported in one survey; procedural concerns such as anonymity</w:t>
      </w:r>
      <w:r w:rsidR="002A0DB4">
        <w:rPr>
          <w:rFonts w:asciiTheme="majorBidi" w:hAnsiTheme="majorBidi" w:cstheme="majorBidi"/>
          <w:color w:val="000000" w:themeColor="text1"/>
          <w:sz w:val="24"/>
          <w:szCs w:val="24"/>
          <w:lang w:val="en-GB"/>
        </w:rPr>
        <w:t>, varied scale anchors,</w:t>
      </w:r>
      <w:r w:rsidRPr="00625DC2">
        <w:rPr>
          <w:rFonts w:asciiTheme="majorBidi" w:hAnsiTheme="majorBidi" w:cstheme="majorBidi"/>
          <w:color w:val="000000" w:themeColor="text1"/>
          <w:sz w:val="24"/>
          <w:szCs w:val="24"/>
          <w:lang w:val="en-GB"/>
        </w:rPr>
        <w:t xml:space="preserve"> and unambiguous wording will be used as suggested by Podsakoff et al. (2003). Ethically, participants are given the choice to participate and to remain anonymous, informed consent is gained</w:t>
      </w:r>
      <w:r w:rsidR="002A0DB4">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and data is kept confidential according to the guidance provided by the British Psychological Society (2021).</w:t>
      </w:r>
    </w:p>
    <w:p w:rsidR="00A979D9" w:rsidRPr="00625DC2" w:rsidRDefault="00A979D9"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br w:type="page"/>
      </w:r>
    </w:p>
    <w:p w:rsidR="00A979D9" w:rsidRPr="00625DC2" w:rsidRDefault="00A979D9" w:rsidP="00BA72B6">
      <w:pPr>
        <w:pStyle w:val="Heading1"/>
        <w:spacing w:line="360" w:lineRule="auto"/>
        <w:jc w:val="center"/>
        <w:rPr>
          <w:rFonts w:asciiTheme="majorBidi" w:hAnsiTheme="majorBidi"/>
          <w:sz w:val="24"/>
          <w:szCs w:val="24"/>
          <w:lang w:val="en-GB"/>
        </w:rPr>
      </w:pPr>
      <w:bookmarkStart w:id="23" w:name="_Toc233458803"/>
      <w:r w:rsidRPr="00625DC2">
        <w:rPr>
          <w:rFonts w:asciiTheme="majorBidi" w:eastAsia="Arial" w:hAnsiTheme="majorBidi"/>
          <w:sz w:val="24"/>
          <w:szCs w:val="24"/>
          <w:lang w:val="en-GB"/>
        </w:rPr>
        <w:lastRenderedPageBreak/>
        <w:t xml:space="preserve">Chapter 4: Presentation </w:t>
      </w:r>
      <w:r w:rsidRPr="00625DC2">
        <w:rPr>
          <w:rFonts w:asciiTheme="majorBidi" w:hAnsiTheme="majorBidi"/>
          <w:sz w:val="24"/>
          <w:szCs w:val="24"/>
          <w:lang w:val="en-GB"/>
        </w:rPr>
        <w:t>and</w:t>
      </w:r>
      <w:r w:rsidRPr="00625DC2">
        <w:rPr>
          <w:rFonts w:asciiTheme="majorBidi" w:eastAsia="Arial" w:hAnsiTheme="majorBidi"/>
          <w:sz w:val="24"/>
          <w:szCs w:val="24"/>
          <w:lang w:val="en-GB"/>
        </w:rPr>
        <w:t xml:space="preserve"> Analysis of Findings</w:t>
      </w:r>
      <w:bookmarkEnd w:id="23"/>
    </w:p>
    <w:p w:rsidR="00A979D9" w:rsidRPr="00625DC2" w:rsidRDefault="00A979D9" w:rsidP="00BA72B6">
      <w:pPr>
        <w:pStyle w:val="Heading3"/>
        <w:spacing w:line="360" w:lineRule="auto"/>
        <w:rPr>
          <w:rFonts w:asciiTheme="majorBidi" w:hAnsiTheme="majorBidi" w:cstheme="majorBidi"/>
          <w:sz w:val="24"/>
          <w:szCs w:val="24"/>
          <w:lang w:val="en-GB"/>
        </w:rPr>
      </w:pPr>
      <w:bookmarkStart w:id="24" w:name="_Toc233458804"/>
      <w:r w:rsidRPr="00625DC2">
        <w:rPr>
          <w:rFonts w:asciiTheme="majorBidi" w:eastAsia="Arial" w:hAnsiTheme="majorBidi" w:cstheme="majorBidi"/>
          <w:sz w:val="24"/>
          <w:szCs w:val="24"/>
          <w:lang w:val="en-GB"/>
        </w:rPr>
        <w:t>4.1 Introduction</w:t>
      </w:r>
      <w:bookmarkEnd w:id="24"/>
    </w:p>
    <w:p w:rsidR="00FE0568" w:rsidRPr="00625DC2" w:rsidRDefault="00FE0568"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 empirical results of the study are presented here, which investigates the relationships between the two concepts of hybrid working practices, employee engagement, and turnover intention, by examining relationships between them in a sample of employees from across a range of sectors in the UK. This analysis was performed in </w:t>
      </w:r>
      <w:r w:rsidR="00A640B6" w:rsidRPr="00625DC2">
        <w:rPr>
          <w:rFonts w:asciiTheme="majorBidi" w:hAnsiTheme="majorBidi" w:cstheme="majorBidi"/>
          <w:color w:val="000000" w:themeColor="text1"/>
          <w:sz w:val="24"/>
          <w:szCs w:val="24"/>
          <w:lang w:val="en-GB"/>
        </w:rPr>
        <w:t>Python</w:t>
      </w:r>
      <w:r w:rsidRPr="00625DC2">
        <w:rPr>
          <w:rFonts w:asciiTheme="majorBidi" w:hAnsiTheme="majorBidi" w:cstheme="majorBidi"/>
          <w:color w:val="000000" w:themeColor="text1"/>
          <w:sz w:val="24"/>
          <w:szCs w:val="24"/>
          <w:lang w:val="en-GB"/>
        </w:rPr>
        <w:t xml:space="preserve"> with the help of libraries pandas, SciPy, statsmodels and pingouin and presented in a logical order here. The demographic information of the respondents is first established, followed by a descriptive analysis of the measurement scales, reliability testing, and finally, inferential analyses (correlation, regression, and mediation)</w:t>
      </w:r>
      <w:r w:rsidR="00A640B6"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which would be the ways to test the four hypotheses. Tables and figures are included with each set of results</w:t>
      </w:r>
      <w:r w:rsidR="00A640B6"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and results are interpreted based on the conceptual model used in this study, according to which a greater amount of hybrid working should lead to higher levels of engagement among employees, which should subsequently result in a lower intention to leave. The chapter ends with an integrated review of hypothesis testing that lays the foundation for the discussion presented below. All-Throughout </w:t>
      </w:r>
      <w:r w:rsidR="00A640B6" w:rsidRPr="00625DC2">
        <w:rPr>
          <w:rFonts w:asciiTheme="majorBidi" w:hAnsiTheme="majorBidi" w:cstheme="majorBidi"/>
          <w:color w:val="000000" w:themeColor="text1"/>
          <w:sz w:val="24"/>
          <w:szCs w:val="24"/>
          <w:lang w:val="en-GB"/>
        </w:rPr>
        <w:t>p-values</w:t>
      </w:r>
      <w:r w:rsidRPr="00625DC2">
        <w:rPr>
          <w:rFonts w:asciiTheme="majorBidi" w:hAnsiTheme="majorBidi" w:cstheme="majorBidi"/>
          <w:color w:val="000000" w:themeColor="text1"/>
          <w:sz w:val="24"/>
          <w:szCs w:val="24"/>
          <w:lang w:val="en-GB"/>
        </w:rPr>
        <w:t xml:space="preserve"> are &lt; .05 and effect sizes are sized according to the Schonemann definitions (Cohen, 2013).</w:t>
      </w:r>
    </w:p>
    <w:p w:rsidR="00FE0568" w:rsidRPr="00625DC2" w:rsidRDefault="00FE0568"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An existing theoretical framework guiding this study is the Job Demands–Resources (JD-R) model, which suggests that hybrid working could be regarded as a job resource that fosters engagement and that engagement, in turn, influences employees' decisions to stay. The results presented below are considered in light of this mechanism.</w:t>
      </w:r>
    </w:p>
    <w:p w:rsidR="00A979D9" w:rsidRPr="00625DC2" w:rsidRDefault="00A979D9" w:rsidP="00BA72B6">
      <w:pPr>
        <w:pStyle w:val="Heading3"/>
        <w:spacing w:line="360" w:lineRule="auto"/>
        <w:rPr>
          <w:rFonts w:asciiTheme="majorBidi" w:hAnsiTheme="majorBidi" w:cstheme="majorBidi"/>
          <w:sz w:val="24"/>
          <w:szCs w:val="24"/>
          <w:lang w:val="en-GB"/>
        </w:rPr>
      </w:pPr>
      <w:bookmarkStart w:id="25" w:name="_Toc233458805"/>
      <w:r w:rsidRPr="00625DC2">
        <w:rPr>
          <w:rFonts w:asciiTheme="majorBidi" w:eastAsia="Arial" w:hAnsiTheme="majorBidi" w:cstheme="majorBidi"/>
          <w:sz w:val="24"/>
          <w:szCs w:val="24"/>
          <w:lang w:val="en-GB"/>
        </w:rPr>
        <w:t>4.2 Respondent Profile</w:t>
      </w:r>
      <w:bookmarkEnd w:id="25"/>
    </w:p>
    <w:p w:rsidR="00FE0568" w:rsidRPr="00625DC2" w:rsidRDefault="00FE0568" w:rsidP="00BA72B6">
      <w:pPr>
        <w:spacing w:after="160" w:line="360" w:lineRule="auto"/>
        <w:jc w:val="both"/>
        <w:rPr>
          <w:rFonts w:asciiTheme="majorBidi" w:eastAsia="Arial"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Sanitary information used in this analysis is provided in Table 4.1, and is shown graphically in Figures 4.1, 4.2 and 4.3. The responses were spread over five sectors</w:t>
      </w:r>
      <w:r w:rsidR="00A640B6" w:rsidRPr="00625DC2">
        <w:rPr>
          <w:rFonts w:asciiTheme="majorBidi" w:eastAsia="Arial" w:hAnsiTheme="majorBidi" w:cstheme="majorBidi"/>
          <w:color w:val="000000" w:themeColor="text1"/>
          <w:sz w:val="24"/>
          <w:szCs w:val="24"/>
          <w:lang w:val="en-GB"/>
        </w:rPr>
        <w:t>,</w:t>
      </w:r>
      <w:r w:rsidRPr="00625DC2">
        <w:rPr>
          <w:rFonts w:asciiTheme="majorBidi" w:eastAsia="Arial" w:hAnsiTheme="majorBidi" w:cstheme="majorBidi"/>
          <w:color w:val="000000" w:themeColor="text1"/>
          <w:sz w:val="24"/>
          <w:szCs w:val="24"/>
          <w:lang w:val="en-GB"/>
        </w:rPr>
        <w:t xml:space="preserve"> so what is gained is not specific to one industry environment. Finance (24%) and hospitality (23%) employers were the two biggest delegations, closely followed by professional services (21%), as well as healthcare (18%) and retail (14%, as shown in Figure 4.1). This relatively even distribution is of methodological interest as hybrid working shows different trends in different sectors: Some sectors, like finance and professional services, have more opportunities for remote working than </w:t>
      </w:r>
      <w:r w:rsidRPr="00625DC2">
        <w:rPr>
          <w:rFonts w:asciiTheme="majorBidi" w:eastAsia="Arial" w:hAnsiTheme="majorBidi" w:cstheme="majorBidi"/>
          <w:color w:val="000000" w:themeColor="text1"/>
          <w:sz w:val="24"/>
          <w:szCs w:val="24"/>
          <w:lang w:val="en-GB"/>
        </w:rPr>
        <w:lastRenderedPageBreak/>
        <w:t>others</w:t>
      </w:r>
      <w:r w:rsidR="00A640B6" w:rsidRPr="00625DC2">
        <w:rPr>
          <w:rFonts w:asciiTheme="majorBidi" w:eastAsia="Arial" w:hAnsiTheme="majorBidi" w:cstheme="majorBidi"/>
          <w:color w:val="000000" w:themeColor="text1"/>
          <w:sz w:val="24"/>
          <w:szCs w:val="24"/>
          <w:lang w:val="en-GB"/>
        </w:rPr>
        <w:t>,</w:t>
      </w:r>
      <w:r w:rsidRPr="00625DC2">
        <w:rPr>
          <w:rFonts w:asciiTheme="majorBidi" w:eastAsia="Arial" w:hAnsiTheme="majorBidi" w:cstheme="majorBidi"/>
          <w:color w:val="000000" w:themeColor="text1"/>
          <w:sz w:val="24"/>
          <w:szCs w:val="24"/>
          <w:lang w:val="en-GB"/>
        </w:rPr>
        <w:t xml:space="preserve"> which are reliant on customers, such as hospitality and retail. So that the study would not be confined to a stereotype or idealized vision of a knowledge-work-only world, but that it would contain useful variation in the collected variables, it is for this reason that we decided to include all five.</w:t>
      </w:r>
    </w:p>
    <w:p w:rsidR="00FE0568" w:rsidRPr="00625DC2" w:rsidRDefault="00FE0568" w:rsidP="00BA72B6">
      <w:pPr>
        <w:spacing w:after="160" w:line="360" w:lineRule="auto"/>
        <w:jc w:val="both"/>
        <w:rPr>
          <w:rFonts w:asciiTheme="majorBidi" w:eastAsia="Arial"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As the tenure profile in Figure 4.2 shows, the profile of staff has a skew towards the extremes of experience in the organisation. The largest concentration (33%) had been working for under one year; the other sizeable categories</w:t>
      </w:r>
      <w:r w:rsidR="00A640B6" w:rsidRPr="00625DC2">
        <w:rPr>
          <w:rFonts w:asciiTheme="majorBidi" w:eastAsia="Arial" w:hAnsiTheme="majorBidi" w:cstheme="majorBidi"/>
          <w:color w:val="000000" w:themeColor="text1"/>
          <w:sz w:val="24"/>
          <w:szCs w:val="24"/>
          <w:lang w:val="en-GB"/>
        </w:rPr>
        <w:t>, four to six</w:t>
      </w:r>
      <w:r w:rsidRPr="00625DC2">
        <w:rPr>
          <w:rFonts w:asciiTheme="majorBidi" w:eastAsia="Arial" w:hAnsiTheme="majorBidi" w:cstheme="majorBidi"/>
          <w:color w:val="000000" w:themeColor="text1"/>
          <w:sz w:val="24"/>
          <w:szCs w:val="24"/>
          <w:lang w:val="en-GB"/>
        </w:rPr>
        <w:t xml:space="preserve"> years </w:t>
      </w:r>
      <w:r w:rsidR="00B91919" w:rsidRPr="00625DC2">
        <w:rPr>
          <w:rFonts w:asciiTheme="majorBidi" w:eastAsia="Arial" w:hAnsiTheme="majorBidi" w:cstheme="majorBidi"/>
          <w:color w:val="000000" w:themeColor="text1"/>
          <w:sz w:val="24"/>
          <w:szCs w:val="24"/>
          <w:lang w:val="en-GB"/>
        </w:rPr>
        <w:t>(</w:t>
      </w:r>
      <w:r w:rsidRPr="00625DC2">
        <w:rPr>
          <w:rFonts w:asciiTheme="majorBidi" w:eastAsia="Arial" w:hAnsiTheme="majorBidi" w:cstheme="majorBidi"/>
          <w:color w:val="000000" w:themeColor="text1"/>
          <w:sz w:val="24"/>
          <w:szCs w:val="24"/>
          <w:lang w:val="en-GB"/>
        </w:rPr>
        <w:t>18%</w:t>
      </w:r>
      <w:r w:rsidR="00B91919" w:rsidRPr="00625DC2">
        <w:rPr>
          <w:rFonts w:asciiTheme="majorBidi" w:eastAsia="Arial" w:hAnsiTheme="majorBidi" w:cstheme="majorBidi"/>
          <w:color w:val="000000" w:themeColor="text1"/>
          <w:sz w:val="24"/>
          <w:szCs w:val="24"/>
          <w:lang w:val="en-GB"/>
        </w:rPr>
        <w:t>)</w:t>
      </w:r>
      <w:r w:rsidRPr="00625DC2">
        <w:rPr>
          <w:rFonts w:asciiTheme="majorBidi" w:eastAsia="Arial" w:hAnsiTheme="majorBidi" w:cstheme="majorBidi"/>
          <w:color w:val="000000" w:themeColor="text1"/>
          <w:sz w:val="24"/>
          <w:szCs w:val="24"/>
          <w:lang w:val="en-GB"/>
        </w:rPr>
        <w:t xml:space="preserve"> and seven or more years </w:t>
      </w:r>
      <w:r w:rsidR="00B91919" w:rsidRPr="00625DC2">
        <w:rPr>
          <w:rFonts w:asciiTheme="majorBidi" w:eastAsia="Arial" w:hAnsiTheme="majorBidi" w:cstheme="majorBidi"/>
          <w:color w:val="000000" w:themeColor="text1"/>
          <w:sz w:val="24"/>
          <w:szCs w:val="24"/>
          <w:lang w:val="en-GB"/>
        </w:rPr>
        <w:t>(</w:t>
      </w:r>
      <w:r w:rsidRPr="00625DC2">
        <w:rPr>
          <w:rFonts w:asciiTheme="majorBidi" w:eastAsia="Arial" w:hAnsiTheme="majorBidi" w:cstheme="majorBidi"/>
          <w:color w:val="000000" w:themeColor="text1"/>
          <w:sz w:val="24"/>
          <w:szCs w:val="24"/>
          <w:lang w:val="en-GB"/>
        </w:rPr>
        <w:t>30%) were smaller. It is important to note this wide appetite as it is commonly found to have a positive correlation with engagement and turnover risk, respectively. On average, newer employees are less likely to be attached to your organisation psychologically and therefore are more likely than their more senior counterparts to leave early without notice, whereas long-term employees are more likely on average to exhibit more settled, and often higher, engagement. Different proportions are found at each pole of the relationships explored later in the chapter.</w:t>
      </w:r>
    </w:p>
    <w:p w:rsidR="00FE0568" w:rsidRPr="00625DC2" w:rsidRDefault="00FE0568" w:rsidP="00BA72B6">
      <w:pPr>
        <w:spacing w:after="160" w:line="360" w:lineRule="auto"/>
        <w:jc w:val="both"/>
        <w:rPr>
          <w:rFonts w:asciiTheme="majorBidi" w:eastAsia="Arial"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Last but not least, the chart below in Figure 4.3 suggests that the sample was fairly split between customer-facing (53%) and non-customer-facing (47%) positions. This near balance is significant for this research on hybrid working</w:t>
      </w:r>
      <w:r w:rsidR="00A640B6" w:rsidRPr="00625DC2">
        <w:rPr>
          <w:rFonts w:asciiTheme="majorBidi" w:eastAsia="Arial" w:hAnsiTheme="majorBidi" w:cstheme="majorBidi"/>
          <w:color w:val="000000" w:themeColor="text1"/>
          <w:sz w:val="24"/>
          <w:szCs w:val="24"/>
          <w:lang w:val="en-GB"/>
        </w:rPr>
        <w:t>, as the potential for home working and flexibility tends to be influenced by the nature of the role, with a number of customer-facing</w:t>
      </w:r>
      <w:r w:rsidRPr="00625DC2">
        <w:rPr>
          <w:rFonts w:asciiTheme="majorBidi" w:eastAsia="Arial" w:hAnsiTheme="majorBidi" w:cstheme="majorBidi"/>
          <w:color w:val="000000" w:themeColor="text1"/>
          <w:sz w:val="24"/>
          <w:szCs w:val="24"/>
          <w:lang w:val="en-GB"/>
        </w:rPr>
        <w:t xml:space="preserve"> roles having less flexibility than roles in the back office. Notably, the relationships below do not seem to be a product of a unit of observation made on a one-to-one basis with people whose profession is to interact with customers, but when half of the sample of respondents were part of such units, these relationships also hold, adding support to the findings. Demographically, the profile is a fairly diverse sample that is reasonably appropriate for testing the model proposed. However, care needs to be taken in generalising as it is quite small (n = 100).</w:t>
      </w:r>
    </w:p>
    <w:p w:rsidR="00A979D9" w:rsidRPr="00625DC2" w:rsidRDefault="00FE0568" w:rsidP="00BA72B6">
      <w:pPr>
        <w:spacing w:after="160" w:line="360" w:lineRule="auto"/>
        <w:jc w:val="both"/>
        <w:rPr>
          <w:rFonts w:asciiTheme="majorBidi"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 xml:space="preserve">Two aspects of this profile are especially analytic for the present study. </w:t>
      </w:r>
      <w:r w:rsidR="00A640B6" w:rsidRPr="00625DC2">
        <w:rPr>
          <w:rFonts w:asciiTheme="majorBidi" w:eastAsia="Arial" w:hAnsiTheme="majorBidi" w:cstheme="majorBidi"/>
          <w:color w:val="000000" w:themeColor="text1"/>
          <w:sz w:val="24"/>
          <w:szCs w:val="24"/>
          <w:lang w:val="en-GB"/>
        </w:rPr>
        <w:t>First, the spread is not compactable but is expressed in sectors that have very different remote-work opportunities, thus making the differences in hybrid working actually observable,</w:t>
      </w:r>
      <w:r w:rsidRPr="00625DC2">
        <w:rPr>
          <w:rFonts w:asciiTheme="majorBidi" w:eastAsia="Arial" w:hAnsiTheme="majorBidi" w:cstheme="majorBidi"/>
          <w:color w:val="000000" w:themeColor="text1"/>
          <w:sz w:val="24"/>
          <w:szCs w:val="24"/>
          <w:lang w:val="en-GB"/>
        </w:rPr>
        <w:t xml:space="preserve"> which is a prerequisite for any relationship the model suggests can be revealed. Second, the presence of a large early tenure cohort (the most at risk in terms of turnover) and a large long tenure cohort makes it difficult to assess whether a hybrid working environment is linked to lower intention to quit. In this respect, </w:t>
      </w:r>
      <w:r w:rsidR="00E74034" w:rsidRPr="00625DC2">
        <w:rPr>
          <w:rFonts w:asciiTheme="majorBidi" w:eastAsia="Arial" w:hAnsiTheme="majorBidi" w:cstheme="majorBidi"/>
          <w:color w:val="000000" w:themeColor="text1"/>
          <w:sz w:val="24"/>
          <w:szCs w:val="24"/>
          <w:lang w:val="en-GB"/>
        </w:rPr>
        <w:t xml:space="preserve">the </w:t>
      </w:r>
      <w:r w:rsidR="00E74034" w:rsidRPr="00625DC2">
        <w:rPr>
          <w:rFonts w:asciiTheme="majorBidi" w:eastAsia="Arial" w:hAnsiTheme="majorBidi" w:cstheme="majorBidi"/>
          <w:color w:val="000000" w:themeColor="text1"/>
          <w:sz w:val="24"/>
          <w:szCs w:val="24"/>
          <w:lang w:val="en-GB"/>
        </w:rPr>
        <w:lastRenderedPageBreak/>
        <w:t>sample composition does not</w:t>
      </w:r>
      <w:r w:rsidRPr="00625DC2">
        <w:rPr>
          <w:rFonts w:asciiTheme="majorBidi" w:eastAsia="Arial" w:hAnsiTheme="majorBidi" w:cstheme="majorBidi"/>
          <w:color w:val="000000" w:themeColor="text1"/>
          <w:sz w:val="24"/>
          <w:szCs w:val="24"/>
          <w:lang w:val="en-GB"/>
        </w:rPr>
        <w:t xml:space="preserve"> just clarify the participants</w:t>
      </w:r>
      <w:r w:rsidR="00A640B6" w:rsidRPr="00625DC2">
        <w:rPr>
          <w:rFonts w:asciiTheme="majorBidi" w:eastAsia="Arial" w:hAnsiTheme="majorBidi" w:cstheme="majorBidi"/>
          <w:color w:val="000000" w:themeColor="text1"/>
          <w:sz w:val="24"/>
          <w:szCs w:val="24"/>
          <w:lang w:val="en-GB"/>
        </w:rPr>
        <w:t>;</w:t>
      </w:r>
      <w:r w:rsidRPr="00625DC2">
        <w:rPr>
          <w:rFonts w:asciiTheme="majorBidi" w:eastAsia="Arial" w:hAnsiTheme="majorBidi" w:cstheme="majorBidi"/>
          <w:color w:val="000000" w:themeColor="text1"/>
          <w:sz w:val="24"/>
          <w:szCs w:val="24"/>
          <w:lang w:val="en-GB"/>
        </w:rPr>
        <w:t xml:space="preserve"> it also enhances the analytical value that will follow</w:t>
      </w:r>
      <w:r w:rsidR="00A979D9" w:rsidRPr="00625DC2">
        <w:rPr>
          <w:rFonts w:asciiTheme="majorBidi" w:eastAsia="Arial" w:hAnsiTheme="majorBidi" w:cstheme="majorBidi"/>
          <w:color w:val="000000" w:themeColor="text1"/>
          <w:sz w:val="24"/>
          <w:szCs w:val="24"/>
          <w:lang w:val="en-GB"/>
        </w:rPr>
        <w:t>.</w:t>
      </w:r>
    </w:p>
    <w:p w:rsidR="00A979D9" w:rsidRPr="00625DC2" w:rsidRDefault="00A979D9" w:rsidP="00BA72B6">
      <w:pPr>
        <w:spacing w:before="120" w:after="80" w:line="360" w:lineRule="auto"/>
        <w:rPr>
          <w:rFonts w:asciiTheme="majorBidi" w:hAnsiTheme="majorBidi" w:cstheme="majorBidi"/>
          <w:color w:val="000000" w:themeColor="text1"/>
          <w:sz w:val="24"/>
          <w:szCs w:val="24"/>
          <w:lang w:val="en-GB"/>
        </w:rPr>
      </w:pPr>
      <w:r w:rsidRPr="00625DC2">
        <w:rPr>
          <w:rFonts w:asciiTheme="majorBidi" w:eastAsia="Arial" w:hAnsiTheme="majorBidi" w:cstheme="majorBidi"/>
          <w:b/>
          <w:bCs/>
          <w:color w:val="000000" w:themeColor="text1"/>
          <w:sz w:val="24"/>
          <w:szCs w:val="24"/>
          <w:lang w:val="en-GB"/>
        </w:rPr>
        <w:t>Table 4.1: Demographic Profile of Respondents (n = 100)</w:t>
      </w:r>
    </w:p>
    <w:tbl>
      <w:tblPr>
        <w:tblStyle w:val="LightList-Accent1"/>
        <w:tblW w:w="8801" w:type="dxa"/>
        <w:tblLook w:val="04A0" w:firstRow="1" w:lastRow="0" w:firstColumn="1" w:lastColumn="0" w:noHBand="0" w:noVBand="1"/>
      </w:tblPr>
      <w:tblGrid>
        <w:gridCol w:w="1585"/>
        <w:gridCol w:w="2857"/>
        <w:gridCol w:w="2088"/>
        <w:gridCol w:w="2271"/>
      </w:tblGrid>
      <w:tr w:rsidR="00FE0568" w:rsidRPr="00625DC2" w:rsidTr="00C225EF">
        <w:trPr>
          <w:cnfStyle w:val="100000000000" w:firstRow="1" w:lastRow="0" w:firstColumn="0" w:lastColumn="0" w:oddVBand="0" w:evenVBand="0" w:oddHBand="0"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0" w:type="auto"/>
            <w:hideMark/>
          </w:tcPr>
          <w:p w:rsidR="00E515B9" w:rsidRPr="00625DC2" w:rsidRDefault="00E515B9" w:rsidP="00BA72B6">
            <w:pPr>
              <w:spacing w:line="360" w:lineRule="auto"/>
              <w:jc w:val="center"/>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Variable</w:t>
            </w:r>
          </w:p>
        </w:tc>
        <w:tc>
          <w:tcPr>
            <w:tcW w:w="0" w:type="auto"/>
            <w:hideMark/>
          </w:tcPr>
          <w:p w:rsidR="00E515B9" w:rsidRPr="00625DC2" w:rsidRDefault="00E515B9" w:rsidP="00BA72B6">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Category</w:t>
            </w:r>
          </w:p>
        </w:tc>
        <w:tc>
          <w:tcPr>
            <w:tcW w:w="0" w:type="auto"/>
            <w:hideMark/>
          </w:tcPr>
          <w:p w:rsidR="00E515B9" w:rsidRPr="00625DC2" w:rsidRDefault="00E515B9" w:rsidP="00BA72B6">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Frequency (n)</w:t>
            </w:r>
          </w:p>
        </w:tc>
        <w:tc>
          <w:tcPr>
            <w:tcW w:w="0" w:type="auto"/>
            <w:hideMark/>
          </w:tcPr>
          <w:p w:rsidR="00E515B9" w:rsidRPr="00625DC2" w:rsidRDefault="00E515B9" w:rsidP="00BA72B6">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Percentage (%)</w:t>
            </w:r>
          </w:p>
        </w:tc>
      </w:tr>
      <w:tr w:rsidR="00FE0568" w:rsidRPr="00625DC2" w:rsidTr="00C225EF">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0" w:type="auto"/>
            <w:hideMark/>
          </w:tcPr>
          <w:p w:rsidR="00E515B9" w:rsidRPr="00625DC2" w:rsidRDefault="00E515B9"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Sector</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Finance</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24</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24.0</w:t>
            </w:r>
          </w:p>
        </w:tc>
      </w:tr>
      <w:tr w:rsidR="00FE0568" w:rsidRPr="00625DC2" w:rsidTr="00C225EF">
        <w:trPr>
          <w:trHeight w:val="266"/>
        </w:trPr>
        <w:tc>
          <w:tcPr>
            <w:cnfStyle w:val="001000000000" w:firstRow="0" w:lastRow="0" w:firstColumn="1" w:lastColumn="0" w:oddVBand="0" w:evenVBand="0" w:oddHBand="0" w:evenHBand="0" w:firstRowFirstColumn="0" w:firstRowLastColumn="0" w:lastRowFirstColumn="0" w:lastRowLastColumn="0"/>
            <w:tcW w:w="0" w:type="auto"/>
            <w:hideMark/>
          </w:tcPr>
          <w:p w:rsidR="00E515B9" w:rsidRPr="00625DC2" w:rsidRDefault="00E515B9" w:rsidP="00BA72B6">
            <w:pPr>
              <w:spacing w:line="360" w:lineRule="auto"/>
              <w:rPr>
                <w:rFonts w:asciiTheme="majorBidi" w:eastAsia="Times New Roman" w:hAnsiTheme="majorBidi" w:cstheme="majorBidi"/>
                <w:color w:val="000000" w:themeColor="text1"/>
                <w:sz w:val="24"/>
                <w:szCs w:val="24"/>
                <w:lang w:val="en-GB"/>
              </w:rPr>
            </w:pP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Hospitality</w:t>
            </w: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23</w:t>
            </w: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23.0</w:t>
            </w:r>
          </w:p>
        </w:tc>
      </w:tr>
      <w:tr w:rsidR="00FE0568" w:rsidRPr="00625DC2" w:rsidTr="00C225EF">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0" w:type="auto"/>
            <w:hideMark/>
          </w:tcPr>
          <w:p w:rsidR="00E515B9" w:rsidRPr="00625DC2" w:rsidRDefault="00E515B9" w:rsidP="00BA72B6">
            <w:pPr>
              <w:spacing w:line="360" w:lineRule="auto"/>
              <w:rPr>
                <w:rFonts w:asciiTheme="majorBidi" w:eastAsia="Times New Roman" w:hAnsiTheme="majorBidi" w:cstheme="majorBidi"/>
                <w:color w:val="000000" w:themeColor="text1"/>
                <w:sz w:val="24"/>
                <w:szCs w:val="24"/>
                <w:lang w:val="en-GB"/>
              </w:rPr>
            </w:pP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Professional Services</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21</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21.0</w:t>
            </w:r>
          </w:p>
        </w:tc>
      </w:tr>
      <w:tr w:rsidR="00FE0568" w:rsidRPr="00625DC2" w:rsidTr="00C225EF">
        <w:trPr>
          <w:trHeight w:val="266"/>
        </w:trPr>
        <w:tc>
          <w:tcPr>
            <w:cnfStyle w:val="001000000000" w:firstRow="0" w:lastRow="0" w:firstColumn="1" w:lastColumn="0" w:oddVBand="0" w:evenVBand="0" w:oddHBand="0" w:evenHBand="0" w:firstRowFirstColumn="0" w:firstRowLastColumn="0" w:lastRowFirstColumn="0" w:lastRowLastColumn="0"/>
            <w:tcW w:w="0" w:type="auto"/>
            <w:hideMark/>
          </w:tcPr>
          <w:p w:rsidR="00E515B9" w:rsidRPr="00625DC2" w:rsidRDefault="00E515B9" w:rsidP="00BA72B6">
            <w:pPr>
              <w:spacing w:line="360" w:lineRule="auto"/>
              <w:rPr>
                <w:rFonts w:asciiTheme="majorBidi" w:eastAsia="Times New Roman" w:hAnsiTheme="majorBidi" w:cstheme="majorBidi"/>
                <w:color w:val="000000" w:themeColor="text1"/>
                <w:sz w:val="24"/>
                <w:szCs w:val="24"/>
                <w:lang w:val="en-GB"/>
              </w:rPr>
            </w:pP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Healthcare</w:t>
            </w: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18</w:t>
            </w: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18.0</w:t>
            </w:r>
          </w:p>
        </w:tc>
      </w:tr>
      <w:tr w:rsidR="00FE0568" w:rsidRPr="00625DC2" w:rsidTr="00C225EF">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0" w:type="auto"/>
            <w:hideMark/>
          </w:tcPr>
          <w:p w:rsidR="00E515B9" w:rsidRPr="00625DC2" w:rsidRDefault="00E515B9" w:rsidP="00BA72B6">
            <w:pPr>
              <w:spacing w:line="360" w:lineRule="auto"/>
              <w:rPr>
                <w:rFonts w:asciiTheme="majorBidi" w:eastAsia="Times New Roman" w:hAnsiTheme="majorBidi" w:cstheme="majorBidi"/>
                <w:color w:val="000000" w:themeColor="text1"/>
                <w:sz w:val="24"/>
                <w:szCs w:val="24"/>
                <w:lang w:val="en-GB"/>
              </w:rPr>
            </w:pP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Retail</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14</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14.0</w:t>
            </w:r>
          </w:p>
        </w:tc>
      </w:tr>
      <w:tr w:rsidR="00FE0568" w:rsidRPr="00625DC2" w:rsidTr="00C225EF">
        <w:trPr>
          <w:trHeight w:val="266"/>
        </w:trPr>
        <w:tc>
          <w:tcPr>
            <w:cnfStyle w:val="001000000000" w:firstRow="0" w:lastRow="0" w:firstColumn="1" w:lastColumn="0" w:oddVBand="0" w:evenVBand="0" w:oddHBand="0" w:evenHBand="0" w:firstRowFirstColumn="0" w:firstRowLastColumn="0" w:lastRowFirstColumn="0" w:lastRowLastColumn="0"/>
            <w:tcW w:w="0" w:type="auto"/>
            <w:hideMark/>
          </w:tcPr>
          <w:p w:rsidR="00E515B9" w:rsidRPr="00625DC2" w:rsidRDefault="00E515B9"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Tenure</w:t>
            </w: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Less than 1 year</w:t>
            </w: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33</w:t>
            </w: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33.0</w:t>
            </w:r>
          </w:p>
        </w:tc>
      </w:tr>
      <w:tr w:rsidR="00FE0568" w:rsidRPr="00625DC2" w:rsidTr="00C225EF">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0" w:type="auto"/>
            <w:hideMark/>
          </w:tcPr>
          <w:p w:rsidR="00E515B9" w:rsidRPr="00625DC2" w:rsidRDefault="00E515B9" w:rsidP="00BA72B6">
            <w:pPr>
              <w:spacing w:line="360" w:lineRule="auto"/>
              <w:rPr>
                <w:rFonts w:asciiTheme="majorBidi" w:eastAsia="Times New Roman" w:hAnsiTheme="majorBidi" w:cstheme="majorBidi"/>
                <w:color w:val="000000" w:themeColor="text1"/>
                <w:sz w:val="24"/>
                <w:szCs w:val="24"/>
                <w:lang w:val="en-GB"/>
              </w:rPr>
            </w:pP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1–3 years</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19</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19.0</w:t>
            </w:r>
          </w:p>
        </w:tc>
      </w:tr>
      <w:tr w:rsidR="00FE0568" w:rsidRPr="00625DC2" w:rsidTr="00C225EF">
        <w:trPr>
          <w:trHeight w:val="266"/>
        </w:trPr>
        <w:tc>
          <w:tcPr>
            <w:cnfStyle w:val="001000000000" w:firstRow="0" w:lastRow="0" w:firstColumn="1" w:lastColumn="0" w:oddVBand="0" w:evenVBand="0" w:oddHBand="0" w:evenHBand="0" w:firstRowFirstColumn="0" w:firstRowLastColumn="0" w:lastRowFirstColumn="0" w:lastRowLastColumn="0"/>
            <w:tcW w:w="0" w:type="auto"/>
            <w:hideMark/>
          </w:tcPr>
          <w:p w:rsidR="00E515B9" w:rsidRPr="00625DC2" w:rsidRDefault="00E515B9" w:rsidP="00BA72B6">
            <w:pPr>
              <w:spacing w:line="360" w:lineRule="auto"/>
              <w:rPr>
                <w:rFonts w:asciiTheme="majorBidi" w:eastAsia="Times New Roman" w:hAnsiTheme="majorBidi" w:cstheme="majorBidi"/>
                <w:color w:val="000000" w:themeColor="text1"/>
                <w:sz w:val="24"/>
                <w:szCs w:val="24"/>
                <w:lang w:val="en-GB"/>
              </w:rPr>
            </w:pP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4–6 years</w:t>
            </w: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18</w:t>
            </w: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18.0</w:t>
            </w:r>
          </w:p>
        </w:tc>
      </w:tr>
      <w:tr w:rsidR="00FE0568" w:rsidRPr="00625DC2" w:rsidTr="00C225EF">
        <w:trPr>
          <w:cnfStyle w:val="000000100000" w:firstRow="0" w:lastRow="0" w:firstColumn="0" w:lastColumn="0" w:oddVBand="0" w:evenVBand="0" w:oddHBand="1" w:evenHBand="0" w:firstRowFirstColumn="0" w:firstRowLastColumn="0" w:lastRowFirstColumn="0" w:lastRowLastColumn="0"/>
          <w:trHeight w:val="266"/>
        </w:trPr>
        <w:tc>
          <w:tcPr>
            <w:cnfStyle w:val="001000000000" w:firstRow="0" w:lastRow="0" w:firstColumn="1" w:lastColumn="0" w:oddVBand="0" w:evenVBand="0" w:oddHBand="0" w:evenHBand="0" w:firstRowFirstColumn="0" w:firstRowLastColumn="0" w:lastRowFirstColumn="0" w:lastRowLastColumn="0"/>
            <w:tcW w:w="0" w:type="auto"/>
            <w:hideMark/>
          </w:tcPr>
          <w:p w:rsidR="00E515B9" w:rsidRPr="00625DC2" w:rsidRDefault="00E515B9" w:rsidP="00BA72B6">
            <w:pPr>
              <w:spacing w:line="360" w:lineRule="auto"/>
              <w:rPr>
                <w:rFonts w:asciiTheme="majorBidi" w:eastAsia="Times New Roman" w:hAnsiTheme="majorBidi" w:cstheme="majorBidi"/>
                <w:color w:val="000000" w:themeColor="text1"/>
                <w:sz w:val="24"/>
                <w:szCs w:val="24"/>
                <w:lang w:val="en-GB"/>
              </w:rPr>
            </w:pP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7 years or more</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30</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30.0</w:t>
            </w:r>
          </w:p>
        </w:tc>
      </w:tr>
      <w:tr w:rsidR="00FE0568" w:rsidRPr="00625DC2" w:rsidTr="00C225EF">
        <w:trPr>
          <w:trHeight w:val="266"/>
        </w:trPr>
        <w:tc>
          <w:tcPr>
            <w:cnfStyle w:val="001000000000" w:firstRow="0" w:lastRow="0" w:firstColumn="1" w:lastColumn="0" w:oddVBand="0" w:evenVBand="0" w:oddHBand="0" w:evenHBand="0" w:firstRowFirstColumn="0" w:firstRowLastColumn="0" w:lastRowFirstColumn="0" w:lastRowLastColumn="0"/>
            <w:tcW w:w="0" w:type="auto"/>
            <w:hideMark/>
          </w:tcPr>
          <w:p w:rsidR="00E515B9" w:rsidRPr="00625DC2" w:rsidRDefault="00E515B9"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Role Type</w:t>
            </w: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Customer-facing</w:t>
            </w: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53</w:t>
            </w:r>
          </w:p>
        </w:tc>
        <w:tc>
          <w:tcPr>
            <w:tcW w:w="0" w:type="auto"/>
            <w:hideMark/>
          </w:tcPr>
          <w:p w:rsidR="00E515B9" w:rsidRPr="00625DC2" w:rsidRDefault="00E515B9" w:rsidP="00BA72B6">
            <w:pPr>
              <w:spacing w:line="360" w:lineRule="auto"/>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53.0</w:t>
            </w:r>
          </w:p>
        </w:tc>
      </w:tr>
      <w:tr w:rsidR="00FE0568" w:rsidRPr="00625DC2" w:rsidTr="00C225EF">
        <w:trPr>
          <w:cnfStyle w:val="000000100000" w:firstRow="0" w:lastRow="0" w:firstColumn="0" w:lastColumn="0" w:oddVBand="0" w:evenVBand="0" w:oddHBand="1" w:evenHBand="0" w:firstRowFirstColumn="0" w:firstRowLastColumn="0" w:lastRowFirstColumn="0" w:lastRowLastColumn="0"/>
          <w:trHeight w:val="281"/>
        </w:trPr>
        <w:tc>
          <w:tcPr>
            <w:cnfStyle w:val="001000000000" w:firstRow="0" w:lastRow="0" w:firstColumn="1" w:lastColumn="0" w:oddVBand="0" w:evenVBand="0" w:oddHBand="0" w:evenHBand="0" w:firstRowFirstColumn="0" w:firstRowLastColumn="0" w:lastRowFirstColumn="0" w:lastRowLastColumn="0"/>
            <w:tcW w:w="0" w:type="auto"/>
            <w:hideMark/>
          </w:tcPr>
          <w:p w:rsidR="00E515B9" w:rsidRPr="00625DC2" w:rsidRDefault="00E515B9" w:rsidP="00BA72B6">
            <w:pPr>
              <w:spacing w:line="360" w:lineRule="auto"/>
              <w:rPr>
                <w:rFonts w:asciiTheme="majorBidi" w:eastAsia="Times New Roman" w:hAnsiTheme="majorBidi" w:cstheme="majorBidi"/>
                <w:color w:val="000000" w:themeColor="text1"/>
                <w:sz w:val="24"/>
                <w:szCs w:val="24"/>
                <w:lang w:val="en-GB"/>
              </w:rPr>
            </w:pP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Non-customer-facing</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47</w:t>
            </w:r>
          </w:p>
        </w:tc>
        <w:tc>
          <w:tcPr>
            <w:tcW w:w="0" w:type="auto"/>
            <w:hideMark/>
          </w:tcPr>
          <w:p w:rsidR="00E515B9" w:rsidRPr="00625DC2" w:rsidRDefault="00E515B9" w:rsidP="00BA72B6">
            <w:pPr>
              <w:spacing w:line="360" w:lineRule="auto"/>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47.0</w:t>
            </w:r>
          </w:p>
        </w:tc>
      </w:tr>
    </w:tbl>
    <w:p w:rsidR="00A979D9" w:rsidRPr="00625DC2" w:rsidRDefault="00A979D9" w:rsidP="00BA72B6">
      <w:pPr>
        <w:spacing w:before="120" w:after="60" w:line="360" w:lineRule="auto"/>
        <w:jc w:val="center"/>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eastAsia="en-GB"/>
        </w:rPr>
        <w:drawing>
          <wp:inline distT="0" distB="0" distL="0" distR="0" wp14:anchorId="43030714" wp14:editId="6633580A">
            <wp:extent cx="4476750" cy="2667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476750" cy="2667000"/>
                    </a:xfrm>
                    <a:prstGeom prst="rect">
                      <a:avLst/>
                    </a:prstGeom>
                  </pic:spPr>
                </pic:pic>
              </a:graphicData>
            </a:graphic>
          </wp:inline>
        </w:drawing>
      </w:r>
    </w:p>
    <w:p w:rsidR="00A979D9" w:rsidRPr="00625DC2" w:rsidRDefault="00A979D9" w:rsidP="00BA72B6">
      <w:pPr>
        <w:spacing w:line="360" w:lineRule="auto"/>
        <w:jc w:val="center"/>
        <w:rPr>
          <w:rFonts w:asciiTheme="majorBidi" w:hAnsiTheme="majorBidi" w:cstheme="majorBidi"/>
          <w:color w:val="000000" w:themeColor="text1"/>
          <w:sz w:val="24"/>
          <w:szCs w:val="24"/>
          <w:lang w:val="en-GB"/>
        </w:rPr>
      </w:pPr>
      <w:r w:rsidRPr="00625DC2">
        <w:rPr>
          <w:rFonts w:asciiTheme="majorBidi" w:eastAsia="Arial" w:hAnsiTheme="majorBidi" w:cstheme="majorBidi"/>
          <w:b/>
          <w:bCs/>
          <w:color w:val="000000" w:themeColor="text1"/>
          <w:sz w:val="24"/>
          <w:szCs w:val="24"/>
          <w:lang w:val="en-GB"/>
        </w:rPr>
        <w:t>Figure 4.1: Distribution of Respondents by Sector (n = 100)</w:t>
      </w:r>
    </w:p>
    <w:p w:rsidR="00A979D9" w:rsidRPr="00625DC2" w:rsidRDefault="00A979D9" w:rsidP="00BA72B6">
      <w:pPr>
        <w:spacing w:before="120" w:after="60" w:line="360" w:lineRule="auto"/>
        <w:jc w:val="center"/>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eastAsia="en-GB"/>
        </w:rPr>
        <w:lastRenderedPageBreak/>
        <w:drawing>
          <wp:inline distT="0" distB="0" distL="0" distR="0" wp14:anchorId="5AC5664D" wp14:editId="61F27CAD">
            <wp:extent cx="4286250" cy="2657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286250" cy="2657475"/>
                    </a:xfrm>
                    <a:prstGeom prst="rect">
                      <a:avLst/>
                    </a:prstGeom>
                  </pic:spPr>
                </pic:pic>
              </a:graphicData>
            </a:graphic>
          </wp:inline>
        </w:drawing>
      </w:r>
    </w:p>
    <w:p w:rsidR="00A979D9" w:rsidRPr="00625DC2" w:rsidRDefault="00A979D9" w:rsidP="00BA72B6">
      <w:pPr>
        <w:spacing w:line="360" w:lineRule="auto"/>
        <w:jc w:val="center"/>
        <w:rPr>
          <w:rFonts w:asciiTheme="majorBidi" w:hAnsiTheme="majorBidi" w:cstheme="majorBidi"/>
          <w:color w:val="000000" w:themeColor="text1"/>
          <w:sz w:val="24"/>
          <w:szCs w:val="24"/>
          <w:lang w:val="en-GB"/>
        </w:rPr>
      </w:pPr>
      <w:r w:rsidRPr="00625DC2">
        <w:rPr>
          <w:rFonts w:asciiTheme="majorBidi" w:eastAsia="Arial" w:hAnsiTheme="majorBidi" w:cstheme="majorBidi"/>
          <w:b/>
          <w:bCs/>
          <w:color w:val="000000" w:themeColor="text1"/>
          <w:sz w:val="24"/>
          <w:szCs w:val="24"/>
          <w:lang w:val="en-GB"/>
        </w:rPr>
        <w:t>Figure 4.2: Employee Tenure Distribution (n = 100)</w:t>
      </w:r>
    </w:p>
    <w:p w:rsidR="00A979D9" w:rsidRPr="00625DC2" w:rsidRDefault="00A979D9" w:rsidP="00BA72B6">
      <w:pPr>
        <w:spacing w:before="120" w:after="60" w:line="360" w:lineRule="auto"/>
        <w:jc w:val="center"/>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eastAsia="en-GB"/>
        </w:rPr>
        <w:drawing>
          <wp:inline distT="0" distB="0" distL="0" distR="0" wp14:anchorId="2EA5D77C" wp14:editId="2B487356">
            <wp:extent cx="3619500" cy="2895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3619500" cy="2895600"/>
                    </a:xfrm>
                    <a:prstGeom prst="rect">
                      <a:avLst/>
                    </a:prstGeom>
                  </pic:spPr>
                </pic:pic>
              </a:graphicData>
            </a:graphic>
          </wp:inline>
        </w:drawing>
      </w:r>
    </w:p>
    <w:p w:rsidR="00A979D9" w:rsidRPr="00625DC2" w:rsidRDefault="00A979D9" w:rsidP="00BA72B6">
      <w:pPr>
        <w:spacing w:line="360" w:lineRule="auto"/>
        <w:jc w:val="center"/>
        <w:rPr>
          <w:rFonts w:asciiTheme="majorBidi" w:hAnsiTheme="majorBidi" w:cstheme="majorBidi"/>
          <w:color w:val="000000" w:themeColor="text1"/>
          <w:sz w:val="24"/>
          <w:szCs w:val="24"/>
          <w:lang w:val="en-GB"/>
        </w:rPr>
      </w:pPr>
      <w:r w:rsidRPr="00625DC2">
        <w:rPr>
          <w:rFonts w:asciiTheme="majorBidi" w:eastAsia="Arial" w:hAnsiTheme="majorBidi" w:cstheme="majorBidi"/>
          <w:b/>
          <w:bCs/>
          <w:color w:val="000000" w:themeColor="text1"/>
          <w:sz w:val="24"/>
          <w:szCs w:val="24"/>
          <w:lang w:val="en-GB"/>
        </w:rPr>
        <w:t>Figure 4.3: Distribution of Customer-Facing and Non-Customer-Facing Roles (n = 100)</w:t>
      </w:r>
    </w:p>
    <w:p w:rsidR="00A979D9" w:rsidRPr="00625DC2" w:rsidRDefault="00A979D9" w:rsidP="00BA72B6">
      <w:pPr>
        <w:spacing w:before="240" w:after="120" w:line="360" w:lineRule="auto"/>
        <w:rPr>
          <w:rFonts w:asciiTheme="majorBidi" w:hAnsiTheme="majorBidi" w:cstheme="majorBidi"/>
          <w:color w:val="000000" w:themeColor="text1"/>
          <w:sz w:val="24"/>
          <w:szCs w:val="24"/>
          <w:lang w:val="en-GB"/>
        </w:rPr>
      </w:pPr>
      <w:r w:rsidRPr="00625DC2">
        <w:rPr>
          <w:rFonts w:asciiTheme="majorBidi" w:eastAsia="Arial" w:hAnsiTheme="majorBidi" w:cstheme="majorBidi"/>
          <w:b/>
          <w:bCs/>
          <w:color w:val="000000" w:themeColor="text1"/>
          <w:sz w:val="24"/>
          <w:szCs w:val="24"/>
          <w:lang w:val="en-GB"/>
        </w:rPr>
        <w:t xml:space="preserve">4.3 </w:t>
      </w:r>
      <w:r w:rsidR="00A640B6" w:rsidRPr="00625DC2">
        <w:rPr>
          <w:rFonts w:asciiTheme="majorBidi" w:eastAsia="Arial" w:hAnsiTheme="majorBidi" w:cstheme="majorBidi"/>
          <w:b/>
          <w:bCs/>
          <w:color w:val="000000" w:themeColor="text1"/>
          <w:sz w:val="24"/>
          <w:szCs w:val="24"/>
          <w:lang w:val="en-GB"/>
        </w:rPr>
        <w:t>Descriptive</w:t>
      </w:r>
      <w:r w:rsidRPr="00625DC2">
        <w:rPr>
          <w:rFonts w:asciiTheme="majorBidi" w:eastAsia="Arial" w:hAnsiTheme="majorBidi" w:cstheme="majorBidi"/>
          <w:b/>
          <w:bCs/>
          <w:color w:val="000000" w:themeColor="text1"/>
          <w:sz w:val="24"/>
          <w:szCs w:val="24"/>
          <w:lang w:val="en-GB"/>
        </w:rPr>
        <w:t xml:space="preserve"> Statistics and Scale Reliability</w:t>
      </w:r>
    </w:p>
    <w:p w:rsidR="00A979D9" w:rsidRPr="00625DC2" w:rsidRDefault="00A979D9" w:rsidP="00BA72B6">
      <w:pPr>
        <w:spacing w:after="160" w:line="360" w:lineRule="auto"/>
        <w:jc w:val="both"/>
        <w:rPr>
          <w:rFonts w:asciiTheme="majorBidi"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 xml:space="preserve">Prior to testing the hypotheses, the three composite variables were computed as the mean of their constituent items </w:t>
      </w:r>
      <w:r w:rsidR="00241449" w:rsidRPr="00625DC2">
        <w:rPr>
          <w:rFonts w:asciiTheme="majorBidi" w:eastAsia="Arial" w:hAnsiTheme="majorBidi" w:cstheme="majorBidi"/>
          <w:color w:val="000000" w:themeColor="text1"/>
          <w:sz w:val="24"/>
          <w:szCs w:val="24"/>
          <w:lang w:val="en-GB"/>
        </w:rPr>
        <w:t>(</w:t>
      </w:r>
      <w:r w:rsidRPr="00625DC2">
        <w:rPr>
          <w:rFonts w:asciiTheme="majorBidi" w:eastAsia="Arial" w:hAnsiTheme="majorBidi" w:cstheme="majorBidi"/>
          <w:color w:val="000000" w:themeColor="text1"/>
          <w:sz w:val="24"/>
          <w:szCs w:val="24"/>
          <w:lang w:val="en-GB"/>
        </w:rPr>
        <w:t>twelve items for hybrid working practices, six for engagement an</w:t>
      </w:r>
      <w:r w:rsidR="00241449" w:rsidRPr="00625DC2">
        <w:rPr>
          <w:rFonts w:asciiTheme="majorBidi" w:eastAsia="Arial" w:hAnsiTheme="majorBidi" w:cstheme="majorBidi"/>
          <w:color w:val="000000" w:themeColor="text1"/>
          <w:sz w:val="24"/>
          <w:szCs w:val="24"/>
          <w:lang w:val="en-GB"/>
        </w:rPr>
        <w:t>d three for turnover intention)</w:t>
      </w:r>
      <w:r w:rsidR="00A640B6" w:rsidRPr="00625DC2">
        <w:rPr>
          <w:rFonts w:asciiTheme="majorBidi" w:eastAsia="Arial" w:hAnsiTheme="majorBidi" w:cstheme="majorBidi"/>
          <w:color w:val="000000" w:themeColor="text1"/>
          <w:sz w:val="24"/>
          <w:szCs w:val="24"/>
          <w:lang w:val="en-GB"/>
        </w:rPr>
        <w:t>,</w:t>
      </w:r>
      <w:r w:rsidRPr="00625DC2">
        <w:rPr>
          <w:rFonts w:asciiTheme="majorBidi" w:eastAsia="Arial" w:hAnsiTheme="majorBidi" w:cstheme="majorBidi"/>
          <w:color w:val="000000" w:themeColor="text1"/>
          <w:sz w:val="24"/>
          <w:szCs w:val="24"/>
          <w:lang w:val="en-GB"/>
        </w:rPr>
        <w:t xml:space="preserve"> each measured on a five-point Likert scale. Their central tendencies are reported in Table 4.2 and visualised in Figure 4.5. Hybrid working practices recorded the highest mean (M = 3.99), positioned almost exactly at the “agree” anchor of the scale, indicating that </w:t>
      </w:r>
      <w:r w:rsidRPr="00625DC2">
        <w:rPr>
          <w:rFonts w:asciiTheme="majorBidi" w:eastAsia="Arial" w:hAnsiTheme="majorBidi" w:cstheme="majorBidi"/>
          <w:color w:val="000000" w:themeColor="text1"/>
          <w:sz w:val="24"/>
          <w:szCs w:val="24"/>
          <w:lang w:val="en-GB"/>
        </w:rPr>
        <w:lastRenderedPageBreak/>
        <w:t>respondents generally perceived their organisations to provide well-established flexibility, communication, managerial support and resourcing for hybrid work. Engagement was also high (M = 3.77), sitting comfortably above the scale midpoint and suggesting a workforce that was, on average, energised by and committed to its work. Turnover intention, by contrast, was low (M=2.26), falling well below the midpoint of three and signalling that relatively few respondents were actively contemplating leaving their organisations. Considered together, this descriptive pattern</w:t>
      </w:r>
      <w:r w:rsidR="007723B7" w:rsidRPr="00625DC2">
        <w:rPr>
          <w:rFonts w:asciiTheme="majorBidi" w:eastAsia="Arial" w:hAnsiTheme="majorBidi" w:cstheme="majorBidi"/>
          <w:color w:val="000000" w:themeColor="text1"/>
          <w:sz w:val="24"/>
          <w:szCs w:val="24"/>
          <w:lang w:val="en-GB"/>
        </w:rPr>
        <w:t xml:space="preserve"> </w:t>
      </w:r>
      <w:r w:rsidR="00C225EF" w:rsidRPr="00625DC2">
        <w:rPr>
          <w:rFonts w:asciiTheme="majorBidi" w:eastAsia="Arial" w:hAnsiTheme="majorBidi" w:cstheme="majorBidi"/>
          <w:color w:val="000000" w:themeColor="text1"/>
          <w:sz w:val="24"/>
          <w:szCs w:val="24"/>
          <w:lang w:val="en-GB"/>
        </w:rPr>
        <w:t>(</w:t>
      </w:r>
      <w:r w:rsidRPr="00625DC2">
        <w:rPr>
          <w:rFonts w:asciiTheme="majorBidi" w:eastAsia="Arial" w:hAnsiTheme="majorBidi" w:cstheme="majorBidi"/>
          <w:color w:val="000000" w:themeColor="text1"/>
          <w:sz w:val="24"/>
          <w:szCs w:val="24"/>
          <w:lang w:val="en-GB"/>
        </w:rPr>
        <w:t>high hybrid working and engagement al</w:t>
      </w:r>
      <w:r w:rsidR="00C225EF" w:rsidRPr="00625DC2">
        <w:rPr>
          <w:rFonts w:asciiTheme="majorBidi" w:eastAsia="Arial" w:hAnsiTheme="majorBidi" w:cstheme="majorBidi"/>
          <w:color w:val="000000" w:themeColor="text1"/>
          <w:sz w:val="24"/>
          <w:szCs w:val="24"/>
          <w:lang w:val="en-GB"/>
        </w:rPr>
        <w:t>ongside low turnover intention)</w:t>
      </w:r>
      <w:r w:rsidRPr="00625DC2">
        <w:rPr>
          <w:rFonts w:asciiTheme="majorBidi" w:eastAsia="Arial" w:hAnsiTheme="majorBidi" w:cstheme="majorBidi"/>
          <w:color w:val="000000" w:themeColor="text1"/>
          <w:sz w:val="24"/>
          <w:szCs w:val="24"/>
          <w:lang w:val="en-GB"/>
        </w:rPr>
        <w:t xml:space="preserve"> offers an early and intuitive indication of the inverse relationships that the inferential analyses subsequently confirm.</w:t>
      </w:r>
    </w:p>
    <w:p w:rsidR="00C26B41" w:rsidRPr="00625DC2" w:rsidRDefault="00A979D9" w:rsidP="00BA72B6">
      <w:pPr>
        <w:spacing w:after="160" w:line="360" w:lineRule="auto"/>
        <w:jc w:val="both"/>
        <w:rPr>
          <w:rFonts w:asciiTheme="majorBidi" w:eastAsia="Arial"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 xml:space="preserve">The relative positioning of these means is as informative as their absolute values. The gap of more than 1.7 scale points between hybrid working and turnover intention, and the fact that engagement sits much closer to hybrid working than to turnover, together depict a workforce in which favourable working conditions and positive attitudes coexist with a low propensity to leave. </w:t>
      </w:r>
      <w:r w:rsidR="00C26B41" w:rsidRPr="00625DC2">
        <w:rPr>
          <w:rFonts w:asciiTheme="majorBidi" w:eastAsia="Arial" w:hAnsiTheme="majorBidi" w:cstheme="majorBidi"/>
          <w:color w:val="000000" w:themeColor="text1"/>
          <w:sz w:val="24"/>
          <w:szCs w:val="24"/>
          <w:lang w:val="en-GB"/>
        </w:rPr>
        <w:t>This descriptive symmetry does not n</w:t>
      </w:r>
      <w:r w:rsidR="00514ADE" w:rsidRPr="00625DC2">
        <w:rPr>
          <w:rFonts w:asciiTheme="majorBidi" w:eastAsia="Arial" w:hAnsiTheme="majorBidi" w:cstheme="majorBidi"/>
          <w:color w:val="000000" w:themeColor="text1"/>
          <w:sz w:val="24"/>
          <w:szCs w:val="24"/>
          <w:lang w:val="en-GB"/>
        </w:rPr>
        <w:t>ecessarily imply a relationship; however,</w:t>
      </w:r>
      <w:r w:rsidR="00C26B41" w:rsidRPr="00625DC2">
        <w:rPr>
          <w:rFonts w:asciiTheme="majorBidi" w:eastAsia="Arial" w:hAnsiTheme="majorBidi" w:cstheme="majorBidi"/>
          <w:color w:val="000000" w:themeColor="text1"/>
          <w:sz w:val="24"/>
          <w:szCs w:val="24"/>
          <w:lang w:val="en-GB"/>
        </w:rPr>
        <w:t xml:space="preserve"> </w:t>
      </w:r>
      <w:r w:rsidR="00A640B6" w:rsidRPr="00625DC2">
        <w:rPr>
          <w:rFonts w:asciiTheme="majorBidi" w:eastAsia="Arial" w:hAnsiTheme="majorBidi" w:cstheme="majorBidi"/>
          <w:color w:val="000000" w:themeColor="text1"/>
          <w:sz w:val="24"/>
          <w:szCs w:val="24"/>
          <w:lang w:val="en-GB"/>
        </w:rPr>
        <w:t>it is consistent with the proposed model and suggests</w:t>
      </w:r>
      <w:r w:rsidR="00514ADE" w:rsidRPr="00625DC2">
        <w:rPr>
          <w:rFonts w:asciiTheme="majorBidi" w:eastAsia="Arial" w:hAnsiTheme="majorBidi" w:cstheme="majorBidi"/>
          <w:color w:val="000000" w:themeColor="text1"/>
          <w:sz w:val="24"/>
          <w:szCs w:val="24"/>
          <w:lang w:val="en-GB"/>
        </w:rPr>
        <w:t xml:space="preserve"> adequate variation across the sample</w:t>
      </w:r>
      <w:r w:rsidR="00C26B41" w:rsidRPr="00625DC2">
        <w:rPr>
          <w:rFonts w:asciiTheme="majorBidi" w:eastAsia="Arial" w:hAnsiTheme="majorBidi" w:cstheme="majorBidi"/>
          <w:color w:val="000000" w:themeColor="text1"/>
          <w:sz w:val="24"/>
          <w:szCs w:val="24"/>
          <w:lang w:val="en-GB"/>
        </w:rPr>
        <w:t>. The high reliability of the scales also indicates that respondents differentiated appropriately between items; an absent tendency to respond in a uniform manner adds further to the confidence in the inferential results.</w:t>
      </w:r>
    </w:p>
    <w:p w:rsidR="00A979D9" w:rsidRPr="00625DC2" w:rsidRDefault="00C26B41" w:rsidP="00BA72B6">
      <w:pPr>
        <w:spacing w:after="160" w:line="360" w:lineRule="auto"/>
        <w:jc w:val="both"/>
        <w:rPr>
          <w:rFonts w:asciiTheme="majorBidi"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 xml:space="preserve">The internal consistencies of the three scales were evaluated by Cronbach's alpha, and the alpha and its 95% confidence interval are presented in Table 4.2. The reliability of all three scales was good. The alpha values for hybrid working, engagement, and turnover intention were .94 (95% CI [.92, .96]), .88 (95% CI [.84, .91]), and .87 (95% CI [.81, .91]), respectively, which were all considered </w:t>
      </w:r>
      <w:r w:rsidR="00514ADE" w:rsidRPr="00625DC2">
        <w:rPr>
          <w:rFonts w:asciiTheme="majorBidi" w:eastAsia="Arial" w:hAnsiTheme="majorBidi" w:cstheme="majorBidi"/>
          <w:color w:val="000000" w:themeColor="text1"/>
          <w:sz w:val="24"/>
          <w:szCs w:val="24"/>
          <w:lang w:val="en-GB"/>
        </w:rPr>
        <w:t xml:space="preserve">good to excellent levels of internal consistency </w:t>
      </w:r>
      <w:r w:rsidRPr="00625DC2">
        <w:rPr>
          <w:rFonts w:asciiTheme="majorBidi" w:eastAsia="Arial" w:hAnsiTheme="majorBidi" w:cstheme="majorBidi"/>
          <w:color w:val="000000" w:themeColor="text1"/>
          <w:sz w:val="24"/>
          <w:szCs w:val="24"/>
          <w:lang w:val="en-GB"/>
        </w:rPr>
        <w:t>(between .80 and .85). All the composite measures comfortably surpass the generally accepted cutoff of .70 (Tavakol and Dennick, 2011; Field, 2024) and none of them is so high as to suggest item redundancy, and therefore can be considered reliable and internally consistent composite indices of the constructs they measure. This is appropriate for the subsequent correlation</w:t>
      </w:r>
      <w:r w:rsidR="00A640B6" w:rsidRPr="00625DC2">
        <w:rPr>
          <w:rFonts w:asciiTheme="majorBidi" w:eastAsia="Arial" w:hAnsiTheme="majorBidi" w:cstheme="majorBidi"/>
          <w:color w:val="000000" w:themeColor="text1"/>
          <w:sz w:val="24"/>
          <w:szCs w:val="24"/>
          <w:lang w:val="en-GB"/>
        </w:rPr>
        <w:t>, regression,</w:t>
      </w:r>
      <w:r w:rsidRPr="00625DC2">
        <w:rPr>
          <w:rFonts w:asciiTheme="majorBidi" w:eastAsia="Arial" w:hAnsiTheme="majorBidi" w:cstheme="majorBidi"/>
          <w:color w:val="000000" w:themeColor="text1"/>
          <w:sz w:val="24"/>
          <w:szCs w:val="24"/>
          <w:lang w:val="en-GB"/>
        </w:rPr>
        <w:t xml:space="preserve"> and mediation analyses, and minimises the possibility of significant measurement error affecting the relationships reported below</w:t>
      </w:r>
      <w:r w:rsidR="00A979D9" w:rsidRPr="00625DC2">
        <w:rPr>
          <w:rFonts w:asciiTheme="majorBidi" w:eastAsia="Arial" w:hAnsiTheme="majorBidi" w:cstheme="majorBidi"/>
          <w:color w:val="000000" w:themeColor="text1"/>
          <w:sz w:val="24"/>
          <w:szCs w:val="24"/>
          <w:lang w:val="en-GB"/>
        </w:rPr>
        <w:t>.</w:t>
      </w:r>
    </w:p>
    <w:p w:rsidR="00A979D9" w:rsidRPr="00625DC2" w:rsidRDefault="00A979D9" w:rsidP="00BA72B6">
      <w:pPr>
        <w:spacing w:before="120" w:after="80" w:line="360" w:lineRule="auto"/>
        <w:rPr>
          <w:rFonts w:asciiTheme="majorBidi" w:hAnsiTheme="majorBidi" w:cstheme="majorBidi"/>
          <w:color w:val="000000" w:themeColor="text1"/>
          <w:sz w:val="24"/>
          <w:szCs w:val="24"/>
          <w:lang w:val="en-GB"/>
        </w:rPr>
      </w:pPr>
      <w:r w:rsidRPr="00625DC2">
        <w:rPr>
          <w:rFonts w:asciiTheme="majorBidi" w:eastAsia="Arial" w:hAnsiTheme="majorBidi" w:cstheme="majorBidi"/>
          <w:b/>
          <w:bCs/>
          <w:color w:val="000000" w:themeColor="text1"/>
          <w:sz w:val="24"/>
          <w:szCs w:val="24"/>
          <w:lang w:val="en-GB"/>
        </w:rPr>
        <w:t>Table 4.2: Descriptive Statistics and Internal Consistency of the Composite Variables</w:t>
      </w:r>
    </w:p>
    <w:tbl>
      <w:tblPr>
        <w:tblStyle w:val="TableGrid"/>
        <w:tblW w:w="0" w:type="auto"/>
        <w:tblLook w:val="04A0" w:firstRow="1" w:lastRow="0" w:firstColumn="1" w:lastColumn="0" w:noHBand="0" w:noVBand="1"/>
      </w:tblPr>
      <w:tblGrid>
        <w:gridCol w:w="2428"/>
        <w:gridCol w:w="1755"/>
        <w:gridCol w:w="1145"/>
        <w:gridCol w:w="1552"/>
        <w:gridCol w:w="2470"/>
      </w:tblGrid>
      <w:tr w:rsidR="00FE0568" w:rsidRPr="00625DC2" w:rsidTr="00AA1CC9">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lastRenderedPageBreak/>
              <w:t>Variable</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Number of Items</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Mean (M)</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Cronbach's α</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95% Confidence Interval</w:t>
            </w:r>
          </w:p>
        </w:tc>
      </w:tr>
      <w:tr w:rsidR="00FE0568" w:rsidRPr="00625DC2" w:rsidTr="00AA1CC9">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Hybrid Working Practices</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12</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3.99</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.94</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[.92, .96]</w:t>
            </w:r>
          </w:p>
        </w:tc>
      </w:tr>
      <w:tr w:rsidR="00FE0568" w:rsidRPr="00625DC2" w:rsidTr="00AA1CC9">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Employee Engagement</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6</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3.77</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.88</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[.84, .91]</w:t>
            </w:r>
          </w:p>
        </w:tc>
      </w:tr>
      <w:tr w:rsidR="00FE0568" w:rsidRPr="00625DC2" w:rsidTr="00AA1CC9">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Turnover Intention</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3</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2.26</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.87</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[.81, .91]</w:t>
            </w:r>
          </w:p>
        </w:tc>
      </w:tr>
    </w:tbl>
    <w:p w:rsidR="00E515B9" w:rsidRPr="00625DC2" w:rsidRDefault="00E515B9" w:rsidP="00BA72B6">
      <w:pPr>
        <w:spacing w:before="60" w:line="360" w:lineRule="auto"/>
        <w:rPr>
          <w:rFonts w:asciiTheme="majorBidi" w:eastAsia="Arial" w:hAnsiTheme="majorBidi" w:cstheme="majorBidi"/>
          <w:i/>
          <w:iCs/>
          <w:color w:val="000000" w:themeColor="text1"/>
          <w:sz w:val="24"/>
          <w:szCs w:val="24"/>
          <w:lang w:val="en-GB"/>
        </w:rPr>
      </w:pPr>
    </w:p>
    <w:p w:rsidR="00A979D9" w:rsidRPr="00625DC2" w:rsidRDefault="00A979D9" w:rsidP="00BA72B6">
      <w:pPr>
        <w:spacing w:before="60" w:line="360" w:lineRule="auto"/>
        <w:rPr>
          <w:rFonts w:asciiTheme="majorBidi" w:hAnsiTheme="majorBidi" w:cstheme="majorBidi"/>
          <w:color w:val="000000" w:themeColor="text1"/>
          <w:sz w:val="24"/>
          <w:szCs w:val="24"/>
          <w:lang w:val="en-GB"/>
        </w:rPr>
      </w:pPr>
      <w:r w:rsidRPr="00625DC2">
        <w:rPr>
          <w:rFonts w:asciiTheme="majorBidi" w:eastAsia="Arial" w:hAnsiTheme="majorBidi" w:cstheme="majorBidi"/>
          <w:i/>
          <w:iCs/>
          <w:color w:val="000000" w:themeColor="text1"/>
          <w:sz w:val="24"/>
          <w:szCs w:val="24"/>
          <w:lang w:val="en-GB"/>
        </w:rPr>
        <w:t xml:space="preserve">Note. </w:t>
      </w:r>
      <w:r w:rsidR="00C26B41" w:rsidRPr="00625DC2">
        <w:rPr>
          <w:rFonts w:asciiTheme="majorBidi" w:eastAsia="Arial" w:hAnsiTheme="majorBidi" w:cstheme="majorBidi"/>
          <w:i/>
          <w:iCs/>
          <w:color w:val="000000" w:themeColor="text1"/>
          <w:sz w:val="24"/>
          <w:szCs w:val="24"/>
          <w:lang w:val="en-GB"/>
        </w:rPr>
        <w:t>All the variables were measured by the 5-point Likert Scale from strongly disagree to strongly agree. CI = confidence interval</w:t>
      </w:r>
    </w:p>
    <w:p w:rsidR="00A979D9" w:rsidRPr="00625DC2" w:rsidRDefault="00A979D9" w:rsidP="00BA72B6">
      <w:pPr>
        <w:spacing w:before="120" w:after="60" w:line="360" w:lineRule="auto"/>
        <w:jc w:val="center"/>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eastAsia="en-GB"/>
        </w:rPr>
        <w:drawing>
          <wp:inline distT="0" distB="0" distL="0" distR="0" wp14:anchorId="157D6211" wp14:editId="0627E605">
            <wp:extent cx="4381500" cy="2714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381500" cy="2714625"/>
                    </a:xfrm>
                    <a:prstGeom prst="rect">
                      <a:avLst/>
                    </a:prstGeom>
                  </pic:spPr>
                </pic:pic>
              </a:graphicData>
            </a:graphic>
          </wp:inline>
        </w:drawing>
      </w:r>
    </w:p>
    <w:p w:rsidR="00A979D9" w:rsidRPr="00625DC2" w:rsidRDefault="00A979D9" w:rsidP="00BA72B6">
      <w:pPr>
        <w:spacing w:line="360" w:lineRule="auto"/>
        <w:jc w:val="center"/>
        <w:rPr>
          <w:rFonts w:asciiTheme="majorBidi" w:hAnsiTheme="majorBidi" w:cstheme="majorBidi"/>
          <w:color w:val="000000" w:themeColor="text1"/>
          <w:sz w:val="24"/>
          <w:szCs w:val="24"/>
          <w:lang w:val="en-GB"/>
        </w:rPr>
      </w:pPr>
      <w:r w:rsidRPr="00625DC2">
        <w:rPr>
          <w:rFonts w:asciiTheme="majorBidi" w:eastAsia="Arial" w:hAnsiTheme="majorBidi" w:cstheme="majorBidi"/>
          <w:b/>
          <w:bCs/>
          <w:color w:val="000000" w:themeColor="text1"/>
          <w:sz w:val="24"/>
          <w:szCs w:val="24"/>
          <w:lang w:val="en-GB"/>
        </w:rPr>
        <w:t>Figure 4.5: Mean Scores of the Key Study Variables (n = 100)</w:t>
      </w:r>
    </w:p>
    <w:p w:rsidR="00A979D9" w:rsidRPr="00625DC2" w:rsidRDefault="00A979D9" w:rsidP="00BA72B6">
      <w:pPr>
        <w:pStyle w:val="Heading2"/>
        <w:spacing w:line="360" w:lineRule="auto"/>
        <w:rPr>
          <w:rFonts w:asciiTheme="majorBidi" w:hAnsiTheme="majorBidi"/>
          <w:sz w:val="24"/>
          <w:szCs w:val="24"/>
          <w:lang w:val="en-GB"/>
        </w:rPr>
      </w:pPr>
      <w:bookmarkStart w:id="26" w:name="_Toc233458806"/>
      <w:r w:rsidRPr="00625DC2">
        <w:rPr>
          <w:rFonts w:asciiTheme="majorBidi" w:eastAsia="Arial" w:hAnsiTheme="majorBidi"/>
          <w:sz w:val="24"/>
          <w:szCs w:val="24"/>
          <w:lang w:val="en-GB"/>
        </w:rPr>
        <w:t>4.4 Correlation Analysis</w:t>
      </w:r>
      <w:bookmarkEnd w:id="26"/>
    </w:p>
    <w:p w:rsidR="00C26B41" w:rsidRPr="00625DC2" w:rsidRDefault="00C26B41"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Pearson product-moment correlations were calculated in order to initially test the hypothesised associations between the three variables, as shown in the matrix reported in Table 4.3 and as visualised in the heatmap of Figure 4.4. All three correlations were statistically significant (p &lt; .001) and</w:t>
      </w:r>
      <w:r w:rsidR="00A640B6" w:rsidRPr="00625DC2">
        <w:rPr>
          <w:rFonts w:asciiTheme="majorBidi" w:hAnsiTheme="majorBidi" w:cstheme="majorBidi"/>
          <w:color w:val="000000" w:themeColor="text1"/>
          <w:sz w:val="24"/>
          <w:szCs w:val="24"/>
          <w:lang w:val="en-GB"/>
        </w:rPr>
        <w:t>, importantly,</w:t>
      </w:r>
      <w:r w:rsidRPr="00625DC2">
        <w:rPr>
          <w:rFonts w:asciiTheme="majorBidi" w:hAnsiTheme="majorBidi" w:cstheme="majorBidi"/>
          <w:color w:val="000000" w:themeColor="text1"/>
          <w:sz w:val="24"/>
          <w:szCs w:val="24"/>
          <w:lang w:val="en-GB"/>
        </w:rPr>
        <w:t xml:space="preserve"> were in the direction predicted by the conceptual model.</w:t>
      </w:r>
    </w:p>
    <w:p w:rsidR="00C26B41" w:rsidRPr="00625DC2" w:rsidRDefault="00C26B41"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To support the first hypothesis (H1), the results showed a high and positive correlation between hybrid working practices and engagement (r = .68, p &lt; .001). Those who had more advanced </w:t>
      </w:r>
      <w:r w:rsidRPr="00625DC2">
        <w:rPr>
          <w:rFonts w:asciiTheme="majorBidi" w:hAnsiTheme="majorBidi" w:cstheme="majorBidi"/>
          <w:color w:val="000000" w:themeColor="text1"/>
          <w:sz w:val="24"/>
          <w:szCs w:val="24"/>
          <w:lang w:val="en-GB"/>
        </w:rPr>
        <w:lastRenderedPageBreak/>
        <w:t>hybrid working patterns also indicated significantly higher levels of engagement, aligning with the notion that flexibility, support and satisfactory resourcing act as job resources that support motivation and involvement. The second hypothesis (H2) was also supported, as engagement was negatively and strongly associated with turnover intention (r = −.69, p &lt; .001), which means that the more engaged, the less interested in leaving. The third hypothesis (H3) was also supported, showing that hybrid working practices had a negative correlation with turnover intention (r = −.57, p &lt; .001).</w:t>
      </w:r>
    </w:p>
    <w:p w:rsidR="00C26B41" w:rsidRPr="00625DC2" w:rsidRDefault="00C26B41"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 bivariate patterns are very close to the theoretical structure of the Job Demands-Resources model. Hybrid working is an enabler of autonomy, flexibility and managerial support, which in turn would be expected to increase engagement; engagement as a motivational state would be expected to decrease the cognitive precursors that underlie withdrawal, captured by turnover intention. This sequence is followed by the data in a fairly consistent manner. It should also be noted that, while the constructs are related to each other, each of the regression analyses reported below models just one predictor and is thus free of any concern about multicollinearity among predictors. </w:t>
      </w:r>
      <w:r w:rsidR="00514ADE" w:rsidRPr="00625DC2">
        <w:rPr>
          <w:rFonts w:asciiTheme="majorBidi" w:hAnsiTheme="majorBidi" w:cstheme="majorBidi"/>
          <w:color w:val="000000" w:themeColor="text1"/>
          <w:sz w:val="24"/>
          <w:szCs w:val="24"/>
          <w:lang w:val="en-GB"/>
        </w:rPr>
        <w:t>The correlations</w:t>
      </w:r>
      <w:r w:rsidR="00A640B6" w:rsidRPr="00625DC2">
        <w:rPr>
          <w:rFonts w:asciiTheme="majorBidi" w:hAnsiTheme="majorBidi" w:cstheme="majorBidi"/>
          <w:color w:val="000000" w:themeColor="text1"/>
          <w:sz w:val="24"/>
          <w:szCs w:val="24"/>
          <w:lang w:val="en-GB"/>
        </w:rPr>
        <w:t>, therefore,</w:t>
      </w:r>
      <w:r w:rsidR="00514ADE" w:rsidRPr="00625DC2">
        <w:rPr>
          <w:rFonts w:asciiTheme="majorBidi" w:hAnsiTheme="majorBidi" w:cstheme="majorBidi"/>
          <w:color w:val="000000" w:themeColor="text1"/>
          <w:sz w:val="24"/>
          <w:szCs w:val="24"/>
          <w:lang w:val="en-GB"/>
        </w:rPr>
        <w:t xml:space="preserve"> provide </w:t>
      </w:r>
      <w:r w:rsidRPr="00625DC2">
        <w:rPr>
          <w:rFonts w:asciiTheme="majorBidi" w:hAnsiTheme="majorBidi" w:cstheme="majorBidi"/>
          <w:color w:val="000000" w:themeColor="text1"/>
          <w:sz w:val="24"/>
          <w:szCs w:val="24"/>
          <w:lang w:val="en-GB"/>
        </w:rPr>
        <w:t>a direct test of association, but also as a coherent introduction to the dependency-modelling logic of the regression and mediation analyses.</w:t>
      </w:r>
    </w:p>
    <w:p w:rsidR="00A979D9" w:rsidRPr="00625DC2" w:rsidRDefault="00C26B41"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In light of Cohen's (2013) benchmarks, all three coefficients represent large effects (r ≥ .50), which means that these are not </w:t>
      </w:r>
      <w:r w:rsidR="00514ADE" w:rsidRPr="00625DC2">
        <w:rPr>
          <w:rFonts w:asciiTheme="majorBidi" w:hAnsiTheme="majorBidi" w:cstheme="majorBidi"/>
          <w:color w:val="000000" w:themeColor="text1"/>
          <w:sz w:val="24"/>
          <w:szCs w:val="24"/>
          <w:lang w:val="en-GB"/>
        </w:rPr>
        <w:t xml:space="preserve">statistically significant relationships; however, </w:t>
      </w:r>
      <w:r w:rsidR="00A640B6" w:rsidRPr="00625DC2">
        <w:rPr>
          <w:rFonts w:asciiTheme="majorBidi" w:hAnsiTheme="majorBidi" w:cstheme="majorBidi"/>
          <w:color w:val="000000" w:themeColor="text1"/>
          <w:sz w:val="24"/>
          <w:szCs w:val="24"/>
          <w:lang w:val="en-GB"/>
        </w:rPr>
        <w:t xml:space="preserve">they are </w:t>
      </w:r>
      <w:r w:rsidRPr="00625DC2">
        <w:rPr>
          <w:rFonts w:asciiTheme="majorBidi" w:hAnsiTheme="majorBidi" w:cstheme="majorBidi"/>
          <w:color w:val="000000" w:themeColor="text1"/>
          <w:sz w:val="24"/>
          <w:szCs w:val="24"/>
          <w:lang w:val="en-GB"/>
        </w:rPr>
        <w:t>meaningful ones. Also instructive are the lower correlations between hybrid working and turnover (−.57) and between engagement and turnover (−.69) as compared to the correlation between hybrid working and engagement (.68). This is the theoretical suggestion: that because the role of hybrid working is largely mediated by the effects on engagement, the direct linkage with turnover is likely to be more limited than the two separate links – the pattern found here and explored formally in the mediation analysis. These correlations indicate the direction and strength of the relationship but do not specify causal direction or partial out shared variance, because the regression analyses reported next did.</w:t>
      </w:r>
    </w:p>
    <w:p w:rsidR="00A979D9" w:rsidRPr="00625DC2" w:rsidRDefault="00A979D9" w:rsidP="00BA72B6">
      <w:pPr>
        <w:spacing w:before="120" w:after="80" w:line="360" w:lineRule="auto"/>
        <w:rPr>
          <w:rFonts w:asciiTheme="majorBidi" w:hAnsiTheme="majorBidi" w:cstheme="majorBidi"/>
          <w:color w:val="000000" w:themeColor="text1"/>
          <w:sz w:val="24"/>
          <w:szCs w:val="24"/>
          <w:lang w:val="en-GB"/>
        </w:rPr>
      </w:pPr>
      <w:r w:rsidRPr="00625DC2">
        <w:rPr>
          <w:rFonts w:asciiTheme="majorBidi" w:eastAsia="Arial" w:hAnsiTheme="majorBidi" w:cstheme="majorBidi"/>
          <w:b/>
          <w:bCs/>
          <w:color w:val="000000" w:themeColor="text1"/>
          <w:sz w:val="24"/>
          <w:szCs w:val="24"/>
          <w:lang w:val="en-GB"/>
        </w:rPr>
        <w:t xml:space="preserve">Table 4.3: </w:t>
      </w:r>
      <w:r w:rsidR="00C26B41" w:rsidRPr="00625DC2">
        <w:rPr>
          <w:rFonts w:asciiTheme="majorBidi" w:eastAsia="Arial" w:hAnsiTheme="majorBidi" w:cstheme="majorBidi"/>
          <w:b/>
          <w:bCs/>
          <w:color w:val="000000" w:themeColor="text1"/>
          <w:sz w:val="24"/>
          <w:szCs w:val="24"/>
          <w:lang w:val="en-GB"/>
        </w:rPr>
        <w:t>Pearson correlation matrix of the key study variables</w:t>
      </w:r>
    </w:p>
    <w:tbl>
      <w:tblPr>
        <w:tblStyle w:val="TableGrid"/>
        <w:tblW w:w="8272" w:type="dxa"/>
        <w:tblLook w:val="04A0" w:firstRow="1" w:lastRow="0" w:firstColumn="1" w:lastColumn="0" w:noHBand="0" w:noVBand="1"/>
      </w:tblPr>
      <w:tblGrid>
        <w:gridCol w:w="4250"/>
        <w:gridCol w:w="1530"/>
        <w:gridCol w:w="1530"/>
        <w:gridCol w:w="962"/>
      </w:tblGrid>
      <w:tr w:rsidR="00FE0568" w:rsidRPr="00625DC2" w:rsidTr="00A26A68">
        <w:trPr>
          <w:trHeight w:val="309"/>
        </w:trPr>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Variable</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1</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2</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3</w:t>
            </w:r>
          </w:p>
        </w:tc>
      </w:tr>
      <w:tr w:rsidR="00FE0568" w:rsidRPr="00625DC2" w:rsidTr="00A26A68">
        <w:trPr>
          <w:trHeight w:val="309"/>
        </w:trPr>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1. Hybrid Working</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1.00</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p>
        </w:tc>
      </w:tr>
      <w:tr w:rsidR="00FE0568" w:rsidRPr="00625DC2" w:rsidTr="00A26A68">
        <w:trPr>
          <w:trHeight w:val="309"/>
        </w:trPr>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lastRenderedPageBreak/>
              <w:t>2. Employee Engagement</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.68***</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1.00</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p>
        </w:tc>
      </w:tr>
      <w:tr w:rsidR="00FE0568" w:rsidRPr="00625DC2" w:rsidTr="00A26A68">
        <w:trPr>
          <w:trHeight w:val="326"/>
        </w:trPr>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3. Turnover Intention</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−.57***</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−.69***</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1.00</w:t>
            </w:r>
          </w:p>
        </w:tc>
      </w:tr>
    </w:tbl>
    <w:p w:rsidR="00A979D9" w:rsidRPr="00625DC2" w:rsidRDefault="00A979D9" w:rsidP="00BA72B6">
      <w:pPr>
        <w:spacing w:before="60" w:line="360" w:lineRule="auto"/>
        <w:rPr>
          <w:rFonts w:asciiTheme="majorBidi" w:hAnsiTheme="majorBidi" w:cstheme="majorBidi"/>
          <w:color w:val="000000" w:themeColor="text1"/>
          <w:sz w:val="24"/>
          <w:szCs w:val="24"/>
          <w:lang w:val="en-GB"/>
        </w:rPr>
      </w:pPr>
      <w:r w:rsidRPr="00625DC2">
        <w:rPr>
          <w:rFonts w:asciiTheme="majorBidi" w:eastAsia="Arial" w:hAnsiTheme="majorBidi" w:cstheme="majorBidi"/>
          <w:i/>
          <w:iCs/>
          <w:color w:val="000000" w:themeColor="text1"/>
          <w:sz w:val="24"/>
          <w:szCs w:val="24"/>
          <w:lang w:val="en-GB"/>
        </w:rPr>
        <w:t xml:space="preserve">Note. n = 100. *** p &lt; .001. </w:t>
      </w:r>
      <w:r w:rsidR="00C26B41" w:rsidRPr="00625DC2">
        <w:rPr>
          <w:rFonts w:asciiTheme="majorBidi" w:eastAsia="Arial" w:hAnsiTheme="majorBidi" w:cstheme="majorBidi"/>
          <w:i/>
          <w:iCs/>
          <w:color w:val="000000" w:themeColor="text1"/>
          <w:sz w:val="24"/>
          <w:szCs w:val="24"/>
          <w:lang w:val="en-GB"/>
        </w:rPr>
        <w:t>Coefficients below the diagonal report the bivariate correlations</w:t>
      </w:r>
    </w:p>
    <w:p w:rsidR="00A979D9" w:rsidRPr="00625DC2" w:rsidRDefault="00A979D9" w:rsidP="00BA72B6">
      <w:pPr>
        <w:spacing w:before="120" w:after="60" w:line="360" w:lineRule="auto"/>
        <w:jc w:val="center"/>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eastAsia="en-GB"/>
        </w:rPr>
        <w:drawing>
          <wp:inline distT="0" distB="0" distL="0" distR="0" wp14:anchorId="43AFF800" wp14:editId="50C9FBF4">
            <wp:extent cx="4095750" cy="28289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095750" cy="2828925"/>
                    </a:xfrm>
                    <a:prstGeom prst="rect">
                      <a:avLst/>
                    </a:prstGeom>
                  </pic:spPr>
                </pic:pic>
              </a:graphicData>
            </a:graphic>
          </wp:inline>
        </w:drawing>
      </w:r>
    </w:p>
    <w:p w:rsidR="00A979D9" w:rsidRPr="00625DC2" w:rsidRDefault="00A979D9" w:rsidP="00BA72B6">
      <w:pPr>
        <w:spacing w:line="360" w:lineRule="auto"/>
        <w:jc w:val="center"/>
        <w:rPr>
          <w:rFonts w:asciiTheme="majorBidi" w:hAnsiTheme="majorBidi" w:cstheme="majorBidi"/>
          <w:color w:val="000000" w:themeColor="text1"/>
          <w:sz w:val="24"/>
          <w:szCs w:val="24"/>
          <w:lang w:val="en-GB"/>
        </w:rPr>
      </w:pPr>
      <w:r w:rsidRPr="00625DC2">
        <w:rPr>
          <w:rFonts w:asciiTheme="majorBidi" w:eastAsia="Arial" w:hAnsiTheme="majorBidi" w:cstheme="majorBidi"/>
          <w:b/>
          <w:bCs/>
          <w:color w:val="000000" w:themeColor="text1"/>
          <w:sz w:val="24"/>
          <w:szCs w:val="24"/>
          <w:lang w:val="en-GB"/>
        </w:rPr>
        <w:t>Figure 4.4: Correlation Heatmap of the Key Study Variables</w:t>
      </w:r>
    </w:p>
    <w:p w:rsidR="00A979D9" w:rsidRPr="00625DC2" w:rsidRDefault="00A979D9" w:rsidP="00BA72B6">
      <w:pPr>
        <w:pStyle w:val="Heading2"/>
        <w:spacing w:line="360" w:lineRule="auto"/>
        <w:rPr>
          <w:rFonts w:asciiTheme="majorBidi" w:hAnsiTheme="majorBidi"/>
          <w:sz w:val="24"/>
          <w:szCs w:val="24"/>
          <w:lang w:val="en-GB"/>
        </w:rPr>
      </w:pPr>
      <w:bookmarkStart w:id="27" w:name="_Toc233458807"/>
      <w:r w:rsidRPr="00625DC2">
        <w:rPr>
          <w:rFonts w:asciiTheme="majorBidi" w:eastAsia="Arial" w:hAnsiTheme="majorBidi"/>
          <w:sz w:val="24"/>
          <w:szCs w:val="24"/>
          <w:lang w:val="en-GB"/>
        </w:rPr>
        <w:t>4.5 Regression Analysis</w:t>
      </w:r>
      <w:bookmarkEnd w:id="27"/>
    </w:p>
    <w:p w:rsidR="00C26B41" w:rsidRPr="00625DC2" w:rsidRDefault="00C26B41" w:rsidP="00BA72B6">
      <w:pPr>
        <w:spacing w:after="160" w:line="360" w:lineRule="auto"/>
        <w:jc w:val="both"/>
        <w:rPr>
          <w:rFonts w:asciiTheme="majorBidi" w:eastAsia="Arial"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 xml:space="preserve">Three simple linear regression models were estimated, and the results are </w:t>
      </w:r>
      <w:r w:rsidR="005537BD" w:rsidRPr="00625DC2">
        <w:rPr>
          <w:rFonts w:asciiTheme="majorBidi" w:eastAsia="Arial" w:hAnsiTheme="majorBidi" w:cstheme="majorBidi"/>
          <w:color w:val="000000" w:themeColor="text1"/>
          <w:sz w:val="24"/>
          <w:szCs w:val="24"/>
          <w:lang w:val="en-GB"/>
        </w:rPr>
        <w:t>summarised</w:t>
      </w:r>
      <w:r w:rsidRPr="00625DC2">
        <w:rPr>
          <w:rFonts w:asciiTheme="majorBidi" w:eastAsia="Arial" w:hAnsiTheme="majorBidi" w:cstheme="majorBidi"/>
          <w:color w:val="000000" w:themeColor="text1"/>
          <w:sz w:val="24"/>
          <w:szCs w:val="24"/>
          <w:lang w:val="en-GB"/>
        </w:rPr>
        <w:t xml:space="preserve"> in Table 4.4, in order to explore the predictive relationships suggested by the hypotheses. Each model has a single predictor, so the standardised coefficient (β) is identical to the Pearson correlation coefficient, and both the unstandardised (b) and standardised estimates of the coefficient are presented for ease of interpretation.</w:t>
      </w:r>
    </w:p>
    <w:p w:rsidR="00A979D9" w:rsidRPr="00625DC2" w:rsidRDefault="00C26B41" w:rsidP="00BA72B6">
      <w:pPr>
        <w:spacing w:after="160" w:line="360" w:lineRule="auto"/>
        <w:jc w:val="both"/>
        <w:rPr>
          <w:rFonts w:asciiTheme="majorBidi"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The first model regressed engagement on the hybrid working practices (H1). Hybrid working was a strong and significant positive predictor of engagement (b = 0.79, β = .68, t = 9.28, p &lt; .001), and the model explained 46.8% of the variance in engagement (R² = .47, F(1, 98) = 86.06, p &lt; .001). Substantively, a one-point rise in the five-point hybrid working scale was related to a 0.79 one-point rise in engagement, a significant increase given the range of the scale</w:t>
      </w:r>
      <w:r w:rsidR="00A979D9" w:rsidRPr="00625DC2">
        <w:rPr>
          <w:rFonts w:asciiTheme="majorBidi" w:eastAsia="Arial" w:hAnsiTheme="majorBidi" w:cstheme="majorBidi"/>
          <w:color w:val="000000" w:themeColor="text1"/>
          <w:sz w:val="24"/>
          <w:szCs w:val="24"/>
          <w:lang w:val="en-GB"/>
        </w:rPr>
        <w:t>.</w:t>
      </w:r>
    </w:p>
    <w:p w:rsidR="00C26B41" w:rsidRPr="00625DC2" w:rsidRDefault="00C26B41"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 second model regressed turnover intention on engagement (H2). Engagement emerged as a strong negative predictor (b = −0.86, β = −.69, t = −9.52, p &lt; .001), accounting for 48.0% of the variance in turnover intention (R² = .48, F(1, 98) = 90.60, p &lt; .001). This was also the </w:t>
      </w:r>
      <w:r w:rsidR="005537BD" w:rsidRPr="00625DC2">
        <w:rPr>
          <w:rFonts w:asciiTheme="majorBidi" w:hAnsiTheme="majorBidi" w:cstheme="majorBidi"/>
          <w:color w:val="000000" w:themeColor="text1"/>
          <w:sz w:val="24"/>
          <w:szCs w:val="24"/>
          <w:lang w:val="en-GB"/>
        </w:rPr>
        <w:t>most</w:t>
      </w:r>
      <w:r w:rsidRPr="00625DC2">
        <w:rPr>
          <w:rFonts w:asciiTheme="majorBidi" w:hAnsiTheme="majorBidi" w:cstheme="majorBidi"/>
          <w:color w:val="000000" w:themeColor="text1"/>
          <w:sz w:val="24"/>
          <w:szCs w:val="24"/>
          <w:lang w:val="en-GB"/>
        </w:rPr>
        <w:t xml:space="preserve"> </w:t>
      </w:r>
      <w:r w:rsidRPr="00625DC2">
        <w:rPr>
          <w:rFonts w:asciiTheme="majorBidi" w:hAnsiTheme="majorBidi" w:cstheme="majorBidi"/>
          <w:color w:val="000000" w:themeColor="text1"/>
          <w:sz w:val="24"/>
          <w:szCs w:val="24"/>
          <w:lang w:val="en-GB"/>
        </w:rPr>
        <w:lastRenderedPageBreak/>
        <w:t>explanatory of the three models, supporting the role of engagement as the more proximal of the drivers for employees' intentions to remain, and confirming the centrality of the role of engagement in the conceptual model.</w:t>
      </w:r>
    </w:p>
    <w:p w:rsidR="00C26B41" w:rsidRPr="00625DC2" w:rsidRDefault="00C26B41"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The third model regressed turnover intention on the hybrid working practices (H3). Hybrid working was a significant negative predictor (b = −0.82, β = −.57, t = −6.88, p &lt; .001) and explained 32.6% of the variance in turnover intention (R² = .33, F(1, 98) = 47.38, p &lt; .001). While this is still significant, it is less than in the engagement-based model and suggests that the impact of the hybrid working model on turnover is in part mediated by engagement, but not exclusively.</w:t>
      </w:r>
    </w:p>
    <w:p w:rsidR="00C26B41" w:rsidRPr="00625DC2" w:rsidRDefault="00C26B41"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In addition to being statistically significant, the three models raise questions about what they fail to explain. Half of the variation in engagement and one-third of the variation in intention to leave is explained by hybrid working, but there's a significant unexplained part of the story that could include pay, leadership, career prospects, job security, personal circumstances and more. This is a very reasonable outcome as turnover intention is a multiply determined construct, and no single workplace practice is expected to comprehensively account for this construct. The usefulness of the models is not so much in making detailed forecasts as in isolating an engaging, theoretically meaningful contribution of hybrid working and engagement when this contribution is represented in a directionality that is not provided by correlation alone.</w:t>
      </w:r>
    </w:p>
    <w:p w:rsidR="00C26B41" w:rsidRPr="00625DC2" w:rsidRDefault="008A1BAE"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Analysis of the regression diagnostics confirms </w:t>
      </w:r>
      <w:r w:rsidR="00C26B41" w:rsidRPr="00625DC2">
        <w:rPr>
          <w:rFonts w:asciiTheme="majorBidi" w:hAnsiTheme="majorBidi" w:cstheme="majorBidi"/>
          <w:color w:val="000000" w:themeColor="text1"/>
          <w:sz w:val="24"/>
          <w:szCs w:val="24"/>
          <w:lang w:val="en-GB"/>
        </w:rPr>
        <w:t>the validity of these models. The Durbin–Watson statistics were close to the ideal value of two for all three models (2.27, 1.75 and 2.12)</w:t>
      </w:r>
      <w:r w:rsidR="005537BD" w:rsidRPr="00625DC2">
        <w:rPr>
          <w:rFonts w:asciiTheme="majorBidi" w:hAnsiTheme="majorBidi" w:cstheme="majorBidi"/>
          <w:color w:val="000000" w:themeColor="text1"/>
          <w:sz w:val="24"/>
          <w:szCs w:val="24"/>
          <w:lang w:val="en-GB"/>
        </w:rPr>
        <w:t>,</w:t>
      </w:r>
      <w:r w:rsidR="00C26B41" w:rsidRPr="00625DC2">
        <w:rPr>
          <w:rFonts w:asciiTheme="majorBidi" w:hAnsiTheme="majorBidi" w:cstheme="majorBidi"/>
          <w:color w:val="000000" w:themeColor="text1"/>
          <w:sz w:val="24"/>
          <w:szCs w:val="24"/>
          <w:lang w:val="en-GB"/>
        </w:rPr>
        <w:t xml:space="preserve"> implying that there was no problematic autocorrelation among the residuals; and the non-significant Omnibus test and Jarque–Bera test indicated that the residuals were approximately normally distributed. Therefore</w:t>
      </w:r>
      <w:r w:rsidR="005537BD" w:rsidRPr="00625DC2">
        <w:rPr>
          <w:rFonts w:asciiTheme="majorBidi" w:hAnsiTheme="majorBidi" w:cstheme="majorBidi"/>
          <w:color w:val="000000" w:themeColor="text1"/>
          <w:sz w:val="24"/>
          <w:szCs w:val="24"/>
          <w:lang w:val="en-GB"/>
        </w:rPr>
        <w:t>,</w:t>
      </w:r>
      <w:r w:rsidR="00C26B41" w:rsidRPr="00625DC2">
        <w:rPr>
          <w:rFonts w:asciiTheme="majorBidi" w:hAnsiTheme="majorBidi" w:cstheme="majorBidi"/>
          <w:color w:val="000000" w:themeColor="text1"/>
          <w:sz w:val="24"/>
          <w:szCs w:val="24"/>
          <w:lang w:val="en-GB"/>
        </w:rPr>
        <w:t xml:space="preserve"> the models meet the important assumptions required for ordinary least squares regression and </w:t>
      </w:r>
      <w:r w:rsidR="00BA48E0">
        <w:rPr>
          <w:rFonts w:asciiTheme="majorBidi" w:hAnsiTheme="majorBidi" w:cstheme="majorBidi"/>
          <w:color w:val="000000" w:themeColor="text1"/>
          <w:sz w:val="24"/>
          <w:szCs w:val="24"/>
          <w:lang w:val="en-GB"/>
        </w:rPr>
        <w:t>increase</w:t>
      </w:r>
      <w:bookmarkStart w:id="28" w:name="_GoBack"/>
      <w:bookmarkEnd w:id="28"/>
      <w:r w:rsidRPr="00625DC2">
        <w:rPr>
          <w:rFonts w:asciiTheme="majorBidi" w:hAnsiTheme="majorBidi" w:cstheme="majorBidi"/>
          <w:color w:val="000000" w:themeColor="text1"/>
          <w:sz w:val="24"/>
          <w:szCs w:val="24"/>
          <w:lang w:val="en-GB"/>
        </w:rPr>
        <w:t xml:space="preserve"> confidence in the coefficient estimates</w:t>
      </w:r>
      <w:r w:rsidR="00C26B41" w:rsidRPr="00625DC2">
        <w:rPr>
          <w:rFonts w:asciiTheme="majorBidi" w:hAnsiTheme="majorBidi" w:cstheme="majorBidi"/>
          <w:color w:val="000000" w:themeColor="text1"/>
          <w:sz w:val="24"/>
          <w:szCs w:val="24"/>
          <w:lang w:val="en-GB"/>
        </w:rPr>
        <w:t>. Together</w:t>
      </w:r>
      <w:r w:rsidR="005537BD" w:rsidRPr="00625DC2">
        <w:rPr>
          <w:rFonts w:asciiTheme="majorBidi" w:hAnsiTheme="majorBidi" w:cstheme="majorBidi"/>
          <w:color w:val="000000" w:themeColor="text1"/>
          <w:sz w:val="24"/>
          <w:szCs w:val="24"/>
          <w:lang w:val="en-GB"/>
        </w:rPr>
        <w:t>,</w:t>
      </w:r>
      <w:r w:rsidR="00C26B41" w:rsidRPr="00625DC2">
        <w:rPr>
          <w:rFonts w:asciiTheme="majorBidi" w:hAnsiTheme="majorBidi" w:cstheme="majorBidi"/>
          <w:color w:val="000000" w:themeColor="text1"/>
          <w:sz w:val="24"/>
          <w:szCs w:val="24"/>
          <w:lang w:val="en-GB"/>
        </w:rPr>
        <w:t xml:space="preserve"> the three models offer strong support for H1, H2 and H3 and lay the groundwork for the mediation analysis that brings the three into a coherent explanation.</w:t>
      </w:r>
    </w:p>
    <w:p w:rsidR="00A979D9" w:rsidRPr="00625DC2" w:rsidRDefault="00A979D9" w:rsidP="00BA72B6">
      <w:pPr>
        <w:spacing w:before="120" w:after="80" w:line="360" w:lineRule="auto"/>
        <w:rPr>
          <w:rFonts w:asciiTheme="majorBidi" w:hAnsiTheme="majorBidi" w:cstheme="majorBidi"/>
          <w:color w:val="000000" w:themeColor="text1"/>
          <w:sz w:val="24"/>
          <w:szCs w:val="24"/>
          <w:lang w:val="en-GB"/>
        </w:rPr>
      </w:pPr>
      <w:r w:rsidRPr="00625DC2">
        <w:rPr>
          <w:rFonts w:asciiTheme="majorBidi" w:eastAsia="Arial" w:hAnsiTheme="majorBidi" w:cstheme="majorBidi"/>
          <w:b/>
          <w:bCs/>
          <w:color w:val="000000" w:themeColor="text1"/>
          <w:sz w:val="24"/>
          <w:szCs w:val="24"/>
          <w:lang w:val="en-GB"/>
        </w:rPr>
        <w:t>Table 4.4: Summary of Simple Linear Regression Analyses (H1–H3)</w:t>
      </w:r>
    </w:p>
    <w:tbl>
      <w:tblPr>
        <w:tblStyle w:val="TableGrid"/>
        <w:tblW w:w="0" w:type="auto"/>
        <w:tblLook w:val="04A0" w:firstRow="1" w:lastRow="0" w:firstColumn="1" w:lastColumn="0" w:noHBand="0" w:noVBand="1"/>
      </w:tblPr>
      <w:tblGrid>
        <w:gridCol w:w="1350"/>
        <w:gridCol w:w="3227"/>
        <w:gridCol w:w="1143"/>
        <w:gridCol w:w="652"/>
        <w:gridCol w:w="772"/>
        <w:gridCol w:w="747"/>
        <w:gridCol w:w="516"/>
        <w:gridCol w:w="943"/>
      </w:tblGrid>
      <w:tr w:rsidR="00FE0568" w:rsidRPr="00625DC2" w:rsidTr="00AA1CC9">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Hypothesis</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Path</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b (SE)</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β</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t</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p</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R²</w:t>
            </w:r>
          </w:p>
        </w:tc>
        <w:tc>
          <w:tcPr>
            <w:tcW w:w="0" w:type="auto"/>
            <w:hideMark/>
          </w:tcPr>
          <w:p w:rsidR="00A26A68" w:rsidRPr="00625DC2" w:rsidRDefault="00A26A68"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F(1,98)</w:t>
            </w:r>
          </w:p>
        </w:tc>
      </w:tr>
      <w:tr w:rsidR="00FE0568" w:rsidRPr="00625DC2" w:rsidTr="00AA1CC9">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lastRenderedPageBreak/>
              <w:t>H1</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Hybrid Working → Employee Engagement</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0.79 (0.09)</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.68</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9.28</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&lt; .001</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.47</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86.06</w:t>
            </w:r>
          </w:p>
        </w:tc>
      </w:tr>
      <w:tr w:rsidR="00FE0568" w:rsidRPr="00625DC2" w:rsidTr="00AA1CC9">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H2</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Employee Engagement → Turnover Intention</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−0.86 (0.09)</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−.69</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−9.52</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&lt; .001</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.48</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90.60</w:t>
            </w:r>
          </w:p>
        </w:tc>
      </w:tr>
      <w:tr w:rsidR="00FE0568" w:rsidRPr="00625DC2" w:rsidTr="00AA1CC9">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H3</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Hybrid Working → Turnover Intention</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−0.82 (0.12)</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−.57</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−6.88</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&lt; .001</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.33</w:t>
            </w:r>
          </w:p>
        </w:tc>
        <w:tc>
          <w:tcPr>
            <w:tcW w:w="0" w:type="auto"/>
            <w:hideMark/>
          </w:tcPr>
          <w:p w:rsidR="00A26A68" w:rsidRPr="00625DC2" w:rsidRDefault="00A26A68"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47.38</w:t>
            </w:r>
          </w:p>
        </w:tc>
      </w:tr>
    </w:tbl>
    <w:p w:rsidR="00A26A68" w:rsidRPr="00625DC2" w:rsidRDefault="00A26A68" w:rsidP="00BA72B6">
      <w:pPr>
        <w:spacing w:before="60" w:line="360" w:lineRule="auto"/>
        <w:rPr>
          <w:rFonts w:asciiTheme="majorBidi" w:eastAsia="Arial" w:hAnsiTheme="majorBidi" w:cstheme="majorBidi"/>
          <w:i/>
          <w:iCs/>
          <w:color w:val="000000" w:themeColor="text1"/>
          <w:sz w:val="24"/>
          <w:szCs w:val="24"/>
          <w:lang w:val="en-GB"/>
        </w:rPr>
      </w:pPr>
    </w:p>
    <w:p w:rsidR="00A979D9" w:rsidRPr="00625DC2" w:rsidRDefault="00A979D9" w:rsidP="00BA72B6">
      <w:pPr>
        <w:spacing w:before="60" w:line="360" w:lineRule="auto"/>
        <w:rPr>
          <w:rFonts w:asciiTheme="majorBidi" w:hAnsiTheme="majorBidi" w:cstheme="majorBidi"/>
          <w:color w:val="000000" w:themeColor="text1"/>
          <w:sz w:val="24"/>
          <w:szCs w:val="24"/>
          <w:lang w:val="en-GB"/>
        </w:rPr>
      </w:pPr>
      <w:r w:rsidRPr="00625DC2">
        <w:rPr>
          <w:rFonts w:asciiTheme="majorBidi" w:eastAsia="Arial" w:hAnsiTheme="majorBidi" w:cstheme="majorBidi"/>
          <w:i/>
          <w:iCs/>
          <w:color w:val="000000" w:themeColor="text1"/>
          <w:sz w:val="24"/>
          <w:szCs w:val="24"/>
          <w:lang w:val="en-GB"/>
        </w:rPr>
        <w:t xml:space="preserve">Note. </w:t>
      </w:r>
      <w:r w:rsidR="00C26B41" w:rsidRPr="00625DC2">
        <w:rPr>
          <w:rFonts w:asciiTheme="majorBidi" w:eastAsia="Arial" w:hAnsiTheme="majorBidi" w:cstheme="majorBidi"/>
          <w:i/>
          <w:iCs/>
          <w:color w:val="000000" w:themeColor="text1"/>
          <w:sz w:val="24"/>
          <w:szCs w:val="24"/>
          <w:lang w:val="en-GB"/>
        </w:rPr>
        <w:t>n = 100; b = unstandardised coefficient; SE = standard error; β = standardised coefficient. All models were significant at p &lt; .001.</w:t>
      </w:r>
    </w:p>
    <w:p w:rsidR="00A979D9" w:rsidRPr="00625DC2" w:rsidRDefault="00A979D9" w:rsidP="00BA72B6">
      <w:pPr>
        <w:pStyle w:val="Heading2"/>
        <w:spacing w:line="360" w:lineRule="auto"/>
        <w:rPr>
          <w:rFonts w:asciiTheme="majorBidi" w:hAnsiTheme="majorBidi"/>
          <w:sz w:val="24"/>
          <w:szCs w:val="24"/>
          <w:lang w:val="en-GB"/>
        </w:rPr>
      </w:pPr>
      <w:bookmarkStart w:id="29" w:name="_Toc233458808"/>
      <w:r w:rsidRPr="00625DC2">
        <w:rPr>
          <w:rFonts w:asciiTheme="majorBidi" w:eastAsia="Arial" w:hAnsiTheme="majorBidi"/>
          <w:sz w:val="24"/>
          <w:szCs w:val="24"/>
          <w:lang w:val="en-GB"/>
        </w:rPr>
        <w:t>4.6 Mediation Analysis</w:t>
      </w:r>
      <w:bookmarkEnd w:id="29"/>
    </w:p>
    <w:p w:rsidR="00657458" w:rsidRPr="00625DC2" w:rsidRDefault="00657458" w:rsidP="00BA72B6">
      <w:pPr>
        <w:spacing w:after="160" w:line="360" w:lineRule="auto"/>
        <w:jc w:val="both"/>
        <w:rPr>
          <w:rFonts w:asciiTheme="majorBidi" w:eastAsia="Arial"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The fourth hypothesis (H4) was proposed that employee engagement would mediate the relationship between hybrid working practices and intention to leave, meaning that hybrid working would have a negative effect on intention to leave</w:t>
      </w:r>
      <w:r w:rsidR="005537BD" w:rsidRPr="00625DC2">
        <w:rPr>
          <w:rFonts w:asciiTheme="majorBidi" w:eastAsia="Arial" w:hAnsiTheme="majorBidi" w:cstheme="majorBidi"/>
          <w:color w:val="000000" w:themeColor="text1"/>
          <w:sz w:val="24"/>
          <w:szCs w:val="24"/>
          <w:lang w:val="en-GB"/>
        </w:rPr>
        <w:t>,</w:t>
      </w:r>
      <w:r w:rsidRPr="00625DC2">
        <w:rPr>
          <w:rFonts w:asciiTheme="majorBidi" w:eastAsia="Arial" w:hAnsiTheme="majorBidi" w:cstheme="majorBidi"/>
          <w:color w:val="000000" w:themeColor="text1"/>
          <w:sz w:val="24"/>
          <w:szCs w:val="24"/>
          <w:lang w:val="en-GB"/>
        </w:rPr>
        <w:t xml:space="preserve"> partly because of its positive effect on employee engagement. This was done using a bootstrapped mediation analysis with 5,000 resamples, which is recommended for the non-normal sampling distribution of the indirect effect typically seen in mediation analyses (Preacher and Hayes, 2008).</w:t>
      </w:r>
    </w:p>
    <w:p w:rsidR="00657458" w:rsidRPr="00625DC2" w:rsidRDefault="00657458" w:rsidP="00BA72B6">
      <w:pPr>
        <w:spacing w:after="160" w:line="360" w:lineRule="auto"/>
        <w:jc w:val="both"/>
        <w:rPr>
          <w:rFonts w:asciiTheme="majorBidi" w:eastAsia="Arial"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All elements of the proposed pathway were important and were consistent with the hypothesised mechanism. The a-path (from hybrid working to engagement) was positive and strong (b = 0.79, p &lt; .001) while the engagement–turnover path was negative and strong (b = −0.86, p &lt; .001) according to the second regression model. The overall effect of hybrid working on turnover intention was also significant (b = −0.82, p &lt; .001). This overall effect can be broken down into a direct effect and an indirect effect that occurs via engagement, such that if both the a-path and the engagement–turnover path are strong, a large share of the impact of hybrid working on turnover intention is indirect and mediated by engagement.</w:t>
      </w:r>
    </w:p>
    <w:p w:rsidR="00657458" w:rsidRPr="00625DC2" w:rsidRDefault="00657458" w:rsidP="00BA72B6">
      <w:pPr>
        <w:spacing w:after="160" w:line="360" w:lineRule="auto"/>
        <w:jc w:val="both"/>
        <w:rPr>
          <w:rFonts w:asciiTheme="majorBidi" w:eastAsia="Arial"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The pattern of coefficients also indicates the magnitude of the mediated relationship. The indirect route through engagement is not a "marginal artefact of the analysis"</w:t>
      </w:r>
      <w:r w:rsidR="005537BD" w:rsidRPr="00625DC2">
        <w:rPr>
          <w:rFonts w:asciiTheme="majorBidi" w:eastAsia="Arial" w:hAnsiTheme="majorBidi" w:cstheme="majorBidi"/>
          <w:color w:val="000000" w:themeColor="text1"/>
          <w:sz w:val="24"/>
          <w:szCs w:val="24"/>
          <w:lang w:val="en-GB"/>
        </w:rPr>
        <w:t>; rather,</w:t>
      </w:r>
      <w:r w:rsidRPr="00625DC2">
        <w:rPr>
          <w:rFonts w:asciiTheme="majorBidi" w:eastAsia="Arial" w:hAnsiTheme="majorBidi" w:cstheme="majorBidi"/>
          <w:color w:val="000000" w:themeColor="text1"/>
          <w:sz w:val="24"/>
          <w:szCs w:val="24"/>
          <w:lang w:val="en-GB"/>
        </w:rPr>
        <w:t xml:space="preserve"> it is a route that has substantive importance, and engagement plausibly carries a substantial amount of the total effect of hybrid working on turnover intention. The bootstrapped indirect effect provides a number </w:t>
      </w:r>
      <w:r w:rsidRPr="00625DC2">
        <w:rPr>
          <w:rFonts w:asciiTheme="majorBidi" w:eastAsia="Arial" w:hAnsiTheme="majorBidi" w:cstheme="majorBidi"/>
          <w:color w:val="000000" w:themeColor="text1"/>
          <w:sz w:val="24"/>
          <w:szCs w:val="24"/>
          <w:lang w:val="en-GB"/>
        </w:rPr>
        <w:lastRenderedPageBreak/>
        <w:t>estimate of this</w:t>
      </w:r>
      <w:r w:rsidR="005537BD" w:rsidRPr="00625DC2">
        <w:rPr>
          <w:rFonts w:asciiTheme="majorBidi" w:eastAsia="Arial" w:hAnsiTheme="majorBidi" w:cstheme="majorBidi"/>
          <w:color w:val="000000" w:themeColor="text1"/>
          <w:sz w:val="24"/>
          <w:szCs w:val="24"/>
          <w:lang w:val="en-GB"/>
        </w:rPr>
        <w:t>,</w:t>
      </w:r>
      <w:r w:rsidRPr="00625DC2">
        <w:rPr>
          <w:rFonts w:asciiTheme="majorBidi" w:eastAsia="Arial" w:hAnsiTheme="majorBidi" w:cstheme="majorBidi"/>
          <w:color w:val="000000" w:themeColor="text1"/>
          <w:sz w:val="24"/>
          <w:szCs w:val="24"/>
          <w:lang w:val="en-GB"/>
        </w:rPr>
        <w:t xml:space="preserve"> but the direction of the constituent paths makes it clear that the engagement is not a marginal but a central conduit.</w:t>
      </w:r>
    </w:p>
    <w:p w:rsidR="00A979D9" w:rsidRPr="00625DC2" w:rsidRDefault="00657458" w:rsidP="00BA72B6">
      <w:pPr>
        <w:spacing w:after="160" w:line="360" w:lineRule="auto"/>
        <w:jc w:val="both"/>
        <w:rPr>
          <w:rFonts w:asciiTheme="majorBidi"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 xml:space="preserve">The relationship can be best described as partial mediation. However, the direct link between hybrid working and turnover intention (H3) remained significant and meaningful, suggesting that this link is not entirely explained by engagement. Flexible and autonomous working arrangements therefore seem to contain withdrawal intentions in two complementary ways: by enhancing engagement, and by more direct pathways, like through a better work–life balance and less commuting stress. In theory, then, the benefits of hybrid working on retention are </w:t>
      </w:r>
      <w:r w:rsidR="005537BD" w:rsidRPr="00625DC2">
        <w:rPr>
          <w:rFonts w:asciiTheme="majorBidi" w:eastAsia="Arial" w:hAnsiTheme="majorBidi" w:cstheme="majorBidi"/>
          <w:color w:val="000000" w:themeColor="text1"/>
          <w:sz w:val="24"/>
          <w:szCs w:val="24"/>
          <w:lang w:val="en-GB"/>
        </w:rPr>
        <w:t>realised</w:t>
      </w:r>
      <w:r w:rsidRPr="00625DC2">
        <w:rPr>
          <w:rFonts w:asciiTheme="majorBidi" w:eastAsia="Arial" w:hAnsiTheme="majorBidi" w:cstheme="majorBidi"/>
          <w:color w:val="000000" w:themeColor="text1"/>
          <w:sz w:val="24"/>
          <w:szCs w:val="24"/>
          <w:lang w:val="en-GB"/>
        </w:rPr>
        <w:t xml:space="preserve"> partially but not fully through engagement, and that working on engagement should complement (rather than replace) the direct benefits of flexibility. </w:t>
      </w:r>
      <w:r w:rsidR="008A1BAE" w:rsidRPr="00625DC2">
        <w:rPr>
          <w:rFonts w:asciiTheme="majorBidi" w:eastAsia="Arial" w:hAnsiTheme="majorBidi" w:cstheme="majorBidi"/>
          <w:color w:val="000000" w:themeColor="text1"/>
          <w:sz w:val="24"/>
          <w:szCs w:val="24"/>
          <w:lang w:val="en-GB"/>
        </w:rPr>
        <w:t>Further research is required to establish the relative importance of these two pathways.</w:t>
      </w:r>
    </w:p>
    <w:p w:rsidR="00A979D9" w:rsidRPr="00625DC2" w:rsidRDefault="00A979D9" w:rsidP="00BA72B6">
      <w:pPr>
        <w:pStyle w:val="Heading2"/>
        <w:spacing w:line="360" w:lineRule="auto"/>
        <w:rPr>
          <w:rFonts w:asciiTheme="majorBidi" w:hAnsiTheme="majorBidi"/>
          <w:sz w:val="24"/>
          <w:szCs w:val="24"/>
          <w:lang w:val="en-GB"/>
        </w:rPr>
      </w:pPr>
      <w:bookmarkStart w:id="30" w:name="_Toc233458809"/>
      <w:r w:rsidRPr="00625DC2">
        <w:rPr>
          <w:rFonts w:asciiTheme="majorBidi" w:eastAsia="Arial" w:hAnsiTheme="majorBidi"/>
          <w:sz w:val="24"/>
          <w:szCs w:val="24"/>
          <w:lang w:val="en-GB"/>
        </w:rPr>
        <w:t>4.7 Summary of Findings</w:t>
      </w:r>
      <w:bookmarkEnd w:id="30"/>
    </w:p>
    <w:p w:rsidR="00657458" w:rsidRPr="00625DC2" w:rsidRDefault="00657458" w:rsidP="00BA72B6">
      <w:pPr>
        <w:spacing w:after="160" w:line="360" w:lineRule="auto"/>
        <w:jc w:val="both"/>
        <w:rPr>
          <w:rFonts w:asciiTheme="majorBidi" w:eastAsia="Arial"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 xml:space="preserve">This chapter has brought </w:t>
      </w:r>
      <w:r w:rsidR="005537BD" w:rsidRPr="00625DC2">
        <w:rPr>
          <w:rFonts w:asciiTheme="majorBidi" w:eastAsia="Arial" w:hAnsiTheme="majorBidi" w:cstheme="majorBidi"/>
          <w:color w:val="000000" w:themeColor="text1"/>
          <w:sz w:val="24"/>
          <w:szCs w:val="24"/>
          <w:lang w:val="en-GB"/>
        </w:rPr>
        <w:t>the empirical results</w:t>
      </w:r>
      <w:r w:rsidRPr="00625DC2">
        <w:rPr>
          <w:rFonts w:asciiTheme="majorBidi" w:eastAsia="Arial" w:hAnsiTheme="majorBidi" w:cstheme="majorBidi"/>
          <w:color w:val="000000" w:themeColor="text1"/>
          <w:sz w:val="24"/>
          <w:szCs w:val="24"/>
          <w:lang w:val="en-GB"/>
        </w:rPr>
        <w:t xml:space="preserve"> of this study and tested all four hypotheses. The sample consisted of 100 employees from five sectors, with a fairly even distribution between customer and </w:t>
      </w:r>
      <w:r w:rsidR="005537BD" w:rsidRPr="00625DC2">
        <w:rPr>
          <w:rFonts w:asciiTheme="majorBidi" w:eastAsia="Arial" w:hAnsiTheme="majorBidi" w:cstheme="majorBidi"/>
          <w:color w:val="000000" w:themeColor="text1"/>
          <w:sz w:val="24"/>
          <w:szCs w:val="24"/>
          <w:lang w:val="en-GB"/>
        </w:rPr>
        <w:t>non-customer-facing</w:t>
      </w:r>
      <w:r w:rsidRPr="00625DC2">
        <w:rPr>
          <w:rFonts w:asciiTheme="majorBidi" w:eastAsia="Arial" w:hAnsiTheme="majorBidi" w:cstheme="majorBidi"/>
          <w:color w:val="000000" w:themeColor="text1"/>
          <w:sz w:val="24"/>
          <w:szCs w:val="24"/>
          <w:lang w:val="en-GB"/>
        </w:rPr>
        <w:t xml:space="preserve"> jobs and an age distribution that was skewed towards both the newest and most experienced employees. There was good internal consistency of the measurement scales and high scores for hybrid working, engagement and low scores for intention to leave.</w:t>
      </w:r>
    </w:p>
    <w:p w:rsidR="00726A3F" w:rsidRPr="00625DC2" w:rsidRDefault="00657458" w:rsidP="00BA72B6">
      <w:pPr>
        <w:spacing w:line="360" w:lineRule="auto"/>
        <w:rPr>
          <w:rFonts w:asciiTheme="majorBidi" w:hAnsiTheme="majorBidi" w:cstheme="majorBidi"/>
          <w:color w:val="000000" w:themeColor="text1"/>
          <w:sz w:val="24"/>
          <w:szCs w:val="24"/>
          <w:lang w:val="en-GB"/>
        </w:rPr>
      </w:pPr>
      <w:r w:rsidRPr="00625DC2">
        <w:rPr>
          <w:rFonts w:asciiTheme="majorBidi" w:eastAsia="Arial" w:hAnsiTheme="majorBidi" w:cstheme="majorBidi"/>
          <w:color w:val="000000" w:themeColor="text1"/>
          <w:sz w:val="24"/>
          <w:szCs w:val="24"/>
          <w:lang w:val="en-GB"/>
        </w:rPr>
        <w:t xml:space="preserve">The results of the inferential analyses gave a consistent and complementary set of conclusions that are summarised in Table 4.5. </w:t>
      </w:r>
      <w:r w:rsidR="008A1BAE" w:rsidRPr="00625DC2">
        <w:rPr>
          <w:rFonts w:asciiTheme="majorBidi" w:eastAsia="Arial" w:hAnsiTheme="majorBidi" w:cstheme="majorBidi"/>
          <w:color w:val="000000" w:themeColor="text1"/>
          <w:sz w:val="24"/>
          <w:szCs w:val="24"/>
          <w:lang w:val="en-GB"/>
        </w:rPr>
        <w:t>Hybrid working practices were positively associated with, and significantly predicted, employee engagement (H1)</w:t>
      </w:r>
      <w:r w:rsidRPr="00625DC2">
        <w:rPr>
          <w:rFonts w:asciiTheme="majorBidi" w:eastAsia="Arial" w:hAnsiTheme="majorBidi" w:cstheme="majorBidi"/>
          <w:color w:val="000000" w:themeColor="text1"/>
          <w:sz w:val="24"/>
          <w:szCs w:val="24"/>
          <w:lang w:val="en-GB"/>
        </w:rPr>
        <w:t xml:space="preserve">; while employee engagement was negatively associated (H2) and a strong predictor (H2) of turnover intention, and hybrid working was negatively associated (H3) and a strong predictor (H3) of turnover intention. </w:t>
      </w:r>
      <w:r w:rsidR="00726A3F" w:rsidRPr="00625DC2">
        <w:rPr>
          <w:rFonts w:asciiTheme="majorBidi" w:hAnsiTheme="majorBidi" w:cstheme="majorBidi"/>
          <w:color w:val="000000" w:themeColor="text1"/>
          <w:sz w:val="24"/>
          <w:szCs w:val="24"/>
          <w:lang w:val="en-GB"/>
        </w:rPr>
        <w:t>The mediation analysis also showed that the link between hybrid working and turnover intention is partially mediated by employee engagement (H4), providing a better understanding of how flexible working relates to employee retention. All four of the hypotheses were thus confirmed. The overall results offer a strong empirical basis for the conclusion that hybrid working practices, through boosting engagement, are associated with a reduction in the intention to leave, as explored in detail in the discussion chapter of this thesis.</w:t>
      </w:r>
    </w:p>
    <w:p w:rsidR="00726A3F" w:rsidRPr="00625DC2" w:rsidRDefault="008A1BAE"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lastRenderedPageBreak/>
        <w:t xml:space="preserve">Together, the results form a coherent pattern across descriptive, correlational, regression and mediation analyses </w:t>
      </w:r>
      <w:r w:rsidR="00726A3F" w:rsidRPr="00625DC2">
        <w:rPr>
          <w:rFonts w:asciiTheme="majorBidi" w:hAnsiTheme="majorBidi" w:cstheme="majorBidi"/>
          <w:color w:val="000000" w:themeColor="text1"/>
          <w:sz w:val="24"/>
          <w:szCs w:val="24"/>
          <w:lang w:val="en-GB"/>
        </w:rPr>
        <w:t xml:space="preserve">and </w:t>
      </w:r>
      <w:r w:rsidR="005537BD" w:rsidRPr="00625DC2">
        <w:rPr>
          <w:rFonts w:asciiTheme="majorBidi" w:hAnsiTheme="majorBidi" w:cstheme="majorBidi"/>
          <w:color w:val="000000" w:themeColor="text1"/>
          <w:sz w:val="24"/>
          <w:szCs w:val="24"/>
          <w:lang w:val="en-GB"/>
        </w:rPr>
        <w:t>are</w:t>
      </w:r>
      <w:r w:rsidR="00726A3F" w:rsidRPr="00625DC2">
        <w:rPr>
          <w:rFonts w:asciiTheme="majorBidi" w:hAnsiTheme="majorBidi" w:cstheme="majorBidi"/>
          <w:color w:val="000000" w:themeColor="text1"/>
          <w:sz w:val="24"/>
          <w:szCs w:val="24"/>
          <w:lang w:val="en-GB"/>
        </w:rPr>
        <w:t xml:space="preserve"> both theoretically intelligible and convincing rather than a collection of disjointed associations.</w:t>
      </w:r>
    </w:p>
    <w:p w:rsidR="00A979D9" w:rsidRPr="00625DC2" w:rsidRDefault="00A979D9" w:rsidP="00BA72B6">
      <w:pPr>
        <w:spacing w:before="120" w:after="80" w:line="360" w:lineRule="auto"/>
        <w:rPr>
          <w:rFonts w:asciiTheme="majorBidi" w:hAnsiTheme="majorBidi" w:cstheme="majorBidi"/>
          <w:color w:val="000000" w:themeColor="text1"/>
          <w:sz w:val="24"/>
          <w:szCs w:val="24"/>
          <w:lang w:val="en-GB"/>
        </w:rPr>
      </w:pPr>
      <w:r w:rsidRPr="00625DC2">
        <w:rPr>
          <w:rFonts w:asciiTheme="majorBidi" w:eastAsia="Arial" w:hAnsiTheme="majorBidi" w:cstheme="majorBidi"/>
          <w:b/>
          <w:bCs/>
          <w:color w:val="000000" w:themeColor="text1"/>
          <w:sz w:val="24"/>
          <w:szCs w:val="24"/>
          <w:lang w:val="en-GB"/>
        </w:rPr>
        <w:t>Table 4.5: Summary of Hypothesis Testing</w:t>
      </w:r>
    </w:p>
    <w:tbl>
      <w:tblPr>
        <w:tblStyle w:val="TableGrid"/>
        <w:tblW w:w="0" w:type="auto"/>
        <w:tblLook w:val="04A0" w:firstRow="1" w:lastRow="0" w:firstColumn="1" w:lastColumn="0" w:noHBand="0" w:noVBand="1"/>
      </w:tblPr>
      <w:tblGrid>
        <w:gridCol w:w="1350"/>
        <w:gridCol w:w="3711"/>
        <w:gridCol w:w="3086"/>
        <w:gridCol w:w="1203"/>
      </w:tblGrid>
      <w:tr w:rsidR="00FE0568" w:rsidRPr="00625DC2" w:rsidTr="00AA1CC9">
        <w:tc>
          <w:tcPr>
            <w:tcW w:w="0" w:type="auto"/>
            <w:hideMark/>
          </w:tcPr>
          <w:p w:rsidR="00B07F5A" w:rsidRPr="00625DC2" w:rsidRDefault="00B07F5A"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Hypothesis</w:t>
            </w:r>
          </w:p>
        </w:tc>
        <w:tc>
          <w:tcPr>
            <w:tcW w:w="0" w:type="auto"/>
            <w:hideMark/>
          </w:tcPr>
          <w:p w:rsidR="00B07F5A" w:rsidRPr="00625DC2" w:rsidRDefault="00B07F5A"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Statement</w:t>
            </w:r>
          </w:p>
        </w:tc>
        <w:tc>
          <w:tcPr>
            <w:tcW w:w="0" w:type="auto"/>
            <w:hideMark/>
          </w:tcPr>
          <w:p w:rsidR="00B07F5A" w:rsidRPr="00625DC2" w:rsidRDefault="00B07F5A"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Key Statistical Evidence</w:t>
            </w:r>
          </w:p>
        </w:tc>
        <w:tc>
          <w:tcPr>
            <w:tcW w:w="0" w:type="auto"/>
            <w:hideMark/>
          </w:tcPr>
          <w:p w:rsidR="00B07F5A" w:rsidRPr="00625DC2" w:rsidRDefault="00B07F5A" w:rsidP="00BA72B6">
            <w:pPr>
              <w:spacing w:line="360" w:lineRule="auto"/>
              <w:jc w:val="center"/>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t>Outcome</w:t>
            </w:r>
          </w:p>
        </w:tc>
      </w:tr>
      <w:tr w:rsidR="00FE0568" w:rsidRPr="00625DC2" w:rsidTr="00AA1CC9">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H1</w:t>
            </w:r>
          </w:p>
        </w:tc>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Hybrid working has a positive effect on employee engagement</w:t>
            </w:r>
          </w:p>
        </w:tc>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r = .68; β = .68; p &lt; .001; R² = .47</w:t>
            </w:r>
          </w:p>
        </w:tc>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Supported</w:t>
            </w:r>
          </w:p>
        </w:tc>
      </w:tr>
      <w:tr w:rsidR="00FE0568" w:rsidRPr="00625DC2" w:rsidTr="00AA1CC9">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H2</w:t>
            </w:r>
          </w:p>
        </w:tc>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Employee engagement negatively influences turnover intention</w:t>
            </w:r>
          </w:p>
        </w:tc>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r = −.69; β = −.69; p &lt; .001; R² = .48</w:t>
            </w:r>
          </w:p>
        </w:tc>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Supported</w:t>
            </w:r>
          </w:p>
        </w:tc>
      </w:tr>
      <w:tr w:rsidR="00FE0568" w:rsidRPr="00625DC2" w:rsidTr="00AA1CC9">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H3</w:t>
            </w:r>
          </w:p>
        </w:tc>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Hybrid working negatively influences turnover intention</w:t>
            </w:r>
          </w:p>
        </w:tc>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r = −.57; β = −.57; p &lt; .001; R² = .33</w:t>
            </w:r>
          </w:p>
        </w:tc>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Supported</w:t>
            </w:r>
          </w:p>
        </w:tc>
      </w:tr>
      <w:tr w:rsidR="00FE0568" w:rsidRPr="00625DC2" w:rsidTr="00AA1CC9">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H4</w:t>
            </w:r>
          </w:p>
        </w:tc>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Employee engagement partially mediates the relationship between hybrid working and turnover intention</w:t>
            </w:r>
            <w:r w:rsidR="005537BD" w:rsidRPr="00625DC2">
              <w:rPr>
                <w:rFonts w:asciiTheme="majorBidi" w:eastAsia="Times New Roman" w:hAnsiTheme="majorBidi" w:cstheme="majorBidi"/>
                <w:color w:val="000000" w:themeColor="text1"/>
                <w:sz w:val="24"/>
                <w:szCs w:val="24"/>
                <w:lang w:val="en-GB"/>
              </w:rPr>
              <w:t>.</w:t>
            </w:r>
          </w:p>
        </w:tc>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Significant a-path (b = 0.79) and total effect (b = −0.82); partial mediation observed</w:t>
            </w:r>
          </w:p>
        </w:tc>
        <w:tc>
          <w:tcPr>
            <w:tcW w:w="0" w:type="auto"/>
            <w:hideMark/>
          </w:tcPr>
          <w:p w:rsidR="00B07F5A" w:rsidRPr="00625DC2" w:rsidRDefault="00B07F5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Supported</w:t>
            </w:r>
          </w:p>
        </w:tc>
      </w:tr>
    </w:tbl>
    <w:p w:rsidR="007C5B00" w:rsidRPr="00625DC2" w:rsidRDefault="007C5B00" w:rsidP="00BA72B6">
      <w:pPr>
        <w:spacing w:before="60" w:line="360" w:lineRule="auto"/>
        <w:rPr>
          <w:rFonts w:asciiTheme="majorBidi" w:eastAsia="Arial" w:hAnsiTheme="majorBidi" w:cstheme="majorBidi"/>
          <w:i/>
          <w:iCs/>
          <w:color w:val="000000" w:themeColor="text1"/>
          <w:sz w:val="24"/>
          <w:szCs w:val="24"/>
          <w:lang w:val="en-GB"/>
        </w:rPr>
      </w:pPr>
    </w:p>
    <w:p w:rsidR="00A979D9" w:rsidRPr="00625DC2" w:rsidRDefault="00A979D9" w:rsidP="00BA72B6">
      <w:pPr>
        <w:spacing w:before="60" w:line="360" w:lineRule="auto"/>
        <w:rPr>
          <w:rFonts w:asciiTheme="majorBidi" w:hAnsiTheme="majorBidi" w:cstheme="majorBidi"/>
          <w:color w:val="000000" w:themeColor="text1"/>
          <w:sz w:val="24"/>
          <w:szCs w:val="24"/>
          <w:lang w:val="en-GB"/>
        </w:rPr>
      </w:pPr>
      <w:r w:rsidRPr="00625DC2">
        <w:rPr>
          <w:rFonts w:asciiTheme="majorBidi" w:eastAsia="Arial" w:hAnsiTheme="majorBidi" w:cstheme="majorBidi"/>
          <w:i/>
          <w:iCs/>
          <w:color w:val="000000" w:themeColor="text1"/>
          <w:sz w:val="24"/>
          <w:szCs w:val="24"/>
          <w:lang w:val="en-GB"/>
        </w:rPr>
        <w:t xml:space="preserve">Note. </w:t>
      </w:r>
      <w:r w:rsidR="00726A3F" w:rsidRPr="00625DC2">
        <w:rPr>
          <w:rFonts w:asciiTheme="majorBidi" w:eastAsia="Arial" w:hAnsiTheme="majorBidi" w:cstheme="majorBidi"/>
          <w:i/>
          <w:iCs/>
          <w:color w:val="000000" w:themeColor="text1"/>
          <w:sz w:val="24"/>
          <w:szCs w:val="24"/>
          <w:lang w:val="en-GB"/>
        </w:rPr>
        <w:t>a-path = effect of mediator on independent variable, total effect = overall effect of independent variable on the outcome.</w:t>
      </w:r>
    </w:p>
    <w:p w:rsidR="00570743" w:rsidRPr="00625DC2" w:rsidRDefault="00F66D97" w:rsidP="00BA72B6">
      <w:pPr>
        <w:pStyle w:val="Heading2"/>
        <w:spacing w:line="360" w:lineRule="auto"/>
        <w:rPr>
          <w:rFonts w:asciiTheme="majorBidi" w:hAnsiTheme="majorBidi"/>
          <w:sz w:val="24"/>
          <w:szCs w:val="24"/>
          <w:lang w:val="en-GB"/>
        </w:rPr>
      </w:pPr>
      <w:bookmarkStart w:id="31" w:name="_Toc233458810"/>
      <w:r w:rsidRPr="00625DC2">
        <w:rPr>
          <w:rFonts w:asciiTheme="majorBidi" w:hAnsiTheme="majorBidi"/>
          <w:sz w:val="24"/>
          <w:szCs w:val="24"/>
          <w:lang w:val="en-GB"/>
        </w:rPr>
        <w:t>4.8:</w:t>
      </w:r>
      <w:r w:rsidR="00570743" w:rsidRPr="00625DC2">
        <w:rPr>
          <w:rFonts w:asciiTheme="majorBidi" w:hAnsiTheme="majorBidi"/>
          <w:sz w:val="24"/>
          <w:szCs w:val="24"/>
          <w:lang w:val="en-GB"/>
        </w:rPr>
        <w:t xml:space="preserve"> Discussion of Findings</w:t>
      </w:r>
      <w:bookmarkEnd w:id="31"/>
    </w:p>
    <w:p w:rsidR="00570743" w:rsidRPr="00625DC2" w:rsidRDefault="00F66D97" w:rsidP="00BA72B6">
      <w:pPr>
        <w:pStyle w:val="Heading3"/>
        <w:spacing w:line="360" w:lineRule="auto"/>
        <w:rPr>
          <w:rFonts w:asciiTheme="majorBidi" w:hAnsiTheme="majorBidi" w:cstheme="majorBidi"/>
          <w:sz w:val="24"/>
          <w:szCs w:val="24"/>
          <w:lang w:val="en-GB"/>
        </w:rPr>
      </w:pPr>
      <w:bookmarkStart w:id="32" w:name="_Toc233458811"/>
      <w:r w:rsidRPr="00625DC2">
        <w:rPr>
          <w:rFonts w:asciiTheme="majorBidi" w:hAnsiTheme="majorBidi" w:cstheme="majorBidi"/>
          <w:sz w:val="24"/>
          <w:szCs w:val="24"/>
          <w:lang w:val="en-GB"/>
        </w:rPr>
        <w:t>4.8</w:t>
      </w:r>
      <w:r w:rsidR="00570743" w:rsidRPr="00625DC2">
        <w:rPr>
          <w:rFonts w:asciiTheme="majorBidi" w:hAnsiTheme="majorBidi" w:cstheme="majorBidi"/>
          <w:sz w:val="24"/>
          <w:szCs w:val="24"/>
          <w:lang w:val="en-GB"/>
        </w:rPr>
        <w:t>.1 Introduction</w:t>
      </w:r>
      <w:bookmarkEnd w:id="32"/>
    </w:p>
    <w:p w:rsidR="00726A3F" w:rsidRPr="00625DC2" w:rsidRDefault="00726A3F"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The results are detailed</w:t>
      </w:r>
      <w:r w:rsidR="005537BD"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and their meaning is explained in this chapter. It contrasts them with previous studies. It demonstrates the areas of agreement and disagreement. It also poses a tough challenge: do the outcomes seem too good to be true? The four hypotheses are used to direct the discussion.</w:t>
      </w:r>
    </w:p>
    <w:p w:rsidR="00570743" w:rsidRPr="00625DC2" w:rsidRDefault="00F66D97" w:rsidP="00BA72B6">
      <w:pPr>
        <w:pStyle w:val="Heading3"/>
        <w:spacing w:line="360" w:lineRule="auto"/>
        <w:rPr>
          <w:rFonts w:asciiTheme="majorBidi" w:hAnsiTheme="majorBidi" w:cstheme="majorBidi"/>
          <w:sz w:val="24"/>
          <w:szCs w:val="24"/>
          <w:lang w:val="en-GB"/>
        </w:rPr>
      </w:pPr>
      <w:bookmarkStart w:id="33" w:name="_Toc233458812"/>
      <w:r w:rsidRPr="00625DC2">
        <w:rPr>
          <w:rFonts w:asciiTheme="majorBidi" w:hAnsiTheme="majorBidi" w:cstheme="majorBidi"/>
          <w:sz w:val="24"/>
          <w:szCs w:val="24"/>
          <w:lang w:val="en-GB"/>
        </w:rPr>
        <w:t>4.8</w:t>
      </w:r>
      <w:r w:rsidR="00570743" w:rsidRPr="00625DC2">
        <w:rPr>
          <w:rFonts w:asciiTheme="majorBidi" w:hAnsiTheme="majorBidi" w:cstheme="majorBidi"/>
          <w:sz w:val="24"/>
          <w:szCs w:val="24"/>
          <w:lang w:val="en-GB"/>
        </w:rPr>
        <w:t>.2 Hybrid Working and Employee Engagement (H1)</w:t>
      </w:r>
      <w:bookmarkEnd w:id="33"/>
    </w:p>
    <w:p w:rsidR="00726A3F" w:rsidRPr="00625DC2" w:rsidRDefault="00726A3F" w:rsidP="00BA72B6">
      <w:pPr>
        <w:pStyle w:val="font-claude-response-body"/>
        <w:spacing w:line="360" w:lineRule="auto"/>
        <w:rPr>
          <w:rFonts w:asciiTheme="majorBidi" w:hAnsiTheme="majorBidi" w:cstheme="majorBidi"/>
          <w:color w:val="000000" w:themeColor="text1"/>
          <w:lang w:val="en-GB"/>
        </w:rPr>
      </w:pPr>
      <w:r w:rsidRPr="00625DC2">
        <w:rPr>
          <w:rFonts w:asciiTheme="majorBidi" w:hAnsiTheme="majorBidi" w:cstheme="majorBidi"/>
          <w:color w:val="000000" w:themeColor="text1"/>
          <w:lang w:val="en-GB"/>
        </w:rPr>
        <w:t xml:space="preserve">There was a positive correlation between hybrid working and engagement (r = .68). This is consistent with the Job Demands–Resources model. In that model, the flexibility, autonomy and </w:t>
      </w:r>
      <w:r w:rsidRPr="00625DC2">
        <w:rPr>
          <w:rFonts w:asciiTheme="majorBidi" w:hAnsiTheme="majorBidi" w:cstheme="majorBidi"/>
          <w:color w:val="000000" w:themeColor="text1"/>
          <w:lang w:val="en-GB"/>
        </w:rPr>
        <w:lastRenderedPageBreak/>
        <w:t xml:space="preserve">support are all "resources. Engagement is positively related to resources (Bakker and Demerouti, 2007). This is similar to what Schaufeli and Bakker (2004) discovered. High engagement when high resources. Even Gajendran and Harrison (2007) give a nod </w:t>
      </w:r>
      <w:r w:rsidR="005537BD" w:rsidRPr="00625DC2">
        <w:rPr>
          <w:rFonts w:asciiTheme="majorBidi" w:hAnsiTheme="majorBidi" w:cstheme="majorBidi"/>
          <w:color w:val="000000" w:themeColor="text1"/>
          <w:lang w:val="en-GB"/>
        </w:rPr>
        <w:t>of</w:t>
      </w:r>
      <w:r w:rsidRPr="00625DC2">
        <w:rPr>
          <w:rFonts w:asciiTheme="majorBidi" w:hAnsiTheme="majorBidi" w:cstheme="majorBidi"/>
          <w:color w:val="000000" w:themeColor="text1"/>
          <w:lang w:val="en-GB"/>
        </w:rPr>
        <w:t xml:space="preserve"> support</w:t>
      </w:r>
      <w:r w:rsidR="00A352E9" w:rsidRPr="00625DC2">
        <w:rPr>
          <w:rFonts w:asciiTheme="majorBidi" w:hAnsiTheme="majorBidi" w:cstheme="majorBidi"/>
          <w:color w:val="000000" w:themeColor="text1"/>
          <w:lang w:val="en-GB"/>
        </w:rPr>
        <w:t>,</w:t>
      </w:r>
      <w:r w:rsidRPr="00625DC2">
        <w:rPr>
          <w:rFonts w:asciiTheme="majorBidi" w:hAnsiTheme="majorBidi" w:cstheme="majorBidi"/>
          <w:color w:val="000000" w:themeColor="text1"/>
          <w:lang w:val="en-GB"/>
        </w:rPr>
        <w:t xml:space="preserve"> too. Their review found that remote work raise</w:t>
      </w:r>
      <w:r w:rsidR="00514ADE" w:rsidRPr="00625DC2">
        <w:rPr>
          <w:rFonts w:asciiTheme="majorBidi" w:hAnsiTheme="majorBidi" w:cstheme="majorBidi"/>
          <w:color w:val="000000" w:themeColor="text1"/>
          <w:lang w:val="en-GB"/>
        </w:rPr>
        <w:t xml:space="preserve">d autonomy and job satisfaction; however, </w:t>
      </w:r>
      <w:r w:rsidRPr="00625DC2">
        <w:rPr>
          <w:rFonts w:asciiTheme="majorBidi" w:hAnsiTheme="majorBidi" w:cstheme="majorBidi"/>
          <w:color w:val="000000" w:themeColor="text1"/>
          <w:lang w:val="en-GB"/>
        </w:rPr>
        <w:t>they stressed the effects were small.</w:t>
      </w:r>
    </w:p>
    <w:p w:rsidR="00726A3F" w:rsidRPr="00625DC2" w:rsidRDefault="00514ADE" w:rsidP="00BA72B6">
      <w:pPr>
        <w:pStyle w:val="font-claude-response-body"/>
        <w:spacing w:line="360" w:lineRule="auto"/>
        <w:rPr>
          <w:rFonts w:asciiTheme="majorBidi" w:hAnsiTheme="majorBidi" w:cstheme="majorBidi"/>
          <w:color w:val="000000" w:themeColor="text1"/>
          <w:lang w:val="en-GB"/>
        </w:rPr>
      </w:pPr>
      <w:r w:rsidRPr="00625DC2">
        <w:rPr>
          <w:rFonts w:asciiTheme="majorBidi" w:hAnsiTheme="majorBidi" w:cstheme="majorBidi"/>
          <w:color w:val="000000" w:themeColor="text1"/>
          <w:lang w:val="en-GB"/>
        </w:rPr>
        <w:t>The direction of the relationship is therefore consistent with theoretical expectations</w:t>
      </w:r>
      <w:r w:rsidR="00726A3F" w:rsidRPr="00625DC2">
        <w:rPr>
          <w:rFonts w:asciiTheme="majorBidi" w:hAnsiTheme="majorBidi" w:cstheme="majorBidi"/>
          <w:color w:val="000000" w:themeColor="text1"/>
          <w:lang w:val="en-GB"/>
        </w:rPr>
        <w:t xml:space="preserve">. </w:t>
      </w:r>
      <w:r w:rsidRPr="00625DC2">
        <w:rPr>
          <w:rFonts w:asciiTheme="majorBidi" w:hAnsiTheme="majorBidi" w:cstheme="majorBidi"/>
          <w:color w:val="000000" w:themeColor="text1"/>
          <w:lang w:val="en-GB"/>
        </w:rPr>
        <w:t>However, the relationship is more nuanced than it initially appears</w:t>
      </w:r>
      <w:r w:rsidR="00726A3F" w:rsidRPr="00625DC2">
        <w:rPr>
          <w:rFonts w:asciiTheme="majorBidi" w:hAnsiTheme="majorBidi" w:cstheme="majorBidi"/>
          <w:color w:val="000000" w:themeColor="text1"/>
          <w:lang w:val="en-GB"/>
        </w:rPr>
        <w:t>. There are a number of studies that back up a few. The dark side was discovered by Golden, Veiga and Dino (2008). Working remotely can make for a lonely occupation. That isolation affected their performance and added to their desire to quit. The more they worked from home, the more harm it did. Yang et al. (2022) discovered the same. Teams were more isolated when working remotely</w:t>
      </w:r>
      <w:r w:rsidR="005537BD" w:rsidRPr="00625DC2">
        <w:rPr>
          <w:rFonts w:asciiTheme="majorBidi" w:hAnsiTheme="majorBidi" w:cstheme="majorBidi"/>
          <w:color w:val="000000" w:themeColor="text1"/>
          <w:lang w:val="en-GB"/>
        </w:rPr>
        <w:t>,</w:t>
      </w:r>
      <w:r w:rsidR="00726A3F" w:rsidRPr="00625DC2">
        <w:rPr>
          <w:rFonts w:asciiTheme="majorBidi" w:hAnsiTheme="majorBidi" w:cstheme="majorBidi"/>
          <w:color w:val="000000" w:themeColor="text1"/>
          <w:lang w:val="en-GB"/>
        </w:rPr>
        <w:t xml:space="preserve"> and there was less communication and interaction with colleagues. The authors found another catch, however, using data from the UK (Felstead and Henseke, 2017). Home workers work harder, </w:t>
      </w:r>
      <w:r w:rsidR="005537BD" w:rsidRPr="00625DC2">
        <w:rPr>
          <w:rFonts w:asciiTheme="majorBidi" w:hAnsiTheme="majorBidi" w:cstheme="majorBidi"/>
          <w:color w:val="000000" w:themeColor="text1"/>
          <w:lang w:val="en-GB"/>
        </w:rPr>
        <w:t xml:space="preserve">and </w:t>
      </w:r>
      <w:r w:rsidR="00726A3F" w:rsidRPr="00625DC2">
        <w:rPr>
          <w:rFonts w:asciiTheme="majorBidi" w:hAnsiTheme="majorBidi" w:cstheme="majorBidi"/>
          <w:color w:val="000000" w:themeColor="text1"/>
          <w:lang w:val="en-GB"/>
        </w:rPr>
        <w:t xml:space="preserve">work creeps into the home. In other words, “telecommuting helps, but not much, and only under certain circumstances,” </w:t>
      </w:r>
      <w:r w:rsidR="005537BD" w:rsidRPr="00625DC2">
        <w:rPr>
          <w:rFonts w:asciiTheme="majorBidi" w:hAnsiTheme="majorBidi" w:cstheme="majorBidi"/>
          <w:color w:val="000000" w:themeColor="text1"/>
          <w:lang w:val="en-GB"/>
        </w:rPr>
        <w:t>summarise</w:t>
      </w:r>
      <w:r w:rsidR="00726A3F" w:rsidRPr="00625DC2">
        <w:rPr>
          <w:rFonts w:asciiTheme="majorBidi" w:hAnsiTheme="majorBidi" w:cstheme="majorBidi"/>
          <w:color w:val="000000" w:themeColor="text1"/>
          <w:lang w:val="en-GB"/>
        </w:rPr>
        <w:t xml:space="preserve"> Allen, Golden and Shockley (2015).</w:t>
      </w:r>
    </w:p>
    <w:p w:rsidR="00570743" w:rsidRPr="00625DC2" w:rsidRDefault="00726A3F" w:rsidP="00BA72B6">
      <w:pPr>
        <w:pStyle w:val="font-claude-response-body"/>
        <w:spacing w:line="360" w:lineRule="auto"/>
        <w:rPr>
          <w:rFonts w:asciiTheme="majorBidi" w:hAnsiTheme="majorBidi" w:cstheme="majorBidi"/>
          <w:color w:val="000000" w:themeColor="text1"/>
          <w:lang w:val="en-GB"/>
        </w:rPr>
      </w:pPr>
      <w:r w:rsidRPr="00625DC2">
        <w:rPr>
          <w:rFonts w:asciiTheme="majorBidi" w:hAnsiTheme="majorBidi" w:cstheme="majorBidi"/>
          <w:color w:val="000000" w:themeColor="text1"/>
          <w:lang w:val="en-GB"/>
        </w:rPr>
        <w:t>These research studies together reveal a genuine problem with the current research. The aim of this study was to view hybrid working as ‘good’</w:t>
      </w:r>
      <w:r w:rsidR="005537BD" w:rsidRPr="00625DC2">
        <w:rPr>
          <w:rFonts w:asciiTheme="majorBidi" w:hAnsiTheme="majorBidi" w:cstheme="majorBidi"/>
          <w:color w:val="000000" w:themeColor="text1"/>
          <w:lang w:val="en-GB"/>
        </w:rPr>
        <w:t>,</w:t>
      </w:r>
      <w:r w:rsidRPr="00625DC2">
        <w:rPr>
          <w:rFonts w:asciiTheme="majorBidi" w:hAnsiTheme="majorBidi" w:cstheme="majorBidi"/>
          <w:color w:val="000000" w:themeColor="text1"/>
          <w:lang w:val="en-GB"/>
        </w:rPr>
        <w:t xml:space="preserve"> and the more one worked from home, the more engaged one was. However, the broad picture suggests the relationship can curve. However, sometimes, remote work can decrease engagement instead of increasing it. That could not be tested in this study. It took on a straight path</w:t>
      </w:r>
      <w:r w:rsidR="00570743" w:rsidRPr="00625DC2">
        <w:rPr>
          <w:rFonts w:asciiTheme="majorBidi" w:hAnsiTheme="majorBidi" w:cstheme="majorBidi"/>
          <w:color w:val="000000" w:themeColor="text1"/>
          <w:lang w:val="en-GB"/>
        </w:rPr>
        <w:t>.</w:t>
      </w:r>
    </w:p>
    <w:p w:rsidR="00570743" w:rsidRPr="00625DC2" w:rsidRDefault="00F66D97" w:rsidP="00BA72B6">
      <w:pPr>
        <w:pStyle w:val="Heading3"/>
        <w:spacing w:line="360" w:lineRule="auto"/>
        <w:rPr>
          <w:rFonts w:asciiTheme="majorBidi" w:hAnsiTheme="majorBidi" w:cstheme="majorBidi"/>
          <w:sz w:val="24"/>
          <w:szCs w:val="24"/>
          <w:lang w:val="en-GB"/>
        </w:rPr>
      </w:pPr>
      <w:bookmarkStart w:id="34" w:name="_Toc233458813"/>
      <w:r w:rsidRPr="00625DC2">
        <w:rPr>
          <w:rFonts w:asciiTheme="majorBidi" w:hAnsiTheme="majorBidi" w:cstheme="majorBidi"/>
          <w:sz w:val="24"/>
          <w:szCs w:val="24"/>
          <w:lang w:val="en-GB"/>
        </w:rPr>
        <w:t>4.8</w:t>
      </w:r>
      <w:r w:rsidR="00570743" w:rsidRPr="00625DC2">
        <w:rPr>
          <w:rFonts w:asciiTheme="majorBidi" w:hAnsiTheme="majorBidi" w:cstheme="majorBidi"/>
          <w:sz w:val="24"/>
          <w:szCs w:val="24"/>
          <w:lang w:val="en-GB"/>
        </w:rPr>
        <w:t>.3 Employee Engagement and Turnover Intention (H2)</w:t>
      </w:r>
      <w:bookmarkEnd w:id="34"/>
    </w:p>
    <w:p w:rsidR="007871CF" w:rsidRPr="00625DC2" w:rsidRDefault="007871CF" w:rsidP="00BA72B6">
      <w:pPr>
        <w:pStyle w:val="Heading4"/>
        <w:spacing w:line="360" w:lineRule="auto"/>
        <w:rPr>
          <w:rFonts w:asciiTheme="majorBidi" w:hAnsiTheme="majorBidi" w:cstheme="majorBidi"/>
          <w:b w:val="0"/>
          <w:bCs w:val="0"/>
          <w:color w:val="000000" w:themeColor="text1"/>
          <w:lang w:val="en-GB"/>
        </w:rPr>
      </w:pPr>
      <w:r w:rsidRPr="00625DC2">
        <w:rPr>
          <w:rFonts w:asciiTheme="majorBidi" w:hAnsiTheme="majorBidi" w:cstheme="majorBidi"/>
          <w:b w:val="0"/>
          <w:bCs w:val="0"/>
          <w:color w:val="000000" w:themeColor="text1"/>
          <w:lang w:val="en-GB"/>
        </w:rPr>
        <w:t xml:space="preserve">This was the highest correlation value (r = −.69). There were no people who were not engaged who wanted to leave. In this, the literature is virtually unanimous. Saks (2006) discovered that engagement reduces the likelihood </w:t>
      </w:r>
      <w:r w:rsidR="005537BD" w:rsidRPr="00625DC2">
        <w:rPr>
          <w:rFonts w:asciiTheme="majorBidi" w:hAnsiTheme="majorBidi" w:cstheme="majorBidi"/>
          <w:b w:val="0"/>
          <w:bCs w:val="0"/>
          <w:color w:val="000000" w:themeColor="text1"/>
          <w:lang w:val="en-GB"/>
        </w:rPr>
        <w:t>of quitting</w:t>
      </w:r>
      <w:r w:rsidRPr="00625DC2">
        <w:rPr>
          <w:rFonts w:asciiTheme="majorBidi" w:hAnsiTheme="majorBidi" w:cstheme="majorBidi"/>
          <w:b w:val="0"/>
          <w:bCs w:val="0"/>
          <w:color w:val="000000" w:themeColor="text1"/>
          <w:lang w:val="en-GB"/>
        </w:rPr>
        <w:t>. This has been reported by Schaufeli and Bakker (2004). They were able to find it in almost 8,000 business units, and engaged teams experienced fewer losses of employees. (Harter, Schmidt and Hayes 2002)</w:t>
      </w:r>
    </w:p>
    <w:p w:rsidR="007871CF" w:rsidRPr="00625DC2" w:rsidRDefault="007871CF" w:rsidP="00BA72B6">
      <w:pPr>
        <w:pStyle w:val="Heading4"/>
        <w:spacing w:line="360" w:lineRule="auto"/>
        <w:rPr>
          <w:rFonts w:asciiTheme="majorBidi" w:hAnsiTheme="majorBidi" w:cstheme="majorBidi"/>
          <w:b w:val="0"/>
          <w:bCs w:val="0"/>
          <w:color w:val="000000" w:themeColor="text1"/>
          <w:lang w:val="en-GB"/>
        </w:rPr>
      </w:pPr>
      <w:r w:rsidRPr="00625DC2">
        <w:rPr>
          <w:rFonts w:asciiTheme="majorBidi" w:hAnsiTheme="majorBidi" w:cstheme="majorBidi"/>
          <w:b w:val="0"/>
          <w:bCs w:val="0"/>
          <w:color w:val="000000" w:themeColor="text1"/>
          <w:lang w:val="en-GB"/>
        </w:rPr>
        <w:t>It is all point</w:t>
      </w:r>
      <w:r w:rsidR="00514ADE" w:rsidRPr="00625DC2">
        <w:rPr>
          <w:rFonts w:asciiTheme="majorBidi" w:hAnsiTheme="majorBidi" w:cstheme="majorBidi"/>
          <w:b w:val="0"/>
          <w:bCs w:val="0"/>
          <w:color w:val="000000" w:themeColor="text1"/>
          <w:lang w:val="en-GB"/>
        </w:rPr>
        <w:t>ing in the right direction, it is</w:t>
      </w:r>
      <w:r w:rsidRPr="00625DC2">
        <w:rPr>
          <w:rFonts w:asciiTheme="majorBidi" w:hAnsiTheme="majorBidi" w:cstheme="majorBidi"/>
          <w:b w:val="0"/>
          <w:bCs w:val="0"/>
          <w:color w:val="000000" w:themeColor="text1"/>
          <w:lang w:val="en-GB"/>
        </w:rPr>
        <w:t xml:space="preserve"> not the wrong size, and there's the proper logic. That is reassuring. One caution remains. Saks (2006) also employed a small, mixed sample, similar to </w:t>
      </w:r>
      <w:r w:rsidRPr="00625DC2">
        <w:rPr>
          <w:rFonts w:asciiTheme="majorBidi" w:hAnsiTheme="majorBidi" w:cstheme="majorBidi"/>
          <w:b w:val="0"/>
          <w:bCs w:val="0"/>
          <w:color w:val="000000" w:themeColor="text1"/>
          <w:lang w:val="en-GB"/>
        </w:rPr>
        <w:lastRenderedPageBreak/>
        <w:t>this one. That's reassuring, but not proof. In addition, there's a</w:t>
      </w:r>
      <w:r w:rsidR="00514ADE" w:rsidRPr="00625DC2">
        <w:rPr>
          <w:rFonts w:asciiTheme="majorBidi" w:hAnsiTheme="majorBidi" w:cstheme="majorBidi"/>
          <w:b w:val="0"/>
          <w:bCs w:val="0"/>
          <w:color w:val="000000" w:themeColor="text1"/>
          <w:lang w:val="en-GB"/>
        </w:rPr>
        <w:t>n</w:t>
      </w:r>
      <w:r w:rsidRPr="00625DC2">
        <w:rPr>
          <w:rFonts w:asciiTheme="majorBidi" w:hAnsiTheme="majorBidi" w:cstheme="majorBidi"/>
          <w:b w:val="0"/>
          <w:bCs w:val="0"/>
          <w:color w:val="000000" w:themeColor="text1"/>
          <w:lang w:val="en-GB"/>
        </w:rPr>
        <w:t xml:space="preserve"> </w:t>
      </w:r>
      <w:r w:rsidR="00514ADE" w:rsidRPr="00625DC2">
        <w:rPr>
          <w:rFonts w:asciiTheme="majorBidi" w:hAnsiTheme="majorBidi" w:cstheme="majorBidi"/>
          <w:b w:val="0"/>
          <w:bCs w:val="0"/>
          <w:color w:val="000000" w:themeColor="text1"/>
          <w:lang w:val="en-GB"/>
        </w:rPr>
        <w:t>issue of causal direction</w:t>
      </w:r>
      <w:r w:rsidRPr="00625DC2">
        <w:rPr>
          <w:rFonts w:asciiTheme="majorBidi" w:hAnsiTheme="majorBidi" w:cstheme="majorBidi"/>
          <w:b w:val="0"/>
          <w:bCs w:val="0"/>
          <w:color w:val="000000" w:themeColor="text1"/>
          <w:lang w:val="en-GB"/>
        </w:rPr>
        <w:t xml:space="preserve">. Perhaps, engagement reduces the desire to give up. Or perhaps individuals who already intend to stay simply feel even more included. It is </w:t>
      </w:r>
      <w:r w:rsidR="00844EFB" w:rsidRPr="00625DC2">
        <w:rPr>
          <w:rFonts w:asciiTheme="majorBidi" w:hAnsiTheme="majorBidi" w:cstheme="majorBidi"/>
          <w:b w:val="0"/>
          <w:bCs w:val="0"/>
          <w:color w:val="000000" w:themeColor="text1"/>
          <w:lang w:val="en-GB"/>
        </w:rPr>
        <w:t xml:space="preserve">difficult to determine which is </w:t>
      </w:r>
      <w:r w:rsidRPr="00625DC2">
        <w:rPr>
          <w:rFonts w:asciiTheme="majorBidi" w:hAnsiTheme="majorBidi" w:cstheme="majorBidi"/>
          <w:b w:val="0"/>
          <w:bCs w:val="0"/>
          <w:color w:val="000000" w:themeColor="text1"/>
          <w:lang w:val="en-GB"/>
        </w:rPr>
        <w:t xml:space="preserve">the cause and which is the effect, since all the data were collected at the same time. </w:t>
      </w:r>
    </w:p>
    <w:p w:rsidR="00570743" w:rsidRPr="00625DC2" w:rsidRDefault="00F66D97" w:rsidP="00BA72B6">
      <w:pPr>
        <w:pStyle w:val="Heading3"/>
        <w:spacing w:line="360" w:lineRule="auto"/>
        <w:rPr>
          <w:rFonts w:asciiTheme="majorBidi" w:hAnsiTheme="majorBidi" w:cstheme="majorBidi"/>
          <w:sz w:val="24"/>
          <w:szCs w:val="24"/>
          <w:lang w:val="en-GB"/>
        </w:rPr>
      </w:pPr>
      <w:bookmarkStart w:id="35" w:name="_Toc233458814"/>
      <w:r w:rsidRPr="00625DC2">
        <w:rPr>
          <w:rFonts w:asciiTheme="majorBidi" w:hAnsiTheme="majorBidi" w:cstheme="majorBidi"/>
          <w:sz w:val="24"/>
          <w:szCs w:val="24"/>
          <w:lang w:val="en-GB"/>
        </w:rPr>
        <w:t>4.8</w:t>
      </w:r>
      <w:r w:rsidR="00570743" w:rsidRPr="00625DC2">
        <w:rPr>
          <w:rFonts w:asciiTheme="majorBidi" w:hAnsiTheme="majorBidi" w:cstheme="majorBidi"/>
          <w:sz w:val="24"/>
          <w:szCs w:val="24"/>
          <w:lang w:val="en-GB"/>
        </w:rPr>
        <w:t>.4 Hybrid Working, Turnover, and the Role of Engagement (H3 and H4)</w:t>
      </w:r>
      <w:bookmarkEnd w:id="35"/>
    </w:p>
    <w:p w:rsidR="00726A3F" w:rsidRPr="00625DC2" w:rsidRDefault="00726A3F"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 desire to leave and hybrid working were inversely related (r = −.57). The more hybrid working arrangements that were put in place, the less intention to leave. </w:t>
      </w:r>
      <w:r w:rsidR="00514ADE" w:rsidRPr="00625DC2">
        <w:rPr>
          <w:rFonts w:asciiTheme="majorBidi" w:hAnsiTheme="majorBidi" w:cstheme="majorBidi"/>
          <w:color w:val="000000" w:themeColor="text1"/>
          <w:sz w:val="24"/>
          <w:szCs w:val="24"/>
          <w:lang w:val="en-GB"/>
        </w:rPr>
        <w:t>This finding is consistent with prior evidence</w:t>
      </w:r>
      <w:r w:rsidRPr="00625DC2">
        <w:rPr>
          <w:rFonts w:asciiTheme="majorBidi" w:hAnsiTheme="majorBidi" w:cstheme="majorBidi"/>
          <w:color w:val="000000" w:themeColor="text1"/>
          <w:sz w:val="24"/>
          <w:szCs w:val="24"/>
          <w:lang w:val="en-GB"/>
        </w:rPr>
        <w:t xml:space="preserve">. Lower quit intentions were found among telecommuters by Gajendran and Harrison (2007). In China, Bloom, Liang, Roberts and </w:t>
      </w:r>
      <w:r w:rsidR="005537BD" w:rsidRPr="00625DC2">
        <w:rPr>
          <w:rFonts w:asciiTheme="majorBidi" w:hAnsiTheme="majorBidi" w:cstheme="majorBidi"/>
          <w:color w:val="000000" w:themeColor="text1"/>
          <w:sz w:val="24"/>
          <w:szCs w:val="24"/>
          <w:lang w:val="en-GB"/>
        </w:rPr>
        <w:t>Ying (2015) conducted a real experiment, where 50% reduction in</w:t>
      </w:r>
      <w:r w:rsidRPr="00625DC2">
        <w:rPr>
          <w:rFonts w:asciiTheme="majorBidi" w:hAnsiTheme="majorBidi" w:cstheme="majorBidi"/>
          <w:color w:val="000000" w:themeColor="text1"/>
          <w:sz w:val="24"/>
          <w:szCs w:val="24"/>
          <w:lang w:val="en-GB"/>
        </w:rPr>
        <w:t xml:space="preserve"> staff loss was achieved in the home working scenario. The test was repeated with the hybrid pattern by Bloom, Han and Liang (2024). </w:t>
      </w:r>
      <w:r w:rsidR="000F1563" w:rsidRPr="00625DC2">
        <w:rPr>
          <w:rFonts w:asciiTheme="majorBidi" w:hAnsiTheme="majorBidi" w:cstheme="majorBidi"/>
          <w:color w:val="000000" w:themeColor="text1"/>
          <w:sz w:val="24"/>
          <w:szCs w:val="24"/>
          <w:lang w:val="en-GB"/>
        </w:rPr>
        <w:t xml:space="preserve">Attrition was reduced by approximately one-third </w:t>
      </w:r>
      <w:r w:rsidRPr="00625DC2">
        <w:rPr>
          <w:rFonts w:asciiTheme="majorBidi" w:hAnsiTheme="majorBidi" w:cstheme="majorBidi"/>
          <w:color w:val="000000" w:themeColor="text1"/>
          <w:sz w:val="24"/>
          <w:szCs w:val="24"/>
          <w:lang w:val="en-GB"/>
        </w:rPr>
        <w:t xml:space="preserve">after two days at home. Choudhury, Foroughi and Larson (2021) have also identified benefits to allowing workers to freely choose where they work. As difficult as it is to get a survey, an experiment is even more difficult </w:t>
      </w:r>
      <w:r w:rsidR="005537BD" w:rsidRPr="00625DC2">
        <w:rPr>
          <w:rFonts w:asciiTheme="majorBidi" w:hAnsiTheme="majorBidi" w:cstheme="majorBidi"/>
          <w:color w:val="000000" w:themeColor="text1"/>
          <w:sz w:val="24"/>
          <w:szCs w:val="24"/>
          <w:lang w:val="en-GB"/>
        </w:rPr>
        <w:t>to obtain</w:t>
      </w:r>
      <w:r w:rsidRPr="00625DC2">
        <w:rPr>
          <w:rFonts w:asciiTheme="majorBidi" w:hAnsiTheme="majorBidi" w:cstheme="majorBidi"/>
          <w:color w:val="000000" w:themeColor="text1"/>
          <w:sz w:val="24"/>
          <w:szCs w:val="24"/>
          <w:lang w:val="en-GB"/>
        </w:rPr>
        <w:t>. It does matter, then, that Bloom and colleagues agree.</w:t>
      </w:r>
    </w:p>
    <w:p w:rsidR="00570743" w:rsidRPr="00625DC2" w:rsidRDefault="00726A3F"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This study revealed, however, that there is only part of the connection that can be attributed to engagement. That's consistent with the evidence. Practical reasons were the primary factors that kept people from leaving, as found by Bloom and his colleagues (2024). They saved on transportation. They had a more harmonious home-work balance. The reasons have nothing to do with engagement. Flexibility retains people in two ways: It keeps them more active. It also simply makes everyday life simpler. This study not only missed the second route, </w:t>
      </w:r>
      <w:r w:rsidR="00806A16" w:rsidRPr="00625DC2">
        <w:rPr>
          <w:rFonts w:asciiTheme="majorBidi" w:hAnsiTheme="majorBidi" w:cstheme="majorBidi"/>
          <w:color w:val="000000" w:themeColor="text1"/>
          <w:sz w:val="24"/>
          <w:szCs w:val="24"/>
          <w:lang w:val="en-GB"/>
        </w:rPr>
        <w:t xml:space="preserve">but </w:t>
      </w:r>
      <w:r w:rsidRPr="00625DC2">
        <w:rPr>
          <w:rFonts w:asciiTheme="majorBidi" w:hAnsiTheme="majorBidi" w:cstheme="majorBidi"/>
          <w:color w:val="000000" w:themeColor="text1"/>
          <w:sz w:val="24"/>
          <w:szCs w:val="24"/>
          <w:lang w:val="en-GB"/>
        </w:rPr>
        <w:t xml:space="preserve">it also caught the first. However, the mediator varies from one study to another. Autonomy was cited by Gajendran and Harrison (2007). In this study, engagement was identified as the focus. The two are related, but they're not one and the same. So this is a model and may be a single component of a larger picture. </w:t>
      </w:r>
      <w:r w:rsidR="000F1563" w:rsidRPr="00625DC2">
        <w:rPr>
          <w:rFonts w:asciiTheme="majorBidi" w:hAnsiTheme="majorBidi" w:cstheme="majorBidi"/>
          <w:color w:val="000000" w:themeColor="text1"/>
          <w:sz w:val="24"/>
          <w:szCs w:val="24"/>
          <w:lang w:val="en-GB"/>
        </w:rPr>
        <w:t>These findings suggest that engagement is only one of several mechanisms through which hybrid working influences retention.</w:t>
      </w:r>
    </w:p>
    <w:p w:rsidR="00570743" w:rsidRPr="00625DC2" w:rsidRDefault="00F66D97" w:rsidP="00BA72B6">
      <w:pPr>
        <w:pStyle w:val="Heading3"/>
        <w:spacing w:line="360" w:lineRule="auto"/>
        <w:rPr>
          <w:rFonts w:asciiTheme="majorBidi" w:hAnsiTheme="majorBidi" w:cstheme="majorBidi"/>
          <w:sz w:val="24"/>
          <w:szCs w:val="24"/>
          <w:lang w:val="en-GB"/>
        </w:rPr>
      </w:pPr>
      <w:bookmarkStart w:id="36" w:name="_Toc233458815"/>
      <w:r w:rsidRPr="00625DC2">
        <w:rPr>
          <w:rFonts w:asciiTheme="majorBidi" w:hAnsiTheme="majorBidi" w:cstheme="majorBidi"/>
          <w:sz w:val="24"/>
          <w:szCs w:val="24"/>
          <w:lang w:val="en-GB"/>
        </w:rPr>
        <w:t>4.8.</w:t>
      </w:r>
      <w:r w:rsidR="00570743" w:rsidRPr="00625DC2">
        <w:rPr>
          <w:rFonts w:asciiTheme="majorBidi" w:hAnsiTheme="majorBidi" w:cstheme="majorBidi"/>
          <w:sz w:val="24"/>
          <w:szCs w:val="24"/>
          <w:lang w:val="en-GB"/>
        </w:rPr>
        <w:t>5 Size of the Results</w:t>
      </w:r>
      <w:bookmarkEnd w:id="36"/>
    </w:p>
    <w:p w:rsidR="00726A3F" w:rsidRPr="00625DC2" w:rsidRDefault="00726A3F"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lastRenderedPageBreak/>
        <w:t>The outcome is extremely promising. Any correlation value in the range of .57 to .69 is considered to be large. The effects reported by most previous studies are much smaller (Allen, Golden and Shockley, 2015). So, why are these so large? This is likely because of several reasons.</w:t>
      </w:r>
    </w:p>
    <w:p w:rsidR="00205C54" w:rsidRPr="00625DC2" w:rsidRDefault="00205C54" w:rsidP="00BA72B6">
      <w:pPr>
        <w:pStyle w:val="font-claude-response-body"/>
        <w:spacing w:line="360" w:lineRule="auto"/>
        <w:rPr>
          <w:rFonts w:asciiTheme="majorBidi" w:hAnsiTheme="majorBidi" w:cstheme="majorBidi"/>
          <w:color w:val="000000" w:themeColor="text1"/>
          <w:lang w:val="en-GB"/>
        </w:rPr>
      </w:pPr>
      <w:r w:rsidRPr="00625DC2">
        <w:rPr>
          <w:rFonts w:asciiTheme="majorBidi" w:hAnsiTheme="majorBidi" w:cstheme="majorBidi"/>
          <w:color w:val="000000" w:themeColor="text1"/>
          <w:lang w:val="en-GB"/>
        </w:rPr>
        <w:t xml:space="preserve">Firstly, all the answers were derived from a single survey. All the same persons rated them all at the same period. This has been shown to overestimate links (Podsakoff et al., 2003). Students also enjoy looking uniform. Secondly, the sample had a limited size (n = 100) and was very specific. If the sample sizes are small, then the numbers on the graphs can be larger, but are less reliable. Thirdly, over half the sample had work roles where hybrid working is more difficult, such as customer-facing jobs. That combination can obfuscate a straight and simple outcome. Finally and most significantly, this was a snapshot. It is unable to establish cause and effect. Bloom and </w:t>
      </w:r>
      <w:r w:rsidR="00806A16" w:rsidRPr="00625DC2">
        <w:rPr>
          <w:rFonts w:asciiTheme="majorBidi" w:hAnsiTheme="majorBidi" w:cstheme="majorBidi"/>
          <w:color w:val="000000" w:themeColor="text1"/>
          <w:lang w:val="en-GB"/>
        </w:rPr>
        <w:t>Co.</w:t>
      </w:r>
      <w:r w:rsidRPr="00625DC2">
        <w:rPr>
          <w:rFonts w:asciiTheme="majorBidi" w:hAnsiTheme="majorBidi" w:cstheme="majorBidi"/>
          <w:color w:val="000000" w:themeColor="text1"/>
          <w:lang w:val="en-GB"/>
        </w:rPr>
        <w:t xml:space="preserve"> were able to</w:t>
      </w:r>
      <w:r w:rsidR="00806A16" w:rsidRPr="00625DC2">
        <w:rPr>
          <w:rFonts w:asciiTheme="majorBidi" w:hAnsiTheme="majorBidi" w:cstheme="majorBidi"/>
          <w:color w:val="000000" w:themeColor="text1"/>
          <w:lang w:val="en-GB"/>
        </w:rPr>
        <w:t xml:space="preserve"> do so</w:t>
      </w:r>
      <w:r w:rsidRPr="00625DC2">
        <w:rPr>
          <w:rFonts w:asciiTheme="majorBidi" w:hAnsiTheme="majorBidi" w:cstheme="majorBidi"/>
          <w:color w:val="000000" w:themeColor="text1"/>
          <w:lang w:val="en-GB"/>
        </w:rPr>
        <w:t xml:space="preserve"> because they conducted an experiment. This study was unable to. The arrows in the model are based on theory and not on proof.</w:t>
      </w:r>
    </w:p>
    <w:p w:rsidR="00570743" w:rsidRPr="00625DC2" w:rsidRDefault="00205C54" w:rsidP="00BA72B6">
      <w:pPr>
        <w:pStyle w:val="font-claude-response-body"/>
        <w:spacing w:line="360" w:lineRule="auto"/>
        <w:rPr>
          <w:rFonts w:asciiTheme="majorBidi" w:hAnsiTheme="majorBidi" w:cstheme="majorBidi"/>
          <w:color w:val="000000" w:themeColor="text1"/>
          <w:lang w:val="en-GB"/>
        </w:rPr>
      </w:pPr>
      <w:r w:rsidRPr="00625DC2">
        <w:rPr>
          <w:rFonts w:asciiTheme="majorBidi" w:hAnsiTheme="majorBidi" w:cstheme="majorBidi"/>
          <w:color w:val="000000" w:themeColor="text1"/>
          <w:lang w:val="en-GB"/>
        </w:rPr>
        <w:t xml:space="preserve">None of this is to suggest the outcomes are incorrect. The pattern makes sense and is consistent with theory. However, the size should be viewed as a precaution. Work in the future should be </w:t>
      </w:r>
      <w:r w:rsidR="00806A16" w:rsidRPr="00625DC2">
        <w:rPr>
          <w:rFonts w:asciiTheme="majorBidi" w:hAnsiTheme="majorBidi" w:cstheme="majorBidi"/>
          <w:color w:val="000000" w:themeColor="text1"/>
          <w:lang w:val="en-GB"/>
        </w:rPr>
        <w:t xml:space="preserve">a </w:t>
      </w:r>
      <w:r w:rsidRPr="00625DC2">
        <w:rPr>
          <w:rFonts w:asciiTheme="majorBidi" w:hAnsiTheme="majorBidi" w:cstheme="majorBidi"/>
          <w:color w:val="000000" w:themeColor="text1"/>
          <w:lang w:val="en-GB"/>
        </w:rPr>
        <w:t>longitudinal study. It should also collect data from more than one source.</w:t>
      </w:r>
    </w:p>
    <w:p w:rsidR="00F66D97" w:rsidRPr="00625DC2" w:rsidRDefault="00F66D97" w:rsidP="00BA72B6">
      <w:pPr>
        <w:spacing w:line="360" w:lineRule="auto"/>
        <w:rPr>
          <w:rFonts w:asciiTheme="majorBidi" w:eastAsia="Times New Roman" w:hAnsiTheme="majorBidi" w:cstheme="majorBidi"/>
          <w:b/>
          <w:bCs/>
          <w:color w:val="000000" w:themeColor="text1"/>
          <w:sz w:val="24"/>
          <w:szCs w:val="24"/>
          <w:lang w:val="en-GB"/>
        </w:rPr>
      </w:pPr>
      <w:r w:rsidRPr="00625DC2">
        <w:rPr>
          <w:rFonts w:asciiTheme="majorBidi" w:hAnsiTheme="majorBidi" w:cstheme="majorBidi"/>
          <w:color w:val="000000" w:themeColor="text1"/>
          <w:sz w:val="24"/>
          <w:szCs w:val="24"/>
          <w:lang w:val="en-GB"/>
        </w:rPr>
        <w:br w:type="page"/>
      </w:r>
    </w:p>
    <w:p w:rsidR="006F5488" w:rsidRPr="00625DC2" w:rsidRDefault="006F5488" w:rsidP="00BA72B6">
      <w:pPr>
        <w:pStyle w:val="Heading1"/>
        <w:spacing w:line="360" w:lineRule="auto"/>
        <w:rPr>
          <w:rFonts w:asciiTheme="majorBidi" w:hAnsiTheme="majorBidi"/>
          <w:sz w:val="24"/>
          <w:szCs w:val="24"/>
          <w:lang w:val="en-GB"/>
        </w:rPr>
      </w:pPr>
      <w:bookmarkStart w:id="37" w:name="_Toc233458816"/>
      <w:r w:rsidRPr="00625DC2">
        <w:rPr>
          <w:rFonts w:asciiTheme="majorBidi" w:hAnsiTheme="majorBidi"/>
          <w:sz w:val="24"/>
          <w:szCs w:val="24"/>
          <w:lang w:val="en-GB"/>
        </w:rPr>
        <w:lastRenderedPageBreak/>
        <w:t>Chapter 5:</w:t>
      </w:r>
      <w:r w:rsidR="009B7C96" w:rsidRPr="00625DC2">
        <w:rPr>
          <w:rFonts w:asciiTheme="majorBidi" w:hAnsiTheme="majorBidi"/>
          <w:sz w:val="24"/>
          <w:szCs w:val="24"/>
          <w:lang w:val="en-GB"/>
        </w:rPr>
        <w:t xml:space="preserve"> </w:t>
      </w:r>
      <w:r w:rsidRPr="00625DC2">
        <w:rPr>
          <w:rFonts w:asciiTheme="majorBidi" w:hAnsiTheme="majorBidi"/>
          <w:sz w:val="24"/>
          <w:szCs w:val="24"/>
          <w:lang w:val="en-GB"/>
        </w:rPr>
        <w:t>Recommendations, Conclusion and limitations of the research</w:t>
      </w:r>
      <w:bookmarkEnd w:id="37"/>
    </w:p>
    <w:p w:rsidR="009B7C96" w:rsidRPr="00625DC2" w:rsidRDefault="006F5488" w:rsidP="00BA72B6">
      <w:pPr>
        <w:pStyle w:val="Heading2"/>
        <w:spacing w:line="360" w:lineRule="auto"/>
        <w:rPr>
          <w:rFonts w:asciiTheme="majorBidi" w:hAnsiTheme="majorBidi"/>
          <w:sz w:val="24"/>
          <w:szCs w:val="24"/>
          <w:lang w:val="en-GB"/>
        </w:rPr>
      </w:pPr>
      <w:bookmarkStart w:id="38" w:name="_Toc233458817"/>
      <w:r w:rsidRPr="00625DC2">
        <w:rPr>
          <w:rFonts w:asciiTheme="majorBidi" w:hAnsiTheme="majorBidi"/>
          <w:sz w:val="24"/>
          <w:szCs w:val="24"/>
          <w:lang w:val="en-GB"/>
        </w:rPr>
        <w:t xml:space="preserve">5.1: </w:t>
      </w:r>
      <w:r w:rsidR="009B7C96" w:rsidRPr="00625DC2">
        <w:rPr>
          <w:rFonts w:asciiTheme="majorBidi" w:hAnsiTheme="majorBidi"/>
          <w:sz w:val="24"/>
          <w:szCs w:val="24"/>
          <w:lang w:val="en-GB"/>
        </w:rPr>
        <w:t>Conclusion</w:t>
      </w:r>
      <w:bookmarkEnd w:id="38"/>
    </w:p>
    <w:p w:rsidR="00205C54" w:rsidRPr="00625DC2" w:rsidRDefault="00205C54"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The aim of this study was to investigate how hybrid working practices affect employee engagement and how engagement influences staff retention in service organisations in the UK</w:t>
      </w:r>
      <w:r w:rsidR="00806A16"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and to determine if employee engagement is a mediator of this relationship. Four goals were addressed</w:t>
      </w:r>
      <w:r w:rsidR="00806A16" w:rsidRPr="00625DC2">
        <w:rPr>
          <w:rFonts w:asciiTheme="majorBidi" w:hAnsiTheme="majorBidi" w:cstheme="majorBidi"/>
          <w:color w:val="000000" w:themeColor="text1"/>
          <w:sz w:val="24"/>
          <w:szCs w:val="24"/>
          <w:lang w:val="en-GB"/>
        </w:rPr>
        <w:t>, and each has</w:t>
      </w:r>
      <w:r w:rsidRPr="00625DC2">
        <w:rPr>
          <w:rFonts w:asciiTheme="majorBidi" w:hAnsiTheme="majorBidi" w:cstheme="majorBidi"/>
          <w:color w:val="000000" w:themeColor="text1"/>
          <w:sz w:val="24"/>
          <w:szCs w:val="24"/>
          <w:lang w:val="en-GB"/>
        </w:rPr>
        <w:t xml:space="preserve"> been achieved. The results indicated high levels of perceived hybrid working</w:t>
      </w:r>
      <w:r w:rsidR="00806A16"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and the construct was operationalised multidimensionally in terms of flexibility, communication, managerial support and resource access, not just as an either/or approach. There was a very strong and positive relationship between hybrid working and engagement, and this was confirmed to be in accordance with the Job Demands–Resources framework, in which hybrid working provides the resources to support engagement. The relationship between the intention to remain and engagement was measured, and it was found to be high and negative (H2)</w:t>
      </w:r>
      <w:r w:rsidR="00806A16" w:rsidRPr="00625DC2">
        <w:rPr>
          <w:rFonts w:asciiTheme="majorBidi" w:hAnsiTheme="majorBidi" w:cstheme="majorBidi"/>
          <w:color w:val="000000" w:themeColor="text1"/>
          <w:sz w:val="24"/>
          <w:szCs w:val="24"/>
          <w:lang w:val="en-GB"/>
        </w:rPr>
        <w:t xml:space="preserve">, confirming that engagement is considered </w:t>
      </w:r>
      <w:r w:rsidRPr="00625DC2">
        <w:rPr>
          <w:rFonts w:asciiTheme="majorBidi" w:hAnsiTheme="majorBidi" w:cstheme="majorBidi"/>
          <w:color w:val="000000" w:themeColor="text1"/>
          <w:sz w:val="24"/>
          <w:szCs w:val="24"/>
          <w:lang w:val="en-GB"/>
        </w:rPr>
        <w:t xml:space="preserve">a proximal antecedent of intention to remain. Lastly, the relationship between hybrid working and turnover intention was partially mediated by engagement (H4), and hybrid working had a direct negative association with </w:t>
      </w:r>
      <w:r w:rsidR="00806A16" w:rsidRPr="00625DC2">
        <w:rPr>
          <w:rFonts w:asciiTheme="majorBidi" w:hAnsiTheme="majorBidi" w:cstheme="majorBidi"/>
          <w:color w:val="000000" w:themeColor="text1"/>
          <w:sz w:val="24"/>
          <w:szCs w:val="24"/>
          <w:lang w:val="en-GB"/>
        </w:rPr>
        <w:t>turnover</w:t>
      </w:r>
      <w:r w:rsidRPr="00625DC2">
        <w:rPr>
          <w:rFonts w:asciiTheme="majorBidi" w:hAnsiTheme="majorBidi" w:cstheme="majorBidi"/>
          <w:color w:val="000000" w:themeColor="text1"/>
          <w:sz w:val="24"/>
          <w:szCs w:val="24"/>
          <w:lang w:val="en-GB"/>
        </w:rPr>
        <w:t xml:space="preserve"> intention (H3).</w:t>
      </w:r>
    </w:p>
    <w:p w:rsidR="00205C54" w:rsidRPr="00625DC2" w:rsidRDefault="00205C54"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Overall, these data are consistent with a consistent and theory-driven chain: good hybrid working increases engagement, which decreases the intention to leave. The study thus makes three modest contributions. Theoretically, it further extended the JD-R logic to a hybrid context and directly examined the mediated pathway that had been previously assumed by much previous work. It does so in a way that is grounded in empirical research that draws on the contexts of UK organisations, given that engagement is economically relevant because it dictates the experience of the customer. In practice, it provides senior managers with the evidence that the retention benefit of a hybrid working arrangement is more about the design and resourcing of the concept than the location. These conclusions, however, are provisional and are not final, because of the following considerations.</w:t>
      </w:r>
    </w:p>
    <w:p w:rsidR="009B7C96" w:rsidRPr="00625DC2" w:rsidRDefault="009B7C96" w:rsidP="00BA72B6">
      <w:pPr>
        <w:pStyle w:val="Heading2"/>
        <w:spacing w:line="360" w:lineRule="auto"/>
        <w:rPr>
          <w:rFonts w:asciiTheme="majorBidi" w:hAnsiTheme="majorBidi"/>
          <w:sz w:val="24"/>
          <w:szCs w:val="24"/>
          <w:lang w:val="en-GB"/>
        </w:rPr>
      </w:pPr>
      <w:bookmarkStart w:id="39" w:name="_Toc233458818"/>
      <w:r w:rsidRPr="00625DC2">
        <w:rPr>
          <w:rFonts w:asciiTheme="majorBidi" w:hAnsiTheme="majorBidi"/>
          <w:sz w:val="24"/>
          <w:szCs w:val="24"/>
          <w:lang w:val="en-GB"/>
        </w:rPr>
        <w:t>5.</w:t>
      </w:r>
      <w:r w:rsidR="006F5488" w:rsidRPr="00625DC2">
        <w:rPr>
          <w:rFonts w:asciiTheme="majorBidi" w:hAnsiTheme="majorBidi"/>
          <w:sz w:val="24"/>
          <w:szCs w:val="24"/>
          <w:lang w:val="en-GB"/>
        </w:rPr>
        <w:t>2</w:t>
      </w:r>
      <w:r w:rsidRPr="00625DC2">
        <w:rPr>
          <w:rFonts w:asciiTheme="majorBidi" w:hAnsiTheme="majorBidi"/>
          <w:sz w:val="24"/>
          <w:szCs w:val="24"/>
          <w:lang w:val="en-GB"/>
        </w:rPr>
        <w:t xml:space="preserve"> Limitations of the Research</w:t>
      </w:r>
      <w:bookmarkEnd w:id="39"/>
    </w:p>
    <w:p w:rsidR="00205C54" w:rsidRPr="00625DC2" w:rsidRDefault="00205C54"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These conclusions are subject to several restrictions. The most basic of them is </w:t>
      </w:r>
      <w:r w:rsidR="00806A16" w:rsidRPr="00625DC2">
        <w:rPr>
          <w:rFonts w:asciiTheme="majorBidi" w:hAnsiTheme="majorBidi" w:cstheme="majorBidi"/>
          <w:color w:val="000000" w:themeColor="text1"/>
          <w:sz w:val="24"/>
          <w:szCs w:val="24"/>
          <w:lang w:val="en-GB"/>
        </w:rPr>
        <w:t>a cross-sectional</w:t>
      </w:r>
      <w:r w:rsidRPr="00625DC2">
        <w:rPr>
          <w:rFonts w:asciiTheme="majorBidi" w:hAnsiTheme="majorBidi" w:cstheme="majorBidi"/>
          <w:color w:val="000000" w:themeColor="text1"/>
          <w:sz w:val="24"/>
          <w:szCs w:val="24"/>
          <w:lang w:val="en-GB"/>
        </w:rPr>
        <w:t xml:space="preserve"> design. All data were obtained at one time</w:t>
      </w:r>
      <w:r w:rsidR="00806A16" w:rsidRPr="00625DC2">
        <w:rPr>
          <w:rFonts w:asciiTheme="majorBidi" w:hAnsiTheme="majorBidi" w:cstheme="majorBidi"/>
          <w:color w:val="000000" w:themeColor="text1"/>
          <w:sz w:val="24"/>
          <w:szCs w:val="24"/>
          <w:lang w:val="en-GB"/>
        </w:rPr>
        <w:t>, which means that they can be used only to show association, not causation; the direction of the arrows in the model is</w:t>
      </w:r>
      <w:r w:rsidRPr="00625DC2">
        <w:rPr>
          <w:rFonts w:asciiTheme="majorBidi" w:hAnsiTheme="majorBidi" w:cstheme="majorBidi"/>
          <w:color w:val="000000" w:themeColor="text1"/>
          <w:sz w:val="24"/>
          <w:szCs w:val="24"/>
          <w:lang w:val="en-GB"/>
        </w:rPr>
        <w:t xml:space="preserve"> based on theory and not on </w:t>
      </w:r>
      <w:r w:rsidRPr="00625DC2">
        <w:rPr>
          <w:rFonts w:asciiTheme="majorBidi" w:hAnsiTheme="majorBidi" w:cstheme="majorBidi"/>
          <w:color w:val="000000" w:themeColor="text1"/>
          <w:sz w:val="24"/>
          <w:szCs w:val="24"/>
          <w:lang w:val="en-GB"/>
        </w:rPr>
        <w:lastRenderedPageBreak/>
        <w:t xml:space="preserve">time; reverse causation is not ruled out. Secondly, this study used non-probability convenience sampling and a small sample of 100 participants who were approached via professional networks. This limits the extent to which findings can be generalised and makes self-selection bias possible, so findings are not representative of the UK workforce of employees, but should be seen as indicative of the employees sampled. Third, all data were obtained using a single self-report instrument, potentially introducing common method variance and accounting for some of the high correlations found; the methodological interventions made in this study (as outlined in Podsakoff et al., 2003) </w:t>
      </w:r>
      <w:r w:rsidR="00806A16" w:rsidRPr="00625DC2">
        <w:rPr>
          <w:rFonts w:asciiTheme="majorBidi" w:hAnsiTheme="majorBidi" w:cstheme="majorBidi"/>
          <w:color w:val="000000" w:themeColor="text1"/>
          <w:sz w:val="24"/>
          <w:szCs w:val="24"/>
          <w:lang w:val="en-GB"/>
        </w:rPr>
        <w:t>minimise</w:t>
      </w:r>
      <w:r w:rsidRPr="00625DC2">
        <w:rPr>
          <w:rFonts w:asciiTheme="majorBidi" w:hAnsiTheme="majorBidi" w:cstheme="majorBidi"/>
          <w:color w:val="000000" w:themeColor="text1"/>
          <w:sz w:val="24"/>
          <w:szCs w:val="24"/>
          <w:lang w:val="en-GB"/>
        </w:rPr>
        <w:t xml:space="preserve"> but do not eliminate this possibility. Fourth, the dependent variable was intention to quit, not actual turnover; while intention is a good predictor of turnover, it is not the same as actual turnover (Allen, Bryant and Vardaman, 2010). Lastly, the mediation model accounted for only engagement, whereas the partial mediation that was observed suggests that there are other processes at work, such as work–life balance, reduced commuting and job embeddedness, which were not measured. These limitations are interrelated and directly relate to the recommendations for future research.</w:t>
      </w:r>
    </w:p>
    <w:p w:rsidR="009B7C96" w:rsidRPr="00625DC2" w:rsidRDefault="006F5488" w:rsidP="00BA72B6">
      <w:pPr>
        <w:pStyle w:val="Heading2"/>
        <w:spacing w:line="360" w:lineRule="auto"/>
        <w:rPr>
          <w:rFonts w:asciiTheme="majorBidi" w:hAnsiTheme="majorBidi"/>
          <w:sz w:val="24"/>
          <w:szCs w:val="24"/>
          <w:lang w:val="en-GB"/>
        </w:rPr>
      </w:pPr>
      <w:bookmarkStart w:id="40" w:name="_Toc233458819"/>
      <w:r w:rsidRPr="00625DC2">
        <w:rPr>
          <w:rFonts w:asciiTheme="majorBidi" w:hAnsiTheme="majorBidi"/>
          <w:sz w:val="24"/>
          <w:szCs w:val="24"/>
          <w:lang w:val="en-GB"/>
        </w:rPr>
        <w:t>5.3</w:t>
      </w:r>
      <w:r w:rsidR="009B7C96" w:rsidRPr="00625DC2">
        <w:rPr>
          <w:rFonts w:asciiTheme="majorBidi" w:hAnsiTheme="majorBidi"/>
          <w:sz w:val="24"/>
          <w:szCs w:val="24"/>
          <w:lang w:val="en-GB"/>
        </w:rPr>
        <w:t xml:space="preserve"> Recommendations</w:t>
      </w:r>
      <w:bookmarkEnd w:id="40"/>
    </w:p>
    <w:p w:rsidR="009B7C96" w:rsidRPr="00625DC2" w:rsidRDefault="006F5488" w:rsidP="00BA72B6">
      <w:pPr>
        <w:pStyle w:val="Heading3"/>
        <w:spacing w:line="360" w:lineRule="auto"/>
        <w:jc w:val="center"/>
        <w:rPr>
          <w:rFonts w:asciiTheme="majorBidi" w:hAnsiTheme="majorBidi" w:cstheme="majorBidi"/>
          <w:b w:val="0"/>
          <w:bCs w:val="0"/>
          <w:sz w:val="24"/>
          <w:szCs w:val="24"/>
          <w:lang w:val="en-GB"/>
        </w:rPr>
      </w:pPr>
      <w:bookmarkStart w:id="41" w:name="_Toc233458820"/>
      <w:r w:rsidRPr="00625DC2">
        <w:rPr>
          <w:rStyle w:val="Strong"/>
          <w:rFonts w:asciiTheme="majorBidi" w:hAnsiTheme="majorBidi" w:cstheme="majorBidi"/>
          <w:b/>
          <w:bCs/>
          <w:color w:val="000000" w:themeColor="text1"/>
          <w:sz w:val="24"/>
          <w:szCs w:val="24"/>
          <w:lang w:val="en-GB"/>
        </w:rPr>
        <w:t>5.3</w:t>
      </w:r>
      <w:r w:rsidR="009B7C96" w:rsidRPr="00625DC2">
        <w:rPr>
          <w:rStyle w:val="Strong"/>
          <w:rFonts w:asciiTheme="majorBidi" w:hAnsiTheme="majorBidi" w:cstheme="majorBidi"/>
          <w:b/>
          <w:bCs/>
          <w:color w:val="000000" w:themeColor="text1"/>
          <w:sz w:val="24"/>
          <w:szCs w:val="24"/>
          <w:lang w:val="en-GB"/>
        </w:rPr>
        <w:t>.1 Recommendations for Practice</w:t>
      </w:r>
      <w:bookmarkEnd w:id="41"/>
    </w:p>
    <w:p w:rsidR="00205C54" w:rsidRPr="00625DC2" w:rsidRDefault="00205C54"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There are a number of implications for senior management in UK service organisations. First, hybrid working must be considered a set of practices and not a 'where' question and investment in communication systems, technological resources and most of all managerial capacity is likely to make the difference between increased and reduced engagement (Felstead and Reuschke, 2020). Second, as managerial support was part of the hybrid working construct, organisations need to train their line managers to manage dispersed teams, including setting clear expectations, fairly assessing output, and keeping this </w:t>
      </w:r>
      <w:r w:rsidR="00806A16" w:rsidRPr="00625DC2">
        <w:rPr>
          <w:rFonts w:asciiTheme="majorBidi" w:hAnsiTheme="majorBidi" w:cstheme="majorBidi"/>
          <w:color w:val="000000" w:themeColor="text1"/>
          <w:sz w:val="24"/>
          <w:szCs w:val="24"/>
          <w:lang w:val="en-GB"/>
        </w:rPr>
        <w:t>in</w:t>
      </w:r>
      <w:r w:rsidRPr="00625DC2">
        <w:rPr>
          <w:rFonts w:asciiTheme="majorBidi" w:hAnsiTheme="majorBidi" w:cstheme="majorBidi"/>
          <w:color w:val="000000" w:themeColor="text1"/>
          <w:sz w:val="24"/>
          <w:szCs w:val="24"/>
          <w:lang w:val="en-GB"/>
        </w:rPr>
        <w:t xml:space="preserve"> view for their remote employees. Third, because engagement did not carry all the retention benefit, managers should not regard engagement programs as a replacement for the tangible benefit of flexibility, as both are worthy of protection. Fourth, Hybrid policies need to be customised by role, as </w:t>
      </w:r>
      <w:r w:rsidR="00806A16" w:rsidRPr="00625DC2">
        <w:rPr>
          <w:rFonts w:asciiTheme="majorBidi" w:hAnsiTheme="majorBidi" w:cstheme="majorBidi"/>
          <w:color w:val="000000" w:themeColor="text1"/>
          <w:sz w:val="24"/>
          <w:szCs w:val="24"/>
          <w:lang w:val="en-GB"/>
        </w:rPr>
        <w:t>customer-facing roles will have less flexibility than back-office</w:t>
      </w:r>
      <w:r w:rsidRPr="00625DC2">
        <w:rPr>
          <w:rFonts w:asciiTheme="majorBidi" w:hAnsiTheme="majorBidi" w:cstheme="majorBidi"/>
          <w:color w:val="000000" w:themeColor="text1"/>
          <w:sz w:val="24"/>
          <w:szCs w:val="24"/>
          <w:lang w:val="en-GB"/>
        </w:rPr>
        <w:t xml:space="preserve"> roles. Frequent check-ins of disengagement and turnover intention would enable management to spot early indicators of disengagement and take action before employees leave.</w:t>
      </w:r>
    </w:p>
    <w:p w:rsidR="009B7C96" w:rsidRPr="00625DC2" w:rsidRDefault="006F5488" w:rsidP="00BA72B6">
      <w:pPr>
        <w:pStyle w:val="Heading3"/>
        <w:spacing w:line="360" w:lineRule="auto"/>
        <w:jc w:val="center"/>
        <w:rPr>
          <w:rFonts w:asciiTheme="majorBidi" w:hAnsiTheme="majorBidi" w:cstheme="majorBidi"/>
          <w:b w:val="0"/>
          <w:bCs w:val="0"/>
          <w:sz w:val="24"/>
          <w:szCs w:val="24"/>
          <w:lang w:val="en-GB"/>
        </w:rPr>
      </w:pPr>
      <w:bookmarkStart w:id="42" w:name="_Toc233458821"/>
      <w:r w:rsidRPr="00625DC2">
        <w:rPr>
          <w:rStyle w:val="Strong"/>
          <w:rFonts w:asciiTheme="majorBidi" w:hAnsiTheme="majorBidi" w:cstheme="majorBidi"/>
          <w:b/>
          <w:bCs/>
          <w:color w:val="000000" w:themeColor="text1"/>
          <w:sz w:val="24"/>
          <w:szCs w:val="24"/>
          <w:lang w:val="en-GB"/>
        </w:rPr>
        <w:lastRenderedPageBreak/>
        <w:t>5.3</w:t>
      </w:r>
      <w:r w:rsidR="009B7C96" w:rsidRPr="00625DC2">
        <w:rPr>
          <w:rStyle w:val="Strong"/>
          <w:rFonts w:asciiTheme="majorBidi" w:hAnsiTheme="majorBidi" w:cstheme="majorBidi"/>
          <w:b/>
          <w:bCs/>
          <w:color w:val="000000" w:themeColor="text1"/>
          <w:sz w:val="24"/>
          <w:szCs w:val="24"/>
          <w:lang w:val="en-GB"/>
        </w:rPr>
        <w:t>.2 Recommendations for Future Research</w:t>
      </w:r>
      <w:bookmarkEnd w:id="42"/>
    </w:p>
    <w:p w:rsidR="00205C54" w:rsidRPr="00625DC2" w:rsidRDefault="00205C54" w:rsidP="00BA72B6">
      <w:pPr>
        <w:spacing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The current study needs to be specifically addressed in future research. Longitudinal designs are required to identify the causal ordering</w:t>
      </w:r>
      <w:r w:rsidR="005537BD" w:rsidRPr="00625DC2">
        <w:rPr>
          <w:rFonts w:asciiTheme="majorBidi" w:hAnsiTheme="majorBidi" w:cstheme="majorBidi"/>
          <w:color w:val="000000" w:themeColor="text1"/>
          <w:sz w:val="24"/>
          <w:szCs w:val="24"/>
          <w:lang w:val="en-GB"/>
        </w:rPr>
        <w:t xml:space="preserve">, which a cross-sectional survey cannot, and a </w:t>
      </w:r>
      <w:r w:rsidR="00806A16" w:rsidRPr="00625DC2">
        <w:rPr>
          <w:rFonts w:asciiTheme="majorBidi" w:hAnsiTheme="majorBidi" w:cstheme="majorBidi"/>
          <w:color w:val="000000" w:themeColor="text1"/>
          <w:sz w:val="24"/>
          <w:szCs w:val="24"/>
          <w:lang w:val="en-GB"/>
        </w:rPr>
        <w:t>larger probability sample</w:t>
      </w:r>
      <w:r w:rsidRPr="00625DC2">
        <w:rPr>
          <w:rFonts w:asciiTheme="majorBidi" w:hAnsiTheme="majorBidi" w:cstheme="majorBidi"/>
          <w:color w:val="000000" w:themeColor="text1"/>
          <w:sz w:val="24"/>
          <w:szCs w:val="24"/>
          <w:lang w:val="en-GB"/>
        </w:rPr>
        <w:t xml:space="preserve"> would enhance generalisability across the UK service sector. Common-method bias would be </w:t>
      </w:r>
      <w:r w:rsidR="005537BD" w:rsidRPr="00625DC2">
        <w:rPr>
          <w:rFonts w:asciiTheme="majorBidi" w:hAnsiTheme="majorBidi" w:cstheme="majorBidi"/>
          <w:color w:val="000000" w:themeColor="text1"/>
          <w:sz w:val="24"/>
          <w:szCs w:val="24"/>
          <w:lang w:val="en-GB"/>
        </w:rPr>
        <w:t>minimised</w:t>
      </w:r>
      <w:r w:rsidRPr="00625DC2">
        <w:rPr>
          <w:rFonts w:asciiTheme="majorBidi" w:hAnsiTheme="majorBidi" w:cstheme="majorBidi"/>
          <w:color w:val="000000" w:themeColor="text1"/>
          <w:sz w:val="24"/>
          <w:szCs w:val="24"/>
          <w:lang w:val="en-GB"/>
        </w:rPr>
        <w:t xml:space="preserve"> by the use of multi-source or objective data, such as actual turnover data and manager-rated performance. Further studies are needed to evaluate more mediators and moderators of the effects of hybrid working, including work–life balance, job embeddedness, perceived organisational support and organisational culture (Peltokorpi and Allen, 2024)</w:t>
      </w:r>
      <w:r w:rsidR="005537BD" w:rsidRPr="00625DC2">
        <w:rPr>
          <w:rFonts w:asciiTheme="majorBidi" w:hAnsiTheme="majorBidi" w:cstheme="majorBidi"/>
          <w:color w:val="000000" w:themeColor="text1"/>
          <w:sz w:val="24"/>
          <w:szCs w:val="24"/>
          <w:lang w:val="en-GB"/>
        </w:rPr>
        <w:t>,</w:t>
      </w:r>
      <w:r w:rsidRPr="00625DC2">
        <w:rPr>
          <w:rFonts w:asciiTheme="majorBidi" w:hAnsiTheme="majorBidi" w:cstheme="majorBidi"/>
          <w:color w:val="000000" w:themeColor="text1"/>
          <w:sz w:val="24"/>
          <w:szCs w:val="24"/>
          <w:lang w:val="en-GB"/>
        </w:rPr>
        <w:t xml:space="preserve"> and to explore curvilinear relationships between levels of remote working and benefits.</w:t>
      </w:r>
    </w:p>
    <w:p w:rsidR="002A301A" w:rsidRPr="00625DC2" w:rsidRDefault="002A301A" w:rsidP="00BA72B6">
      <w:pPr>
        <w:spacing w:line="360" w:lineRule="auto"/>
        <w:rPr>
          <w:rFonts w:asciiTheme="majorBidi" w:eastAsia="Times New Roman"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br w:type="page"/>
      </w:r>
    </w:p>
    <w:p w:rsidR="00D45492" w:rsidRPr="00625DC2" w:rsidRDefault="00D45492" w:rsidP="00BA72B6">
      <w:pPr>
        <w:spacing w:line="360" w:lineRule="auto"/>
        <w:rPr>
          <w:rFonts w:asciiTheme="majorBidi" w:eastAsia="Times New Roman" w:hAnsiTheme="majorBidi" w:cstheme="majorBidi"/>
          <w:b/>
          <w:bCs/>
          <w:color w:val="000000" w:themeColor="text1"/>
          <w:sz w:val="24"/>
          <w:szCs w:val="24"/>
          <w:lang w:val="en-GB"/>
        </w:rPr>
      </w:pPr>
      <w:r w:rsidRPr="00625DC2">
        <w:rPr>
          <w:rFonts w:asciiTheme="majorBidi" w:eastAsia="Times New Roman" w:hAnsiTheme="majorBidi" w:cstheme="majorBidi"/>
          <w:b/>
          <w:bCs/>
          <w:color w:val="000000" w:themeColor="text1"/>
          <w:sz w:val="24"/>
          <w:szCs w:val="24"/>
          <w:lang w:val="en-GB"/>
        </w:rPr>
        <w:lastRenderedPageBreak/>
        <w:br w:type="page"/>
      </w:r>
    </w:p>
    <w:p w:rsidR="00841E18" w:rsidRPr="00625DC2" w:rsidRDefault="004B49F1" w:rsidP="00BA72B6">
      <w:pPr>
        <w:spacing w:before="100" w:beforeAutospacing="1" w:after="100" w:afterAutospacing="1" w:line="360" w:lineRule="auto"/>
        <w:outlineLvl w:val="2"/>
        <w:rPr>
          <w:rFonts w:asciiTheme="majorBidi" w:eastAsia="Times New Roman" w:hAnsiTheme="majorBidi" w:cstheme="majorBidi"/>
          <w:b/>
          <w:bCs/>
          <w:color w:val="000000" w:themeColor="text1"/>
          <w:sz w:val="24"/>
          <w:szCs w:val="24"/>
          <w:lang w:val="en-GB"/>
        </w:rPr>
      </w:pPr>
      <w:bookmarkStart w:id="43" w:name="_Toc233458822"/>
      <w:r w:rsidRPr="00625DC2">
        <w:rPr>
          <w:rFonts w:asciiTheme="majorBidi" w:eastAsia="Times New Roman" w:hAnsiTheme="majorBidi" w:cstheme="majorBidi"/>
          <w:b/>
          <w:bCs/>
          <w:color w:val="000000" w:themeColor="text1"/>
          <w:sz w:val="24"/>
          <w:szCs w:val="24"/>
          <w:lang w:val="en-GB"/>
        </w:rPr>
        <w:lastRenderedPageBreak/>
        <w:t>Reference</w:t>
      </w:r>
      <w:bookmarkEnd w:id="43"/>
      <w:r w:rsidRPr="00625DC2">
        <w:rPr>
          <w:rFonts w:asciiTheme="majorBidi" w:eastAsia="Times New Roman" w:hAnsiTheme="majorBidi" w:cstheme="majorBidi"/>
          <w:b/>
          <w:bCs/>
          <w:color w:val="000000" w:themeColor="text1"/>
          <w:sz w:val="24"/>
          <w:szCs w:val="24"/>
          <w:lang w:val="en-GB"/>
        </w:rPr>
        <w:t xml:space="preserve"> </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Allen, D. G., Bryant, P. C.,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Vardaman, J. M. (2010). Retaining talent: Replacing misconceptions with evidence-based strategies. </w:t>
      </w:r>
      <w:r w:rsidRPr="00625DC2">
        <w:rPr>
          <w:rFonts w:asciiTheme="majorBidi" w:hAnsiTheme="majorBidi" w:cstheme="majorBidi"/>
          <w:i/>
          <w:iCs/>
          <w:color w:val="000000" w:themeColor="text1"/>
          <w:sz w:val="24"/>
          <w:szCs w:val="24"/>
          <w:shd w:val="clear" w:color="auto" w:fill="FFFFFF"/>
          <w:lang w:val="en-GB"/>
        </w:rPr>
        <w:t xml:space="preserve">Academy of </w:t>
      </w:r>
      <w:r w:rsidR="005537BD" w:rsidRPr="00625DC2">
        <w:rPr>
          <w:rFonts w:asciiTheme="majorBidi" w:hAnsiTheme="majorBidi" w:cstheme="majorBidi"/>
          <w:i/>
          <w:iCs/>
          <w:color w:val="000000" w:themeColor="text1"/>
          <w:sz w:val="24"/>
          <w:szCs w:val="24"/>
          <w:shd w:val="clear" w:color="auto" w:fill="FFFFFF"/>
          <w:lang w:val="en-GB"/>
        </w:rPr>
        <w:t>Management</w:t>
      </w:r>
      <w:r w:rsidRPr="00625DC2">
        <w:rPr>
          <w:rFonts w:asciiTheme="majorBidi" w:hAnsiTheme="majorBidi" w:cstheme="majorBidi"/>
          <w:i/>
          <w:iCs/>
          <w:color w:val="000000" w:themeColor="text1"/>
          <w:sz w:val="24"/>
          <w:szCs w:val="24"/>
          <w:shd w:val="clear" w:color="auto" w:fill="FFFFFF"/>
          <w:lang w:val="en-GB"/>
        </w:rPr>
        <w:t xml:space="preserve"> Perspectives</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24</w:t>
      </w:r>
      <w:r w:rsidRPr="00625DC2">
        <w:rPr>
          <w:rFonts w:asciiTheme="majorBidi" w:hAnsiTheme="majorBidi" w:cstheme="majorBidi"/>
          <w:color w:val="000000" w:themeColor="text1"/>
          <w:sz w:val="24"/>
          <w:szCs w:val="24"/>
          <w:shd w:val="clear" w:color="auto" w:fill="FFFFFF"/>
          <w:lang w:val="en-GB"/>
        </w:rPr>
        <w:t>(2), 48-64.</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Allen, T. D., Golden, T. D.,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Shockley, K. M. (2015). How effective is telecommuting? Assessing the status of our scientific findings. </w:t>
      </w:r>
      <w:r w:rsidRPr="00625DC2">
        <w:rPr>
          <w:rFonts w:asciiTheme="majorBidi" w:hAnsiTheme="majorBidi" w:cstheme="majorBidi"/>
          <w:i/>
          <w:iCs/>
          <w:color w:val="000000" w:themeColor="text1"/>
          <w:sz w:val="24"/>
          <w:szCs w:val="24"/>
          <w:shd w:val="clear" w:color="auto" w:fill="FFFFFF"/>
          <w:lang w:val="en-GB"/>
        </w:rPr>
        <w:t>Psychological science in the public interest</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16</w:t>
      </w:r>
      <w:r w:rsidRPr="00625DC2">
        <w:rPr>
          <w:rFonts w:asciiTheme="majorBidi" w:hAnsiTheme="majorBidi" w:cstheme="majorBidi"/>
          <w:color w:val="000000" w:themeColor="text1"/>
          <w:sz w:val="24"/>
          <w:szCs w:val="24"/>
          <w:shd w:val="clear" w:color="auto" w:fill="FFFFFF"/>
          <w:lang w:val="en-GB"/>
        </w:rPr>
        <w:t>(2), 40-68.</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Bakker, A. B.,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Demerouti, E. (2007). The job demands‐resources model: State of the art. </w:t>
      </w:r>
      <w:r w:rsidRPr="00625DC2">
        <w:rPr>
          <w:rFonts w:asciiTheme="majorBidi" w:hAnsiTheme="majorBidi" w:cstheme="majorBidi"/>
          <w:i/>
          <w:iCs/>
          <w:color w:val="000000" w:themeColor="text1"/>
          <w:sz w:val="24"/>
          <w:szCs w:val="24"/>
          <w:shd w:val="clear" w:color="auto" w:fill="FFFFFF"/>
          <w:lang w:val="en-GB"/>
        </w:rPr>
        <w:t>Journal of managerial psychology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22</w:t>
      </w:r>
      <w:r w:rsidRPr="00625DC2">
        <w:rPr>
          <w:rFonts w:asciiTheme="majorBidi" w:hAnsiTheme="majorBidi" w:cstheme="majorBidi"/>
          <w:color w:val="000000" w:themeColor="text1"/>
          <w:sz w:val="24"/>
          <w:szCs w:val="24"/>
          <w:shd w:val="clear" w:color="auto" w:fill="FFFFFF"/>
          <w:lang w:val="en-GB"/>
        </w:rPr>
        <w:t>(3), 309-328.</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Bakker, A. B.,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Demerouti, E. (2014). Job demands–resources theory. </w:t>
      </w:r>
      <w:r w:rsidRPr="00625DC2">
        <w:rPr>
          <w:rFonts w:asciiTheme="majorBidi" w:hAnsiTheme="majorBidi" w:cstheme="majorBidi"/>
          <w:i/>
          <w:iCs/>
          <w:color w:val="000000" w:themeColor="text1"/>
          <w:sz w:val="24"/>
          <w:szCs w:val="24"/>
          <w:shd w:val="clear" w:color="auto" w:fill="FFFFFF"/>
          <w:lang w:val="en-GB"/>
        </w:rPr>
        <w:t>Wellbeing: A complete reference guide</w:t>
      </w:r>
      <w:r w:rsidRPr="00625DC2">
        <w:rPr>
          <w:rFonts w:asciiTheme="majorBidi" w:hAnsiTheme="majorBidi" w:cstheme="majorBidi"/>
          <w:color w:val="000000" w:themeColor="text1"/>
          <w:sz w:val="24"/>
          <w:szCs w:val="24"/>
          <w:shd w:val="clear" w:color="auto" w:fill="FFFFFF"/>
          <w:lang w:val="en-GB"/>
        </w:rPr>
        <w:t>, 1-28.</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Bakker, A. B.,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Demerouti, E. (2017). Job demands–resources theory: Taking stock and looking forward. </w:t>
      </w:r>
      <w:r w:rsidRPr="00625DC2">
        <w:rPr>
          <w:rFonts w:asciiTheme="majorBidi" w:hAnsiTheme="majorBidi" w:cstheme="majorBidi"/>
          <w:i/>
          <w:iCs/>
          <w:color w:val="000000" w:themeColor="text1"/>
          <w:sz w:val="24"/>
          <w:szCs w:val="24"/>
          <w:shd w:val="clear" w:color="auto" w:fill="FFFFFF"/>
          <w:lang w:val="en-GB"/>
        </w:rPr>
        <w:t xml:space="preserve">Journal of </w:t>
      </w:r>
      <w:r w:rsidR="00806A16" w:rsidRPr="00625DC2">
        <w:rPr>
          <w:rFonts w:asciiTheme="majorBidi" w:hAnsiTheme="majorBidi" w:cstheme="majorBidi"/>
          <w:i/>
          <w:iCs/>
          <w:color w:val="000000" w:themeColor="text1"/>
          <w:sz w:val="24"/>
          <w:szCs w:val="24"/>
          <w:shd w:val="clear" w:color="auto" w:fill="FFFFFF"/>
          <w:lang w:val="en-GB"/>
        </w:rPr>
        <w:t>Occupational Health Psychology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22</w:t>
      </w:r>
      <w:r w:rsidRPr="00625DC2">
        <w:rPr>
          <w:rFonts w:asciiTheme="majorBidi" w:hAnsiTheme="majorBidi" w:cstheme="majorBidi"/>
          <w:color w:val="000000" w:themeColor="text1"/>
          <w:sz w:val="24"/>
          <w:szCs w:val="24"/>
          <w:shd w:val="clear" w:color="auto" w:fill="FFFFFF"/>
          <w:lang w:val="en-GB"/>
        </w:rPr>
        <w:t>(3), 273.</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Baron, R. M.,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Kenny, D. A. (1986). The moderator–mediator variable distinction in social psychological research: Conceptual, strategic, and statistical considerations. </w:t>
      </w:r>
      <w:r w:rsidRPr="00625DC2">
        <w:rPr>
          <w:rFonts w:asciiTheme="majorBidi" w:hAnsiTheme="majorBidi" w:cstheme="majorBidi"/>
          <w:i/>
          <w:iCs/>
          <w:color w:val="000000" w:themeColor="text1"/>
          <w:sz w:val="24"/>
          <w:szCs w:val="24"/>
          <w:shd w:val="clear" w:color="auto" w:fill="FFFFFF"/>
          <w:lang w:val="en-GB"/>
        </w:rPr>
        <w:t>Journal of personality and social psychology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51</w:t>
      </w:r>
      <w:r w:rsidRPr="00625DC2">
        <w:rPr>
          <w:rFonts w:asciiTheme="majorBidi" w:hAnsiTheme="majorBidi" w:cstheme="majorBidi"/>
          <w:color w:val="000000" w:themeColor="text1"/>
          <w:sz w:val="24"/>
          <w:szCs w:val="24"/>
          <w:shd w:val="clear" w:color="auto" w:fill="FFFFFF"/>
          <w:lang w:val="en-GB"/>
        </w:rPr>
        <w:t>(6), 1173.</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Bloom, N., Han, R.,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Liang, J. (2024). Hybrid working from home improves retention without damaging performance. </w:t>
      </w:r>
      <w:r w:rsidRPr="00625DC2">
        <w:rPr>
          <w:rFonts w:asciiTheme="majorBidi" w:hAnsiTheme="majorBidi" w:cstheme="majorBidi"/>
          <w:i/>
          <w:iCs/>
          <w:color w:val="000000" w:themeColor="text1"/>
          <w:sz w:val="24"/>
          <w:szCs w:val="24"/>
          <w:shd w:val="clear" w:color="auto" w:fill="FFFFFF"/>
          <w:lang w:val="en-GB"/>
        </w:rPr>
        <w:t>Nature</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630</w:t>
      </w:r>
      <w:r w:rsidRPr="00625DC2">
        <w:rPr>
          <w:rFonts w:asciiTheme="majorBidi" w:hAnsiTheme="majorBidi" w:cstheme="majorBidi"/>
          <w:color w:val="000000" w:themeColor="text1"/>
          <w:sz w:val="24"/>
          <w:szCs w:val="24"/>
          <w:shd w:val="clear" w:color="auto" w:fill="FFFFFF"/>
          <w:lang w:val="en-GB"/>
        </w:rPr>
        <w:t>(8018), 920-925.</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Bloom, N., Liang, J., Roberts, J.,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Ying, Z. J. (2015). Does working from home work? Evidence from a Chinese experiment. </w:t>
      </w:r>
      <w:r w:rsidRPr="00625DC2">
        <w:rPr>
          <w:rFonts w:asciiTheme="majorBidi" w:hAnsiTheme="majorBidi" w:cstheme="majorBidi"/>
          <w:i/>
          <w:iCs/>
          <w:color w:val="000000" w:themeColor="text1"/>
          <w:sz w:val="24"/>
          <w:szCs w:val="24"/>
          <w:shd w:val="clear" w:color="auto" w:fill="FFFFFF"/>
          <w:lang w:val="en-GB"/>
        </w:rPr>
        <w:t>The Quarterly journal of economics</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130</w:t>
      </w:r>
      <w:r w:rsidRPr="00625DC2">
        <w:rPr>
          <w:rFonts w:asciiTheme="majorBidi" w:hAnsiTheme="majorBidi" w:cstheme="majorBidi"/>
          <w:color w:val="000000" w:themeColor="text1"/>
          <w:sz w:val="24"/>
          <w:szCs w:val="24"/>
          <w:shd w:val="clear" w:color="auto" w:fill="FFFFFF"/>
          <w:lang w:val="en-GB"/>
        </w:rPr>
        <w:t>(1), 165-218.</w:t>
      </w:r>
    </w:p>
    <w:p w:rsidR="00841E18" w:rsidRPr="00625DC2" w:rsidRDefault="00841E18" w:rsidP="00BA72B6">
      <w:pPr>
        <w:spacing w:line="360" w:lineRule="auto"/>
        <w:ind w:left="720" w:hanging="720"/>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British Psychological Society, 2021. </w:t>
      </w:r>
      <w:r w:rsidRPr="00625DC2">
        <w:rPr>
          <w:rStyle w:val="Emphasis"/>
          <w:rFonts w:asciiTheme="majorBidi" w:hAnsiTheme="majorBidi" w:cstheme="majorBidi"/>
          <w:color w:val="000000" w:themeColor="text1"/>
          <w:sz w:val="24"/>
          <w:szCs w:val="24"/>
          <w:lang w:val="en-GB"/>
        </w:rPr>
        <w:t>Ethics Guidelines for Internet-Mediated Research</w:t>
      </w:r>
      <w:r w:rsidRPr="00625DC2">
        <w:rPr>
          <w:rFonts w:asciiTheme="majorBidi" w:hAnsiTheme="majorBidi" w:cstheme="majorBidi"/>
          <w:color w:val="000000" w:themeColor="text1"/>
          <w:sz w:val="24"/>
          <w:szCs w:val="24"/>
          <w:lang w:val="en-GB"/>
        </w:rPr>
        <w:t>. Leicester: BPS.</w:t>
      </w:r>
    </w:p>
    <w:p w:rsidR="00841E18" w:rsidRPr="00625DC2" w:rsidRDefault="00841E18" w:rsidP="00BA72B6">
      <w:pPr>
        <w:spacing w:line="360" w:lineRule="auto"/>
        <w:ind w:left="720" w:hanging="720"/>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Bryman, A., 2016. </w:t>
      </w:r>
      <w:r w:rsidRPr="00625DC2">
        <w:rPr>
          <w:rStyle w:val="Emphasis"/>
          <w:rFonts w:asciiTheme="majorBidi" w:hAnsiTheme="majorBidi" w:cstheme="majorBidi"/>
          <w:color w:val="000000" w:themeColor="text1"/>
          <w:sz w:val="24"/>
          <w:szCs w:val="24"/>
          <w:lang w:val="en-GB"/>
        </w:rPr>
        <w:t>Social Research Methods</w:t>
      </w:r>
      <w:r w:rsidRPr="00625DC2">
        <w:rPr>
          <w:rFonts w:asciiTheme="majorBidi" w:hAnsiTheme="majorBidi" w:cstheme="majorBidi"/>
          <w:color w:val="000000" w:themeColor="text1"/>
          <w:sz w:val="24"/>
          <w:szCs w:val="24"/>
          <w:lang w:val="en-GB"/>
        </w:rPr>
        <w:t>. 5th ed. Oxford: Oxford University Press.</w:t>
      </w:r>
    </w:p>
    <w:p w:rsidR="00A64932" w:rsidRPr="00625DC2" w:rsidRDefault="00A64932" w:rsidP="00BA72B6">
      <w:pPr>
        <w:spacing w:line="360" w:lineRule="auto"/>
        <w:ind w:left="720" w:hanging="72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lastRenderedPageBreak/>
        <w:t xml:space="preserve">Chartered Institute of Personnel and Development (CIPD), 2025. </w:t>
      </w:r>
      <w:r w:rsidRPr="00625DC2">
        <w:rPr>
          <w:rFonts w:asciiTheme="majorBidi" w:eastAsia="Times New Roman" w:hAnsiTheme="majorBidi" w:cstheme="majorBidi"/>
          <w:i/>
          <w:iCs/>
          <w:color w:val="000000" w:themeColor="text1"/>
          <w:sz w:val="24"/>
          <w:szCs w:val="24"/>
          <w:lang w:val="en-GB"/>
        </w:rPr>
        <w:t>Flexible and Hybrid Working Practices in 2025</w:t>
      </w:r>
      <w:r w:rsidRPr="00625DC2">
        <w:rPr>
          <w:rFonts w:asciiTheme="majorBidi" w:eastAsia="Times New Roman" w:hAnsiTheme="majorBidi" w:cstheme="majorBidi"/>
          <w:color w:val="000000" w:themeColor="text1"/>
          <w:sz w:val="24"/>
          <w:szCs w:val="24"/>
          <w:lang w:val="en-GB"/>
        </w:rPr>
        <w:t>. https://www.cipd.org/globalassets/media/knowledge/knowledge-hub/reports/2025-pdfs/8909-flexible-working-report-web.pdf</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Choi, S. (2020). Flexible work arrangements and employee retention: A longitudinal analysis of the federal workforces. </w:t>
      </w:r>
      <w:r w:rsidRPr="00625DC2">
        <w:rPr>
          <w:rFonts w:asciiTheme="majorBidi" w:hAnsiTheme="majorBidi" w:cstheme="majorBidi"/>
          <w:i/>
          <w:iCs/>
          <w:color w:val="000000" w:themeColor="text1"/>
          <w:sz w:val="24"/>
          <w:szCs w:val="24"/>
          <w:shd w:val="clear" w:color="auto" w:fill="FFFFFF"/>
          <w:lang w:val="en-GB"/>
        </w:rPr>
        <w:t>Public Personnel Management</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49</w:t>
      </w:r>
      <w:r w:rsidRPr="00625DC2">
        <w:rPr>
          <w:rFonts w:asciiTheme="majorBidi" w:hAnsiTheme="majorBidi" w:cstheme="majorBidi"/>
          <w:color w:val="000000" w:themeColor="text1"/>
          <w:sz w:val="24"/>
          <w:szCs w:val="24"/>
          <w:shd w:val="clear" w:color="auto" w:fill="FFFFFF"/>
          <w:lang w:val="en-GB"/>
        </w:rPr>
        <w:t>(3), 470-495.</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Choudhury, P., Foroughi, C.,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Larson, B. (2021). Work‐from‐anywhere: The productivity effects of geographic flexibility. </w:t>
      </w:r>
      <w:r w:rsidRPr="00625DC2">
        <w:rPr>
          <w:rFonts w:asciiTheme="majorBidi" w:hAnsiTheme="majorBidi" w:cstheme="majorBidi"/>
          <w:i/>
          <w:iCs/>
          <w:color w:val="000000" w:themeColor="text1"/>
          <w:sz w:val="24"/>
          <w:szCs w:val="24"/>
          <w:shd w:val="clear" w:color="auto" w:fill="FFFFFF"/>
          <w:lang w:val="en-GB"/>
        </w:rPr>
        <w:t>Strategic Management Journal</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42</w:t>
      </w:r>
      <w:r w:rsidRPr="00625DC2">
        <w:rPr>
          <w:rFonts w:asciiTheme="majorBidi" w:hAnsiTheme="majorBidi" w:cstheme="majorBidi"/>
          <w:color w:val="000000" w:themeColor="text1"/>
          <w:sz w:val="24"/>
          <w:szCs w:val="24"/>
          <w:shd w:val="clear" w:color="auto" w:fill="FFFFFF"/>
          <w:lang w:val="en-GB"/>
        </w:rPr>
        <w:t>(4), 655-683.</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Cohen, J. (2013). </w:t>
      </w:r>
      <w:r w:rsidRPr="00625DC2">
        <w:rPr>
          <w:rFonts w:asciiTheme="majorBidi" w:hAnsiTheme="majorBidi" w:cstheme="majorBidi"/>
          <w:i/>
          <w:iCs/>
          <w:color w:val="000000" w:themeColor="text1"/>
          <w:sz w:val="24"/>
          <w:szCs w:val="24"/>
          <w:shd w:val="clear" w:color="auto" w:fill="FFFFFF"/>
          <w:lang w:val="en-GB"/>
        </w:rPr>
        <w:t xml:space="preserve">Statistical power analysis for the </w:t>
      </w:r>
      <w:r w:rsidR="00806A16" w:rsidRPr="00625DC2">
        <w:rPr>
          <w:rFonts w:asciiTheme="majorBidi" w:hAnsiTheme="majorBidi" w:cstheme="majorBidi"/>
          <w:i/>
          <w:iCs/>
          <w:color w:val="000000" w:themeColor="text1"/>
          <w:sz w:val="24"/>
          <w:szCs w:val="24"/>
          <w:shd w:val="clear" w:color="auto" w:fill="FFFFFF"/>
          <w:lang w:val="en-GB"/>
        </w:rPr>
        <w:t>behavioural</w:t>
      </w:r>
      <w:r w:rsidRPr="00625DC2">
        <w:rPr>
          <w:rFonts w:asciiTheme="majorBidi" w:hAnsiTheme="majorBidi" w:cstheme="majorBidi"/>
          <w:i/>
          <w:iCs/>
          <w:color w:val="000000" w:themeColor="text1"/>
          <w:sz w:val="24"/>
          <w:szCs w:val="24"/>
          <w:shd w:val="clear" w:color="auto" w:fill="FFFFFF"/>
          <w:lang w:val="en-GB"/>
        </w:rPr>
        <w:t xml:space="preserve"> sciences</w:t>
      </w:r>
      <w:r w:rsidRPr="00625DC2">
        <w:rPr>
          <w:rFonts w:asciiTheme="majorBidi" w:hAnsiTheme="majorBidi" w:cstheme="majorBidi"/>
          <w:color w:val="000000" w:themeColor="text1"/>
          <w:sz w:val="24"/>
          <w:szCs w:val="24"/>
          <w:shd w:val="clear" w:color="auto" w:fill="FFFFFF"/>
          <w:lang w:val="en-GB"/>
        </w:rPr>
        <w:t>. routledge.</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Contreras, F., Baykal, E.,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Abid, G. (2020). E-leadership and teleworking in times of COVID-19 and beyond: What we know and where do we go. </w:t>
      </w:r>
      <w:r w:rsidRPr="00625DC2">
        <w:rPr>
          <w:rFonts w:asciiTheme="majorBidi" w:hAnsiTheme="majorBidi" w:cstheme="majorBidi"/>
          <w:i/>
          <w:iCs/>
          <w:color w:val="000000" w:themeColor="text1"/>
          <w:sz w:val="24"/>
          <w:szCs w:val="24"/>
          <w:shd w:val="clear" w:color="auto" w:fill="FFFFFF"/>
          <w:lang w:val="en-GB"/>
        </w:rPr>
        <w:t>Frontiers in psychology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11</w:t>
      </w:r>
      <w:r w:rsidRPr="00625DC2">
        <w:rPr>
          <w:rFonts w:asciiTheme="majorBidi" w:hAnsiTheme="majorBidi" w:cstheme="majorBidi"/>
          <w:color w:val="000000" w:themeColor="text1"/>
          <w:sz w:val="24"/>
          <w:szCs w:val="24"/>
          <w:shd w:val="clear" w:color="auto" w:fill="FFFFFF"/>
          <w:lang w:val="en-GB"/>
        </w:rPr>
        <w:t>, 590271.</w:t>
      </w:r>
    </w:p>
    <w:p w:rsidR="00A64932" w:rsidRPr="00625DC2" w:rsidRDefault="00A64932" w:rsidP="00BA72B6">
      <w:pPr>
        <w:spacing w:line="360" w:lineRule="auto"/>
        <w:ind w:left="720" w:hanging="72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 xml:space="preserve">Department for Transport (DfT), 2021. </w:t>
      </w:r>
      <w:r w:rsidRPr="00625DC2">
        <w:rPr>
          <w:rFonts w:asciiTheme="majorBidi" w:eastAsia="Times New Roman" w:hAnsiTheme="majorBidi" w:cstheme="majorBidi"/>
          <w:i/>
          <w:iCs/>
          <w:color w:val="000000" w:themeColor="text1"/>
          <w:sz w:val="24"/>
          <w:szCs w:val="24"/>
          <w:lang w:val="en-GB"/>
        </w:rPr>
        <w:t>Great British Railways: The Williams–Shapps Plan for Rail</w:t>
      </w:r>
      <w:r w:rsidRPr="00625DC2">
        <w:rPr>
          <w:rFonts w:asciiTheme="majorBidi" w:eastAsia="Times New Roman" w:hAnsiTheme="majorBidi" w:cstheme="majorBidi"/>
          <w:color w:val="000000" w:themeColor="text1"/>
          <w:sz w:val="24"/>
          <w:szCs w:val="24"/>
          <w:lang w:val="en-GB"/>
        </w:rPr>
        <w:t xml:space="preserve">. CP 423. </w:t>
      </w:r>
      <w:r w:rsidR="00147084" w:rsidRPr="00625DC2">
        <w:rPr>
          <w:rFonts w:asciiTheme="majorBidi" w:eastAsia="Times New Roman" w:hAnsiTheme="majorBidi" w:cstheme="majorBidi"/>
          <w:color w:val="000000" w:themeColor="text1"/>
          <w:sz w:val="24"/>
          <w:szCs w:val="24"/>
          <w:lang w:val="en-GB"/>
        </w:rPr>
        <w:t>https://assets.publishing.service.gov.uk/media/60cb29dde90e0743ae8c29c1/gbr-williams-shapps-plan-for-rail.pdf</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Felstead, A.,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Henseke, G. (2017). Assessing the growth of remote working and its consequences for effort, well‐being and work‐life balance. </w:t>
      </w:r>
      <w:r w:rsidRPr="00625DC2">
        <w:rPr>
          <w:rFonts w:asciiTheme="majorBidi" w:hAnsiTheme="majorBidi" w:cstheme="majorBidi"/>
          <w:i/>
          <w:iCs/>
          <w:color w:val="000000" w:themeColor="text1"/>
          <w:sz w:val="24"/>
          <w:szCs w:val="24"/>
          <w:shd w:val="clear" w:color="auto" w:fill="FFFFFF"/>
          <w:lang w:val="en-GB"/>
        </w:rPr>
        <w:t>New Technology, Work and Employment</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32</w:t>
      </w:r>
      <w:r w:rsidRPr="00625DC2">
        <w:rPr>
          <w:rFonts w:asciiTheme="majorBidi" w:hAnsiTheme="majorBidi" w:cstheme="majorBidi"/>
          <w:color w:val="000000" w:themeColor="text1"/>
          <w:sz w:val="24"/>
          <w:szCs w:val="24"/>
          <w:shd w:val="clear" w:color="auto" w:fill="FFFFFF"/>
          <w:lang w:val="en-GB"/>
        </w:rPr>
        <w:t>(3), 195-212.</w:t>
      </w:r>
    </w:p>
    <w:p w:rsidR="00841E18" w:rsidRPr="00625DC2" w:rsidRDefault="00841E18" w:rsidP="00BA72B6">
      <w:pPr>
        <w:spacing w:line="360" w:lineRule="auto"/>
        <w:ind w:left="720" w:hanging="720"/>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Felstead, A. and Reuschke, D. (2020). Homeworking in the UK. </w:t>
      </w:r>
      <w:r w:rsidRPr="00625DC2">
        <w:rPr>
          <w:rStyle w:val="Emphasis"/>
          <w:rFonts w:asciiTheme="majorBidi" w:hAnsiTheme="majorBidi" w:cstheme="majorBidi"/>
          <w:color w:val="000000" w:themeColor="text1"/>
          <w:sz w:val="24"/>
          <w:szCs w:val="24"/>
          <w:lang w:val="en-GB"/>
        </w:rPr>
        <w:t>Journal of Social Policy</w:t>
      </w:r>
      <w:r w:rsidRPr="00625DC2">
        <w:rPr>
          <w:rFonts w:asciiTheme="majorBidi" w:hAnsiTheme="majorBidi" w:cstheme="majorBidi"/>
          <w:color w:val="000000" w:themeColor="text1"/>
          <w:sz w:val="24"/>
          <w:szCs w:val="24"/>
          <w:lang w:val="en-GB"/>
        </w:rPr>
        <w:t>, 49(2), pp.379–400. https://wiserd.ac.uk/wp-content/uploads/Felstead_Reuschke_2020_Homeworking-in-the-UK_Report_Final.pdf</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Field, A. (2024). </w:t>
      </w:r>
      <w:r w:rsidRPr="00625DC2">
        <w:rPr>
          <w:rFonts w:asciiTheme="majorBidi" w:hAnsiTheme="majorBidi" w:cstheme="majorBidi"/>
          <w:i/>
          <w:iCs/>
          <w:color w:val="000000" w:themeColor="text1"/>
          <w:sz w:val="24"/>
          <w:szCs w:val="24"/>
          <w:shd w:val="clear" w:color="auto" w:fill="FFFFFF"/>
          <w:lang w:val="en-GB"/>
        </w:rPr>
        <w:t>Discovering statistics using IBM SPSS statistics</w:t>
      </w:r>
      <w:r w:rsidRPr="00625DC2">
        <w:rPr>
          <w:rFonts w:asciiTheme="majorBidi" w:hAnsiTheme="majorBidi" w:cstheme="majorBidi"/>
          <w:color w:val="000000" w:themeColor="text1"/>
          <w:sz w:val="24"/>
          <w:szCs w:val="24"/>
          <w:shd w:val="clear" w:color="auto" w:fill="FFFFFF"/>
          <w:lang w:val="en-GB"/>
        </w:rPr>
        <w:t xml:space="preserve">. Sage </w:t>
      </w:r>
      <w:r w:rsidR="00806A16" w:rsidRPr="00625DC2">
        <w:rPr>
          <w:rFonts w:asciiTheme="majorBidi" w:hAnsiTheme="majorBidi" w:cstheme="majorBidi"/>
          <w:color w:val="000000" w:themeColor="text1"/>
          <w:sz w:val="24"/>
          <w:szCs w:val="24"/>
          <w:shd w:val="clear" w:color="auto" w:fill="FFFFFF"/>
          <w:lang w:val="en-GB"/>
        </w:rPr>
        <w:t>Publications Limited</w:t>
      </w:r>
      <w:r w:rsidRPr="00625DC2">
        <w:rPr>
          <w:rFonts w:asciiTheme="majorBidi" w:hAnsiTheme="majorBidi" w:cstheme="majorBidi"/>
          <w:color w:val="000000" w:themeColor="text1"/>
          <w:sz w:val="24"/>
          <w:szCs w:val="24"/>
          <w:shd w:val="clear" w:color="auto" w:fill="FFFFFF"/>
          <w:lang w:val="en-GB"/>
        </w:rPr>
        <w:t>.</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Gajendran, R. S.,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Harrison, D. A. (2007). The good, the bad, and the unknown about telecommuting: meta-analysis of psychological mediators and individual consequences. </w:t>
      </w:r>
      <w:r w:rsidRPr="00625DC2">
        <w:rPr>
          <w:rFonts w:asciiTheme="majorBidi" w:hAnsiTheme="majorBidi" w:cstheme="majorBidi"/>
          <w:i/>
          <w:iCs/>
          <w:color w:val="000000" w:themeColor="text1"/>
          <w:sz w:val="24"/>
          <w:szCs w:val="24"/>
          <w:shd w:val="clear" w:color="auto" w:fill="FFFFFF"/>
          <w:lang w:val="en-GB"/>
        </w:rPr>
        <w:t xml:space="preserve">Journal of </w:t>
      </w:r>
      <w:r w:rsidR="00806A16" w:rsidRPr="00625DC2">
        <w:rPr>
          <w:rFonts w:asciiTheme="majorBidi" w:hAnsiTheme="majorBidi" w:cstheme="majorBidi"/>
          <w:i/>
          <w:iCs/>
          <w:color w:val="000000" w:themeColor="text1"/>
          <w:sz w:val="24"/>
          <w:szCs w:val="24"/>
          <w:shd w:val="clear" w:color="auto" w:fill="FFFFFF"/>
          <w:lang w:val="en-GB"/>
        </w:rPr>
        <w:t>Applied Psychology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92</w:t>
      </w:r>
      <w:r w:rsidRPr="00625DC2">
        <w:rPr>
          <w:rFonts w:asciiTheme="majorBidi" w:hAnsiTheme="majorBidi" w:cstheme="majorBidi"/>
          <w:color w:val="000000" w:themeColor="text1"/>
          <w:sz w:val="24"/>
          <w:szCs w:val="24"/>
          <w:shd w:val="clear" w:color="auto" w:fill="FFFFFF"/>
          <w:lang w:val="en-GB"/>
        </w:rPr>
        <w:t>(6), 1524.</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lastRenderedPageBreak/>
        <w:t xml:space="preserve">Gajendran, R. S., Harrison, D. A.,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Delaney‐Klinger, K. (2015). Are telecommuters remotely good citizens? Unpacking telecommuting's effects on performance via i‐deals and job resources. </w:t>
      </w:r>
      <w:r w:rsidRPr="00625DC2">
        <w:rPr>
          <w:rFonts w:asciiTheme="majorBidi" w:hAnsiTheme="majorBidi" w:cstheme="majorBidi"/>
          <w:i/>
          <w:iCs/>
          <w:color w:val="000000" w:themeColor="text1"/>
          <w:sz w:val="24"/>
          <w:szCs w:val="24"/>
          <w:shd w:val="clear" w:color="auto" w:fill="FFFFFF"/>
          <w:lang w:val="en-GB"/>
        </w:rPr>
        <w:t>Personnel psychology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68</w:t>
      </w:r>
      <w:r w:rsidRPr="00625DC2">
        <w:rPr>
          <w:rFonts w:asciiTheme="majorBidi" w:hAnsiTheme="majorBidi" w:cstheme="majorBidi"/>
          <w:color w:val="000000" w:themeColor="text1"/>
          <w:sz w:val="24"/>
          <w:szCs w:val="24"/>
          <w:shd w:val="clear" w:color="auto" w:fill="FFFFFF"/>
          <w:lang w:val="en-GB"/>
        </w:rPr>
        <w:t>(2), 353-393.</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Golden, T. D., Veiga, J. F.,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Dino, R. N. (2008). The impact of professional isolation on teleworker job performance and turnover intentions: does time spent teleworking, interacting face-to-face, or having access to communication-enhancing technology matter?. </w:t>
      </w:r>
      <w:r w:rsidRPr="00625DC2">
        <w:rPr>
          <w:rFonts w:asciiTheme="majorBidi" w:hAnsiTheme="majorBidi" w:cstheme="majorBidi"/>
          <w:i/>
          <w:iCs/>
          <w:color w:val="000000" w:themeColor="text1"/>
          <w:sz w:val="24"/>
          <w:szCs w:val="24"/>
          <w:shd w:val="clear" w:color="auto" w:fill="FFFFFF"/>
          <w:lang w:val="en-GB"/>
        </w:rPr>
        <w:t xml:space="preserve">Journal of </w:t>
      </w:r>
      <w:r w:rsidR="00806A16" w:rsidRPr="00625DC2">
        <w:rPr>
          <w:rFonts w:asciiTheme="majorBidi" w:hAnsiTheme="majorBidi" w:cstheme="majorBidi"/>
          <w:i/>
          <w:iCs/>
          <w:color w:val="000000" w:themeColor="text1"/>
          <w:sz w:val="24"/>
          <w:szCs w:val="24"/>
          <w:shd w:val="clear" w:color="auto" w:fill="FFFFFF"/>
          <w:lang w:val="en-GB"/>
        </w:rPr>
        <w:t>Applied Psychology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93</w:t>
      </w:r>
      <w:r w:rsidRPr="00625DC2">
        <w:rPr>
          <w:rFonts w:asciiTheme="majorBidi" w:hAnsiTheme="majorBidi" w:cstheme="majorBidi"/>
          <w:color w:val="000000" w:themeColor="text1"/>
          <w:sz w:val="24"/>
          <w:szCs w:val="24"/>
          <w:shd w:val="clear" w:color="auto" w:fill="FFFFFF"/>
          <w:lang w:val="en-GB"/>
        </w:rPr>
        <w:t>(6), 1412.</w:t>
      </w:r>
    </w:p>
    <w:p w:rsidR="004C57A6" w:rsidRPr="00625DC2" w:rsidRDefault="004C57A6" w:rsidP="00BA72B6">
      <w:pPr>
        <w:spacing w:line="360" w:lineRule="auto"/>
        <w:ind w:left="720" w:hanging="720"/>
        <w:rPr>
          <w:rFonts w:asciiTheme="majorBidi" w:hAnsiTheme="majorBidi" w:cstheme="majorBidi"/>
          <w:color w:val="222222"/>
          <w:sz w:val="24"/>
          <w:szCs w:val="24"/>
          <w:shd w:val="clear" w:color="auto" w:fill="FFFFFF"/>
          <w:lang w:val="en-GB"/>
        </w:rPr>
      </w:pPr>
      <w:r w:rsidRPr="00625DC2">
        <w:rPr>
          <w:rFonts w:asciiTheme="majorBidi" w:hAnsiTheme="majorBidi" w:cstheme="majorBidi"/>
          <w:color w:val="222222"/>
          <w:sz w:val="24"/>
          <w:szCs w:val="24"/>
          <w:shd w:val="clear" w:color="auto" w:fill="FFFFFF"/>
          <w:lang w:val="en-GB"/>
        </w:rPr>
        <w:t>Gottwald, D., and Lejsková, P. (2023). Job satisfaction and perceived workload in the context of personality typology among subway train drivers. </w:t>
      </w:r>
      <w:r w:rsidRPr="00625DC2">
        <w:rPr>
          <w:rFonts w:asciiTheme="majorBidi" w:hAnsiTheme="majorBidi" w:cstheme="majorBidi"/>
          <w:i/>
          <w:iCs/>
          <w:color w:val="222222"/>
          <w:sz w:val="24"/>
          <w:szCs w:val="24"/>
          <w:shd w:val="clear" w:color="auto" w:fill="FFFFFF"/>
          <w:lang w:val="en-GB"/>
        </w:rPr>
        <w:t>Frontiers in psychology</w:t>
      </w:r>
      <w:r w:rsidRPr="00625DC2">
        <w:rPr>
          <w:rFonts w:asciiTheme="majorBidi" w:hAnsiTheme="majorBidi" w:cstheme="majorBidi"/>
          <w:color w:val="222222"/>
          <w:sz w:val="24"/>
          <w:szCs w:val="24"/>
          <w:shd w:val="clear" w:color="auto" w:fill="FFFFFF"/>
          <w:lang w:val="en-GB"/>
        </w:rPr>
        <w:t>, </w:t>
      </w:r>
      <w:r w:rsidRPr="00625DC2">
        <w:rPr>
          <w:rFonts w:asciiTheme="majorBidi" w:hAnsiTheme="majorBidi" w:cstheme="majorBidi"/>
          <w:i/>
          <w:iCs/>
          <w:color w:val="222222"/>
          <w:sz w:val="24"/>
          <w:szCs w:val="24"/>
          <w:shd w:val="clear" w:color="auto" w:fill="FFFFFF"/>
          <w:lang w:val="en-GB"/>
        </w:rPr>
        <w:t>14</w:t>
      </w:r>
      <w:r w:rsidRPr="00625DC2">
        <w:rPr>
          <w:rFonts w:asciiTheme="majorBidi" w:hAnsiTheme="majorBidi" w:cstheme="majorBidi"/>
          <w:color w:val="222222"/>
          <w:sz w:val="24"/>
          <w:szCs w:val="24"/>
          <w:shd w:val="clear" w:color="auto" w:fill="FFFFFF"/>
          <w:lang w:val="en-GB"/>
        </w:rPr>
        <w:t>, 1283122.</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Harter, J. K., Schmidt, F. L.,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Hayes, T. L. (2002). Business-unit-level relationship between employee satisfaction, employee engagement, and business outcomes: a meta-analysis. </w:t>
      </w:r>
      <w:r w:rsidRPr="00625DC2">
        <w:rPr>
          <w:rFonts w:asciiTheme="majorBidi" w:hAnsiTheme="majorBidi" w:cstheme="majorBidi"/>
          <w:i/>
          <w:iCs/>
          <w:color w:val="000000" w:themeColor="text1"/>
          <w:sz w:val="24"/>
          <w:szCs w:val="24"/>
          <w:shd w:val="clear" w:color="auto" w:fill="FFFFFF"/>
          <w:lang w:val="en-GB"/>
        </w:rPr>
        <w:t xml:space="preserve">Journal of </w:t>
      </w:r>
      <w:r w:rsidR="00806A16" w:rsidRPr="00625DC2">
        <w:rPr>
          <w:rFonts w:asciiTheme="majorBidi" w:hAnsiTheme="majorBidi" w:cstheme="majorBidi"/>
          <w:i/>
          <w:iCs/>
          <w:color w:val="000000" w:themeColor="text1"/>
          <w:sz w:val="24"/>
          <w:szCs w:val="24"/>
          <w:shd w:val="clear" w:color="auto" w:fill="FFFFFF"/>
          <w:lang w:val="en-GB"/>
        </w:rPr>
        <w:t>Applied Psychology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87</w:t>
      </w:r>
      <w:r w:rsidRPr="00625DC2">
        <w:rPr>
          <w:rFonts w:asciiTheme="majorBidi" w:hAnsiTheme="majorBidi" w:cstheme="majorBidi"/>
          <w:color w:val="000000" w:themeColor="text1"/>
          <w:sz w:val="24"/>
          <w:szCs w:val="24"/>
          <w:shd w:val="clear" w:color="auto" w:fill="FFFFFF"/>
          <w:lang w:val="en-GB"/>
        </w:rPr>
        <w:t>(2), 268.</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Hayes, A. F. (2018). </w:t>
      </w:r>
      <w:r w:rsidRPr="00625DC2">
        <w:rPr>
          <w:rFonts w:asciiTheme="majorBidi" w:hAnsiTheme="majorBidi" w:cstheme="majorBidi"/>
          <w:i/>
          <w:iCs/>
          <w:color w:val="000000" w:themeColor="text1"/>
          <w:sz w:val="24"/>
          <w:szCs w:val="24"/>
          <w:shd w:val="clear" w:color="auto" w:fill="FFFFFF"/>
          <w:lang w:val="en-GB"/>
        </w:rPr>
        <w:t>Introduction to mediation, moderation, and conditional process analysis: A regression-based approach</w:t>
      </w:r>
      <w:r w:rsidRPr="00625DC2">
        <w:rPr>
          <w:rFonts w:asciiTheme="majorBidi" w:hAnsiTheme="majorBidi" w:cstheme="majorBidi"/>
          <w:color w:val="000000" w:themeColor="text1"/>
          <w:sz w:val="24"/>
          <w:szCs w:val="24"/>
          <w:shd w:val="clear" w:color="auto" w:fill="FFFFFF"/>
          <w:lang w:val="en-GB"/>
        </w:rPr>
        <w:t xml:space="preserve">. Guilford </w:t>
      </w:r>
      <w:r w:rsidR="00806A16" w:rsidRPr="00625DC2">
        <w:rPr>
          <w:rFonts w:asciiTheme="majorBidi" w:hAnsiTheme="majorBidi" w:cstheme="majorBidi"/>
          <w:color w:val="000000" w:themeColor="text1"/>
          <w:sz w:val="24"/>
          <w:szCs w:val="24"/>
          <w:shd w:val="clear" w:color="auto" w:fill="FFFFFF"/>
          <w:lang w:val="en-GB"/>
        </w:rPr>
        <w:t>Publications</w:t>
      </w:r>
      <w:r w:rsidRPr="00625DC2">
        <w:rPr>
          <w:rFonts w:asciiTheme="majorBidi" w:hAnsiTheme="majorBidi" w:cstheme="majorBidi"/>
          <w:color w:val="000000" w:themeColor="text1"/>
          <w:sz w:val="24"/>
          <w:szCs w:val="24"/>
          <w:shd w:val="clear" w:color="auto" w:fill="FFFFFF"/>
          <w:lang w:val="en-GB"/>
        </w:rPr>
        <w:t>.</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Jaß, L., Klußmann, A., Harth, V.,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Mache, S. (2024). Job demands and resources perceived by hybrid working employees in German public administration: a qualitative study. </w:t>
      </w:r>
      <w:r w:rsidRPr="00625DC2">
        <w:rPr>
          <w:rFonts w:asciiTheme="majorBidi" w:hAnsiTheme="majorBidi" w:cstheme="majorBidi"/>
          <w:i/>
          <w:iCs/>
          <w:color w:val="000000" w:themeColor="text1"/>
          <w:sz w:val="24"/>
          <w:szCs w:val="24"/>
          <w:shd w:val="clear" w:color="auto" w:fill="FFFFFF"/>
          <w:lang w:val="en-GB"/>
        </w:rPr>
        <w:t>Journal of Occupational Medicine and Toxicology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19</w:t>
      </w:r>
      <w:r w:rsidRPr="00625DC2">
        <w:rPr>
          <w:rFonts w:asciiTheme="majorBidi" w:hAnsiTheme="majorBidi" w:cstheme="majorBidi"/>
          <w:color w:val="000000" w:themeColor="text1"/>
          <w:sz w:val="24"/>
          <w:szCs w:val="24"/>
          <w:shd w:val="clear" w:color="auto" w:fill="FFFFFF"/>
          <w:lang w:val="en-GB"/>
        </w:rPr>
        <w:t>(1), 28.</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Jindain, C.,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Gilitwala, B. (2024). The factors impacting the intermediating variable of employee engagement toward employee performance in a hybrid working model. </w:t>
      </w:r>
      <w:r w:rsidRPr="00625DC2">
        <w:rPr>
          <w:rFonts w:asciiTheme="majorBidi" w:hAnsiTheme="majorBidi" w:cstheme="majorBidi"/>
          <w:i/>
          <w:iCs/>
          <w:color w:val="000000" w:themeColor="text1"/>
          <w:sz w:val="24"/>
          <w:szCs w:val="24"/>
          <w:shd w:val="clear" w:color="auto" w:fill="FFFFFF"/>
          <w:lang w:val="en-GB"/>
        </w:rPr>
        <w:t>Rajagiri Management Journal</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18</w:t>
      </w:r>
      <w:r w:rsidRPr="00625DC2">
        <w:rPr>
          <w:rFonts w:asciiTheme="majorBidi" w:hAnsiTheme="majorBidi" w:cstheme="majorBidi"/>
          <w:color w:val="000000" w:themeColor="text1"/>
          <w:sz w:val="24"/>
          <w:szCs w:val="24"/>
          <w:shd w:val="clear" w:color="auto" w:fill="FFFFFF"/>
          <w:lang w:val="en-GB"/>
        </w:rPr>
        <w:t>(2), 167-179.</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Junça Silva, A.,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Coelho, N. (2023). The moderating role of </w:t>
      </w:r>
      <w:r w:rsidR="005537BD" w:rsidRPr="00625DC2">
        <w:rPr>
          <w:rFonts w:asciiTheme="majorBidi" w:hAnsiTheme="majorBidi" w:cstheme="majorBidi"/>
          <w:color w:val="000000" w:themeColor="text1"/>
          <w:sz w:val="24"/>
          <w:szCs w:val="24"/>
          <w:shd w:val="clear" w:color="auto" w:fill="FFFFFF"/>
          <w:lang w:val="en-GB"/>
        </w:rPr>
        <w:t>organisational</w:t>
      </w:r>
      <w:r w:rsidRPr="00625DC2">
        <w:rPr>
          <w:rFonts w:asciiTheme="majorBidi" w:hAnsiTheme="majorBidi" w:cstheme="majorBidi"/>
          <w:color w:val="000000" w:themeColor="text1"/>
          <w:sz w:val="24"/>
          <w:szCs w:val="24"/>
          <w:shd w:val="clear" w:color="auto" w:fill="FFFFFF"/>
          <w:lang w:val="en-GB"/>
        </w:rPr>
        <w:t xml:space="preserve"> culture on the relationship between workers' attitudes towards telework and happiness. </w:t>
      </w:r>
      <w:r w:rsidRPr="00625DC2">
        <w:rPr>
          <w:rFonts w:asciiTheme="majorBidi" w:hAnsiTheme="majorBidi" w:cstheme="majorBidi"/>
          <w:i/>
          <w:iCs/>
          <w:color w:val="000000" w:themeColor="text1"/>
          <w:sz w:val="24"/>
          <w:szCs w:val="24"/>
          <w:shd w:val="clear" w:color="auto" w:fill="FFFFFF"/>
          <w:lang w:val="en-GB"/>
        </w:rPr>
        <w:t>Kybernetes</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52</w:t>
      </w:r>
      <w:r w:rsidRPr="00625DC2">
        <w:rPr>
          <w:rFonts w:asciiTheme="majorBidi" w:hAnsiTheme="majorBidi" w:cstheme="majorBidi"/>
          <w:color w:val="000000" w:themeColor="text1"/>
          <w:sz w:val="24"/>
          <w:szCs w:val="24"/>
          <w:shd w:val="clear" w:color="auto" w:fill="FFFFFF"/>
          <w:lang w:val="en-GB"/>
        </w:rPr>
        <w:t>(10), 4357-4374.</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Kahn, W. A. (1990). Psychological conditions of personal engagement and disengagement at work. </w:t>
      </w:r>
      <w:r w:rsidRPr="00625DC2">
        <w:rPr>
          <w:rFonts w:asciiTheme="majorBidi" w:hAnsiTheme="majorBidi" w:cstheme="majorBidi"/>
          <w:i/>
          <w:iCs/>
          <w:color w:val="000000" w:themeColor="text1"/>
          <w:sz w:val="24"/>
          <w:szCs w:val="24"/>
          <w:shd w:val="clear" w:color="auto" w:fill="FFFFFF"/>
          <w:lang w:val="en-GB"/>
        </w:rPr>
        <w:t xml:space="preserve">Academy of </w:t>
      </w:r>
      <w:r w:rsidR="005537BD" w:rsidRPr="00625DC2">
        <w:rPr>
          <w:rFonts w:asciiTheme="majorBidi" w:hAnsiTheme="majorBidi" w:cstheme="majorBidi"/>
          <w:i/>
          <w:iCs/>
          <w:color w:val="000000" w:themeColor="text1"/>
          <w:sz w:val="24"/>
          <w:szCs w:val="24"/>
          <w:shd w:val="clear" w:color="auto" w:fill="FFFFFF"/>
          <w:lang w:val="en-GB"/>
        </w:rPr>
        <w:t>Management Journal</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33</w:t>
      </w:r>
      <w:r w:rsidRPr="00625DC2">
        <w:rPr>
          <w:rFonts w:asciiTheme="majorBidi" w:hAnsiTheme="majorBidi" w:cstheme="majorBidi"/>
          <w:color w:val="000000" w:themeColor="text1"/>
          <w:sz w:val="24"/>
          <w:szCs w:val="24"/>
          <w:shd w:val="clear" w:color="auto" w:fill="FFFFFF"/>
          <w:lang w:val="en-GB"/>
        </w:rPr>
        <w:t>(4), 692-724.</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lastRenderedPageBreak/>
        <w:t xml:space="preserve">Koroglu, Ş.,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Ozmen, O. (2022). The mediating effect of work engagement on innovative work </w:t>
      </w:r>
      <w:r w:rsidR="005537BD" w:rsidRPr="00625DC2">
        <w:rPr>
          <w:rFonts w:asciiTheme="majorBidi" w:hAnsiTheme="majorBidi" w:cstheme="majorBidi"/>
          <w:color w:val="000000" w:themeColor="text1"/>
          <w:sz w:val="24"/>
          <w:szCs w:val="24"/>
          <w:shd w:val="clear" w:color="auto" w:fill="FFFFFF"/>
          <w:lang w:val="en-GB"/>
        </w:rPr>
        <w:t>behaviour</w:t>
      </w:r>
      <w:r w:rsidRPr="00625DC2">
        <w:rPr>
          <w:rFonts w:asciiTheme="majorBidi" w:hAnsiTheme="majorBidi" w:cstheme="majorBidi"/>
          <w:color w:val="000000" w:themeColor="text1"/>
          <w:sz w:val="24"/>
          <w:szCs w:val="24"/>
          <w:shd w:val="clear" w:color="auto" w:fill="FFFFFF"/>
          <w:lang w:val="en-GB"/>
        </w:rPr>
        <w:t xml:space="preserve"> and the role of psychological well-being in the job demands–resources (JD-R) model. </w:t>
      </w:r>
      <w:r w:rsidRPr="00625DC2">
        <w:rPr>
          <w:rFonts w:asciiTheme="majorBidi" w:hAnsiTheme="majorBidi" w:cstheme="majorBidi"/>
          <w:i/>
          <w:iCs/>
          <w:color w:val="000000" w:themeColor="text1"/>
          <w:sz w:val="24"/>
          <w:szCs w:val="24"/>
          <w:shd w:val="clear" w:color="auto" w:fill="FFFFFF"/>
          <w:lang w:val="en-GB"/>
        </w:rPr>
        <w:t>Asia-Pacific Journal of Business Administration</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14</w:t>
      </w:r>
      <w:r w:rsidRPr="00625DC2">
        <w:rPr>
          <w:rFonts w:asciiTheme="majorBidi" w:hAnsiTheme="majorBidi" w:cstheme="majorBidi"/>
          <w:color w:val="000000" w:themeColor="text1"/>
          <w:sz w:val="24"/>
          <w:szCs w:val="24"/>
          <w:shd w:val="clear" w:color="auto" w:fill="FFFFFF"/>
          <w:lang w:val="en-GB"/>
        </w:rPr>
        <w:t>(1), 124-144.</w:t>
      </w:r>
    </w:p>
    <w:p w:rsidR="00841E18" w:rsidRPr="00625DC2" w:rsidRDefault="00841E18" w:rsidP="00BA72B6">
      <w:pPr>
        <w:spacing w:line="360" w:lineRule="auto"/>
        <w:ind w:left="720" w:hanging="720"/>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Krejcie, R.V. and Morgan, D.W., 1970. Determining sample size for research activities. </w:t>
      </w:r>
      <w:r w:rsidRPr="00625DC2">
        <w:rPr>
          <w:rStyle w:val="Emphasis"/>
          <w:rFonts w:asciiTheme="majorBidi" w:hAnsiTheme="majorBidi" w:cstheme="majorBidi"/>
          <w:color w:val="000000" w:themeColor="text1"/>
          <w:sz w:val="24"/>
          <w:szCs w:val="24"/>
          <w:lang w:val="en-GB"/>
        </w:rPr>
        <w:t>Educational and Psychological Measurement</w:t>
      </w:r>
      <w:r w:rsidRPr="00625DC2">
        <w:rPr>
          <w:rFonts w:asciiTheme="majorBidi" w:hAnsiTheme="majorBidi" w:cstheme="majorBidi"/>
          <w:color w:val="000000" w:themeColor="text1"/>
          <w:sz w:val="24"/>
          <w:szCs w:val="24"/>
          <w:lang w:val="en-GB"/>
        </w:rPr>
        <w:t>, 30(3), pp.607–610. https://www.researchgate.net/profile/Che-Lukman/post/Does-anyone-know-about-the-sample-size-of-AHP/attachment/59d6231379197b8077981679/AS%3A305289729904640%401449798151597/download/DETERMINING_SAMPLE_SIZE_FOR_RESEARCH%255b1%255d.pdf</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Kumar, S., Sarkar, S.,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Chahar, B. (2023). A systematic review of work-life integration and </w:t>
      </w:r>
      <w:r w:rsidR="005537BD" w:rsidRPr="00625DC2">
        <w:rPr>
          <w:rFonts w:asciiTheme="majorBidi" w:hAnsiTheme="majorBidi" w:cstheme="majorBidi"/>
          <w:color w:val="000000" w:themeColor="text1"/>
          <w:sz w:val="24"/>
          <w:szCs w:val="24"/>
          <w:shd w:val="clear" w:color="auto" w:fill="FFFFFF"/>
          <w:lang w:val="en-GB"/>
        </w:rPr>
        <w:t xml:space="preserve">the </w:t>
      </w:r>
      <w:r w:rsidRPr="00625DC2">
        <w:rPr>
          <w:rFonts w:asciiTheme="majorBidi" w:hAnsiTheme="majorBidi" w:cstheme="majorBidi"/>
          <w:color w:val="000000" w:themeColor="text1"/>
          <w:sz w:val="24"/>
          <w:szCs w:val="24"/>
          <w:shd w:val="clear" w:color="auto" w:fill="FFFFFF"/>
          <w:lang w:val="en-GB"/>
        </w:rPr>
        <w:t>role of flexible work arrangements. </w:t>
      </w:r>
      <w:r w:rsidRPr="00625DC2">
        <w:rPr>
          <w:rFonts w:asciiTheme="majorBidi" w:hAnsiTheme="majorBidi" w:cstheme="majorBidi"/>
          <w:i/>
          <w:iCs/>
          <w:color w:val="000000" w:themeColor="text1"/>
          <w:sz w:val="24"/>
          <w:szCs w:val="24"/>
          <w:shd w:val="clear" w:color="auto" w:fill="FFFFFF"/>
          <w:lang w:val="en-GB"/>
        </w:rPr>
        <w:t xml:space="preserve">International Journal of </w:t>
      </w:r>
      <w:r w:rsidR="005537BD" w:rsidRPr="00625DC2">
        <w:rPr>
          <w:rFonts w:asciiTheme="majorBidi" w:hAnsiTheme="majorBidi" w:cstheme="majorBidi"/>
          <w:i/>
          <w:iCs/>
          <w:color w:val="000000" w:themeColor="text1"/>
          <w:sz w:val="24"/>
          <w:szCs w:val="24"/>
          <w:shd w:val="clear" w:color="auto" w:fill="FFFFFF"/>
          <w:lang w:val="en-GB"/>
        </w:rPr>
        <w:t>Organisational</w:t>
      </w:r>
      <w:r w:rsidRPr="00625DC2">
        <w:rPr>
          <w:rFonts w:asciiTheme="majorBidi" w:hAnsiTheme="majorBidi" w:cstheme="majorBidi"/>
          <w:i/>
          <w:iCs/>
          <w:color w:val="000000" w:themeColor="text1"/>
          <w:sz w:val="24"/>
          <w:szCs w:val="24"/>
          <w:shd w:val="clear" w:color="auto" w:fill="FFFFFF"/>
          <w:lang w:val="en-GB"/>
        </w:rPr>
        <w:t xml:space="preserve"> Analysis</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31</w:t>
      </w:r>
      <w:r w:rsidRPr="00625DC2">
        <w:rPr>
          <w:rFonts w:asciiTheme="majorBidi" w:hAnsiTheme="majorBidi" w:cstheme="majorBidi"/>
          <w:color w:val="000000" w:themeColor="text1"/>
          <w:sz w:val="24"/>
          <w:szCs w:val="24"/>
          <w:shd w:val="clear" w:color="auto" w:fill="FFFFFF"/>
          <w:lang w:val="en-GB"/>
        </w:rPr>
        <w:t>(3), 710-736.</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Lauring, J.,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Jonasson, C. (2025). What is hybrid work? Towards greater conceptual clarity of a common term and understanding its consequences. </w:t>
      </w:r>
      <w:r w:rsidRPr="00625DC2">
        <w:rPr>
          <w:rFonts w:asciiTheme="majorBidi" w:hAnsiTheme="majorBidi" w:cstheme="majorBidi"/>
          <w:i/>
          <w:iCs/>
          <w:color w:val="000000" w:themeColor="text1"/>
          <w:sz w:val="24"/>
          <w:szCs w:val="24"/>
          <w:shd w:val="clear" w:color="auto" w:fill="FFFFFF"/>
          <w:lang w:val="en-GB"/>
        </w:rPr>
        <w:t>Human Resource Management Review</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35</w:t>
      </w:r>
      <w:r w:rsidRPr="00625DC2">
        <w:rPr>
          <w:rFonts w:asciiTheme="majorBidi" w:hAnsiTheme="majorBidi" w:cstheme="majorBidi"/>
          <w:color w:val="000000" w:themeColor="text1"/>
          <w:sz w:val="24"/>
          <w:szCs w:val="24"/>
          <w:shd w:val="clear" w:color="auto" w:fill="FFFFFF"/>
          <w:lang w:val="en-GB"/>
        </w:rPr>
        <w:t>(1), 101044.</w:t>
      </w:r>
    </w:p>
    <w:p w:rsidR="004C57A6" w:rsidRPr="00625DC2" w:rsidRDefault="004C57A6" w:rsidP="00BA72B6">
      <w:pPr>
        <w:spacing w:line="360" w:lineRule="auto"/>
        <w:ind w:left="720" w:hanging="720"/>
        <w:rPr>
          <w:rFonts w:asciiTheme="majorBidi" w:hAnsiTheme="majorBidi" w:cstheme="majorBidi"/>
          <w:color w:val="222222"/>
          <w:sz w:val="24"/>
          <w:szCs w:val="24"/>
          <w:shd w:val="clear" w:color="auto" w:fill="FFFFFF"/>
          <w:lang w:val="en-GB"/>
        </w:rPr>
      </w:pPr>
      <w:r w:rsidRPr="00625DC2">
        <w:rPr>
          <w:rFonts w:asciiTheme="majorBidi" w:hAnsiTheme="majorBidi" w:cstheme="majorBidi"/>
          <w:color w:val="222222"/>
          <w:sz w:val="24"/>
          <w:szCs w:val="24"/>
          <w:shd w:val="clear" w:color="auto" w:fill="FFFFFF"/>
          <w:lang w:val="en-GB"/>
        </w:rPr>
        <w:t>Lee, S. H., Chong, C. W., and Ojo, A. O. (2024). Influence of workplace flexibility on employee engagement among young generation. </w:t>
      </w:r>
      <w:r w:rsidRPr="00625DC2">
        <w:rPr>
          <w:rFonts w:asciiTheme="majorBidi" w:hAnsiTheme="majorBidi" w:cstheme="majorBidi"/>
          <w:i/>
          <w:iCs/>
          <w:color w:val="222222"/>
          <w:sz w:val="24"/>
          <w:szCs w:val="24"/>
          <w:shd w:val="clear" w:color="auto" w:fill="FFFFFF"/>
          <w:lang w:val="en-GB"/>
        </w:rPr>
        <w:t>Cogent Business &amp; Management</w:t>
      </w:r>
      <w:r w:rsidRPr="00625DC2">
        <w:rPr>
          <w:rFonts w:asciiTheme="majorBidi" w:hAnsiTheme="majorBidi" w:cstheme="majorBidi"/>
          <w:color w:val="222222"/>
          <w:sz w:val="24"/>
          <w:szCs w:val="24"/>
          <w:shd w:val="clear" w:color="auto" w:fill="FFFFFF"/>
          <w:lang w:val="en-GB"/>
        </w:rPr>
        <w:t>, </w:t>
      </w:r>
      <w:r w:rsidRPr="00625DC2">
        <w:rPr>
          <w:rFonts w:asciiTheme="majorBidi" w:hAnsiTheme="majorBidi" w:cstheme="majorBidi"/>
          <w:i/>
          <w:iCs/>
          <w:color w:val="222222"/>
          <w:sz w:val="24"/>
          <w:szCs w:val="24"/>
          <w:shd w:val="clear" w:color="auto" w:fill="FFFFFF"/>
          <w:lang w:val="en-GB"/>
        </w:rPr>
        <w:t>11</w:t>
      </w:r>
      <w:r w:rsidRPr="00625DC2">
        <w:rPr>
          <w:rFonts w:asciiTheme="majorBidi" w:hAnsiTheme="majorBidi" w:cstheme="majorBidi"/>
          <w:color w:val="222222"/>
          <w:sz w:val="24"/>
          <w:szCs w:val="24"/>
          <w:shd w:val="clear" w:color="auto" w:fill="FFFFFF"/>
          <w:lang w:val="en-GB"/>
        </w:rPr>
        <w:t>(1), 2309705.</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Mujtaba, B. G.,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Lawrence, E. T. (2024). Workplaces of today and tomorrow to attract and retain top talent: challenges and opportunities with remote/hybrid practices. </w:t>
      </w:r>
      <w:r w:rsidRPr="00625DC2">
        <w:rPr>
          <w:rFonts w:asciiTheme="majorBidi" w:hAnsiTheme="majorBidi" w:cstheme="majorBidi"/>
          <w:i/>
          <w:iCs/>
          <w:color w:val="000000" w:themeColor="text1"/>
          <w:sz w:val="24"/>
          <w:szCs w:val="24"/>
          <w:shd w:val="clear" w:color="auto" w:fill="FFFFFF"/>
          <w:lang w:val="en-GB"/>
        </w:rPr>
        <w:t>SocioEconomic Challenges</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8</w:t>
      </w:r>
      <w:r w:rsidRPr="00625DC2">
        <w:rPr>
          <w:rFonts w:asciiTheme="majorBidi" w:hAnsiTheme="majorBidi" w:cstheme="majorBidi"/>
          <w:color w:val="000000" w:themeColor="text1"/>
          <w:sz w:val="24"/>
          <w:szCs w:val="24"/>
          <w:shd w:val="clear" w:color="auto" w:fill="FFFFFF"/>
          <w:lang w:val="en-GB"/>
        </w:rPr>
        <w:t>(2), 12-30.</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Naqshbandi, M. M., Kabir, I., Ishak, N. A.,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Islam, M. Z. (2024). The future of work: work engagement and job performance in the hybrid workplace. </w:t>
      </w:r>
      <w:r w:rsidRPr="00625DC2">
        <w:rPr>
          <w:rFonts w:asciiTheme="majorBidi" w:hAnsiTheme="majorBidi" w:cstheme="majorBidi"/>
          <w:i/>
          <w:iCs/>
          <w:color w:val="000000" w:themeColor="text1"/>
          <w:sz w:val="24"/>
          <w:szCs w:val="24"/>
          <w:shd w:val="clear" w:color="auto" w:fill="FFFFFF"/>
          <w:lang w:val="en-GB"/>
        </w:rPr>
        <w:t xml:space="preserve">The Learning </w:t>
      </w:r>
      <w:r w:rsidR="005537BD" w:rsidRPr="00625DC2">
        <w:rPr>
          <w:rFonts w:asciiTheme="majorBidi" w:hAnsiTheme="majorBidi" w:cstheme="majorBidi"/>
          <w:i/>
          <w:iCs/>
          <w:color w:val="000000" w:themeColor="text1"/>
          <w:sz w:val="24"/>
          <w:szCs w:val="24"/>
          <w:shd w:val="clear" w:color="auto" w:fill="FFFFFF"/>
          <w:lang w:val="en-GB"/>
        </w:rPr>
        <w:t>Organisation</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31</w:t>
      </w:r>
      <w:r w:rsidRPr="00625DC2">
        <w:rPr>
          <w:rFonts w:asciiTheme="majorBidi" w:hAnsiTheme="majorBidi" w:cstheme="majorBidi"/>
          <w:color w:val="000000" w:themeColor="text1"/>
          <w:sz w:val="24"/>
          <w:szCs w:val="24"/>
          <w:shd w:val="clear" w:color="auto" w:fill="FFFFFF"/>
          <w:lang w:val="en-GB"/>
        </w:rPr>
        <w:t>(1), 5-26.</w:t>
      </w:r>
    </w:p>
    <w:p w:rsidR="00763C5A" w:rsidRPr="00625DC2" w:rsidRDefault="00A64932" w:rsidP="00BA72B6">
      <w:pPr>
        <w:spacing w:line="360" w:lineRule="auto"/>
        <w:ind w:left="720" w:hanging="72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 xml:space="preserve">National Skills Academy for Rail (NSAR), 2025. </w:t>
      </w:r>
      <w:r w:rsidRPr="00625DC2">
        <w:rPr>
          <w:rFonts w:asciiTheme="majorBidi" w:eastAsia="Times New Roman" w:hAnsiTheme="majorBidi" w:cstheme="majorBidi"/>
          <w:i/>
          <w:iCs/>
          <w:color w:val="000000" w:themeColor="text1"/>
          <w:sz w:val="24"/>
          <w:szCs w:val="24"/>
          <w:lang w:val="en-GB"/>
        </w:rPr>
        <w:t>Rail Workforce Survey 2025</w:t>
      </w:r>
      <w:r w:rsidRPr="00625DC2">
        <w:rPr>
          <w:rFonts w:asciiTheme="majorBidi" w:eastAsia="Times New Roman" w:hAnsiTheme="majorBidi" w:cstheme="majorBidi"/>
          <w:color w:val="000000" w:themeColor="text1"/>
          <w:sz w:val="24"/>
          <w:szCs w:val="24"/>
          <w:lang w:val="en-GB"/>
        </w:rPr>
        <w:t xml:space="preserve">. </w:t>
      </w:r>
      <w:hyperlink r:id="rId13" w:history="1">
        <w:r w:rsidR="00763C5A" w:rsidRPr="00625DC2">
          <w:rPr>
            <w:rStyle w:val="Hyperlink"/>
            <w:rFonts w:asciiTheme="majorBidi" w:eastAsia="Times New Roman" w:hAnsiTheme="majorBidi" w:cstheme="majorBidi"/>
            <w:sz w:val="24"/>
            <w:szCs w:val="24"/>
            <w:lang w:val="en-GB"/>
          </w:rPr>
          <w:t>https://www.nsar.co.uk/2026/01/findings-from-the-2025-workforce-survey/</w:t>
        </w:r>
      </w:hyperlink>
    </w:p>
    <w:p w:rsidR="00841E18" w:rsidRPr="00625DC2" w:rsidRDefault="00841E18" w:rsidP="00BA72B6">
      <w:pPr>
        <w:spacing w:line="360" w:lineRule="auto"/>
        <w:ind w:left="720" w:hanging="72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 xml:space="preserve">Office for National Statistics (ONS), 2023. </w:t>
      </w:r>
      <w:r w:rsidRPr="00625DC2">
        <w:rPr>
          <w:rFonts w:asciiTheme="majorBidi" w:eastAsia="Times New Roman" w:hAnsiTheme="majorBidi" w:cstheme="majorBidi"/>
          <w:i/>
          <w:iCs/>
          <w:color w:val="000000" w:themeColor="text1"/>
          <w:sz w:val="24"/>
          <w:szCs w:val="24"/>
          <w:lang w:val="en-GB"/>
        </w:rPr>
        <w:t>Is Hybrid Working Here to Stay?</w:t>
      </w:r>
      <w:r w:rsidRPr="00625DC2">
        <w:rPr>
          <w:rFonts w:asciiTheme="majorBidi" w:eastAsia="Times New Roman" w:hAnsiTheme="majorBidi" w:cstheme="majorBidi"/>
          <w:color w:val="000000" w:themeColor="text1"/>
          <w:sz w:val="24"/>
          <w:szCs w:val="24"/>
          <w:lang w:val="en-GB"/>
        </w:rPr>
        <w:t xml:space="preserve"> London: ONS.</w:t>
      </w:r>
    </w:p>
    <w:p w:rsidR="004C57A6" w:rsidRPr="00625DC2" w:rsidRDefault="004C57A6" w:rsidP="00BA72B6">
      <w:pPr>
        <w:spacing w:line="360" w:lineRule="auto"/>
        <w:ind w:left="720" w:hanging="720"/>
        <w:rPr>
          <w:rFonts w:asciiTheme="majorBidi" w:hAnsiTheme="majorBidi" w:cstheme="majorBidi"/>
          <w:color w:val="222222"/>
          <w:sz w:val="24"/>
          <w:szCs w:val="24"/>
          <w:shd w:val="clear" w:color="auto" w:fill="FFFFFF"/>
          <w:lang w:val="en-GB"/>
        </w:rPr>
      </w:pPr>
      <w:r w:rsidRPr="00625DC2">
        <w:rPr>
          <w:rFonts w:asciiTheme="majorBidi" w:hAnsiTheme="majorBidi" w:cstheme="majorBidi"/>
          <w:color w:val="222222"/>
          <w:sz w:val="24"/>
          <w:szCs w:val="24"/>
          <w:shd w:val="clear" w:color="auto" w:fill="FFFFFF"/>
          <w:lang w:val="en-GB"/>
        </w:rPr>
        <w:lastRenderedPageBreak/>
        <w:t>Eyimaya, A. Ö., and Tezel, A. (2021). Evaluating occupational stress levels of the railway workers. </w:t>
      </w:r>
      <w:r w:rsidRPr="00625DC2">
        <w:rPr>
          <w:rFonts w:asciiTheme="majorBidi" w:hAnsiTheme="majorBidi" w:cstheme="majorBidi"/>
          <w:i/>
          <w:iCs/>
          <w:color w:val="222222"/>
          <w:sz w:val="24"/>
          <w:szCs w:val="24"/>
          <w:shd w:val="clear" w:color="auto" w:fill="FFFFFF"/>
          <w:lang w:val="en-GB"/>
        </w:rPr>
        <w:t>Florence Nightingale Journal of Nursing</w:t>
      </w:r>
      <w:r w:rsidRPr="00625DC2">
        <w:rPr>
          <w:rFonts w:asciiTheme="majorBidi" w:hAnsiTheme="majorBidi" w:cstheme="majorBidi"/>
          <w:color w:val="222222"/>
          <w:sz w:val="24"/>
          <w:szCs w:val="24"/>
          <w:shd w:val="clear" w:color="auto" w:fill="FFFFFF"/>
          <w:lang w:val="en-GB"/>
        </w:rPr>
        <w:t>, </w:t>
      </w:r>
      <w:r w:rsidRPr="00625DC2">
        <w:rPr>
          <w:rFonts w:asciiTheme="majorBidi" w:hAnsiTheme="majorBidi" w:cstheme="majorBidi"/>
          <w:i/>
          <w:iCs/>
          <w:color w:val="222222"/>
          <w:sz w:val="24"/>
          <w:szCs w:val="24"/>
          <w:shd w:val="clear" w:color="auto" w:fill="FFFFFF"/>
          <w:lang w:val="en-GB"/>
        </w:rPr>
        <w:t>29</w:t>
      </w:r>
      <w:r w:rsidRPr="00625DC2">
        <w:rPr>
          <w:rFonts w:asciiTheme="majorBidi" w:hAnsiTheme="majorBidi" w:cstheme="majorBidi"/>
          <w:color w:val="222222"/>
          <w:sz w:val="24"/>
          <w:szCs w:val="24"/>
          <w:shd w:val="clear" w:color="auto" w:fill="FFFFFF"/>
          <w:lang w:val="en-GB"/>
        </w:rPr>
        <w:t>(1), 40.</w:t>
      </w:r>
    </w:p>
    <w:p w:rsidR="00A64932" w:rsidRPr="00625DC2" w:rsidRDefault="00A64932" w:rsidP="00BA72B6">
      <w:pPr>
        <w:spacing w:line="360" w:lineRule="auto"/>
        <w:ind w:left="720" w:hanging="720"/>
        <w:rPr>
          <w:rFonts w:asciiTheme="majorBidi" w:eastAsia="Times New Roman" w:hAnsiTheme="majorBidi" w:cstheme="majorBidi"/>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 xml:space="preserve">Parliamentary Office of Science and Technology (POST), 2023. </w:t>
      </w:r>
      <w:r w:rsidRPr="00625DC2">
        <w:rPr>
          <w:rFonts w:asciiTheme="majorBidi" w:eastAsia="Times New Roman" w:hAnsiTheme="majorBidi" w:cstheme="majorBidi"/>
          <w:i/>
          <w:iCs/>
          <w:color w:val="000000" w:themeColor="text1"/>
          <w:sz w:val="24"/>
          <w:szCs w:val="24"/>
          <w:lang w:val="en-GB"/>
        </w:rPr>
        <w:t>The Impact of Remote and Hybrid Working on Workers and Organisations</w:t>
      </w:r>
      <w:r w:rsidRPr="00625DC2">
        <w:rPr>
          <w:rFonts w:asciiTheme="majorBidi" w:eastAsia="Times New Roman" w:hAnsiTheme="majorBidi" w:cstheme="majorBidi"/>
          <w:color w:val="000000" w:themeColor="text1"/>
          <w:sz w:val="24"/>
          <w:szCs w:val="24"/>
          <w:lang w:val="en-GB"/>
        </w:rPr>
        <w:t xml:space="preserve">. POSTbrief. </w:t>
      </w:r>
      <w:r w:rsidR="00763C5A" w:rsidRPr="00625DC2">
        <w:rPr>
          <w:rFonts w:asciiTheme="majorBidi" w:eastAsia="Times New Roman" w:hAnsiTheme="majorBidi" w:cstheme="majorBidi"/>
          <w:color w:val="000000" w:themeColor="text1"/>
          <w:sz w:val="24"/>
          <w:szCs w:val="24"/>
          <w:lang w:val="en-GB"/>
        </w:rPr>
        <w:t>https://researchbriefings.files.parliament.uk/documents/POST-PB-0049/POST-PB-0049.pdf</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Peltokorpi, V.,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Allen, D. G. (2024). Job embeddedness and voluntary turnover in the face of job insecurity. </w:t>
      </w:r>
      <w:r w:rsidRPr="00625DC2">
        <w:rPr>
          <w:rFonts w:asciiTheme="majorBidi" w:hAnsiTheme="majorBidi" w:cstheme="majorBidi"/>
          <w:i/>
          <w:iCs/>
          <w:color w:val="000000" w:themeColor="text1"/>
          <w:sz w:val="24"/>
          <w:szCs w:val="24"/>
          <w:shd w:val="clear" w:color="auto" w:fill="FFFFFF"/>
          <w:lang w:val="en-GB"/>
        </w:rPr>
        <w:t xml:space="preserve">Journal of </w:t>
      </w:r>
      <w:r w:rsidR="005537BD" w:rsidRPr="00625DC2">
        <w:rPr>
          <w:rFonts w:asciiTheme="majorBidi" w:hAnsiTheme="majorBidi" w:cstheme="majorBidi"/>
          <w:i/>
          <w:iCs/>
          <w:color w:val="000000" w:themeColor="text1"/>
          <w:sz w:val="24"/>
          <w:szCs w:val="24"/>
          <w:shd w:val="clear" w:color="auto" w:fill="FFFFFF"/>
          <w:lang w:val="en-GB"/>
        </w:rPr>
        <w:t>Organisational Behaviour</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45</w:t>
      </w:r>
      <w:r w:rsidRPr="00625DC2">
        <w:rPr>
          <w:rFonts w:asciiTheme="majorBidi" w:hAnsiTheme="majorBidi" w:cstheme="majorBidi"/>
          <w:color w:val="000000" w:themeColor="text1"/>
          <w:sz w:val="24"/>
          <w:szCs w:val="24"/>
          <w:shd w:val="clear" w:color="auto" w:fill="FFFFFF"/>
          <w:lang w:val="en-GB"/>
        </w:rPr>
        <w:t>(3), 416-433.</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Podsakoff, P. M., MacKenzie, S. B., Lee, J. Y.,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Podsakoff, N. P. (2003). Common method biases in </w:t>
      </w:r>
      <w:r w:rsidR="005537BD" w:rsidRPr="00625DC2">
        <w:rPr>
          <w:rFonts w:asciiTheme="majorBidi" w:hAnsiTheme="majorBidi" w:cstheme="majorBidi"/>
          <w:color w:val="000000" w:themeColor="text1"/>
          <w:sz w:val="24"/>
          <w:szCs w:val="24"/>
          <w:shd w:val="clear" w:color="auto" w:fill="FFFFFF"/>
          <w:lang w:val="en-GB"/>
        </w:rPr>
        <w:t>behavioural</w:t>
      </w:r>
      <w:r w:rsidRPr="00625DC2">
        <w:rPr>
          <w:rFonts w:asciiTheme="majorBidi" w:hAnsiTheme="majorBidi" w:cstheme="majorBidi"/>
          <w:color w:val="000000" w:themeColor="text1"/>
          <w:sz w:val="24"/>
          <w:szCs w:val="24"/>
          <w:shd w:val="clear" w:color="auto" w:fill="FFFFFF"/>
          <w:lang w:val="en-GB"/>
        </w:rPr>
        <w:t xml:space="preserve"> research: a critical review of the literature and recommended remedies. </w:t>
      </w:r>
      <w:r w:rsidRPr="00625DC2">
        <w:rPr>
          <w:rFonts w:asciiTheme="majorBidi" w:hAnsiTheme="majorBidi" w:cstheme="majorBidi"/>
          <w:i/>
          <w:iCs/>
          <w:color w:val="000000" w:themeColor="text1"/>
          <w:sz w:val="24"/>
          <w:szCs w:val="24"/>
          <w:shd w:val="clear" w:color="auto" w:fill="FFFFFF"/>
          <w:lang w:val="en-GB"/>
        </w:rPr>
        <w:t xml:space="preserve">Journal of </w:t>
      </w:r>
      <w:r w:rsidR="005537BD" w:rsidRPr="00625DC2">
        <w:rPr>
          <w:rFonts w:asciiTheme="majorBidi" w:hAnsiTheme="majorBidi" w:cstheme="majorBidi"/>
          <w:i/>
          <w:iCs/>
          <w:color w:val="000000" w:themeColor="text1"/>
          <w:sz w:val="24"/>
          <w:szCs w:val="24"/>
          <w:shd w:val="clear" w:color="auto" w:fill="FFFFFF"/>
          <w:lang w:val="en-GB"/>
        </w:rPr>
        <w:t>Applied Psychology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88</w:t>
      </w:r>
      <w:r w:rsidRPr="00625DC2">
        <w:rPr>
          <w:rFonts w:asciiTheme="majorBidi" w:hAnsiTheme="majorBidi" w:cstheme="majorBidi"/>
          <w:color w:val="000000" w:themeColor="text1"/>
          <w:sz w:val="24"/>
          <w:szCs w:val="24"/>
          <w:shd w:val="clear" w:color="auto" w:fill="FFFFFF"/>
          <w:lang w:val="en-GB"/>
        </w:rPr>
        <w:t>(5), 879.</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Preacher, K. J.,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Hayes, A. F. (2008). Asymptotic and resampling strategies for assessing and comparing indirect effects in multiple mediator models. </w:t>
      </w:r>
      <w:r w:rsidR="005537BD" w:rsidRPr="00625DC2">
        <w:rPr>
          <w:rFonts w:asciiTheme="majorBidi" w:hAnsiTheme="majorBidi" w:cstheme="majorBidi"/>
          <w:i/>
          <w:iCs/>
          <w:color w:val="000000" w:themeColor="text1"/>
          <w:sz w:val="24"/>
          <w:szCs w:val="24"/>
          <w:shd w:val="clear" w:color="auto" w:fill="FFFFFF"/>
          <w:lang w:val="en-GB"/>
        </w:rPr>
        <w:t>Behaviour</w:t>
      </w:r>
      <w:r w:rsidRPr="00625DC2">
        <w:rPr>
          <w:rFonts w:asciiTheme="majorBidi" w:hAnsiTheme="majorBidi" w:cstheme="majorBidi"/>
          <w:i/>
          <w:iCs/>
          <w:color w:val="000000" w:themeColor="text1"/>
          <w:sz w:val="24"/>
          <w:szCs w:val="24"/>
          <w:shd w:val="clear" w:color="auto" w:fill="FFFFFF"/>
          <w:lang w:val="en-GB"/>
        </w:rPr>
        <w:t xml:space="preserve"> research methods</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40</w:t>
      </w:r>
      <w:r w:rsidRPr="00625DC2">
        <w:rPr>
          <w:rFonts w:asciiTheme="majorBidi" w:hAnsiTheme="majorBidi" w:cstheme="majorBidi"/>
          <w:color w:val="000000" w:themeColor="text1"/>
          <w:sz w:val="24"/>
          <w:szCs w:val="24"/>
          <w:shd w:val="clear" w:color="auto" w:fill="FFFFFF"/>
          <w:lang w:val="en-GB"/>
        </w:rPr>
        <w:t>(3), 879-891.</w:t>
      </w:r>
    </w:p>
    <w:p w:rsidR="00A64932" w:rsidRPr="00625DC2" w:rsidRDefault="00763C5A" w:rsidP="00BA72B6">
      <w:pPr>
        <w:spacing w:line="360" w:lineRule="auto"/>
        <w:ind w:left="720" w:hanging="720"/>
        <w:rPr>
          <w:rFonts w:asciiTheme="majorBidi" w:eastAsia="Times New Roman" w:hAnsiTheme="majorBidi" w:cstheme="majorBidi"/>
          <w:i/>
          <w:iCs/>
          <w:color w:val="000000" w:themeColor="text1"/>
          <w:sz w:val="24"/>
          <w:szCs w:val="24"/>
          <w:lang w:val="en-GB"/>
        </w:rPr>
      </w:pPr>
      <w:r w:rsidRPr="00625DC2">
        <w:rPr>
          <w:rFonts w:asciiTheme="majorBidi" w:eastAsia="Times New Roman" w:hAnsiTheme="majorBidi" w:cstheme="majorBidi"/>
          <w:color w:val="000000" w:themeColor="text1"/>
          <w:sz w:val="24"/>
          <w:szCs w:val="24"/>
          <w:lang w:val="en-GB"/>
        </w:rPr>
        <w:t>Rail Industry Connect, 2025</w:t>
      </w:r>
      <w:r w:rsidR="00A64932" w:rsidRPr="00625DC2">
        <w:rPr>
          <w:rFonts w:asciiTheme="majorBidi" w:eastAsia="Times New Roman" w:hAnsiTheme="majorBidi" w:cstheme="majorBidi"/>
          <w:color w:val="000000" w:themeColor="text1"/>
          <w:sz w:val="24"/>
          <w:szCs w:val="24"/>
          <w:lang w:val="en-GB"/>
        </w:rPr>
        <w:t xml:space="preserve">. </w:t>
      </w:r>
      <w:r w:rsidRPr="00625DC2">
        <w:rPr>
          <w:rFonts w:asciiTheme="majorBidi" w:eastAsia="Times New Roman" w:hAnsiTheme="majorBidi" w:cstheme="majorBidi"/>
          <w:color w:val="000000" w:themeColor="text1"/>
          <w:sz w:val="24"/>
          <w:szCs w:val="24"/>
          <w:lang w:val="en-GB"/>
        </w:rPr>
        <w:t>Mind the Gap: Addressing Mental Health in the UK Rail Industry.</w:t>
      </w:r>
      <w:r w:rsidRPr="00625DC2">
        <w:rPr>
          <w:rFonts w:asciiTheme="majorBidi" w:eastAsia="Times New Roman" w:hAnsiTheme="majorBidi" w:cstheme="majorBidi"/>
          <w:i/>
          <w:iCs/>
          <w:color w:val="000000" w:themeColor="text1"/>
          <w:sz w:val="24"/>
          <w:szCs w:val="24"/>
          <w:lang w:val="en-GB"/>
        </w:rPr>
        <w:t xml:space="preserve"> </w:t>
      </w:r>
      <w:hyperlink r:id="rId14" w:history="1">
        <w:r w:rsidR="002406C9" w:rsidRPr="00625DC2">
          <w:rPr>
            <w:rStyle w:val="Hyperlink"/>
            <w:rFonts w:asciiTheme="majorBidi" w:eastAsia="Times New Roman" w:hAnsiTheme="majorBidi" w:cstheme="majorBidi"/>
            <w:i/>
            <w:iCs/>
            <w:sz w:val="24"/>
            <w:szCs w:val="24"/>
            <w:lang w:val="en-GB"/>
          </w:rPr>
          <w:t>https://www.railindustryconnect.co.uk/mind-the-gap-addressing-mental-health-in-the-uk-rail-industry/</w:t>
        </w:r>
      </w:hyperlink>
    </w:p>
    <w:p w:rsidR="002406C9" w:rsidRPr="00625DC2" w:rsidRDefault="002406C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Rail Delivery Group (RDG) (2024). </w:t>
      </w:r>
      <w:r w:rsidRPr="00625DC2">
        <w:rPr>
          <w:rFonts w:asciiTheme="majorBidi" w:hAnsiTheme="majorBidi" w:cstheme="majorBidi"/>
          <w:i/>
          <w:iCs/>
          <w:color w:val="000000" w:themeColor="text1"/>
          <w:sz w:val="24"/>
          <w:szCs w:val="24"/>
          <w:shd w:val="clear" w:color="auto" w:fill="FFFFFF"/>
          <w:lang w:val="en-GB"/>
        </w:rPr>
        <w:t>Working for RDG: Smart Working.</w:t>
      </w:r>
      <w:r w:rsidRPr="00625DC2">
        <w:rPr>
          <w:rFonts w:asciiTheme="majorBidi" w:hAnsiTheme="majorBidi" w:cstheme="majorBidi"/>
          <w:color w:val="000000" w:themeColor="text1"/>
          <w:sz w:val="24"/>
          <w:szCs w:val="24"/>
          <w:shd w:val="clear" w:color="auto" w:fill="FFFFFF"/>
          <w:lang w:val="en-GB"/>
        </w:rPr>
        <w:t xml:space="preserve"> London: Rail Delivery Group. Available at: www.raildeliverygroup.com (Accessed: 27 June 2026).</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Roy, S. K., Gruner, R. L.,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Guo, J. (2022). Exploring customer experience, commitment, and engagement behaviours. </w:t>
      </w:r>
      <w:r w:rsidRPr="00625DC2">
        <w:rPr>
          <w:rFonts w:asciiTheme="majorBidi" w:hAnsiTheme="majorBidi" w:cstheme="majorBidi"/>
          <w:i/>
          <w:iCs/>
          <w:color w:val="000000" w:themeColor="text1"/>
          <w:sz w:val="24"/>
          <w:szCs w:val="24"/>
          <w:shd w:val="clear" w:color="auto" w:fill="FFFFFF"/>
          <w:lang w:val="en-GB"/>
        </w:rPr>
        <w:t>Journal of Strategic Marketing</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30</w:t>
      </w:r>
      <w:r w:rsidRPr="00625DC2">
        <w:rPr>
          <w:rFonts w:asciiTheme="majorBidi" w:hAnsiTheme="majorBidi" w:cstheme="majorBidi"/>
          <w:color w:val="000000" w:themeColor="text1"/>
          <w:sz w:val="24"/>
          <w:szCs w:val="24"/>
          <w:shd w:val="clear" w:color="auto" w:fill="FFFFFF"/>
          <w:lang w:val="en-GB"/>
        </w:rPr>
        <w:t>(1), 45-68.</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Saks, A. M. (2006). Antecedents and consequences of employee engagement. </w:t>
      </w:r>
      <w:r w:rsidRPr="00625DC2">
        <w:rPr>
          <w:rFonts w:asciiTheme="majorBidi" w:hAnsiTheme="majorBidi" w:cstheme="majorBidi"/>
          <w:i/>
          <w:iCs/>
          <w:color w:val="000000" w:themeColor="text1"/>
          <w:sz w:val="24"/>
          <w:szCs w:val="24"/>
          <w:shd w:val="clear" w:color="auto" w:fill="FFFFFF"/>
          <w:lang w:val="en-GB"/>
        </w:rPr>
        <w:t>Journal of managerial psychology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21</w:t>
      </w:r>
      <w:r w:rsidRPr="00625DC2">
        <w:rPr>
          <w:rFonts w:asciiTheme="majorBidi" w:hAnsiTheme="majorBidi" w:cstheme="majorBidi"/>
          <w:color w:val="000000" w:themeColor="text1"/>
          <w:sz w:val="24"/>
          <w:szCs w:val="24"/>
          <w:shd w:val="clear" w:color="auto" w:fill="FFFFFF"/>
          <w:lang w:val="en-GB"/>
        </w:rPr>
        <w:t>(7), 600-619.</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Sardeshmukh, S. R., Sharma, D.,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Golden, T. D. (2012). Impact of telework on exhaustion and job engagement: A job demands and job resources model. </w:t>
      </w:r>
      <w:r w:rsidRPr="00625DC2">
        <w:rPr>
          <w:rFonts w:asciiTheme="majorBidi" w:hAnsiTheme="majorBidi" w:cstheme="majorBidi"/>
          <w:i/>
          <w:iCs/>
          <w:color w:val="000000" w:themeColor="text1"/>
          <w:sz w:val="24"/>
          <w:szCs w:val="24"/>
          <w:shd w:val="clear" w:color="auto" w:fill="FFFFFF"/>
          <w:lang w:val="en-GB"/>
        </w:rPr>
        <w:t>New Technology, Work and Employment</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27</w:t>
      </w:r>
      <w:r w:rsidRPr="00625DC2">
        <w:rPr>
          <w:rFonts w:asciiTheme="majorBidi" w:hAnsiTheme="majorBidi" w:cstheme="majorBidi"/>
          <w:color w:val="000000" w:themeColor="text1"/>
          <w:sz w:val="24"/>
          <w:szCs w:val="24"/>
          <w:shd w:val="clear" w:color="auto" w:fill="FFFFFF"/>
          <w:lang w:val="en-GB"/>
        </w:rPr>
        <w:t>(3), 193-207.</w:t>
      </w:r>
    </w:p>
    <w:p w:rsidR="00841E18" w:rsidRPr="00625DC2" w:rsidRDefault="00841E18"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lastRenderedPageBreak/>
        <w:t xml:space="preserve">Saunders, M., Lewis, P.,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Thornhill, A. (2009). </w:t>
      </w:r>
      <w:r w:rsidRPr="00625DC2">
        <w:rPr>
          <w:rFonts w:asciiTheme="majorBidi" w:hAnsiTheme="majorBidi" w:cstheme="majorBidi"/>
          <w:i/>
          <w:iCs/>
          <w:color w:val="000000" w:themeColor="text1"/>
          <w:sz w:val="24"/>
          <w:szCs w:val="24"/>
          <w:shd w:val="clear" w:color="auto" w:fill="FFFFFF"/>
          <w:lang w:val="en-GB"/>
        </w:rPr>
        <w:t>Research methods for business students</w:t>
      </w:r>
      <w:r w:rsidRPr="00625DC2">
        <w:rPr>
          <w:rFonts w:asciiTheme="majorBidi" w:hAnsiTheme="majorBidi" w:cstheme="majorBidi"/>
          <w:color w:val="000000" w:themeColor="text1"/>
          <w:sz w:val="24"/>
          <w:szCs w:val="24"/>
          <w:shd w:val="clear" w:color="auto" w:fill="FFFFFF"/>
          <w:lang w:val="en-GB"/>
        </w:rPr>
        <w:t xml:space="preserve">. Pearson </w:t>
      </w:r>
      <w:r w:rsidR="005537BD" w:rsidRPr="00625DC2">
        <w:rPr>
          <w:rFonts w:asciiTheme="majorBidi" w:hAnsiTheme="majorBidi" w:cstheme="majorBidi"/>
          <w:color w:val="000000" w:themeColor="text1"/>
          <w:sz w:val="24"/>
          <w:szCs w:val="24"/>
          <w:shd w:val="clear" w:color="auto" w:fill="FFFFFF"/>
          <w:lang w:val="en-GB"/>
        </w:rPr>
        <w:t>Education</w:t>
      </w:r>
      <w:r w:rsidRPr="00625DC2">
        <w:rPr>
          <w:rFonts w:asciiTheme="majorBidi" w:hAnsiTheme="majorBidi" w:cstheme="majorBidi"/>
          <w:color w:val="000000" w:themeColor="text1"/>
          <w:sz w:val="24"/>
          <w:szCs w:val="24"/>
          <w:shd w:val="clear" w:color="auto" w:fill="FFFFFF"/>
          <w:lang w:val="en-GB"/>
        </w:rPr>
        <w:t>.</w:t>
      </w:r>
    </w:p>
    <w:p w:rsidR="00826079" w:rsidRPr="00625DC2" w:rsidRDefault="0082607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Schaufeli, W. B.,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Bakker, A. B. (2004). Job demands, job resources, and their relationship with burnout and engagement: A multi‐sample study. </w:t>
      </w:r>
      <w:r w:rsidRPr="00625DC2">
        <w:rPr>
          <w:rFonts w:asciiTheme="majorBidi" w:hAnsiTheme="majorBidi" w:cstheme="majorBidi"/>
          <w:i/>
          <w:iCs/>
          <w:color w:val="000000" w:themeColor="text1"/>
          <w:sz w:val="24"/>
          <w:szCs w:val="24"/>
          <w:shd w:val="clear" w:color="auto" w:fill="FFFFFF"/>
          <w:lang w:val="en-GB"/>
        </w:rPr>
        <w:t xml:space="preserve">Journal of </w:t>
      </w:r>
      <w:r w:rsidR="005537BD" w:rsidRPr="00625DC2">
        <w:rPr>
          <w:rFonts w:asciiTheme="majorBidi" w:hAnsiTheme="majorBidi" w:cstheme="majorBidi"/>
          <w:i/>
          <w:iCs/>
          <w:color w:val="000000" w:themeColor="text1"/>
          <w:sz w:val="24"/>
          <w:szCs w:val="24"/>
          <w:shd w:val="clear" w:color="auto" w:fill="FFFFFF"/>
          <w:lang w:val="en-GB"/>
        </w:rPr>
        <w:t>Organisational Behaviour: The International Journal of Industrial, Occupational and Organisational Psychology and Behaviour</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25</w:t>
      </w:r>
      <w:r w:rsidRPr="00625DC2">
        <w:rPr>
          <w:rFonts w:asciiTheme="majorBidi" w:hAnsiTheme="majorBidi" w:cstheme="majorBidi"/>
          <w:color w:val="000000" w:themeColor="text1"/>
          <w:sz w:val="24"/>
          <w:szCs w:val="24"/>
          <w:shd w:val="clear" w:color="auto" w:fill="FFFFFF"/>
          <w:lang w:val="en-GB"/>
        </w:rPr>
        <w:t>(3), 293-315.</w:t>
      </w:r>
    </w:p>
    <w:p w:rsidR="00826079" w:rsidRPr="00625DC2" w:rsidRDefault="0082607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Schaufeli, W. B., Salanova, M., González-Romá, V.,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Bakker, A. B. (2002). The measurement of engagement and burnout: A </w:t>
      </w:r>
      <w:r w:rsidR="005537BD" w:rsidRPr="00625DC2">
        <w:rPr>
          <w:rFonts w:asciiTheme="majorBidi" w:hAnsiTheme="majorBidi" w:cstheme="majorBidi"/>
          <w:color w:val="000000" w:themeColor="text1"/>
          <w:sz w:val="24"/>
          <w:szCs w:val="24"/>
          <w:shd w:val="clear" w:color="auto" w:fill="FFFFFF"/>
          <w:lang w:val="en-GB"/>
        </w:rPr>
        <w:t>two-sample</w:t>
      </w:r>
      <w:r w:rsidRPr="00625DC2">
        <w:rPr>
          <w:rFonts w:asciiTheme="majorBidi" w:hAnsiTheme="majorBidi" w:cstheme="majorBidi"/>
          <w:color w:val="000000" w:themeColor="text1"/>
          <w:sz w:val="24"/>
          <w:szCs w:val="24"/>
          <w:shd w:val="clear" w:color="auto" w:fill="FFFFFF"/>
          <w:lang w:val="en-GB"/>
        </w:rPr>
        <w:t xml:space="preserve"> confirmatory factor analytic approach. </w:t>
      </w:r>
      <w:r w:rsidRPr="00625DC2">
        <w:rPr>
          <w:rFonts w:asciiTheme="majorBidi" w:hAnsiTheme="majorBidi" w:cstheme="majorBidi"/>
          <w:i/>
          <w:iCs/>
          <w:color w:val="000000" w:themeColor="text1"/>
          <w:sz w:val="24"/>
          <w:szCs w:val="24"/>
          <w:shd w:val="clear" w:color="auto" w:fill="FFFFFF"/>
          <w:lang w:val="en-GB"/>
        </w:rPr>
        <w:t xml:space="preserve">Journal of Happiness </w:t>
      </w:r>
      <w:r w:rsidR="005537BD" w:rsidRPr="00625DC2">
        <w:rPr>
          <w:rFonts w:asciiTheme="majorBidi" w:hAnsiTheme="majorBidi" w:cstheme="majorBidi"/>
          <w:i/>
          <w:iCs/>
          <w:color w:val="000000" w:themeColor="text1"/>
          <w:sz w:val="24"/>
          <w:szCs w:val="24"/>
          <w:shd w:val="clear" w:color="auto" w:fill="FFFFFF"/>
          <w:lang w:val="en-GB"/>
        </w:rPr>
        <w:t>Studies</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3</w:t>
      </w:r>
      <w:r w:rsidRPr="00625DC2">
        <w:rPr>
          <w:rFonts w:asciiTheme="majorBidi" w:hAnsiTheme="majorBidi" w:cstheme="majorBidi"/>
          <w:color w:val="000000" w:themeColor="text1"/>
          <w:sz w:val="24"/>
          <w:szCs w:val="24"/>
          <w:shd w:val="clear" w:color="auto" w:fill="FFFFFF"/>
          <w:lang w:val="en-GB"/>
        </w:rPr>
        <w:t>(1), 71-92.</w:t>
      </w:r>
    </w:p>
    <w:p w:rsidR="00826079" w:rsidRPr="00625DC2" w:rsidRDefault="0082607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Shifrin, N. V.,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Michel, J. S. (2022). Flexible work arrangements and employee health: A meta-analytic review. </w:t>
      </w:r>
      <w:r w:rsidRPr="00625DC2">
        <w:rPr>
          <w:rFonts w:asciiTheme="majorBidi" w:hAnsiTheme="majorBidi" w:cstheme="majorBidi"/>
          <w:i/>
          <w:iCs/>
          <w:color w:val="000000" w:themeColor="text1"/>
          <w:sz w:val="24"/>
          <w:szCs w:val="24"/>
          <w:shd w:val="clear" w:color="auto" w:fill="FFFFFF"/>
          <w:lang w:val="en-GB"/>
        </w:rPr>
        <w:t xml:space="preserve">Work </w:t>
      </w:r>
      <w:r w:rsidR="002A301A" w:rsidRPr="00625DC2">
        <w:rPr>
          <w:rFonts w:asciiTheme="majorBidi" w:hAnsiTheme="majorBidi" w:cstheme="majorBidi"/>
          <w:i/>
          <w:iCs/>
          <w:color w:val="000000" w:themeColor="text1"/>
          <w:sz w:val="24"/>
          <w:szCs w:val="24"/>
          <w:shd w:val="clear" w:color="auto" w:fill="FFFFFF"/>
          <w:lang w:val="en-GB"/>
        </w:rPr>
        <w:t>and</w:t>
      </w:r>
      <w:r w:rsidRPr="00625DC2">
        <w:rPr>
          <w:rFonts w:asciiTheme="majorBidi" w:hAnsiTheme="majorBidi" w:cstheme="majorBidi"/>
          <w:i/>
          <w:iCs/>
          <w:color w:val="000000" w:themeColor="text1"/>
          <w:sz w:val="24"/>
          <w:szCs w:val="24"/>
          <w:shd w:val="clear" w:color="auto" w:fill="FFFFFF"/>
          <w:lang w:val="en-GB"/>
        </w:rPr>
        <w:t xml:space="preserve"> Stress</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36</w:t>
      </w:r>
      <w:r w:rsidRPr="00625DC2">
        <w:rPr>
          <w:rFonts w:asciiTheme="majorBidi" w:hAnsiTheme="majorBidi" w:cstheme="majorBidi"/>
          <w:color w:val="000000" w:themeColor="text1"/>
          <w:sz w:val="24"/>
          <w:szCs w:val="24"/>
          <w:shd w:val="clear" w:color="auto" w:fill="FFFFFF"/>
          <w:lang w:val="en-GB"/>
        </w:rPr>
        <w:t>(1), 60-85.</w:t>
      </w:r>
    </w:p>
    <w:p w:rsidR="00826079" w:rsidRPr="00625DC2" w:rsidRDefault="0082607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Singh, S.,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Sant, S. (2025). The moderating role of workplace (hybrid/remote) on employee engagement and employee turnover intention. </w:t>
      </w:r>
      <w:r w:rsidRPr="00625DC2">
        <w:rPr>
          <w:rFonts w:asciiTheme="majorBidi" w:hAnsiTheme="majorBidi" w:cstheme="majorBidi"/>
          <w:i/>
          <w:iCs/>
          <w:color w:val="000000" w:themeColor="text1"/>
          <w:sz w:val="24"/>
          <w:szCs w:val="24"/>
          <w:shd w:val="clear" w:color="auto" w:fill="FFFFFF"/>
          <w:lang w:val="en-GB"/>
        </w:rPr>
        <w:t>Employee responsibilities and rights journal</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37</w:t>
      </w:r>
      <w:r w:rsidRPr="00625DC2">
        <w:rPr>
          <w:rFonts w:asciiTheme="majorBidi" w:hAnsiTheme="majorBidi" w:cstheme="majorBidi"/>
          <w:color w:val="000000" w:themeColor="text1"/>
          <w:sz w:val="24"/>
          <w:szCs w:val="24"/>
          <w:shd w:val="clear" w:color="auto" w:fill="FFFFFF"/>
          <w:lang w:val="en-GB"/>
        </w:rPr>
        <w:t>(4), 433-448.</w:t>
      </w:r>
    </w:p>
    <w:p w:rsidR="00826079" w:rsidRPr="00625DC2" w:rsidRDefault="0082607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Sinisterra, L., Peñalver, J.,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Salanova, M. (2024). Connecting the </w:t>
      </w:r>
      <w:r w:rsidR="005537BD" w:rsidRPr="00625DC2">
        <w:rPr>
          <w:rFonts w:asciiTheme="majorBidi" w:hAnsiTheme="majorBidi" w:cstheme="majorBidi"/>
          <w:color w:val="000000" w:themeColor="text1"/>
          <w:sz w:val="24"/>
          <w:szCs w:val="24"/>
          <w:shd w:val="clear" w:color="auto" w:fill="FFFFFF"/>
          <w:lang w:val="en-GB"/>
        </w:rPr>
        <w:t>organisational</w:t>
      </w:r>
      <w:r w:rsidRPr="00625DC2">
        <w:rPr>
          <w:rFonts w:asciiTheme="majorBidi" w:hAnsiTheme="majorBidi" w:cstheme="majorBidi"/>
          <w:color w:val="000000" w:themeColor="text1"/>
          <w:sz w:val="24"/>
          <w:szCs w:val="24"/>
          <w:shd w:val="clear" w:color="auto" w:fill="FFFFFF"/>
          <w:lang w:val="en-GB"/>
        </w:rPr>
        <w:t xml:space="preserve"> incomes and outcomes: A systematic review of the relationship between talent management, employee engagement, and turnover intention. </w:t>
      </w:r>
      <w:r w:rsidRPr="00625DC2">
        <w:rPr>
          <w:rFonts w:asciiTheme="majorBidi" w:hAnsiTheme="majorBidi" w:cstheme="majorBidi"/>
          <w:i/>
          <w:iCs/>
          <w:color w:val="000000" w:themeColor="text1"/>
          <w:sz w:val="24"/>
          <w:szCs w:val="24"/>
          <w:shd w:val="clear" w:color="auto" w:fill="FFFFFF"/>
          <w:lang w:val="en-GB"/>
        </w:rPr>
        <w:t>Frontiers in psychology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15</w:t>
      </w:r>
      <w:r w:rsidRPr="00625DC2">
        <w:rPr>
          <w:rFonts w:asciiTheme="majorBidi" w:hAnsiTheme="majorBidi" w:cstheme="majorBidi"/>
          <w:color w:val="000000" w:themeColor="text1"/>
          <w:sz w:val="24"/>
          <w:szCs w:val="24"/>
          <w:shd w:val="clear" w:color="auto" w:fill="FFFFFF"/>
          <w:lang w:val="en-GB"/>
        </w:rPr>
        <w:t>, 1439127.</w:t>
      </w:r>
    </w:p>
    <w:p w:rsidR="00EE6025" w:rsidRPr="00625DC2" w:rsidRDefault="00EE6025" w:rsidP="00BA72B6">
      <w:pPr>
        <w:spacing w:line="360" w:lineRule="auto"/>
        <w:ind w:left="720" w:hanging="720"/>
        <w:rPr>
          <w:rFonts w:asciiTheme="majorBidi" w:hAnsiTheme="majorBidi" w:cstheme="majorBidi"/>
          <w:color w:val="222222"/>
          <w:sz w:val="24"/>
          <w:szCs w:val="24"/>
          <w:shd w:val="clear" w:color="auto" w:fill="FFFFFF"/>
          <w:lang w:val="en-GB"/>
        </w:rPr>
      </w:pPr>
      <w:r w:rsidRPr="00625DC2">
        <w:rPr>
          <w:rFonts w:asciiTheme="majorBidi" w:hAnsiTheme="majorBidi" w:cstheme="majorBidi"/>
          <w:color w:val="222222"/>
          <w:sz w:val="24"/>
          <w:szCs w:val="24"/>
          <w:shd w:val="clear" w:color="auto" w:fill="FFFFFF"/>
          <w:lang w:val="en-GB"/>
        </w:rPr>
        <w:t xml:space="preserve">Sostero, M., Milasi, S., Hurley, J., </w:t>
      </w:r>
      <w:r w:rsidR="002A0DB4">
        <w:rPr>
          <w:rFonts w:asciiTheme="majorBidi" w:hAnsiTheme="majorBidi" w:cstheme="majorBidi"/>
          <w:color w:val="222222"/>
          <w:sz w:val="24"/>
          <w:szCs w:val="24"/>
          <w:shd w:val="clear" w:color="auto" w:fill="FFFFFF"/>
          <w:lang w:val="en-GB"/>
        </w:rPr>
        <w:t>Fernández-Macías</w:t>
      </w:r>
      <w:r w:rsidRPr="00625DC2">
        <w:rPr>
          <w:rFonts w:asciiTheme="majorBidi" w:hAnsiTheme="majorBidi" w:cstheme="majorBidi"/>
          <w:color w:val="222222"/>
          <w:sz w:val="24"/>
          <w:szCs w:val="24"/>
          <w:shd w:val="clear" w:color="auto" w:fill="FFFFFF"/>
          <w:lang w:val="en-GB"/>
        </w:rPr>
        <w:t xml:space="preserve">, E., </w:t>
      </w:r>
      <w:r w:rsidR="004C57A6" w:rsidRPr="00625DC2">
        <w:rPr>
          <w:rFonts w:asciiTheme="majorBidi" w:hAnsiTheme="majorBidi" w:cstheme="majorBidi"/>
          <w:color w:val="222222"/>
          <w:sz w:val="24"/>
          <w:szCs w:val="24"/>
          <w:shd w:val="clear" w:color="auto" w:fill="FFFFFF"/>
          <w:lang w:val="en-GB"/>
        </w:rPr>
        <w:t>and</w:t>
      </w:r>
      <w:r w:rsidRPr="00625DC2">
        <w:rPr>
          <w:rFonts w:asciiTheme="majorBidi" w:hAnsiTheme="majorBidi" w:cstheme="majorBidi"/>
          <w:color w:val="222222"/>
          <w:sz w:val="24"/>
          <w:szCs w:val="24"/>
          <w:shd w:val="clear" w:color="auto" w:fill="FFFFFF"/>
          <w:lang w:val="en-GB"/>
        </w:rPr>
        <w:t xml:space="preserve"> Bisello, M. (2020). </w:t>
      </w:r>
      <w:r w:rsidRPr="00625DC2">
        <w:rPr>
          <w:rFonts w:asciiTheme="majorBidi" w:hAnsiTheme="majorBidi" w:cstheme="majorBidi"/>
          <w:i/>
          <w:iCs/>
          <w:color w:val="222222"/>
          <w:sz w:val="24"/>
          <w:szCs w:val="24"/>
          <w:shd w:val="clear" w:color="auto" w:fill="FFFFFF"/>
          <w:lang w:val="en-GB"/>
        </w:rPr>
        <w:t>Teleworkability and the COVID-19 crisis: a new digital divide?</w:t>
      </w:r>
      <w:r w:rsidRPr="00625DC2">
        <w:rPr>
          <w:rFonts w:asciiTheme="majorBidi" w:hAnsiTheme="majorBidi" w:cstheme="majorBidi"/>
          <w:color w:val="222222"/>
          <w:sz w:val="24"/>
          <w:szCs w:val="24"/>
          <w:shd w:val="clear" w:color="auto" w:fill="FFFFFF"/>
          <w:lang w:val="en-GB"/>
        </w:rPr>
        <w:t> (No. 2020/05). JRC working papers series on labour, education and technology.</w:t>
      </w:r>
    </w:p>
    <w:p w:rsidR="00826079" w:rsidRPr="00625DC2" w:rsidRDefault="0082607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Tavakol, M.,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Dennick, R. (2011). Making sense of Cronbach's alpha. </w:t>
      </w:r>
      <w:r w:rsidRPr="00625DC2">
        <w:rPr>
          <w:rFonts w:asciiTheme="majorBidi" w:hAnsiTheme="majorBidi" w:cstheme="majorBidi"/>
          <w:i/>
          <w:iCs/>
          <w:color w:val="000000" w:themeColor="text1"/>
          <w:sz w:val="24"/>
          <w:szCs w:val="24"/>
          <w:shd w:val="clear" w:color="auto" w:fill="FFFFFF"/>
          <w:lang w:val="en-GB"/>
        </w:rPr>
        <w:t>International journal of medical education</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2</w:t>
      </w:r>
      <w:r w:rsidRPr="00625DC2">
        <w:rPr>
          <w:rFonts w:asciiTheme="majorBidi" w:hAnsiTheme="majorBidi" w:cstheme="majorBidi"/>
          <w:color w:val="000000" w:themeColor="text1"/>
          <w:sz w:val="24"/>
          <w:szCs w:val="24"/>
          <w:shd w:val="clear" w:color="auto" w:fill="FFFFFF"/>
          <w:lang w:val="en-GB"/>
        </w:rPr>
        <w:t>, 53.</w:t>
      </w:r>
    </w:p>
    <w:p w:rsidR="002406C9" w:rsidRPr="00625DC2" w:rsidRDefault="002406C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Voss, E. (2022). </w:t>
      </w:r>
      <w:r w:rsidRPr="00625DC2">
        <w:rPr>
          <w:rFonts w:asciiTheme="majorBidi" w:hAnsiTheme="majorBidi" w:cstheme="majorBidi"/>
          <w:i/>
          <w:iCs/>
          <w:color w:val="000000" w:themeColor="text1"/>
          <w:sz w:val="24"/>
          <w:szCs w:val="24"/>
          <w:shd w:val="clear" w:color="auto" w:fill="FFFFFF"/>
          <w:lang w:val="en-GB"/>
        </w:rPr>
        <w:t>Employability in the Rail Sector in Light of Digitalisation and Automation (EDA Rail)</w:t>
      </w:r>
      <w:r w:rsidRPr="00625DC2">
        <w:rPr>
          <w:rFonts w:asciiTheme="majorBidi" w:hAnsiTheme="majorBidi" w:cstheme="majorBidi"/>
          <w:color w:val="000000" w:themeColor="text1"/>
          <w:sz w:val="24"/>
          <w:szCs w:val="24"/>
          <w:shd w:val="clear" w:color="auto" w:fill="FFFFFF"/>
          <w:lang w:val="en-GB"/>
        </w:rPr>
        <w:t>. https://www.etf-europe.org/wp-content/uploads/2022/09/Employability-in-the-Rail-Sector-in-Light-of-Digitalisation-and-Automation-EN.pdf</w:t>
      </w:r>
    </w:p>
    <w:p w:rsidR="00826079" w:rsidRPr="00625DC2" w:rsidRDefault="0082607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Wang, B., Liu, Y., Qian, J.,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Parker, S. K. (2021). Achieving effective remote working during the COVID‐19 pandemic: A work design perspective. </w:t>
      </w:r>
      <w:r w:rsidRPr="00625DC2">
        <w:rPr>
          <w:rFonts w:asciiTheme="majorBidi" w:hAnsiTheme="majorBidi" w:cstheme="majorBidi"/>
          <w:i/>
          <w:iCs/>
          <w:color w:val="000000" w:themeColor="text1"/>
          <w:sz w:val="24"/>
          <w:szCs w:val="24"/>
          <w:shd w:val="clear" w:color="auto" w:fill="FFFFFF"/>
          <w:lang w:val="en-GB"/>
        </w:rPr>
        <w:t>Applied psychology</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70</w:t>
      </w:r>
      <w:r w:rsidRPr="00625DC2">
        <w:rPr>
          <w:rFonts w:asciiTheme="majorBidi" w:hAnsiTheme="majorBidi" w:cstheme="majorBidi"/>
          <w:color w:val="000000" w:themeColor="text1"/>
          <w:sz w:val="24"/>
          <w:szCs w:val="24"/>
          <w:shd w:val="clear" w:color="auto" w:fill="FFFFFF"/>
          <w:lang w:val="en-GB"/>
        </w:rPr>
        <w:t>(1), 16-59.</w:t>
      </w:r>
    </w:p>
    <w:p w:rsidR="00826079" w:rsidRPr="00625DC2" w:rsidRDefault="0082607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lastRenderedPageBreak/>
        <w:t xml:space="preserve">Wirth, T., Rohwer, E., Jaß, L., Harth, V.,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Mache, S. (2025). Hybrid Work in German Public Administration: Social Resources, Occupational Health Literacy and Work Design Competencies in Association with Work Engagement. </w:t>
      </w:r>
      <w:r w:rsidRPr="00625DC2">
        <w:rPr>
          <w:rFonts w:asciiTheme="majorBidi" w:hAnsiTheme="majorBidi" w:cstheme="majorBidi"/>
          <w:i/>
          <w:iCs/>
          <w:color w:val="000000" w:themeColor="text1"/>
          <w:sz w:val="24"/>
          <w:szCs w:val="24"/>
          <w:shd w:val="clear" w:color="auto" w:fill="FFFFFF"/>
          <w:lang w:val="en-GB"/>
        </w:rPr>
        <w:t>Behavioral Sciences</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15</w:t>
      </w:r>
      <w:r w:rsidRPr="00625DC2">
        <w:rPr>
          <w:rFonts w:asciiTheme="majorBidi" w:hAnsiTheme="majorBidi" w:cstheme="majorBidi"/>
          <w:color w:val="000000" w:themeColor="text1"/>
          <w:sz w:val="24"/>
          <w:szCs w:val="24"/>
          <w:shd w:val="clear" w:color="auto" w:fill="FFFFFF"/>
          <w:lang w:val="en-GB"/>
        </w:rPr>
        <w:t>(8), 1123.</w:t>
      </w:r>
    </w:p>
    <w:p w:rsidR="00826079" w:rsidRPr="00625DC2" w:rsidRDefault="0082607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Wong, K., Chan, A. H.,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Teh, P. L. (2020). How is work–life balance arrangement associated with organisational performance? A meta-analysis. </w:t>
      </w:r>
      <w:r w:rsidRPr="00625DC2">
        <w:rPr>
          <w:rFonts w:asciiTheme="majorBidi" w:hAnsiTheme="majorBidi" w:cstheme="majorBidi"/>
          <w:i/>
          <w:iCs/>
          <w:color w:val="000000" w:themeColor="text1"/>
          <w:sz w:val="24"/>
          <w:szCs w:val="24"/>
          <w:shd w:val="clear" w:color="auto" w:fill="FFFFFF"/>
          <w:lang w:val="en-GB"/>
        </w:rPr>
        <w:t>International journal of environmental research and public health</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17</w:t>
      </w:r>
      <w:r w:rsidRPr="00625DC2">
        <w:rPr>
          <w:rFonts w:asciiTheme="majorBidi" w:hAnsiTheme="majorBidi" w:cstheme="majorBidi"/>
          <w:color w:val="000000" w:themeColor="text1"/>
          <w:sz w:val="24"/>
          <w:szCs w:val="24"/>
          <w:shd w:val="clear" w:color="auto" w:fill="FFFFFF"/>
          <w:lang w:val="en-GB"/>
        </w:rPr>
        <w:t>(12), 4446.</w:t>
      </w:r>
    </w:p>
    <w:p w:rsidR="00826079" w:rsidRPr="00625DC2" w:rsidRDefault="0082607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Yang, L., Holtz, D., Jaffe, S., Suri, S., Sinha, S., Weston, J., ...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Teevan, J. (2022). The effects of remote work on collaboration among information workers. </w:t>
      </w:r>
      <w:r w:rsidRPr="00625DC2">
        <w:rPr>
          <w:rFonts w:asciiTheme="majorBidi" w:hAnsiTheme="majorBidi" w:cstheme="majorBidi"/>
          <w:i/>
          <w:iCs/>
          <w:color w:val="000000" w:themeColor="text1"/>
          <w:sz w:val="24"/>
          <w:szCs w:val="24"/>
          <w:shd w:val="clear" w:color="auto" w:fill="FFFFFF"/>
          <w:lang w:val="en-GB"/>
        </w:rPr>
        <w:t>Nature human behaviour</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6</w:t>
      </w:r>
      <w:r w:rsidRPr="00625DC2">
        <w:rPr>
          <w:rFonts w:asciiTheme="majorBidi" w:hAnsiTheme="majorBidi" w:cstheme="majorBidi"/>
          <w:color w:val="000000" w:themeColor="text1"/>
          <w:sz w:val="24"/>
          <w:szCs w:val="24"/>
          <w:shd w:val="clear" w:color="auto" w:fill="FFFFFF"/>
          <w:lang w:val="en-GB"/>
        </w:rPr>
        <w:t>(1), 43-54.</w:t>
      </w:r>
    </w:p>
    <w:p w:rsidR="00826079" w:rsidRPr="00625DC2" w:rsidRDefault="00826079" w:rsidP="00BA72B6">
      <w:pPr>
        <w:spacing w:line="360" w:lineRule="auto"/>
        <w:ind w:left="720" w:hanging="720"/>
        <w:rPr>
          <w:rFonts w:asciiTheme="majorBidi" w:hAnsiTheme="majorBidi" w:cstheme="majorBidi"/>
          <w:color w:val="000000" w:themeColor="text1"/>
          <w:sz w:val="24"/>
          <w:szCs w:val="24"/>
          <w:shd w:val="clear" w:color="auto" w:fill="FFFFFF"/>
          <w:lang w:val="en-GB"/>
        </w:rPr>
      </w:pPr>
      <w:r w:rsidRPr="00625DC2">
        <w:rPr>
          <w:rFonts w:asciiTheme="majorBidi" w:hAnsiTheme="majorBidi" w:cstheme="majorBidi"/>
          <w:color w:val="000000" w:themeColor="text1"/>
          <w:sz w:val="24"/>
          <w:szCs w:val="24"/>
          <w:shd w:val="clear" w:color="auto" w:fill="FFFFFF"/>
          <w:lang w:val="en-GB"/>
        </w:rPr>
        <w:t xml:space="preserve">Zhu, L. L., Wang, H. J., Xu, Y. F., Ma, S. T., </w:t>
      </w:r>
      <w:r w:rsidR="002A301A" w:rsidRPr="00625DC2">
        <w:rPr>
          <w:rFonts w:asciiTheme="majorBidi" w:hAnsiTheme="majorBidi" w:cstheme="majorBidi"/>
          <w:color w:val="000000" w:themeColor="text1"/>
          <w:sz w:val="24"/>
          <w:szCs w:val="24"/>
          <w:shd w:val="clear" w:color="auto" w:fill="FFFFFF"/>
          <w:lang w:val="en-GB"/>
        </w:rPr>
        <w:t>and</w:t>
      </w:r>
      <w:r w:rsidRPr="00625DC2">
        <w:rPr>
          <w:rFonts w:asciiTheme="majorBidi" w:hAnsiTheme="majorBidi" w:cstheme="majorBidi"/>
          <w:color w:val="000000" w:themeColor="text1"/>
          <w:sz w:val="24"/>
          <w:szCs w:val="24"/>
          <w:shd w:val="clear" w:color="auto" w:fill="FFFFFF"/>
          <w:lang w:val="en-GB"/>
        </w:rPr>
        <w:t xml:space="preserve"> Luo, Y. Y. (2023). The effect of work engagement and perceived </w:t>
      </w:r>
      <w:r w:rsidR="005537BD" w:rsidRPr="00625DC2">
        <w:rPr>
          <w:rFonts w:asciiTheme="majorBidi" w:hAnsiTheme="majorBidi" w:cstheme="majorBidi"/>
          <w:color w:val="000000" w:themeColor="text1"/>
          <w:sz w:val="24"/>
          <w:szCs w:val="24"/>
          <w:shd w:val="clear" w:color="auto" w:fill="FFFFFF"/>
          <w:lang w:val="en-GB"/>
        </w:rPr>
        <w:t>organisational</w:t>
      </w:r>
      <w:r w:rsidRPr="00625DC2">
        <w:rPr>
          <w:rFonts w:asciiTheme="majorBidi" w:hAnsiTheme="majorBidi" w:cstheme="majorBidi"/>
          <w:color w:val="000000" w:themeColor="text1"/>
          <w:sz w:val="24"/>
          <w:szCs w:val="24"/>
          <w:shd w:val="clear" w:color="auto" w:fill="FFFFFF"/>
          <w:lang w:val="en-GB"/>
        </w:rPr>
        <w:t xml:space="preserve"> support on turnover intention among nurses: a meta‐analysis based on the Price–Mueller model. </w:t>
      </w:r>
      <w:r w:rsidRPr="00625DC2">
        <w:rPr>
          <w:rFonts w:asciiTheme="majorBidi" w:hAnsiTheme="majorBidi" w:cstheme="majorBidi"/>
          <w:i/>
          <w:iCs/>
          <w:color w:val="000000" w:themeColor="text1"/>
          <w:sz w:val="24"/>
          <w:szCs w:val="24"/>
          <w:shd w:val="clear" w:color="auto" w:fill="FFFFFF"/>
          <w:lang w:val="en-GB"/>
        </w:rPr>
        <w:t>Journal of Nursing Management</w:t>
      </w:r>
      <w:r w:rsidRPr="00625DC2">
        <w:rPr>
          <w:rFonts w:asciiTheme="majorBidi" w:hAnsiTheme="majorBidi" w:cstheme="majorBidi"/>
          <w:color w:val="000000" w:themeColor="text1"/>
          <w:sz w:val="24"/>
          <w:szCs w:val="24"/>
          <w:shd w:val="clear" w:color="auto" w:fill="FFFFFF"/>
          <w:lang w:val="en-GB"/>
        </w:rPr>
        <w:t>, </w:t>
      </w:r>
      <w:r w:rsidRPr="00625DC2">
        <w:rPr>
          <w:rFonts w:asciiTheme="majorBidi" w:hAnsiTheme="majorBidi" w:cstheme="majorBidi"/>
          <w:i/>
          <w:iCs/>
          <w:color w:val="000000" w:themeColor="text1"/>
          <w:sz w:val="24"/>
          <w:szCs w:val="24"/>
          <w:shd w:val="clear" w:color="auto" w:fill="FFFFFF"/>
          <w:lang w:val="en-GB"/>
        </w:rPr>
        <w:t>2023</w:t>
      </w:r>
      <w:r w:rsidRPr="00625DC2">
        <w:rPr>
          <w:rFonts w:asciiTheme="majorBidi" w:hAnsiTheme="majorBidi" w:cstheme="majorBidi"/>
          <w:color w:val="000000" w:themeColor="text1"/>
          <w:sz w:val="24"/>
          <w:szCs w:val="24"/>
          <w:shd w:val="clear" w:color="auto" w:fill="FFFFFF"/>
          <w:lang w:val="en-GB"/>
        </w:rPr>
        <w:t>(1), 3356620.</w:t>
      </w:r>
    </w:p>
    <w:p w:rsidR="001D0F77" w:rsidRPr="00625DC2" w:rsidRDefault="001D0F77" w:rsidP="00BA72B6">
      <w:pPr>
        <w:pStyle w:val="Heading3"/>
        <w:spacing w:line="360" w:lineRule="auto"/>
        <w:rPr>
          <w:rFonts w:asciiTheme="majorBidi" w:hAnsiTheme="majorBidi" w:cstheme="majorBidi"/>
          <w:color w:val="000000" w:themeColor="text1"/>
          <w:sz w:val="24"/>
          <w:szCs w:val="24"/>
          <w:lang w:val="en-GB"/>
        </w:rPr>
      </w:pPr>
      <w:bookmarkStart w:id="44" w:name="_Toc233458823"/>
      <w:r w:rsidRPr="00625DC2">
        <w:rPr>
          <w:rFonts w:asciiTheme="majorBidi" w:hAnsiTheme="majorBidi" w:cstheme="majorBidi"/>
          <w:color w:val="000000" w:themeColor="text1"/>
          <w:sz w:val="24"/>
          <w:szCs w:val="24"/>
          <w:lang w:val="en-GB"/>
        </w:rPr>
        <w:t>Appendices</w:t>
      </w:r>
      <w:bookmarkEnd w:id="44"/>
    </w:p>
    <w:p w:rsidR="00213A92" w:rsidRPr="00625DC2" w:rsidRDefault="00853C57" w:rsidP="00BA72B6">
      <w:pPr>
        <w:pStyle w:val="Heading3"/>
        <w:spacing w:line="360" w:lineRule="auto"/>
        <w:rPr>
          <w:rFonts w:asciiTheme="majorBidi" w:hAnsiTheme="majorBidi" w:cstheme="majorBidi"/>
          <w:color w:val="000000" w:themeColor="text1"/>
          <w:sz w:val="24"/>
          <w:szCs w:val="24"/>
          <w:lang w:val="en-GB"/>
        </w:rPr>
      </w:pPr>
      <w:bookmarkStart w:id="45" w:name="_Toc233458824"/>
      <w:r w:rsidRPr="00625DC2">
        <w:rPr>
          <w:rFonts w:asciiTheme="majorBidi" w:hAnsiTheme="majorBidi" w:cstheme="majorBidi"/>
          <w:color w:val="000000" w:themeColor="text1"/>
          <w:sz w:val="24"/>
          <w:szCs w:val="24"/>
          <w:lang w:val="en-GB"/>
        </w:rPr>
        <w:t xml:space="preserve">Appendix 1: </w:t>
      </w:r>
      <w:r w:rsidR="00213A92" w:rsidRPr="00625DC2">
        <w:rPr>
          <w:rFonts w:asciiTheme="majorBidi" w:hAnsiTheme="majorBidi" w:cstheme="majorBidi"/>
          <w:color w:val="000000" w:themeColor="text1"/>
          <w:sz w:val="24"/>
          <w:szCs w:val="24"/>
          <w:lang w:val="en-GB"/>
        </w:rPr>
        <w:t>QUESTIONNAIRE INSTRUMENT</w:t>
      </w:r>
      <w:bookmarkEnd w:id="45"/>
    </w:p>
    <w:p w:rsidR="00213A92" w:rsidRPr="00625DC2" w:rsidRDefault="00213A92" w:rsidP="00BA72B6">
      <w:pPr>
        <w:pStyle w:val="font-claude-response-body"/>
        <w:spacing w:line="360" w:lineRule="auto"/>
        <w:rPr>
          <w:rFonts w:asciiTheme="majorBidi" w:hAnsiTheme="majorBidi" w:cstheme="majorBidi"/>
          <w:color w:val="000000" w:themeColor="text1"/>
          <w:lang w:val="en-GB"/>
        </w:rPr>
      </w:pPr>
      <w:r w:rsidRPr="00625DC2">
        <w:rPr>
          <w:rStyle w:val="Strong"/>
          <w:rFonts w:asciiTheme="majorBidi" w:hAnsiTheme="majorBidi" w:cstheme="majorBidi"/>
          <w:color w:val="000000" w:themeColor="text1"/>
          <w:lang w:val="en-GB"/>
        </w:rPr>
        <w:t>Scale:</w:t>
      </w:r>
      <w:r w:rsidRPr="00625DC2">
        <w:rPr>
          <w:rFonts w:asciiTheme="majorBidi" w:hAnsiTheme="majorBidi" w:cstheme="majorBidi"/>
          <w:color w:val="000000" w:themeColor="text1"/>
          <w:lang w:val="en-GB"/>
        </w:rPr>
        <w:t xml:space="preserve"> All Section B–D items use a 5-point Likert scale: 1 = Strongly Disagree, 2 = Disagree, 3 = Neutral, 4 = Agree, 5 = Strongly Agree.</w:t>
      </w:r>
    </w:p>
    <w:p w:rsidR="00213A92" w:rsidRPr="00625DC2" w:rsidRDefault="00213A92" w:rsidP="00BA72B6">
      <w:pPr>
        <w:pStyle w:val="font-claude-response-body"/>
        <w:spacing w:line="360" w:lineRule="auto"/>
        <w:rPr>
          <w:rFonts w:asciiTheme="majorBidi" w:hAnsiTheme="majorBidi" w:cstheme="majorBidi"/>
          <w:color w:val="000000" w:themeColor="text1"/>
          <w:lang w:val="en-GB"/>
        </w:rPr>
      </w:pPr>
      <w:r w:rsidRPr="00625DC2">
        <w:rPr>
          <w:rStyle w:val="Strong"/>
          <w:rFonts w:asciiTheme="majorBidi" w:hAnsiTheme="majorBidi" w:cstheme="majorBidi"/>
          <w:color w:val="000000" w:themeColor="text1"/>
          <w:lang w:val="en-GB"/>
        </w:rPr>
        <w:t>Note on validated scales:</w:t>
      </w:r>
      <w:r w:rsidRPr="00625DC2">
        <w:rPr>
          <w:rFonts w:asciiTheme="majorBidi" w:hAnsiTheme="majorBidi" w:cstheme="majorBidi"/>
          <w:color w:val="000000" w:themeColor="text1"/>
          <w:lang w:val="en-GB"/>
        </w:rPr>
        <w:t xml:space="preserve"> Engagement items are </w:t>
      </w:r>
      <w:r w:rsidRPr="00625DC2">
        <w:rPr>
          <w:rStyle w:val="Emphasis"/>
          <w:rFonts w:asciiTheme="majorBidi" w:hAnsiTheme="majorBidi" w:cstheme="majorBidi"/>
          <w:color w:val="000000" w:themeColor="text1"/>
          <w:lang w:val="en-GB"/>
        </w:rPr>
        <w:t>adapted</w:t>
      </w:r>
      <w:r w:rsidRPr="00625DC2">
        <w:rPr>
          <w:rFonts w:asciiTheme="majorBidi" w:hAnsiTheme="majorBidi" w:cstheme="majorBidi"/>
          <w:color w:val="000000" w:themeColor="text1"/>
          <w:lang w:val="en-GB"/>
        </w:rPr>
        <w:t xml:space="preserve"> from the Utrecht Work Engagement Scale (Schaufeli et al., 2002) and turnover items from Allen et al. (2010); they are written here in original wording to respect the publishers' copyright. Before fielding, obtain the official UWES via its licensing terms and use the authorised items for final data collection.</w:t>
      </w:r>
    </w:p>
    <w:p w:rsidR="00213A92" w:rsidRPr="00625DC2" w:rsidRDefault="00213A92" w:rsidP="00BA72B6">
      <w:pPr>
        <w:pStyle w:val="Heading4"/>
        <w:spacing w:line="360" w:lineRule="auto"/>
        <w:rPr>
          <w:rFonts w:asciiTheme="majorBidi" w:hAnsiTheme="majorBidi" w:cstheme="majorBidi"/>
          <w:color w:val="000000" w:themeColor="text1"/>
          <w:lang w:val="en-GB"/>
        </w:rPr>
      </w:pPr>
      <w:r w:rsidRPr="00625DC2">
        <w:rPr>
          <w:rFonts w:asciiTheme="majorBidi" w:hAnsiTheme="majorBidi" w:cstheme="majorBidi"/>
          <w:color w:val="000000" w:themeColor="text1"/>
          <w:lang w:val="en-GB"/>
        </w:rPr>
        <w:t>Section A — Screening, Consent and Demographics</w:t>
      </w:r>
    </w:p>
    <w:p w:rsidR="00213A92" w:rsidRPr="00625DC2" w:rsidRDefault="00213A92" w:rsidP="00BA72B6">
      <w:pPr>
        <w:numPr>
          <w:ilvl w:val="0"/>
          <w:numId w:val="2"/>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A1. I confirm I have read the participant information and consent to take part. (Yes/No)</w:t>
      </w:r>
    </w:p>
    <w:p w:rsidR="00213A92" w:rsidRPr="00625DC2" w:rsidRDefault="00213A92" w:rsidP="00BA72B6">
      <w:pPr>
        <w:numPr>
          <w:ilvl w:val="0"/>
          <w:numId w:val="2"/>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A2. Do you currently work in a hybrid arrangement (split between home and workplace)? (Yes/No — </w:t>
      </w:r>
      <w:r w:rsidRPr="00625DC2">
        <w:rPr>
          <w:rStyle w:val="Emphasis"/>
          <w:rFonts w:asciiTheme="majorBidi" w:hAnsiTheme="majorBidi" w:cstheme="majorBidi"/>
          <w:color w:val="000000" w:themeColor="text1"/>
          <w:sz w:val="24"/>
          <w:szCs w:val="24"/>
          <w:lang w:val="en-GB"/>
        </w:rPr>
        <w:t>screening; "No" exits</w:t>
      </w:r>
      <w:r w:rsidRPr="00625DC2">
        <w:rPr>
          <w:rFonts w:asciiTheme="majorBidi" w:hAnsiTheme="majorBidi" w:cstheme="majorBidi"/>
          <w:color w:val="000000" w:themeColor="text1"/>
          <w:sz w:val="24"/>
          <w:szCs w:val="24"/>
          <w:lang w:val="en-GB"/>
        </w:rPr>
        <w:t>)</w:t>
      </w:r>
    </w:p>
    <w:p w:rsidR="00213A92" w:rsidRPr="00625DC2" w:rsidRDefault="00213A92" w:rsidP="00BA72B6">
      <w:pPr>
        <w:numPr>
          <w:ilvl w:val="0"/>
          <w:numId w:val="2"/>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lastRenderedPageBreak/>
        <w:t>A3. In which sector do you work? (e.g., finance, retail, hospitality, professional services, healthcare)</w:t>
      </w:r>
    </w:p>
    <w:p w:rsidR="00213A92" w:rsidRPr="00625DC2" w:rsidRDefault="00213A92" w:rsidP="00BA72B6">
      <w:pPr>
        <w:numPr>
          <w:ilvl w:val="0"/>
          <w:numId w:val="2"/>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A4. How many days per week do you typically work remotely? (0–5)</w:t>
      </w:r>
    </w:p>
    <w:p w:rsidR="00213A92" w:rsidRPr="00625DC2" w:rsidRDefault="00213A92" w:rsidP="00BA72B6">
      <w:pPr>
        <w:numPr>
          <w:ilvl w:val="0"/>
          <w:numId w:val="2"/>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A5. Tenure with current organisation: (&lt;1 yr / 1–3 yrs / 4–6 yrs / 7+ yrs)</w:t>
      </w:r>
    </w:p>
    <w:p w:rsidR="00213A92" w:rsidRPr="00625DC2" w:rsidRDefault="00213A92" w:rsidP="00BA72B6">
      <w:pPr>
        <w:numPr>
          <w:ilvl w:val="0"/>
          <w:numId w:val="2"/>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A6. Is your role customer-facing? (Yes/No)</w:t>
      </w:r>
    </w:p>
    <w:p w:rsidR="00213A92" w:rsidRPr="00625DC2" w:rsidRDefault="00213A92" w:rsidP="00BA72B6">
      <w:pPr>
        <w:pStyle w:val="Heading4"/>
        <w:spacing w:line="360" w:lineRule="auto"/>
        <w:rPr>
          <w:rFonts w:asciiTheme="majorBidi" w:hAnsiTheme="majorBidi" w:cstheme="majorBidi"/>
          <w:color w:val="000000" w:themeColor="text1"/>
          <w:lang w:val="en-GB"/>
        </w:rPr>
      </w:pPr>
      <w:r w:rsidRPr="00625DC2">
        <w:rPr>
          <w:rFonts w:asciiTheme="majorBidi" w:hAnsiTheme="majorBidi" w:cstheme="majorBidi"/>
          <w:color w:val="000000" w:themeColor="text1"/>
          <w:lang w:val="en-GB"/>
        </w:rPr>
        <w:t>Section B — Hybrid Working Practices (Independent Variable)</w:t>
      </w:r>
    </w:p>
    <w:p w:rsidR="00213A92" w:rsidRPr="00625DC2" w:rsidRDefault="00213A92" w:rsidP="00BA72B6">
      <w:pPr>
        <w:pStyle w:val="font-claude-response-body"/>
        <w:spacing w:line="360" w:lineRule="auto"/>
        <w:rPr>
          <w:rFonts w:asciiTheme="majorBidi" w:hAnsiTheme="majorBidi" w:cstheme="majorBidi"/>
          <w:color w:val="000000" w:themeColor="text1"/>
          <w:lang w:val="en-GB"/>
        </w:rPr>
      </w:pPr>
      <w:r w:rsidRPr="00625DC2">
        <w:rPr>
          <w:rStyle w:val="Strong"/>
          <w:rFonts w:asciiTheme="majorBidi" w:hAnsiTheme="majorBidi" w:cstheme="majorBidi"/>
          <w:color w:val="000000" w:themeColor="text1"/>
          <w:lang w:val="en-GB"/>
        </w:rPr>
        <w:t>Flexibility (FLX)</w:t>
      </w:r>
    </w:p>
    <w:p w:rsidR="00213A92" w:rsidRPr="00625DC2" w:rsidRDefault="00213A92" w:rsidP="00BA72B6">
      <w:pPr>
        <w:numPr>
          <w:ilvl w:val="0"/>
          <w:numId w:val="3"/>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FLX1. I have meaningful control over where I carry out my work.</w:t>
      </w:r>
    </w:p>
    <w:p w:rsidR="00213A92" w:rsidRPr="00625DC2" w:rsidRDefault="00213A92" w:rsidP="00BA72B6">
      <w:pPr>
        <w:numPr>
          <w:ilvl w:val="0"/>
          <w:numId w:val="3"/>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FLX2. My hybrid schedule allows me to balance work and personal responsibilities.</w:t>
      </w:r>
    </w:p>
    <w:p w:rsidR="00213A92" w:rsidRPr="00625DC2" w:rsidRDefault="00213A92" w:rsidP="00BA72B6">
      <w:pPr>
        <w:numPr>
          <w:ilvl w:val="0"/>
          <w:numId w:val="3"/>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FLX3. I can adjust my working pattern when my tasks require it.</w:t>
      </w:r>
    </w:p>
    <w:p w:rsidR="00213A92" w:rsidRPr="00625DC2" w:rsidRDefault="00213A92" w:rsidP="00BA72B6">
      <w:pPr>
        <w:pStyle w:val="font-claude-response-body"/>
        <w:spacing w:line="360" w:lineRule="auto"/>
        <w:rPr>
          <w:rFonts w:asciiTheme="majorBidi" w:hAnsiTheme="majorBidi" w:cstheme="majorBidi"/>
          <w:color w:val="000000" w:themeColor="text1"/>
          <w:lang w:val="en-GB"/>
        </w:rPr>
      </w:pPr>
      <w:r w:rsidRPr="00625DC2">
        <w:rPr>
          <w:rStyle w:val="Strong"/>
          <w:rFonts w:asciiTheme="majorBidi" w:hAnsiTheme="majorBidi" w:cstheme="majorBidi"/>
          <w:color w:val="000000" w:themeColor="text1"/>
          <w:lang w:val="en-GB"/>
        </w:rPr>
        <w:t>Communication Effectiveness (COM)</w:t>
      </w:r>
    </w:p>
    <w:p w:rsidR="00213A92" w:rsidRPr="00625DC2" w:rsidRDefault="00213A92" w:rsidP="00BA72B6">
      <w:pPr>
        <w:numPr>
          <w:ilvl w:val="0"/>
          <w:numId w:val="4"/>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COM1. Communication with my team works well under our hybrid arrangement.</w:t>
      </w:r>
    </w:p>
    <w:p w:rsidR="00213A92" w:rsidRPr="00625DC2" w:rsidRDefault="00213A92" w:rsidP="00BA72B6">
      <w:pPr>
        <w:numPr>
          <w:ilvl w:val="0"/>
          <w:numId w:val="4"/>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COM2. I receive timely information needed to do my job remotely.</w:t>
      </w:r>
    </w:p>
    <w:p w:rsidR="00213A92" w:rsidRPr="00625DC2" w:rsidRDefault="00213A92" w:rsidP="00BA72B6">
      <w:pPr>
        <w:numPr>
          <w:ilvl w:val="0"/>
          <w:numId w:val="4"/>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COM3. Hybrid working has not weakened collaboration within my team.</w:t>
      </w:r>
    </w:p>
    <w:p w:rsidR="00213A92" w:rsidRPr="00625DC2" w:rsidRDefault="00213A92" w:rsidP="00BA72B6">
      <w:pPr>
        <w:pStyle w:val="font-claude-response-body"/>
        <w:spacing w:line="360" w:lineRule="auto"/>
        <w:rPr>
          <w:rFonts w:asciiTheme="majorBidi" w:hAnsiTheme="majorBidi" w:cstheme="majorBidi"/>
          <w:color w:val="000000" w:themeColor="text1"/>
          <w:lang w:val="en-GB"/>
        </w:rPr>
      </w:pPr>
      <w:r w:rsidRPr="00625DC2">
        <w:rPr>
          <w:rStyle w:val="Strong"/>
          <w:rFonts w:asciiTheme="majorBidi" w:hAnsiTheme="majorBidi" w:cstheme="majorBidi"/>
          <w:color w:val="000000" w:themeColor="text1"/>
          <w:lang w:val="en-GB"/>
        </w:rPr>
        <w:t>Managerial Support (MGR)</w:t>
      </w:r>
    </w:p>
    <w:p w:rsidR="00213A92" w:rsidRPr="00625DC2" w:rsidRDefault="00213A92" w:rsidP="00BA72B6">
      <w:pPr>
        <w:numPr>
          <w:ilvl w:val="0"/>
          <w:numId w:val="5"/>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MGR1. My manager provides clear guidance while I work in a hybrid pattern.</w:t>
      </w:r>
    </w:p>
    <w:p w:rsidR="00213A92" w:rsidRPr="00625DC2" w:rsidRDefault="00213A92" w:rsidP="00BA72B6">
      <w:pPr>
        <w:numPr>
          <w:ilvl w:val="0"/>
          <w:numId w:val="5"/>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MGR2. My manager evaluates my work fairly regardless of where I work.</w:t>
      </w:r>
    </w:p>
    <w:p w:rsidR="00213A92" w:rsidRPr="00625DC2" w:rsidRDefault="00213A92" w:rsidP="00BA72B6">
      <w:pPr>
        <w:numPr>
          <w:ilvl w:val="0"/>
          <w:numId w:val="5"/>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MGR3. I feel supported by my manager when working remotely.</w:t>
      </w:r>
    </w:p>
    <w:p w:rsidR="00213A92" w:rsidRPr="00625DC2" w:rsidRDefault="00213A92" w:rsidP="00BA72B6">
      <w:pPr>
        <w:pStyle w:val="font-claude-response-body"/>
        <w:spacing w:line="360" w:lineRule="auto"/>
        <w:rPr>
          <w:rFonts w:asciiTheme="majorBidi" w:hAnsiTheme="majorBidi" w:cstheme="majorBidi"/>
          <w:color w:val="000000" w:themeColor="text1"/>
          <w:lang w:val="en-GB"/>
        </w:rPr>
      </w:pPr>
      <w:r w:rsidRPr="00625DC2">
        <w:rPr>
          <w:rStyle w:val="Strong"/>
          <w:rFonts w:asciiTheme="majorBidi" w:hAnsiTheme="majorBidi" w:cstheme="majorBidi"/>
          <w:color w:val="000000" w:themeColor="text1"/>
          <w:lang w:val="en-GB"/>
        </w:rPr>
        <w:t>Resource Access (RES)</w:t>
      </w:r>
    </w:p>
    <w:p w:rsidR="00213A92" w:rsidRPr="00625DC2" w:rsidRDefault="00213A92" w:rsidP="00BA72B6">
      <w:pPr>
        <w:numPr>
          <w:ilvl w:val="0"/>
          <w:numId w:val="6"/>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RES1. I have the technology and tools needed to work effectively from any location.</w:t>
      </w:r>
    </w:p>
    <w:p w:rsidR="00213A92" w:rsidRPr="00625DC2" w:rsidRDefault="00213A92" w:rsidP="00BA72B6">
      <w:pPr>
        <w:numPr>
          <w:ilvl w:val="0"/>
          <w:numId w:val="6"/>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RES2. My organisation provides adequate resources to support hybrid working.</w:t>
      </w:r>
    </w:p>
    <w:p w:rsidR="00213A92" w:rsidRPr="00625DC2" w:rsidRDefault="00213A92" w:rsidP="00BA72B6">
      <w:pPr>
        <w:numPr>
          <w:ilvl w:val="0"/>
          <w:numId w:val="6"/>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RES3. Technical or access problems rarely disrupt my hybrid work. </w:t>
      </w:r>
      <w:r w:rsidRPr="00625DC2">
        <w:rPr>
          <w:rStyle w:val="Emphasis"/>
          <w:rFonts w:asciiTheme="majorBidi" w:hAnsiTheme="majorBidi" w:cstheme="majorBidi"/>
          <w:color w:val="000000" w:themeColor="text1"/>
          <w:sz w:val="24"/>
          <w:szCs w:val="24"/>
          <w:lang w:val="en-GB"/>
        </w:rPr>
        <w:t>(reverse-coded if reworded)</w:t>
      </w:r>
    </w:p>
    <w:p w:rsidR="00213A92" w:rsidRPr="00625DC2" w:rsidRDefault="00213A92" w:rsidP="00BA72B6">
      <w:pPr>
        <w:pStyle w:val="Heading4"/>
        <w:spacing w:line="360" w:lineRule="auto"/>
        <w:rPr>
          <w:rFonts w:asciiTheme="majorBidi" w:hAnsiTheme="majorBidi" w:cstheme="majorBidi"/>
          <w:color w:val="000000" w:themeColor="text1"/>
          <w:lang w:val="en-GB"/>
        </w:rPr>
      </w:pPr>
      <w:r w:rsidRPr="00625DC2">
        <w:rPr>
          <w:rFonts w:asciiTheme="majorBidi" w:hAnsiTheme="majorBidi" w:cstheme="majorBidi"/>
          <w:color w:val="000000" w:themeColor="text1"/>
          <w:lang w:val="en-GB"/>
        </w:rPr>
        <w:lastRenderedPageBreak/>
        <w:t xml:space="preserve">Section C — Employee Engagement (Mediator) </w:t>
      </w:r>
      <w:r w:rsidRPr="00625DC2">
        <w:rPr>
          <w:rStyle w:val="Emphasis"/>
          <w:rFonts w:asciiTheme="majorBidi" w:hAnsiTheme="majorBidi" w:cstheme="majorBidi"/>
          <w:color w:val="000000" w:themeColor="text1"/>
          <w:lang w:val="en-GB"/>
        </w:rPr>
        <w:t>(adapted from UWES: vigour, dedication, absorption)</w:t>
      </w:r>
    </w:p>
    <w:p w:rsidR="00213A92" w:rsidRPr="00625DC2" w:rsidRDefault="00213A92" w:rsidP="00BA72B6">
      <w:pPr>
        <w:numPr>
          <w:ilvl w:val="0"/>
          <w:numId w:val="7"/>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ENG1. I feel energetic when carrying out my work. </w:t>
      </w:r>
      <w:r w:rsidRPr="00625DC2">
        <w:rPr>
          <w:rStyle w:val="Emphasis"/>
          <w:rFonts w:asciiTheme="majorBidi" w:hAnsiTheme="majorBidi" w:cstheme="majorBidi"/>
          <w:color w:val="000000" w:themeColor="text1"/>
          <w:sz w:val="24"/>
          <w:szCs w:val="24"/>
          <w:lang w:val="en-GB"/>
        </w:rPr>
        <w:t>(vigour)</w:t>
      </w:r>
    </w:p>
    <w:p w:rsidR="00213A92" w:rsidRPr="00625DC2" w:rsidRDefault="00213A92" w:rsidP="00BA72B6">
      <w:pPr>
        <w:numPr>
          <w:ilvl w:val="0"/>
          <w:numId w:val="7"/>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ENG2. I am willing to put in extra effort when needed. </w:t>
      </w:r>
      <w:r w:rsidRPr="00625DC2">
        <w:rPr>
          <w:rStyle w:val="Emphasis"/>
          <w:rFonts w:asciiTheme="majorBidi" w:hAnsiTheme="majorBidi" w:cstheme="majorBidi"/>
          <w:color w:val="000000" w:themeColor="text1"/>
          <w:sz w:val="24"/>
          <w:szCs w:val="24"/>
          <w:lang w:val="en-GB"/>
        </w:rPr>
        <w:t>(vigour)</w:t>
      </w:r>
    </w:p>
    <w:p w:rsidR="00213A92" w:rsidRPr="00625DC2" w:rsidRDefault="00213A92" w:rsidP="00BA72B6">
      <w:pPr>
        <w:numPr>
          <w:ilvl w:val="0"/>
          <w:numId w:val="7"/>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ENG3. I find my work meaningful and worthwhile. </w:t>
      </w:r>
      <w:r w:rsidRPr="00625DC2">
        <w:rPr>
          <w:rStyle w:val="Emphasis"/>
          <w:rFonts w:asciiTheme="majorBidi" w:hAnsiTheme="majorBidi" w:cstheme="majorBidi"/>
          <w:color w:val="000000" w:themeColor="text1"/>
          <w:sz w:val="24"/>
          <w:szCs w:val="24"/>
          <w:lang w:val="en-GB"/>
        </w:rPr>
        <w:t>(dedication)</w:t>
      </w:r>
    </w:p>
    <w:p w:rsidR="00213A92" w:rsidRPr="00625DC2" w:rsidRDefault="00213A92" w:rsidP="00BA72B6">
      <w:pPr>
        <w:numPr>
          <w:ilvl w:val="0"/>
          <w:numId w:val="7"/>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ENG4. I am enthusiastic about my job. </w:t>
      </w:r>
      <w:r w:rsidRPr="00625DC2">
        <w:rPr>
          <w:rStyle w:val="Emphasis"/>
          <w:rFonts w:asciiTheme="majorBidi" w:hAnsiTheme="majorBidi" w:cstheme="majorBidi"/>
          <w:color w:val="000000" w:themeColor="text1"/>
          <w:sz w:val="24"/>
          <w:szCs w:val="24"/>
          <w:lang w:val="en-GB"/>
        </w:rPr>
        <w:t>(dedication)</w:t>
      </w:r>
    </w:p>
    <w:p w:rsidR="00213A92" w:rsidRPr="00625DC2" w:rsidRDefault="00213A92" w:rsidP="00BA72B6">
      <w:pPr>
        <w:numPr>
          <w:ilvl w:val="0"/>
          <w:numId w:val="7"/>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ENG5. I become fully absorbed when I am working. </w:t>
      </w:r>
      <w:r w:rsidRPr="00625DC2">
        <w:rPr>
          <w:rStyle w:val="Emphasis"/>
          <w:rFonts w:asciiTheme="majorBidi" w:hAnsiTheme="majorBidi" w:cstheme="majorBidi"/>
          <w:color w:val="000000" w:themeColor="text1"/>
          <w:sz w:val="24"/>
          <w:szCs w:val="24"/>
          <w:lang w:val="en-GB"/>
        </w:rPr>
        <w:t>(absorption)</w:t>
      </w:r>
    </w:p>
    <w:p w:rsidR="00213A92" w:rsidRPr="00625DC2" w:rsidRDefault="00213A92" w:rsidP="00BA72B6">
      <w:pPr>
        <w:numPr>
          <w:ilvl w:val="0"/>
          <w:numId w:val="7"/>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 xml:space="preserve">ENG6. Time passes quickly when I am engaged in my tasks. </w:t>
      </w:r>
      <w:r w:rsidRPr="00625DC2">
        <w:rPr>
          <w:rStyle w:val="Emphasis"/>
          <w:rFonts w:asciiTheme="majorBidi" w:hAnsiTheme="majorBidi" w:cstheme="majorBidi"/>
          <w:color w:val="000000" w:themeColor="text1"/>
          <w:sz w:val="24"/>
          <w:szCs w:val="24"/>
          <w:lang w:val="en-GB"/>
        </w:rPr>
        <w:t>(absorption)</w:t>
      </w:r>
    </w:p>
    <w:p w:rsidR="00213A92" w:rsidRPr="00625DC2" w:rsidRDefault="00213A92" w:rsidP="00BA72B6">
      <w:pPr>
        <w:pStyle w:val="Heading4"/>
        <w:spacing w:line="360" w:lineRule="auto"/>
        <w:rPr>
          <w:rFonts w:asciiTheme="majorBidi" w:hAnsiTheme="majorBidi" w:cstheme="majorBidi"/>
          <w:color w:val="000000" w:themeColor="text1"/>
          <w:lang w:val="en-GB"/>
        </w:rPr>
      </w:pPr>
      <w:r w:rsidRPr="00625DC2">
        <w:rPr>
          <w:rFonts w:asciiTheme="majorBidi" w:hAnsiTheme="majorBidi" w:cstheme="majorBidi"/>
          <w:color w:val="000000" w:themeColor="text1"/>
          <w:lang w:val="en-GB"/>
        </w:rPr>
        <w:t xml:space="preserve">Section D — Turnover Intention (Dependent Variable) </w:t>
      </w:r>
      <w:r w:rsidRPr="00625DC2">
        <w:rPr>
          <w:rStyle w:val="Emphasis"/>
          <w:rFonts w:asciiTheme="majorBidi" w:hAnsiTheme="majorBidi" w:cstheme="majorBidi"/>
          <w:color w:val="000000" w:themeColor="text1"/>
          <w:lang w:val="en-GB"/>
        </w:rPr>
        <w:t>(adapted from Allen et al., 2010)</w:t>
      </w:r>
    </w:p>
    <w:p w:rsidR="00213A92" w:rsidRPr="00625DC2" w:rsidRDefault="00213A92" w:rsidP="00BA72B6">
      <w:pPr>
        <w:numPr>
          <w:ilvl w:val="0"/>
          <w:numId w:val="8"/>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TI1. I often think about leaving my current organisation.</w:t>
      </w:r>
    </w:p>
    <w:p w:rsidR="00213A92" w:rsidRPr="00625DC2" w:rsidRDefault="00213A92" w:rsidP="00BA72B6">
      <w:pPr>
        <w:numPr>
          <w:ilvl w:val="0"/>
          <w:numId w:val="8"/>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TI2. I am likely to search for a new job within the next year.</w:t>
      </w:r>
    </w:p>
    <w:p w:rsidR="00213A92" w:rsidRPr="00625DC2" w:rsidRDefault="00213A92" w:rsidP="00BA72B6">
      <w:pPr>
        <w:numPr>
          <w:ilvl w:val="0"/>
          <w:numId w:val="8"/>
        </w:numPr>
        <w:spacing w:before="100" w:beforeAutospacing="1" w:after="100" w:afterAutospacing="1" w:line="360" w:lineRule="auto"/>
        <w:rPr>
          <w:rFonts w:asciiTheme="majorBidi" w:hAnsiTheme="majorBidi" w:cstheme="majorBidi"/>
          <w:color w:val="000000" w:themeColor="text1"/>
          <w:sz w:val="24"/>
          <w:szCs w:val="24"/>
          <w:lang w:val="en-GB"/>
        </w:rPr>
      </w:pPr>
      <w:r w:rsidRPr="00625DC2">
        <w:rPr>
          <w:rFonts w:asciiTheme="majorBidi" w:hAnsiTheme="majorBidi" w:cstheme="majorBidi"/>
          <w:color w:val="000000" w:themeColor="text1"/>
          <w:sz w:val="24"/>
          <w:szCs w:val="24"/>
          <w:lang w:val="en-GB"/>
        </w:rPr>
        <w:t>TI3. If I received another suitable offer, I would probably leave.</w:t>
      </w:r>
    </w:p>
    <w:p w:rsidR="00841E18" w:rsidRPr="00625DC2" w:rsidRDefault="00841E18" w:rsidP="00BA72B6">
      <w:pPr>
        <w:pStyle w:val="font-claude-response-body"/>
        <w:spacing w:line="360" w:lineRule="auto"/>
        <w:rPr>
          <w:rFonts w:asciiTheme="majorBidi" w:hAnsiTheme="majorBidi" w:cstheme="majorBidi"/>
          <w:color w:val="000000" w:themeColor="text1"/>
          <w:lang w:val="en-GB"/>
        </w:rPr>
      </w:pPr>
    </w:p>
    <w:sectPr w:rsidR="00841E18" w:rsidRPr="00625DC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245E" w:rsidRDefault="00D4245E" w:rsidP="00E74034">
      <w:pPr>
        <w:spacing w:after="0" w:line="240" w:lineRule="auto"/>
      </w:pPr>
      <w:r>
        <w:separator/>
      </w:r>
    </w:p>
  </w:endnote>
  <w:endnote w:type="continuationSeparator" w:id="0">
    <w:p w:rsidR="00D4245E" w:rsidRDefault="00D4245E" w:rsidP="00E740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245E" w:rsidRDefault="00D4245E" w:rsidP="00E74034">
      <w:pPr>
        <w:spacing w:after="0" w:line="240" w:lineRule="auto"/>
      </w:pPr>
      <w:r>
        <w:separator/>
      </w:r>
    </w:p>
  </w:footnote>
  <w:footnote w:type="continuationSeparator" w:id="0">
    <w:p w:rsidR="00D4245E" w:rsidRDefault="00D4245E" w:rsidP="00E740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F47AD"/>
    <w:multiLevelType w:val="multilevel"/>
    <w:tmpl w:val="F258B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60CE3"/>
    <w:multiLevelType w:val="multilevel"/>
    <w:tmpl w:val="1172B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76E86"/>
    <w:multiLevelType w:val="multilevel"/>
    <w:tmpl w:val="A9129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3109DF"/>
    <w:multiLevelType w:val="multilevel"/>
    <w:tmpl w:val="BF34D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AB0ECA"/>
    <w:multiLevelType w:val="multilevel"/>
    <w:tmpl w:val="1B8AC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A97A1D"/>
    <w:multiLevelType w:val="multilevel"/>
    <w:tmpl w:val="0862E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321B39"/>
    <w:multiLevelType w:val="multilevel"/>
    <w:tmpl w:val="08A27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D6266E"/>
    <w:multiLevelType w:val="multilevel"/>
    <w:tmpl w:val="0396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E15B42"/>
    <w:multiLevelType w:val="multilevel"/>
    <w:tmpl w:val="56C43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6"/>
  </w:num>
  <w:num w:numId="4">
    <w:abstractNumId w:val="3"/>
  </w:num>
  <w:num w:numId="5">
    <w:abstractNumId w:val="1"/>
  </w:num>
  <w:num w:numId="6">
    <w:abstractNumId w:val="8"/>
  </w:num>
  <w:num w:numId="7">
    <w:abstractNumId w:val="0"/>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49F1"/>
    <w:rsid w:val="00021F35"/>
    <w:rsid w:val="000A3837"/>
    <w:rsid w:val="000D0E6A"/>
    <w:rsid w:val="000E2EE7"/>
    <w:rsid w:val="000E71C8"/>
    <w:rsid w:val="000F1563"/>
    <w:rsid w:val="00141612"/>
    <w:rsid w:val="00147084"/>
    <w:rsid w:val="00170779"/>
    <w:rsid w:val="001B79AE"/>
    <w:rsid w:val="001D0F77"/>
    <w:rsid w:val="00205C54"/>
    <w:rsid w:val="00213A92"/>
    <w:rsid w:val="002300B9"/>
    <w:rsid w:val="002406C9"/>
    <w:rsid w:val="00241449"/>
    <w:rsid w:val="0024174E"/>
    <w:rsid w:val="00252672"/>
    <w:rsid w:val="00284A18"/>
    <w:rsid w:val="002A0DB4"/>
    <w:rsid w:val="002A301A"/>
    <w:rsid w:val="002C5BB0"/>
    <w:rsid w:val="002E11C0"/>
    <w:rsid w:val="003010D8"/>
    <w:rsid w:val="00315020"/>
    <w:rsid w:val="00400F5B"/>
    <w:rsid w:val="00462375"/>
    <w:rsid w:val="004A170F"/>
    <w:rsid w:val="004B49F1"/>
    <w:rsid w:val="004C57A6"/>
    <w:rsid w:val="00514ADE"/>
    <w:rsid w:val="005537BD"/>
    <w:rsid w:val="00557B66"/>
    <w:rsid w:val="00570743"/>
    <w:rsid w:val="0060384F"/>
    <w:rsid w:val="00625DC2"/>
    <w:rsid w:val="00646915"/>
    <w:rsid w:val="00657458"/>
    <w:rsid w:val="006E07B9"/>
    <w:rsid w:val="006F5488"/>
    <w:rsid w:val="00726A3F"/>
    <w:rsid w:val="00751D90"/>
    <w:rsid w:val="00763C5A"/>
    <w:rsid w:val="007723B7"/>
    <w:rsid w:val="007871CF"/>
    <w:rsid w:val="00793248"/>
    <w:rsid w:val="007C5A7F"/>
    <w:rsid w:val="007C5B00"/>
    <w:rsid w:val="00806A16"/>
    <w:rsid w:val="00826079"/>
    <w:rsid w:val="00841E18"/>
    <w:rsid w:val="00843576"/>
    <w:rsid w:val="00844EFB"/>
    <w:rsid w:val="00853C57"/>
    <w:rsid w:val="0086103C"/>
    <w:rsid w:val="008A1BAE"/>
    <w:rsid w:val="008D19C7"/>
    <w:rsid w:val="00902C53"/>
    <w:rsid w:val="009B7C96"/>
    <w:rsid w:val="009D535C"/>
    <w:rsid w:val="00A26A68"/>
    <w:rsid w:val="00A352E9"/>
    <w:rsid w:val="00A44F6A"/>
    <w:rsid w:val="00A47457"/>
    <w:rsid w:val="00A640B6"/>
    <w:rsid w:val="00A64932"/>
    <w:rsid w:val="00A71CDA"/>
    <w:rsid w:val="00A90C77"/>
    <w:rsid w:val="00A979D9"/>
    <w:rsid w:val="00AA1CC9"/>
    <w:rsid w:val="00AD375C"/>
    <w:rsid w:val="00AF0E42"/>
    <w:rsid w:val="00B07F5A"/>
    <w:rsid w:val="00B91919"/>
    <w:rsid w:val="00BA3B15"/>
    <w:rsid w:val="00BA48E0"/>
    <w:rsid w:val="00BA72B6"/>
    <w:rsid w:val="00C225EF"/>
    <w:rsid w:val="00C26B41"/>
    <w:rsid w:val="00C34A65"/>
    <w:rsid w:val="00C6420F"/>
    <w:rsid w:val="00CD74CF"/>
    <w:rsid w:val="00CF1D61"/>
    <w:rsid w:val="00D4245E"/>
    <w:rsid w:val="00D45492"/>
    <w:rsid w:val="00D851A5"/>
    <w:rsid w:val="00D934FA"/>
    <w:rsid w:val="00DF7CC2"/>
    <w:rsid w:val="00E2498B"/>
    <w:rsid w:val="00E515B9"/>
    <w:rsid w:val="00E74034"/>
    <w:rsid w:val="00EA0287"/>
    <w:rsid w:val="00EA33B9"/>
    <w:rsid w:val="00EA623C"/>
    <w:rsid w:val="00ED108A"/>
    <w:rsid w:val="00EE6025"/>
    <w:rsid w:val="00F1028B"/>
    <w:rsid w:val="00F66D97"/>
    <w:rsid w:val="00F864FF"/>
    <w:rsid w:val="00FA00DB"/>
    <w:rsid w:val="00FE0568"/>
    <w:rsid w:val="00FE2FE2"/>
    <w:rsid w:val="00FF0B4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93883"/>
  <w15:docId w15:val="{6D7261BB-4579-41BD-9D3B-8737035C4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44F6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44F6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4B49F1"/>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4B49F1"/>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B49F1"/>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4B49F1"/>
    <w:rPr>
      <w:rFonts w:ascii="Times New Roman" w:eastAsia="Times New Roman" w:hAnsi="Times New Roman" w:cs="Times New Roman"/>
      <w:b/>
      <w:bCs/>
      <w:sz w:val="24"/>
      <w:szCs w:val="24"/>
    </w:rPr>
  </w:style>
  <w:style w:type="paragraph" w:customStyle="1" w:styleId="font-claude-response-body">
    <w:name w:val="font-claude-response-body"/>
    <w:basedOn w:val="Normal"/>
    <w:rsid w:val="004B49F1"/>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B49F1"/>
    <w:rPr>
      <w:i/>
      <w:iCs/>
    </w:rPr>
  </w:style>
  <w:style w:type="character" w:styleId="Strong">
    <w:name w:val="Strong"/>
    <w:basedOn w:val="DefaultParagraphFont"/>
    <w:uiPriority w:val="22"/>
    <w:qFormat/>
    <w:rsid w:val="00AD375C"/>
    <w:rPr>
      <w:b/>
      <w:bCs/>
    </w:rPr>
  </w:style>
  <w:style w:type="character" w:customStyle="1" w:styleId="animatingbsh3210">
    <w:name w:val="_animating_bsh32_10"/>
    <w:basedOn w:val="DefaultParagraphFont"/>
    <w:rsid w:val="00213A92"/>
  </w:style>
  <w:style w:type="character" w:customStyle="1" w:styleId="absolute">
    <w:name w:val="absolute"/>
    <w:basedOn w:val="DefaultParagraphFont"/>
    <w:rsid w:val="00213A92"/>
  </w:style>
  <w:style w:type="character" w:customStyle="1" w:styleId="inline-flex">
    <w:name w:val="inline-flex"/>
    <w:basedOn w:val="DefaultParagraphFont"/>
    <w:rsid w:val="00213A92"/>
  </w:style>
  <w:style w:type="character" w:customStyle="1" w:styleId="transition-all">
    <w:name w:val="transition-all"/>
    <w:basedOn w:val="DefaultParagraphFont"/>
    <w:rsid w:val="00213A92"/>
  </w:style>
  <w:style w:type="table" w:styleId="TableGrid">
    <w:name w:val="Table Grid"/>
    <w:basedOn w:val="TableNormal"/>
    <w:uiPriority w:val="59"/>
    <w:rsid w:val="000D0E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41E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1E18"/>
    <w:rPr>
      <w:rFonts w:ascii="Tahoma" w:hAnsi="Tahoma" w:cs="Tahoma"/>
      <w:sz w:val="16"/>
      <w:szCs w:val="16"/>
    </w:rPr>
  </w:style>
  <w:style w:type="character" w:customStyle="1" w:styleId="opacity-50">
    <w:name w:val="opacity-50"/>
    <w:basedOn w:val="DefaultParagraphFont"/>
    <w:rsid w:val="002A301A"/>
  </w:style>
  <w:style w:type="paragraph" w:customStyle="1" w:styleId="font-base">
    <w:name w:val="font-base"/>
    <w:basedOn w:val="Normal"/>
    <w:rsid w:val="002A301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44F6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44F6A"/>
    <w:rPr>
      <w:rFonts w:asciiTheme="majorHAnsi" w:eastAsiaTheme="majorEastAsia" w:hAnsiTheme="majorHAnsi" w:cstheme="majorBidi"/>
      <w:b/>
      <w:bCs/>
      <w:color w:val="4F81BD" w:themeColor="accent1"/>
      <w:sz w:val="26"/>
      <w:szCs w:val="26"/>
    </w:rPr>
  </w:style>
  <w:style w:type="table" w:styleId="LightList-Accent1">
    <w:name w:val="Light List Accent 1"/>
    <w:basedOn w:val="TableNormal"/>
    <w:uiPriority w:val="61"/>
    <w:rsid w:val="00C225E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paragraph" w:styleId="Header">
    <w:name w:val="header"/>
    <w:basedOn w:val="Normal"/>
    <w:link w:val="HeaderChar"/>
    <w:uiPriority w:val="99"/>
    <w:unhideWhenUsed/>
    <w:rsid w:val="00E740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4034"/>
  </w:style>
  <w:style w:type="paragraph" w:styleId="Footer">
    <w:name w:val="footer"/>
    <w:basedOn w:val="Normal"/>
    <w:link w:val="FooterChar"/>
    <w:uiPriority w:val="99"/>
    <w:unhideWhenUsed/>
    <w:rsid w:val="00E740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4034"/>
  </w:style>
  <w:style w:type="paragraph" w:styleId="TOCHeading">
    <w:name w:val="TOC Heading"/>
    <w:basedOn w:val="Heading1"/>
    <w:next w:val="Normal"/>
    <w:uiPriority w:val="39"/>
    <w:semiHidden/>
    <w:unhideWhenUsed/>
    <w:qFormat/>
    <w:rsid w:val="0060384F"/>
    <w:pPr>
      <w:outlineLvl w:val="9"/>
    </w:pPr>
    <w:rPr>
      <w:lang w:eastAsia="ja-JP"/>
    </w:rPr>
  </w:style>
  <w:style w:type="paragraph" w:styleId="TOC1">
    <w:name w:val="toc 1"/>
    <w:basedOn w:val="Normal"/>
    <w:next w:val="Normal"/>
    <w:autoRedefine/>
    <w:uiPriority w:val="39"/>
    <w:unhideWhenUsed/>
    <w:rsid w:val="0060384F"/>
    <w:pPr>
      <w:spacing w:after="100"/>
    </w:pPr>
  </w:style>
  <w:style w:type="paragraph" w:styleId="TOC2">
    <w:name w:val="toc 2"/>
    <w:basedOn w:val="Normal"/>
    <w:next w:val="Normal"/>
    <w:autoRedefine/>
    <w:uiPriority w:val="39"/>
    <w:unhideWhenUsed/>
    <w:rsid w:val="0060384F"/>
    <w:pPr>
      <w:spacing w:after="100"/>
      <w:ind w:left="220"/>
    </w:pPr>
  </w:style>
  <w:style w:type="paragraph" w:styleId="TOC3">
    <w:name w:val="toc 3"/>
    <w:basedOn w:val="Normal"/>
    <w:next w:val="Normal"/>
    <w:autoRedefine/>
    <w:uiPriority w:val="39"/>
    <w:unhideWhenUsed/>
    <w:rsid w:val="0060384F"/>
    <w:pPr>
      <w:spacing w:after="100"/>
      <w:ind w:left="440"/>
    </w:pPr>
  </w:style>
  <w:style w:type="character" w:styleId="Hyperlink">
    <w:name w:val="Hyperlink"/>
    <w:basedOn w:val="DefaultParagraphFont"/>
    <w:uiPriority w:val="99"/>
    <w:unhideWhenUsed/>
    <w:rsid w:val="0060384F"/>
    <w:rPr>
      <w:color w:val="0000FF" w:themeColor="hyperlink"/>
      <w:u w:val="single"/>
    </w:rPr>
  </w:style>
  <w:style w:type="paragraph" w:styleId="NormalWeb">
    <w:name w:val="Normal (Web)"/>
    <w:basedOn w:val="Normal"/>
    <w:uiPriority w:val="99"/>
    <w:semiHidden/>
    <w:unhideWhenUsed/>
    <w:rsid w:val="00EA33B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79076">
      <w:bodyDiv w:val="1"/>
      <w:marLeft w:val="0"/>
      <w:marRight w:val="0"/>
      <w:marTop w:val="0"/>
      <w:marBottom w:val="0"/>
      <w:divBdr>
        <w:top w:val="none" w:sz="0" w:space="0" w:color="auto"/>
        <w:left w:val="none" w:sz="0" w:space="0" w:color="auto"/>
        <w:bottom w:val="none" w:sz="0" w:space="0" w:color="auto"/>
        <w:right w:val="none" w:sz="0" w:space="0" w:color="auto"/>
      </w:divBdr>
    </w:div>
    <w:div w:id="64381855">
      <w:bodyDiv w:val="1"/>
      <w:marLeft w:val="0"/>
      <w:marRight w:val="0"/>
      <w:marTop w:val="0"/>
      <w:marBottom w:val="0"/>
      <w:divBdr>
        <w:top w:val="none" w:sz="0" w:space="0" w:color="auto"/>
        <w:left w:val="none" w:sz="0" w:space="0" w:color="auto"/>
        <w:bottom w:val="none" w:sz="0" w:space="0" w:color="auto"/>
        <w:right w:val="none" w:sz="0" w:space="0" w:color="auto"/>
      </w:divBdr>
      <w:divsChild>
        <w:div w:id="3926307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891657">
      <w:bodyDiv w:val="1"/>
      <w:marLeft w:val="0"/>
      <w:marRight w:val="0"/>
      <w:marTop w:val="0"/>
      <w:marBottom w:val="0"/>
      <w:divBdr>
        <w:top w:val="none" w:sz="0" w:space="0" w:color="auto"/>
        <w:left w:val="none" w:sz="0" w:space="0" w:color="auto"/>
        <w:bottom w:val="none" w:sz="0" w:space="0" w:color="auto"/>
        <w:right w:val="none" w:sz="0" w:space="0" w:color="auto"/>
      </w:divBdr>
    </w:div>
    <w:div w:id="71586209">
      <w:bodyDiv w:val="1"/>
      <w:marLeft w:val="0"/>
      <w:marRight w:val="0"/>
      <w:marTop w:val="0"/>
      <w:marBottom w:val="0"/>
      <w:divBdr>
        <w:top w:val="none" w:sz="0" w:space="0" w:color="auto"/>
        <w:left w:val="none" w:sz="0" w:space="0" w:color="auto"/>
        <w:bottom w:val="none" w:sz="0" w:space="0" w:color="auto"/>
        <w:right w:val="none" w:sz="0" w:space="0" w:color="auto"/>
      </w:divBdr>
      <w:divsChild>
        <w:div w:id="15881560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0464863">
      <w:bodyDiv w:val="1"/>
      <w:marLeft w:val="0"/>
      <w:marRight w:val="0"/>
      <w:marTop w:val="0"/>
      <w:marBottom w:val="0"/>
      <w:divBdr>
        <w:top w:val="none" w:sz="0" w:space="0" w:color="auto"/>
        <w:left w:val="none" w:sz="0" w:space="0" w:color="auto"/>
        <w:bottom w:val="none" w:sz="0" w:space="0" w:color="auto"/>
        <w:right w:val="none" w:sz="0" w:space="0" w:color="auto"/>
      </w:divBdr>
      <w:divsChild>
        <w:div w:id="20504455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969742">
      <w:bodyDiv w:val="1"/>
      <w:marLeft w:val="0"/>
      <w:marRight w:val="0"/>
      <w:marTop w:val="0"/>
      <w:marBottom w:val="0"/>
      <w:divBdr>
        <w:top w:val="none" w:sz="0" w:space="0" w:color="auto"/>
        <w:left w:val="none" w:sz="0" w:space="0" w:color="auto"/>
        <w:bottom w:val="none" w:sz="0" w:space="0" w:color="auto"/>
        <w:right w:val="none" w:sz="0" w:space="0" w:color="auto"/>
      </w:divBdr>
      <w:divsChild>
        <w:div w:id="7473831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78996889">
      <w:bodyDiv w:val="1"/>
      <w:marLeft w:val="0"/>
      <w:marRight w:val="0"/>
      <w:marTop w:val="0"/>
      <w:marBottom w:val="0"/>
      <w:divBdr>
        <w:top w:val="none" w:sz="0" w:space="0" w:color="auto"/>
        <w:left w:val="none" w:sz="0" w:space="0" w:color="auto"/>
        <w:bottom w:val="none" w:sz="0" w:space="0" w:color="auto"/>
        <w:right w:val="none" w:sz="0" w:space="0" w:color="auto"/>
      </w:divBdr>
      <w:divsChild>
        <w:div w:id="19706245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01273019">
      <w:bodyDiv w:val="1"/>
      <w:marLeft w:val="0"/>
      <w:marRight w:val="0"/>
      <w:marTop w:val="0"/>
      <w:marBottom w:val="0"/>
      <w:divBdr>
        <w:top w:val="none" w:sz="0" w:space="0" w:color="auto"/>
        <w:left w:val="none" w:sz="0" w:space="0" w:color="auto"/>
        <w:bottom w:val="none" w:sz="0" w:space="0" w:color="auto"/>
        <w:right w:val="none" w:sz="0" w:space="0" w:color="auto"/>
      </w:divBdr>
    </w:div>
    <w:div w:id="329715676">
      <w:bodyDiv w:val="1"/>
      <w:marLeft w:val="0"/>
      <w:marRight w:val="0"/>
      <w:marTop w:val="0"/>
      <w:marBottom w:val="0"/>
      <w:divBdr>
        <w:top w:val="none" w:sz="0" w:space="0" w:color="auto"/>
        <w:left w:val="none" w:sz="0" w:space="0" w:color="auto"/>
        <w:bottom w:val="none" w:sz="0" w:space="0" w:color="auto"/>
        <w:right w:val="none" w:sz="0" w:space="0" w:color="auto"/>
      </w:divBdr>
      <w:divsChild>
        <w:div w:id="8391990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3750223">
      <w:bodyDiv w:val="1"/>
      <w:marLeft w:val="0"/>
      <w:marRight w:val="0"/>
      <w:marTop w:val="0"/>
      <w:marBottom w:val="0"/>
      <w:divBdr>
        <w:top w:val="none" w:sz="0" w:space="0" w:color="auto"/>
        <w:left w:val="none" w:sz="0" w:space="0" w:color="auto"/>
        <w:bottom w:val="none" w:sz="0" w:space="0" w:color="auto"/>
        <w:right w:val="none" w:sz="0" w:space="0" w:color="auto"/>
      </w:divBdr>
    </w:div>
    <w:div w:id="377321805">
      <w:bodyDiv w:val="1"/>
      <w:marLeft w:val="0"/>
      <w:marRight w:val="0"/>
      <w:marTop w:val="0"/>
      <w:marBottom w:val="0"/>
      <w:divBdr>
        <w:top w:val="none" w:sz="0" w:space="0" w:color="auto"/>
        <w:left w:val="none" w:sz="0" w:space="0" w:color="auto"/>
        <w:bottom w:val="none" w:sz="0" w:space="0" w:color="auto"/>
        <w:right w:val="none" w:sz="0" w:space="0" w:color="auto"/>
      </w:divBdr>
      <w:divsChild>
        <w:div w:id="1023704514">
          <w:marLeft w:val="0"/>
          <w:marRight w:val="0"/>
          <w:marTop w:val="0"/>
          <w:marBottom w:val="0"/>
          <w:divBdr>
            <w:top w:val="none" w:sz="0" w:space="0" w:color="auto"/>
            <w:left w:val="none" w:sz="0" w:space="0" w:color="auto"/>
            <w:bottom w:val="none" w:sz="0" w:space="0" w:color="auto"/>
            <w:right w:val="none" w:sz="0" w:space="0" w:color="auto"/>
          </w:divBdr>
        </w:div>
        <w:div w:id="599023034">
          <w:marLeft w:val="0"/>
          <w:marRight w:val="0"/>
          <w:marTop w:val="0"/>
          <w:marBottom w:val="0"/>
          <w:divBdr>
            <w:top w:val="none" w:sz="0" w:space="0" w:color="auto"/>
            <w:left w:val="none" w:sz="0" w:space="0" w:color="auto"/>
            <w:bottom w:val="none" w:sz="0" w:space="0" w:color="auto"/>
            <w:right w:val="none" w:sz="0" w:space="0" w:color="auto"/>
          </w:divBdr>
        </w:div>
        <w:div w:id="1542135849">
          <w:marLeft w:val="0"/>
          <w:marRight w:val="0"/>
          <w:marTop w:val="0"/>
          <w:marBottom w:val="0"/>
          <w:divBdr>
            <w:top w:val="none" w:sz="0" w:space="0" w:color="auto"/>
            <w:left w:val="none" w:sz="0" w:space="0" w:color="auto"/>
            <w:bottom w:val="none" w:sz="0" w:space="0" w:color="auto"/>
            <w:right w:val="none" w:sz="0" w:space="0" w:color="auto"/>
          </w:divBdr>
        </w:div>
        <w:div w:id="1754009200">
          <w:marLeft w:val="0"/>
          <w:marRight w:val="0"/>
          <w:marTop w:val="0"/>
          <w:marBottom w:val="0"/>
          <w:divBdr>
            <w:top w:val="none" w:sz="0" w:space="0" w:color="auto"/>
            <w:left w:val="none" w:sz="0" w:space="0" w:color="auto"/>
            <w:bottom w:val="none" w:sz="0" w:space="0" w:color="auto"/>
            <w:right w:val="none" w:sz="0" w:space="0" w:color="auto"/>
          </w:divBdr>
        </w:div>
        <w:div w:id="1825464880">
          <w:marLeft w:val="0"/>
          <w:marRight w:val="0"/>
          <w:marTop w:val="0"/>
          <w:marBottom w:val="0"/>
          <w:divBdr>
            <w:top w:val="none" w:sz="0" w:space="0" w:color="auto"/>
            <w:left w:val="none" w:sz="0" w:space="0" w:color="auto"/>
            <w:bottom w:val="none" w:sz="0" w:space="0" w:color="auto"/>
            <w:right w:val="none" w:sz="0" w:space="0" w:color="auto"/>
          </w:divBdr>
        </w:div>
        <w:div w:id="1729255475">
          <w:marLeft w:val="0"/>
          <w:marRight w:val="0"/>
          <w:marTop w:val="0"/>
          <w:marBottom w:val="0"/>
          <w:divBdr>
            <w:top w:val="none" w:sz="0" w:space="0" w:color="auto"/>
            <w:left w:val="none" w:sz="0" w:space="0" w:color="auto"/>
            <w:bottom w:val="none" w:sz="0" w:space="0" w:color="auto"/>
            <w:right w:val="none" w:sz="0" w:space="0" w:color="auto"/>
          </w:divBdr>
        </w:div>
        <w:div w:id="1104499773">
          <w:marLeft w:val="0"/>
          <w:marRight w:val="0"/>
          <w:marTop w:val="0"/>
          <w:marBottom w:val="0"/>
          <w:divBdr>
            <w:top w:val="none" w:sz="0" w:space="0" w:color="auto"/>
            <w:left w:val="none" w:sz="0" w:space="0" w:color="auto"/>
            <w:bottom w:val="none" w:sz="0" w:space="0" w:color="auto"/>
            <w:right w:val="none" w:sz="0" w:space="0" w:color="auto"/>
          </w:divBdr>
        </w:div>
        <w:div w:id="921178047">
          <w:marLeft w:val="0"/>
          <w:marRight w:val="0"/>
          <w:marTop w:val="0"/>
          <w:marBottom w:val="0"/>
          <w:divBdr>
            <w:top w:val="none" w:sz="0" w:space="0" w:color="auto"/>
            <w:left w:val="none" w:sz="0" w:space="0" w:color="auto"/>
            <w:bottom w:val="none" w:sz="0" w:space="0" w:color="auto"/>
            <w:right w:val="none" w:sz="0" w:space="0" w:color="auto"/>
          </w:divBdr>
        </w:div>
        <w:div w:id="388844860">
          <w:marLeft w:val="0"/>
          <w:marRight w:val="0"/>
          <w:marTop w:val="0"/>
          <w:marBottom w:val="0"/>
          <w:divBdr>
            <w:top w:val="none" w:sz="0" w:space="0" w:color="auto"/>
            <w:left w:val="none" w:sz="0" w:space="0" w:color="auto"/>
            <w:bottom w:val="none" w:sz="0" w:space="0" w:color="auto"/>
            <w:right w:val="none" w:sz="0" w:space="0" w:color="auto"/>
          </w:divBdr>
        </w:div>
        <w:div w:id="584344600">
          <w:marLeft w:val="0"/>
          <w:marRight w:val="0"/>
          <w:marTop w:val="0"/>
          <w:marBottom w:val="0"/>
          <w:divBdr>
            <w:top w:val="none" w:sz="0" w:space="0" w:color="auto"/>
            <w:left w:val="none" w:sz="0" w:space="0" w:color="auto"/>
            <w:bottom w:val="none" w:sz="0" w:space="0" w:color="auto"/>
            <w:right w:val="none" w:sz="0" w:space="0" w:color="auto"/>
          </w:divBdr>
        </w:div>
        <w:div w:id="175654740">
          <w:marLeft w:val="0"/>
          <w:marRight w:val="0"/>
          <w:marTop w:val="0"/>
          <w:marBottom w:val="0"/>
          <w:divBdr>
            <w:top w:val="none" w:sz="0" w:space="0" w:color="auto"/>
            <w:left w:val="none" w:sz="0" w:space="0" w:color="auto"/>
            <w:bottom w:val="none" w:sz="0" w:space="0" w:color="auto"/>
            <w:right w:val="none" w:sz="0" w:space="0" w:color="auto"/>
          </w:divBdr>
        </w:div>
        <w:div w:id="128672222">
          <w:marLeft w:val="0"/>
          <w:marRight w:val="0"/>
          <w:marTop w:val="0"/>
          <w:marBottom w:val="0"/>
          <w:divBdr>
            <w:top w:val="none" w:sz="0" w:space="0" w:color="auto"/>
            <w:left w:val="none" w:sz="0" w:space="0" w:color="auto"/>
            <w:bottom w:val="none" w:sz="0" w:space="0" w:color="auto"/>
            <w:right w:val="none" w:sz="0" w:space="0" w:color="auto"/>
          </w:divBdr>
        </w:div>
      </w:divsChild>
    </w:div>
    <w:div w:id="392586653">
      <w:bodyDiv w:val="1"/>
      <w:marLeft w:val="0"/>
      <w:marRight w:val="0"/>
      <w:marTop w:val="0"/>
      <w:marBottom w:val="0"/>
      <w:divBdr>
        <w:top w:val="none" w:sz="0" w:space="0" w:color="auto"/>
        <w:left w:val="none" w:sz="0" w:space="0" w:color="auto"/>
        <w:bottom w:val="none" w:sz="0" w:space="0" w:color="auto"/>
        <w:right w:val="none" w:sz="0" w:space="0" w:color="auto"/>
      </w:divBdr>
      <w:divsChild>
        <w:div w:id="20788212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46201302">
      <w:bodyDiv w:val="1"/>
      <w:marLeft w:val="0"/>
      <w:marRight w:val="0"/>
      <w:marTop w:val="0"/>
      <w:marBottom w:val="0"/>
      <w:divBdr>
        <w:top w:val="none" w:sz="0" w:space="0" w:color="auto"/>
        <w:left w:val="none" w:sz="0" w:space="0" w:color="auto"/>
        <w:bottom w:val="none" w:sz="0" w:space="0" w:color="auto"/>
        <w:right w:val="none" w:sz="0" w:space="0" w:color="auto"/>
      </w:divBdr>
      <w:divsChild>
        <w:div w:id="9291924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3281437">
      <w:bodyDiv w:val="1"/>
      <w:marLeft w:val="0"/>
      <w:marRight w:val="0"/>
      <w:marTop w:val="0"/>
      <w:marBottom w:val="0"/>
      <w:divBdr>
        <w:top w:val="none" w:sz="0" w:space="0" w:color="auto"/>
        <w:left w:val="none" w:sz="0" w:space="0" w:color="auto"/>
        <w:bottom w:val="none" w:sz="0" w:space="0" w:color="auto"/>
        <w:right w:val="none" w:sz="0" w:space="0" w:color="auto"/>
      </w:divBdr>
      <w:divsChild>
        <w:div w:id="624773139">
          <w:marLeft w:val="0"/>
          <w:marRight w:val="0"/>
          <w:marTop w:val="0"/>
          <w:marBottom w:val="0"/>
          <w:divBdr>
            <w:top w:val="none" w:sz="0" w:space="0" w:color="auto"/>
            <w:left w:val="none" w:sz="0" w:space="0" w:color="auto"/>
            <w:bottom w:val="none" w:sz="0" w:space="0" w:color="auto"/>
            <w:right w:val="none" w:sz="0" w:space="0" w:color="auto"/>
          </w:divBdr>
          <w:divsChild>
            <w:div w:id="363940470">
              <w:marLeft w:val="0"/>
              <w:marRight w:val="0"/>
              <w:marTop w:val="0"/>
              <w:marBottom w:val="0"/>
              <w:divBdr>
                <w:top w:val="none" w:sz="0" w:space="0" w:color="auto"/>
                <w:left w:val="none" w:sz="0" w:space="0" w:color="auto"/>
                <w:bottom w:val="none" w:sz="0" w:space="0" w:color="auto"/>
                <w:right w:val="none" w:sz="0" w:space="0" w:color="auto"/>
              </w:divBdr>
              <w:divsChild>
                <w:div w:id="1656301838">
                  <w:marLeft w:val="0"/>
                  <w:marRight w:val="0"/>
                  <w:marTop w:val="0"/>
                  <w:marBottom w:val="0"/>
                  <w:divBdr>
                    <w:top w:val="none" w:sz="0" w:space="0" w:color="auto"/>
                    <w:left w:val="none" w:sz="0" w:space="0" w:color="auto"/>
                    <w:bottom w:val="none" w:sz="0" w:space="0" w:color="auto"/>
                    <w:right w:val="none" w:sz="0" w:space="0" w:color="auto"/>
                  </w:divBdr>
                  <w:divsChild>
                    <w:div w:id="319038209">
                      <w:marLeft w:val="0"/>
                      <w:marRight w:val="0"/>
                      <w:marTop w:val="0"/>
                      <w:marBottom w:val="0"/>
                      <w:divBdr>
                        <w:top w:val="none" w:sz="0" w:space="0" w:color="auto"/>
                        <w:left w:val="none" w:sz="0" w:space="0" w:color="auto"/>
                        <w:bottom w:val="none" w:sz="0" w:space="0" w:color="auto"/>
                        <w:right w:val="none" w:sz="0" w:space="0" w:color="auto"/>
                      </w:divBdr>
                      <w:divsChild>
                        <w:div w:id="961378329">
                          <w:marLeft w:val="0"/>
                          <w:marRight w:val="0"/>
                          <w:marTop w:val="0"/>
                          <w:marBottom w:val="0"/>
                          <w:divBdr>
                            <w:top w:val="none" w:sz="0" w:space="0" w:color="auto"/>
                            <w:left w:val="none" w:sz="0" w:space="0" w:color="auto"/>
                            <w:bottom w:val="none" w:sz="0" w:space="0" w:color="auto"/>
                            <w:right w:val="none" w:sz="0" w:space="0" w:color="auto"/>
                          </w:divBdr>
                          <w:divsChild>
                            <w:div w:id="1049915598">
                              <w:marLeft w:val="0"/>
                              <w:marRight w:val="0"/>
                              <w:marTop w:val="0"/>
                              <w:marBottom w:val="0"/>
                              <w:divBdr>
                                <w:top w:val="none" w:sz="0" w:space="0" w:color="auto"/>
                                <w:left w:val="none" w:sz="0" w:space="0" w:color="auto"/>
                                <w:bottom w:val="none" w:sz="0" w:space="0" w:color="auto"/>
                                <w:right w:val="none" w:sz="0" w:space="0" w:color="auto"/>
                              </w:divBdr>
                              <w:divsChild>
                                <w:div w:id="1136988656">
                                  <w:marLeft w:val="0"/>
                                  <w:marRight w:val="0"/>
                                  <w:marTop w:val="0"/>
                                  <w:marBottom w:val="0"/>
                                  <w:divBdr>
                                    <w:top w:val="none" w:sz="0" w:space="0" w:color="auto"/>
                                    <w:left w:val="none" w:sz="0" w:space="0" w:color="auto"/>
                                    <w:bottom w:val="none" w:sz="0" w:space="0" w:color="auto"/>
                                    <w:right w:val="none" w:sz="0" w:space="0" w:color="auto"/>
                                  </w:divBdr>
                                  <w:divsChild>
                                    <w:div w:id="971863257">
                                      <w:marLeft w:val="0"/>
                                      <w:marRight w:val="0"/>
                                      <w:marTop w:val="0"/>
                                      <w:marBottom w:val="0"/>
                                      <w:divBdr>
                                        <w:top w:val="none" w:sz="0" w:space="0" w:color="auto"/>
                                        <w:left w:val="none" w:sz="0" w:space="0" w:color="auto"/>
                                        <w:bottom w:val="none" w:sz="0" w:space="0" w:color="auto"/>
                                        <w:right w:val="none" w:sz="0" w:space="0" w:color="auto"/>
                                      </w:divBdr>
                                      <w:divsChild>
                                        <w:div w:id="409930721">
                                          <w:marLeft w:val="0"/>
                                          <w:marRight w:val="0"/>
                                          <w:marTop w:val="0"/>
                                          <w:marBottom w:val="0"/>
                                          <w:divBdr>
                                            <w:top w:val="none" w:sz="0" w:space="0" w:color="auto"/>
                                            <w:left w:val="none" w:sz="0" w:space="0" w:color="auto"/>
                                            <w:bottom w:val="none" w:sz="0" w:space="0" w:color="auto"/>
                                            <w:right w:val="none" w:sz="0" w:space="0" w:color="auto"/>
                                          </w:divBdr>
                                          <w:divsChild>
                                            <w:div w:id="1400443619">
                                              <w:marLeft w:val="0"/>
                                              <w:marRight w:val="0"/>
                                              <w:marTop w:val="0"/>
                                              <w:marBottom w:val="0"/>
                                              <w:divBdr>
                                                <w:top w:val="none" w:sz="0" w:space="0" w:color="auto"/>
                                                <w:left w:val="none" w:sz="0" w:space="0" w:color="auto"/>
                                                <w:bottom w:val="none" w:sz="0" w:space="0" w:color="auto"/>
                                                <w:right w:val="none" w:sz="0" w:space="0" w:color="auto"/>
                                              </w:divBdr>
                                              <w:divsChild>
                                                <w:div w:id="1020738993">
                                                  <w:marLeft w:val="0"/>
                                                  <w:marRight w:val="0"/>
                                                  <w:marTop w:val="0"/>
                                                  <w:marBottom w:val="0"/>
                                                  <w:divBdr>
                                                    <w:top w:val="none" w:sz="0" w:space="0" w:color="auto"/>
                                                    <w:left w:val="none" w:sz="0" w:space="0" w:color="auto"/>
                                                    <w:bottom w:val="none" w:sz="0" w:space="0" w:color="auto"/>
                                                    <w:right w:val="none" w:sz="0" w:space="0" w:color="auto"/>
                                                  </w:divBdr>
                                                  <w:divsChild>
                                                    <w:div w:id="2082944716">
                                                      <w:marLeft w:val="0"/>
                                                      <w:marRight w:val="0"/>
                                                      <w:marTop w:val="0"/>
                                                      <w:marBottom w:val="0"/>
                                                      <w:divBdr>
                                                        <w:top w:val="none" w:sz="0" w:space="0" w:color="auto"/>
                                                        <w:left w:val="none" w:sz="0" w:space="0" w:color="auto"/>
                                                        <w:bottom w:val="none" w:sz="0" w:space="0" w:color="auto"/>
                                                        <w:right w:val="none" w:sz="0" w:space="0" w:color="auto"/>
                                                      </w:divBdr>
                                                      <w:divsChild>
                                                        <w:div w:id="2026977306">
                                                          <w:blockQuote w:val="1"/>
                                                          <w:marLeft w:val="720"/>
                                                          <w:marRight w:val="720"/>
                                                          <w:marTop w:val="100"/>
                                                          <w:marBottom w:val="100"/>
                                                          <w:divBdr>
                                                            <w:top w:val="none" w:sz="0" w:space="0" w:color="auto"/>
                                                            <w:left w:val="none" w:sz="0" w:space="0" w:color="auto"/>
                                                            <w:bottom w:val="none" w:sz="0" w:space="0" w:color="auto"/>
                                                            <w:right w:val="none" w:sz="0" w:space="0" w:color="auto"/>
                                                          </w:divBdr>
                                                        </w:div>
                                                        <w:div w:id="86725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9178050">
                      <w:marLeft w:val="0"/>
                      <w:marRight w:val="0"/>
                      <w:marTop w:val="0"/>
                      <w:marBottom w:val="0"/>
                      <w:divBdr>
                        <w:top w:val="none" w:sz="0" w:space="0" w:color="auto"/>
                        <w:left w:val="none" w:sz="0" w:space="0" w:color="auto"/>
                        <w:bottom w:val="none" w:sz="0" w:space="0" w:color="auto"/>
                        <w:right w:val="none" w:sz="0" w:space="0" w:color="auto"/>
                      </w:divBdr>
                      <w:divsChild>
                        <w:div w:id="457186805">
                          <w:marLeft w:val="0"/>
                          <w:marRight w:val="0"/>
                          <w:marTop w:val="0"/>
                          <w:marBottom w:val="0"/>
                          <w:divBdr>
                            <w:top w:val="none" w:sz="0" w:space="0" w:color="auto"/>
                            <w:left w:val="none" w:sz="0" w:space="0" w:color="auto"/>
                            <w:bottom w:val="none" w:sz="0" w:space="0" w:color="auto"/>
                            <w:right w:val="none" w:sz="0" w:space="0" w:color="auto"/>
                          </w:divBdr>
                          <w:divsChild>
                            <w:div w:id="671876464">
                              <w:marLeft w:val="0"/>
                              <w:marRight w:val="0"/>
                              <w:marTop w:val="0"/>
                              <w:marBottom w:val="0"/>
                              <w:divBdr>
                                <w:top w:val="none" w:sz="0" w:space="0" w:color="auto"/>
                                <w:left w:val="none" w:sz="0" w:space="0" w:color="auto"/>
                                <w:bottom w:val="none" w:sz="0" w:space="0" w:color="auto"/>
                                <w:right w:val="none" w:sz="0" w:space="0" w:color="auto"/>
                              </w:divBdr>
                              <w:divsChild>
                                <w:div w:id="200239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1801447">
      <w:bodyDiv w:val="1"/>
      <w:marLeft w:val="0"/>
      <w:marRight w:val="0"/>
      <w:marTop w:val="0"/>
      <w:marBottom w:val="0"/>
      <w:divBdr>
        <w:top w:val="none" w:sz="0" w:space="0" w:color="auto"/>
        <w:left w:val="none" w:sz="0" w:space="0" w:color="auto"/>
        <w:bottom w:val="none" w:sz="0" w:space="0" w:color="auto"/>
        <w:right w:val="none" w:sz="0" w:space="0" w:color="auto"/>
      </w:divBdr>
      <w:divsChild>
        <w:div w:id="11456589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08850782">
      <w:bodyDiv w:val="1"/>
      <w:marLeft w:val="0"/>
      <w:marRight w:val="0"/>
      <w:marTop w:val="0"/>
      <w:marBottom w:val="0"/>
      <w:divBdr>
        <w:top w:val="none" w:sz="0" w:space="0" w:color="auto"/>
        <w:left w:val="none" w:sz="0" w:space="0" w:color="auto"/>
        <w:bottom w:val="none" w:sz="0" w:space="0" w:color="auto"/>
        <w:right w:val="none" w:sz="0" w:space="0" w:color="auto"/>
      </w:divBdr>
      <w:divsChild>
        <w:div w:id="5712792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3872177">
      <w:bodyDiv w:val="1"/>
      <w:marLeft w:val="0"/>
      <w:marRight w:val="0"/>
      <w:marTop w:val="0"/>
      <w:marBottom w:val="0"/>
      <w:divBdr>
        <w:top w:val="none" w:sz="0" w:space="0" w:color="auto"/>
        <w:left w:val="none" w:sz="0" w:space="0" w:color="auto"/>
        <w:bottom w:val="none" w:sz="0" w:space="0" w:color="auto"/>
        <w:right w:val="none" w:sz="0" w:space="0" w:color="auto"/>
      </w:divBdr>
    </w:div>
    <w:div w:id="658466249">
      <w:bodyDiv w:val="1"/>
      <w:marLeft w:val="0"/>
      <w:marRight w:val="0"/>
      <w:marTop w:val="0"/>
      <w:marBottom w:val="0"/>
      <w:divBdr>
        <w:top w:val="none" w:sz="0" w:space="0" w:color="auto"/>
        <w:left w:val="none" w:sz="0" w:space="0" w:color="auto"/>
        <w:bottom w:val="none" w:sz="0" w:space="0" w:color="auto"/>
        <w:right w:val="none" w:sz="0" w:space="0" w:color="auto"/>
      </w:divBdr>
      <w:divsChild>
        <w:div w:id="17415609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07485844">
      <w:bodyDiv w:val="1"/>
      <w:marLeft w:val="0"/>
      <w:marRight w:val="0"/>
      <w:marTop w:val="0"/>
      <w:marBottom w:val="0"/>
      <w:divBdr>
        <w:top w:val="none" w:sz="0" w:space="0" w:color="auto"/>
        <w:left w:val="none" w:sz="0" w:space="0" w:color="auto"/>
        <w:bottom w:val="none" w:sz="0" w:space="0" w:color="auto"/>
        <w:right w:val="none" w:sz="0" w:space="0" w:color="auto"/>
      </w:divBdr>
      <w:divsChild>
        <w:div w:id="14326299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37748425">
      <w:bodyDiv w:val="1"/>
      <w:marLeft w:val="0"/>
      <w:marRight w:val="0"/>
      <w:marTop w:val="0"/>
      <w:marBottom w:val="0"/>
      <w:divBdr>
        <w:top w:val="none" w:sz="0" w:space="0" w:color="auto"/>
        <w:left w:val="none" w:sz="0" w:space="0" w:color="auto"/>
        <w:bottom w:val="none" w:sz="0" w:space="0" w:color="auto"/>
        <w:right w:val="none" w:sz="0" w:space="0" w:color="auto"/>
      </w:divBdr>
      <w:divsChild>
        <w:div w:id="7711263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5832794">
      <w:bodyDiv w:val="1"/>
      <w:marLeft w:val="0"/>
      <w:marRight w:val="0"/>
      <w:marTop w:val="0"/>
      <w:marBottom w:val="0"/>
      <w:divBdr>
        <w:top w:val="none" w:sz="0" w:space="0" w:color="auto"/>
        <w:left w:val="none" w:sz="0" w:space="0" w:color="auto"/>
        <w:bottom w:val="none" w:sz="0" w:space="0" w:color="auto"/>
        <w:right w:val="none" w:sz="0" w:space="0" w:color="auto"/>
      </w:divBdr>
      <w:divsChild>
        <w:div w:id="11752216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9867420">
      <w:bodyDiv w:val="1"/>
      <w:marLeft w:val="0"/>
      <w:marRight w:val="0"/>
      <w:marTop w:val="0"/>
      <w:marBottom w:val="0"/>
      <w:divBdr>
        <w:top w:val="none" w:sz="0" w:space="0" w:color="auto"/>
        <w:left w:val="none" w:sz="0" w:space="0" w:color="auto"/>
        <w:bottom w:val="none" w:sz="0" w:space="0" w:color="auto"/>
        <w:right w:val="none" w:sz="0" w:space="0" w:color="auto"/>
      </w:divBdr>
      <w:divsChild>
        <w:div w:id="1946566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0332302">
      <w:bodyDiv w:val="1"/>
      <w:marLeft w:val="0"/>
      <w:marRight w:val="0"/>
      <w:marTop w:val="0"/>
      <w:marBottom w:val="0"/>
      <w:divBdr>
        <w:top w:val="none" w:sz="0" w:space="0" w:color="auto"/>
        <w:left w:val="none" w:sz="0" w:space="0" w:color="auto"/>
        <w:bottom w:val="none" w:sz="0" w:space="0" w:color="auto"/>
        <w:right w:val="none" w:sz="0" w:space="0" w:color="auto"/>
      </w:divBdr>
    </w:div>
    <w:div w:id="999773051">
      <w:bodyDiv w:val="1"/>
      <w:marLeft w:val="0"/>
      <w:marRight w:val="0"/>
      <w:marTop w:val="0"/>
      <w:marBottom w:val="0"/>
      <w:divBdr>
        <w:top w:val="none" w:sz="0" w:space="0" w:color="auto"/>
        <w:left w:val="none" w:sz="0" w:space="0" w:color="auto"/>
        <w:bottom w:val="none" w:sz="0" w:space="0" w:color="auto"/>
        <w:right w:val="none" w:sz="0" w:space="0" w:color="auto"/>
      </w:divBdr>
      <w:divsChild>
        <w:div w:id="5747528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7097682">
      <w:bodyDiv w:val="1"/>
      <w:marLeft w:val="0"/>
      <w:marRight w:val="0"/>
      <w:marTop w:val="0"/>
      <w:marBottom w:val="0"/>
      <w:divBdr>
        <w:top w:val="none" w:sz="0" w:space="0" w:color="auto"/>
        <w:left w:val="none" w:sz="0" w:space="0" w:color="auto"/>
        <w:bottom w:val="none" w:sz="0" w:space="0" w:color="auto"/>
        <w:right w:val="none" w:sz="0" w:space="0" w:color="auto"/>
      </w:divBdr>
      <w:divsChild>
        <w:div w:id="12539317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69572805">
      <w:bodyDiv w:val="1"/>
      <w:marLeft w:val="0"/>
      <w:marRight w:val="0"/>
      <w:marTop w:val="0"/>
      <w:marBottom w:val="0"/>
      <w:divBdr>
        <w:top w:val="none" w:sz="0" w:space="0" w:color="auto"/>
        <w:left w:val="none" w:sz="0" w:space="0" w:color="auto"/>
        <w:bottom w:val="none" w:sz="0" w:space="0" w:color="auto"/>
        <w:right w:val="none" w:sz="0" w:space="0" w:color="auto"/>
      </w:divBdr>
    </w:div>
    <w:div w:id="1075131721">
      <w:bodyDiv w:val="1"/>
      <w:marLeft w:val="0"/>
      <w:marRight w:val="0"/>
      <w:marTop w:val="0"/>
      <w:marBottom w:val="0"/>
      <w:divBdr>
        <w:top w:val="none" w:sz="0" w:space="0" w:color="auto"/>
        <w:left w:val="none" w:sz="0" w:space="0" w:color="auto"/>
        <w:bottom w:val="none" w:sz="0" w:space="0" w:color="auto"/>
        <w:right w:val="none" w:sz="0" w:space="0" w:color="auto"/>
      </w:divBdr>
    </w:div>
    <w:div w:id="1167552112">
      <w:bodyDiv w:val="1"/>
      <w:marLeft w:val="0"/>
      <w:marRight w:val="0"/>
      <w:marTop w:val="0"/>
      <w:marBottom w:val="0"/>
      <w:divBdr>
        <w:top w:val="none" w:sz="0" w:space="0" w:color="auto"/>
        <w:left w:val="none" w:sz="0" w:space="0" w:color="auto"/>
        <w:bottom w:val="none" w:sz="0" w:space="0" w:color="auto"/>
        <w:right w:val="none" w:sz="0" w:space="0" w:color="auto"/>
      </w:divBdr>
      <w:divsChild>
        <w:div w:id="5523497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2133096">
      <w:bodyDiv w:val="1"/>
      <w:marLeft w:val="0"/>
      <w:marRight w:val="0"/>
      <w:marTop w:val="0"/>
      <w:marBottom w:val="0"/>
      <w:divBdr>
        <w:top w:val="none" w:sz="0" w:space="0" w:color="auto"/>
        <w:left w:val="none" w:sz="0" w:space="0" w:color="auto"/>
        <w:bottom w:val="none" w:sz="0" w:space="0" w:color="auto"/>
        <w:right w:val="none" w:sz="0" w:space="0" w:color="auto"/>
      </w:divBdr>
    </w:div>
    <w:div w:id="1307928097">
      <w:bodyDiv w:val="1"/>
      <w:marLeft w:val="0"/>
      <w:marRight w:val="0"/>
      <w:marTop w:val="0"/>
      <w:marBottom w:val="0"/>
      <w:divBdr>
        <w:top w:val="none" w:sz="0" w:space="0" w:color="auto"/>
        <w:left w:val="none" w:sz="0" w:space="0" w:color="auto"/>
        <w:bottom w:val="none" w:sz="0" w:space="0" w:color="auto"/>
        <w:right w:val="none" w:sz="0" w:space="0" w:color="auto"/>
      </w:divBdr>
      <w:divsChild>
        <w:div w:id="14506632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71030139">
      <w:bodyDiv w:val="1"/>
      <w:marLeft w:val="0"/>
      <w:marRight w:val="0"/>
      <w:marTop w:val="0"/>
      <w:marBottom w:val="0"/>
      <w:divBdr>
        <w:top w:val="none" w:sz="0" w:space="0" w:color="auto"/>
        <w:left w:val="none" w:sz="0" w:space="0" w:color="auto"/>
        <w:bottom w:val="none" w:sz="0" w:space="0" w:color="auto"/>
        <w:right w:val="none" w:sz="0" w:space="0" w:color="auto"/>
      </w:divBdr>
      <w:divsChild>
        <w:div w:id="1837178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86179849">
      <w:bodyDiv w:val="1"/>
      <w:marLeft w:val="0"/>
      <w:marRight w:val="0"/>
      <w:marTop w:val="0"/>
      <w:marBottom w:val="0"/>
      <w:divBdr>
        <w:top w:val="none" w:sz="0" w:space="0" w:color="auto"/>
        <w:left w:val="none" w:sz="0" w:space="0" w:color="auto"/>
        <w:bottom w:val="none" w:sz="0" w:space="0" w:color="auto"/>
        <w:right w:val="none" w:sz="0" w:space="0" w:color="auto"/>
      </w:divBdr>
      <w:divsChild>
        <w:div w:id="3351161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99134369">
      <w:bodyDiv w:val="1"/>
      <w:marLeft w:val="0"/>
      <w:marRight w:val="0"/>
      <w:marTop w:val="0"/>
      <w:marBottom w:val="0"/>
      <w:divBdr>
        <w:top w:val="none" w:sz="0" w:space="0" w:color="auto"/>
        <w:left w:val="none" w:sz="0" w:space="0" w:color="auto"/>
        <w:bottom w:val="none" w:sz="0" w:space="0" w:color="auto"/>
        <w:right w:val="none" w:sz="0" w:space="0" w:color="auto"/>
      </w:divBdr>
      <w:divsChild>
        <w:div w:id="770319415">
          <w:marLeft w:val="0"/>
          <w:marRight w:val="0"/>
          <w:marTop w:val="0"/>
          <w:marBottom w:val="285"/>
          <w:divBdr>
            <w:top w:val="none" w:sz="0" w:space="0" w:color="auto"/>
            <w:left w:val="none" w:sz="0" w:space="0" w:color="auto"/>
            <w:bottom w:val="none" w:sz="0" w:space="0" w:color="auto"/>
            <w:right w:val="none" w:sz="0" w:space="0" w:color="auto"/>
          </w:divBdr>
          <w:divsChild>
            <w:div w:id="194394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886829">
      <w:bodyDiv w:val="1"/>
      <w:marLeft w:val="0"/>
      <w:marRight w:val="0"/>
      <w:marTop w:val="0"/>
      <w:marBottom w:val="0"/>
      <w:divBdr>
        <w:top w:val="none" w:sz="0" w:space="0" w:color="auto"/>
        <w:left w:val="none" w:sz="0" w:space="0" w:color="auto"/>
        <w:bottom w:val="none" w:sz="0" w:space="0" w:color="auto"/>
        <w:right w:val="none" w:sz="0" w:space="0" w:color="auto"/>
      </w:divBdr>
      <w:divsChild>
        <w:div w:id="3335360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2350962">
      <w:bodyDiv w:val="1"/>
      <w:marLeft w:val="0"/>
      <w:marRight w:val="0"/>
      <w:marTop w:val="0"/>
      <w:marBottom w:val="0"/>
      <w:divBdr>
        <w:top w:val="none" w:sz="0" w:space="0" w:color="auto"/>
        <w:left w:val="none" w:sz="0" w:space="0" w:color="auto"/>
        <w:bottom w:val="none" w:sz="0" w:space="0" w:color="auto"/>
        <w:right w:val="none" w:sz="0" w:space="0" w:color="auto"/>
      </w:divBdr>
      <w:divsChild>
        <w:div w:id="16185575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9708657">
      <w:bodyDiv w:val="1"/>
      <w:marLeft w:val="0"/>
      <w:marRight w:val="0"/>
      <w:marTop w:val="0"/>
      <w:marBottom w:val="0"/>
      <w:divBdr>
        <w:top w:val="none" w:sz="0" w:space="0" w:color="auto"/>
        <w:left w:val="none" w:sz="0" w:space="0" w:color="auto"/>
        <w:bottom w:val="none" w:sz="0" w:space="0" w:color="auto"/>
        <w:right w:val="none" w:sz="0" w:space="0" w:color="auto"/>
      </w:divBdr>
      <w:divsChild>
        <w:div w:id="12145408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8924043">
      <w:bodyDiv w:val="1"/>
      <w:marLeft w:val="0"/>
      <w:marRight w:val="0"/>
      <w:marTop w:val="0"/>
      <w:marBottom w:val="0"/>
      <w:divBdr>
        <w:top w:val="none" w:sz="0" w:space="0" w:color="auto"/>
        <w:left w:val="none" w:sz="0" w:space="0" w:color="auto"/>
        <w:bottom w:val="none" w:sz="0" w:space="0" w:color="auto"/>
        <w:right w:val="none" w:sz="0" w:space="0" w:color="auto"/>
      </w:divBdr>
      <w:divsChild>
        <w:div w:id="546669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5134905">
      <w:bodyDiv w:val="1"/>
      <w:marLeft w:val="0"/>
      <w:marRight w:val="0"/>
      <w:marTop w:val="0"/>
      <w:marBottom w:val="0"/>
      <w:divBdr>
        <w:top w:val="none" w:sz="0" w:space="0" w:color="auto"/>
        <w:left w:val="none" w:sz="0" w:space="0" w:color="auto"/>
        <w:bottom w:val="none" w:sz="0" w:space="0" w:color="auto"/>
        <w:right w:val="none" w:sz="0" w:space="0" w:color="auto"/>
      </w:divBdr>
      <w:divsChild>
        <w:div w:id="415157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0943614">
      <w:bodyDiv w:val="1"/>
      <w:marLeft w:val="0"/>
      <w:marRight w:val="0"/>
      <w:marTop w:val="0"/>
      <w:marBottom w:val="0"/>
      <w:divBdr>
        <w:top w:val="none" w:sz="0" w:space="0" w:color="auto"/>
        <w:left w:val="none" w:sz="0" w:space="0" w:color="auto"/>
        <w:bottom w:val="none" w:sz="0" w:space="0" w:color="auto"/>
        <w:right w:val="none" w:sz="0" w:space="0" w:color="auto"/>
      </w:divBdr>
    </w:div>
    <w:div w:id="1688554681">
      <w:bodyDiv w:val="1"/>
      <w:marLeft w:val="0"/>
      <w:marRight w:val="0"/>
      <w:marTop w:val="0"/>
      <w:marBottom w:val="0"/>
      <w:divBdr>
        <w:top w:val="none" w:sz="0" w:space="0" w:color="auto"/>
        <w:left w:val="none" w:sz="0" w:space="0" w:color="auto"/>
        <w:bottom w:val="none" w:sz="0" w:space="0" w:color="auto"/>
        <w:right w:val="none" w:sz="0" w:space="0" w:color="auto"/>
      </w:divBdr>
      <w:divsChild>
        <w:div w:id="2574509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99506879">
      <w:bodyDiv w:val="1"/>
      <w:marLeft w:val="0"/>
      <w:marRight w:val="0"/>
      <w:marTop w:val="0"/>
      <w:marBottom w:val="0"/>
      <w:divBdr>
        <w:top w:val="none" w:sz="0" w:space="0" w:color="auto"/>
        <w:left w:val="none" w:sz="0" w:space="0" w:color="auto"/>
        <w:bottom w:val="none" w:sz="0" w:space="0" w:color="auto"/>
        <w:right w:val="none" w:sz="0" w:space="0" w:color="auto"/>
      </w:divBdr>
      <w:divsChild>
        <w:div w:id="17549381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01667183">
      <w:bodyDiv w:val="1"/>
      <w:marLeft w:val="0"/>
      <w:marRight w:val="0"/>
      <w:marTop w:val="0"/>
      <w:marBottom w:val="0"/>
      <w:divBdr>
        <w:top w:val="none" w:sz="0" w:space="0" w:color="auto"/>
        <w:left w:val="none" w:sz="0" w:space="0" w:color="auto"/>
        <w:bottom w:val="none" w:sz="0" w:space="0" w:color="auto"/>
        <w:right w:val="none" w:sz="0" w:space="0" w:color="auto"/>
      </w:divBdr>
      <w:divsChild>
        <w:div w:id="21047146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2558966">
      <w:bodyDiv w:val="1"/>
      <w:marLeft w:val="0"/>
      <w:marRight w:val="0"/>
      <w:marTop w:val="0"/>
      <w:marBottom w:val="0"/>
      <w:divBdr>
        <w:top w:val="none" w:sz="0" w:space="0" w:color="auto"/>
        <w:left w:val="none" w:sz="0" w:space="0" w:color="auto"/>
        <w:bottom w:val="none" w:sz="0" w:space="0" w:color="auto"/>
        <w:right w:val="none" w:sz="0" w:space="0" w:color="auto"/>
      </w:divBdr>
      <w:divsChild>
        <w:div w:id="11090104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70150850">
      <w:bodyDiv w:val="1"/>
      <w:marLeft w:val="0"/>
      <w:marRight w:val="0"/>
      <w:marTop w:val="0"/>
      <w:marBottom w:val="0"/>
      <w:divBdr>
        <w:top w:val="none" w:sz="0" w:space="0" w:color="auto"/>
        <w:left w:val="none" w:sz="0" w:space="0" w:color="auto"/>
        <w:bottom w:val="none" w:sz="0" w:space="0" w:color="auto"/>
        <w:right w:val="none" w:sz="0" w:space="0" w:color="auto"/>
      </w:divBdr>
    </w:div>
    <w:div w:id="1861966248">
      <w:bodyDiv w:val="1"/>
      <w:marLeft w:val="0"/>
      <w:marRight w:val="0"/>
      <w:marTop w:val="0"/>
      <w:marBottom w:val="0"/>
      <w:divBdr>
        <w:top w:val="none" w:sz="0" w:space="0" w:color="auto"/>
        <w:left w:val="none" w:sz="0" w:space="0" w:color="auto"/>
        <w:bottom w:val="none" w:sz="0" w:space="0" w:color="auto"/>
        <w:right w:val="none" w:sz="0" w:space="0" w:color="auto"/>
      </w:divBdr>
      <w:divsChild>
        <w:div w:id="1743216376">
          <w:marLeft w:val="0"/>
          <w:marRight w:val="0"/>
          <w:marTop w:val="0"/>
          <w:marBottom w:val="0"/>
          <w:divBdr>
            <w:top w:val="none" w:sz="0" w:space="0" w:color="auto"/>
            <w:left w:val="none" w:sz="0" w:space="0" w:color="auto"/>
            <w:bottom w:val="none" w:sz="0" w:space="0" w:color="auto"/>
            <w:right w:val="none" w:sz="0" w:space="0" w:color="auto"/>
          </w:divBdr>
        </w:div>
      </w:divsChild>
    </w:div>
    <w:div w:id="1927689145">
      <w:bodyDiv w:val="1"/>
      <w:marLeft w:val="0"/>
      <w:marRight w:val="0"/>
      <w:marTop w:val="0"/>
      <w:marBottom w:val="0"/>
      <w:divBdr>
        <w:top w:val="none" w:sz="0" w:space="0" w:color="auto"/>
        <w:left w:val="none" w:sz="0" w:space="0" w:color="auto"/>
        <w:bottom w:val="none" w:sz="0" w:space="0" w:color="auto"/>
        <w:right w:val="none" w:sz="0" w:space="0" w:color="auto"/>
      </w:divBdr>
      <w:divsChild>
        <w:div w:id="1053500050">
          <w:marLeft w:val="0"/>
          <w:marRight w:val="0"/>
          <w:marTop w:val="0"/>
          <w:marBottom w:val="0"/>
          <w:divBdr>
            <w:top w:val="none" w:sz="0" w:space="0" w:color="auto"/>
            <w:left w:val="none" w:sz="0" w:space="0" w:color="auto"/>
            <w:bottom w:val="none" w:sz="0" w:space="0" w:color="auto"/>
            <w:right w:val="none" w:sz="0" w:space="0" w:color="auto"/>
          </w:divBdr>
          <w:divsChild>
            <w:div w:id="1076247341">
              <w:marLeft w:val="0"/>
              <w:marRight w:val="0"/>
              <w:marTop w:val="0"/>
              <w:marBottom w:val="0"/>
              <w:divBdr>
                <w:top w:val="none" w:sz="0" w:space="0" w:color="auto"/>
                <w:left w:val="none" w:sz="0" w:space="0" w:color="auto"/>
                <w:bottom w:val="none" w:sz="0" w:space="0" w:color="auto"/>
                <w:right w:val="none" w:sz="0" w:space="0" w:color="auto"/>
              </w:divBdr>
              <w:divsChild>
                <w:div w:id="239414533">
                  <w:marLeft w:val="0"/>
                  <w:marRight w:val="0"/>
                  <w:marTop w:val="0"/>
                  <w:marBottom w:val="0"/>
                  <w:divBdr>
                    <w:top w:val="none" w:sz="0" w:space="0" w:color="auto"/>
                    <w:left w:val="none" w:sz="0" w:space="0" w:color="auto"/>
                    <w:bottom w:val="none" w:sz="0" w:space="0" w:color="auto"/>
                    <w:right w:val="none" w:sz="0" w:space="0" w:color="auto"/>
                  </w:divBdr>
                  <w:divsChild>
                    <w:div w:id="2077165195">
                      <w:marLeft w:val="0"/>
                      <w:marRight w:val="0"/>
                      <w:marTop w:val="0"/>
                      <w:marBottom w:val="0"/>
                      <w:divBdr>
                        <w:top w:val="none" w:sz="0" w:space="0" w:color="auto"/>
                        <w:left w:val="none" w:sz="0" w:space="0" w:color="auto"/>
                        <w:bottom w:val="none" w:sz="0" w:space="0" w:color="auto"/>
                        <w:right w:val="none" w:sz="0" w:space="0" w:color="auto"/>
                      </w:divBdr>
                      <w:divsChild>
                        <w:div w:id="1139686130">
                          <w:marLeft w:val="0"/>
                          <w:marRight w:val="0"/>
                          <w:marTop w:val="0"/>
                          <w:marBottom w:val="0"/>
                          <w:divBdr>
                            <w:top w:val="none" w:sz="0" w:space="0" w:color="auto"/>
                            <w:left w:val="none" w:sz="0" w:space="0" w:color="auto"/>
                            <w:bottom w:val="none" w:sz="0" w:space="0" w:color="auto"/>
                            <w:right w:val="none" w:sz="0" w:space="0" w:color="auto"/>
                          </w:divBdr>
                          <w:divsChild>
                            <w:div w:id="1132404750">
                              <w:marLeft w:val="0"/>
                              <w:marRight w:val="0"/>
                              <w:marTop w:val="0"/>
                              <w:marBottom w:val="0"/>
                              <w:divBdr>
                                <w:top w:val="none" w:sz="0" w:space="0" w:color="auto"/>
                                <w:left w:val="none" w:sz="0" w:space="0" w:color="auto"/>
                                <w:bottom w:val="none" w:sz="0" w:space="0" w:color="auto"/>
                                <w:right w:val="none" w:sz="0" w:space="0" w:color="auto"/>
                              </w:divBdr>
                              <w:divsChild>
                                <w:div w:id="1032000702">
                                  <w:marLeft w:val="0"/>
                                  <w:marRight w:val="0"/>
                                  <w:marTop w:val="0"/>
                                  <w:marBottom w:val="0"/>
                                  <w:divBdr>
                                    <w:top w:val="none" w:sz="0" w:space="0" w:color="auto"/>
                                    <w:left w:val="none" w:sz="0" w:space="0" w:color="auto"/>
                                    <w:bottom w:val="none" w:sz="0" w:space="0" w:color="auto"/>
                                    <w:right w:val="none" w:sz="0" w:space="0" w:color="auto"/>
                                  </w:divBdr>
                                  <w:divsChild>
                                    <w:div w:id="103115962">
                                      <w:marLeft w:val="0"/>
                                      <w:marRight w:val="0"/>
                                      <w:marTop w:val="0"/>
                                      <w:marBottom w:val="0"/>
                                      <w:divBdr>
                                        <w:top w:val="none" w:sz="0" w:space="0" w:color="auto"/>
                                        <w:left w:val="none" w:sz="0" w:space="0" w:color="auto"/>
                                        <w:bottom w:val="none" w:sz="0" w:space="0" w:color="auto"/>
                                        <w:right w:val="none" w:sz="0" w:space="0" w:color="auto"/>
                                      </w:divBdr>
                                      <w:divsChild>
                                        <w:div w:id="295795447">
                                          <w:marLeft w:val="0"/>
                                          <w:marRight w:val="0"/>
                                          <w:marTop w:val="0"/>
                                          <w:marBottom w:val="0"/>
                                          <w:divBdr>
                                            <w:top w:val="none" w:sz="0" w:space="0" w:color="auto"/>
                                            <w:left w:val="none" w:sz="0" w:space="0" w:color="auto"/>
                                            <w:bottom w:val="none" w:sz="0" w:space="0" w:color="auto"/>
                                            <w:right w:val="none" w:sz="0" w:space="0" w:color="auto"/>
                                          </w:divBdr>
                                          <w:divsChild>
                                            <w:div w:id="1343122703">
                                              <w:marLeft w:val="0"/>
                                              <w:marRight w:val="0"/>
                                              <w:marTop w:val="0"/>
                                              <w:marBottom w:val="0"/>
                                              <w:divBdr>
                                                <w:top w:val="none" w:sz="0" w:space="0" w:color="auto"/>
                                                <w:left w:val="none" w:sz="0" w:space="0" w:color="auto"/>
                                                <w:bottom w:val="none" w:sz="0" w:space="0" w:color="auto"/>
                                                <w:right w:val="none" w:sz="0" w:space="0" w:color="auto"/>
                                              </w:divBdr>
                                              <w:divsChild>
                                                <w:div w:id="955406738">
                                                  <w:marLeft w:val="0"/>
                                                  <w:marRight w:val="0"/>
                                                  <w:marTop w:val="0"/>
                                                  <w:marBottom w:val="0"/>
                                                  <w:divBdr>
                                                    <w:top w:val="none" w:sz="0" w:space="0" w:color="auto"/>
                                                    <w:left w:val="none" w:sz="0" w:space="0" w:color="auto"/>
                                                    <w:bottom w:val="none" w:sz="0" w:space="0" w:color="auto"/>
                                                    <w:right w:val="none" w:sz="0" w:space="0" w:color="auto"/>
                                                  </w:divBdr>
                                                  <w:divsChild>
                                                    <w:div w:id="1935018274">
                                                      <w:marLeft w:val="0"/>
                                                      <w:marRight w:val="0"/>
                                                      <w:marTop w:val="0"/>
                                                      <w:marBottom w:val="0"/>
                                                      <w:divBdr>
                                                        <w:top w:val="none" w:sz="0" w:space="0" w:color="auto"/>
                                                        <w:left w:val="none" w:sz="0" w:space="0" w:color="auto"/>
                                                        <w:bottom w:val="none" w:sz="0" w:space="0" w:color="auto"/>
                                                        <w:right w:val="none" w:sz="0" w:space="0" w:color="auto"/>
                                                      </w:divBdr>
                                                      <w:divsChild>
                                                        <w:div w:id="2116124500">
                                                          <w:marLeft w:val="0"/>
                                                          <w:marRight w:val="0"/>
                                                          <w:marTop w:val="0"/>
                                                          <w:marBottom w:val="0"/>
                                                          <w:divBdr>
                                                            <w:top w:val="none" w:sz="0" w:space="0" w:color="auto"/>
                                                            <w:left w:val="none" w:sz="0" w:space="0" w:color="auto"/>
                                                            <w:bottom w:val="none" w:sz="0" w:space="0" w:color="auto"/>
                                                            <w:right w:val="none" w:sz="0" w:space="0" w:color="auto"/>
                                                          </w:divBdr>
                                                        </w:div>
                                                      </w:divsChild>
                                                    </w:div>
                                                    <w:div w:id="493256317">
                                                      <w:marLeft w:val="0"/>
                                                      <w:marRight w:val="0"/>
                                                      <w:marTop w:val="0"/>
                                                      <w:marBottom w:val="0"/>
                                                      <w:divBdr>
                                                        <w:top w:val="none" w:sz="0" w:space="0" w:color="auto"/>
                                                        <w:left w:val="none" w:sz="0" w:space="0" w:color="auto"/>
                                                        <w:bottom w:val="none" w:sz="0" w:space="0" w:color="auto"/>
                                                        <w:right w:val="none" w:sz="0" w:space="0" w:color="auto"/>
                                                      </w:divBdr>
                                                      <w:divsChild>
                                                        <w:div w:id="1284270943">
                                                          <w:marLeft w:val="0"/>
                                                          <w:marRight w:val="0"/>
                                                          <w:marTop w:val="0"/>
                                                          <w:marBottom w:val="0"/>
                                                          <w:divBdr>
                                                            <w:top w:val="none" w:sz="0" w:space="0" w:color="auto"/>
                                                            <w:left w:val="none" w:sz="0" w:space="0" w:color="auto"/>
                                                            <w:bottom w:val="none" w:sz="0" w:space="0" w:color="auto"/>
                                                            <w:right w:val="none" w:sz="0" w:space="0" w:color="auto"/>
                                                          </w:divBdr>
                                                          <w:divsChild>
                                                            <w:div w:id="608050997">
                                                              <w:marLeft w:val="0"/>
                                                              <w:marRight w:val="0"/>
                                                              <w:marTop w:val="0"/>
                                                              <w:marBottom w:val="0"/>
                                                              <w:divBdr>
                                                                <w:top w:val="none" w:sz="0" w:space="0" w:color="auto"/>
                                                                <w:left w:val="none" w:sz="0" w:space="0" w:color="auto"/>
                                                                <w:bottom w:val="none" w:sz="0" w:space="0" w:color="auto"/>
                                                                <w:right w:val="none" w:sz="0" w:space="0" w:color="auto"/>
                                                              </w:divBdr>
                                                              <w:divsChild>
                                                                <w:div w:id="481389777">
                                                                  <w:marLeft w:val="0"/>
                                                                  <w:marRight w:val="0"/>
                                                                  <w:marTop w:val="0"/>
                                                                  <w:marBottom w:val="0"/>
                                                                  <w:divBdr>
                                                                    <w:top w:val="none" w:sz="0" w:space="0" w:color="auto"/>
                                                                    <w:left w:val="none" w:sz="0" w:space="0" w:color="auto"/>
                                                                    <w:bottom w:val="none" w:sz="0" w:space="0" w:color="auto"/>
                                                                    <w:right w:val="none" w:sz="0" w:space="0" w:color="auto"/>
                                                                  </w:divBdr>
                                                                  <w:divsChild>
                                                                    <w:div w:id="1122461777">
                                                                      <w:marLeft w:val="0"/>
                                                                      <w:marRight w:val="0"/>
                                                                      <w:marTop w:val="0"/>
                                                                      <w:marBottom w:val="0"/>
                                                                      <w:divBdr>
                                                                        <w:top w:val="none" w:sz="0" w:space="0" w:color="auto"/>
                                                                        <w:left w:val="none" w:sz="0" w:space="0" w:color="auto"/>
                                                                        <w:bottom w:val="none" w:sz="0" w:space="0" w:color="auto"/>
                                                                        <w:right w:val="none" w:sz="0" w:space="0" w:color="auto"/>
                                                                      </w:divBdr>
                                                                      <w:divsChild>
                                                                        <w:div w:id="1953003671">
                                                                          <w:marLeft w:val="0"/>
                                                                          <w:marRight w:val="0"/>
                                                                          <w:marTop w:val="0"/>
                                                                          <w:marBottom w:val="0"/>
                                                                          <w:divBdr>
                                                                            <w:top w:val="none" w:sz="0" w:space="0" w:color="auto"/>
                                                                            <w:left w:val="none" w:sz="0" w:space="0" w:color="auto"/>
                                                                            <w:bottom w:val="none" w:sz="0" w:space="0" w:color="auto"/>
                                                                            <w:right w:val="none" w:sz="0" w:space="0" w:color="auto"/>
                                                                          </w:divBdr>
                                                                        </w:div>
                                                                        <w:div w:id="185638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352839">
                                                                  <w:marLeft w:val="0"/>
                                                                  <w:marRight w:val="0"/>
                                                                  <w:marTop w:val="0"/>
                                                                  <w:marBottom w:val="0"/>
                                                                  <w:divBdr>
                                                                    <w:top w:val="none" w:sz="0" w:space="0" w:color="auto"/>
                                                                    <w:left w:val="none" w:sz="0" w:space="0" w:color="auto"/>
                                                                    <w:bottom w:val="none" w:sz="0" w:space="0" w:color="auto"/>
                                                                    <w:right w:val="none" w:sz="0" w:space="0" w:color="auto"/>
                                                                  </w:divBdr>
                                                                  <w:divsChild>
                                                                    <w:div w:id="114551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691172">
                                                          <w:marLeft w:val="0"/>
                                                          <w:marRight w:val="0"/>
                                                          <w:marTop w:val="0"/>
                                                          <w:marBottom w:val="0"/>
                                                          <w:divBdr>
                                                            <w:top w:val="none" w:sz="0" w:space="0" w:color="auto"/>
                                                            <w:left w:val="none" w:sz="0" w:space="0" w:color="auto"/>
                                                            <w:bottom w:val="none" w:sz="0" w:space="0" w:color="auto"/>
                                                            <w:right w:val="none" w:sz="0" w:space="0" w:color="auto"/>
                                                          </w:divBdr>
                                                          <w:divsChild>
                                                            <w:div w:id="1207719481">
                                                              <w:marLeft w:val="0"/>
                                                              <w:marRight w:val="0"/>
                                                              <w:marTop w:val="0"/>
                                                              <w:marBottom w:val="0"/>
                                                              <w:divBdr>
                                                                <w:top w:val="none" w:sz="0" w:space="0" w:color="auto"/>
                                                                <w:left w:val="none" w:sz="0" w:space="0" w:color="auto"/>
                                                                <w:bottom w:val="none" w:sz="0" w:space="0" w:color="auto"/>
                                                                <w:right w:val="none" w:sz="0" w:space="0" w:color="auto"/>
                                                              </w:divBdr>
                                                              <w:divsChild>
                                                                <w:div w:id="1914731815">
                                                                  <w:marLeft w:val="0"/>
                                                                  <w:marRight w:val="0"/>
                                                                  <w:marTop w:val="0"/>
                                                                  <w:marBottom w:val="0"/>
                                                                  <w:divBdr>
                                                                    <w:top w:val="none" w:sz="0" w:space="0" w:color="auto"/>
                                                                    <w:left w:val="none" w:sz="0" w:space="0" w:color="auto"/>
                                                                    <w:bottom w:val="none" w:sz="0" w:space="0" w:color="auto"/>
                                                                    <w:right w:val="none" w:sz="0" w:space="0" w:color="auto"/>
                                                                  </w:divBdr>
                                                                  <w:divsChild>
                                                                    <w:div w:id="99181454">
                                                                      <w:marLeft w:val="0"/>
                                                                      <w:marRight w:val="0"/>
                                                                      <w:marTop w:val="0"/>
                                                                      <w:marBottom w:val="0"/>
                                                                      <w:divBdr>
                                                                        <w:top w:val="none" w:sz="0" w:space="0" w:color="auto"/>
                                                                        <w:left w:val="none" w:sz="0" w:space="0" w:color="auto"/>
                                                                        <w:bottom w:val="none" w:sz="0" w:space="0" w:color="auto"/>
                                                                        <w:right w:val="none" w:sz="0" w:space="0" w:color="auto"/>
                                                                      </w:divBdr>
                                                                      <w:divsChild>
                                                                        <w:div w:id="1047527789">
                                                                          <w:marLeft w:val="0"/>
                                                                          <w:marRight w:val="0"/>
                                                                          <w:marTop w:val="0"/>
                                                                          <w:marBottom w:val="0"/>
                                                                          <w:divBdr>
                                                                            <w:top w:val="none" w:sz="0" w:space="0" w:color="auto"/>
                                                                            <w:left w:val="none" w:sz="0" w:space="0" w:color="auto"/>
                                                                            <w:bottom w:val="none" w:sz="0" w:space="0" w:color="auto"/>
                                                                            <w:right w:val="none" w:sz="0" w:space="0" w:color="auto"/>
                                                                          </w:divBdr>
                                                                        </w:div>
                                                                        <w:div w:id="86228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20717">
                                                                  <w:marLeft w:val="0"/>
                                                                  <w:marRight w:val="0"/>
                                                                  <w:marTop w:val="0"/>
                                                                  <w:marBottom w:val="0"/>
                                                                  <w:divBdr>
                                                                    <w:top w:val="none" w:sz="0" w:space="0" w:color="auto"/>
                                                                    <w:left w:val="none" w:sz="0" w:space="0" w:color="auto"/>
                                                                    <w:bottom w:val="none" w:sz="0" w:space="0" w:color="auto"/>
                                                                    <w:right w:val="none" w:sz="0" w:space="0" w:color="auto"/>
                                                                  </w:divBdr>
                                                                  <w:divsChild>
                                                                    <w:div w:id="160966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73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8917118">
                          <w:marLeft w:val="0"/>
                          <w:marRight w:val="0"/>
                          <w:marTop w:val="0"/>
                          <w:marBottom w:val="0"/>
                          <w:divBdr>
                            <w:top w:val="none" w:sz="0" w:space="0" w:color="auto"/>
                            <w:left w:val="none" w:sz="0" w:space="0" w:color="auto"/>
                            <w:bottom w:val="none" w:sz="0" w:space="0" w:color="auto"/>
                            <w:right w:val="none" w:sz="0" w:space="0" w:color="auto"/>
                          </w:divBdr>
                          <w:divsChild>
                            <w:div w:id="622342754">
                              <w:marLeft w:val="0"/>
                              <w:marRight w:val="0"/>
                              <w:marTop w:val="0"/>
                              <w:marBottom w:val="0"/>
                              <w:divBdr>
                                <w:top w:val="none" w:sz="0" w:space="0" w:color="auto"/>
                                <w:left w:val="none" w:sz="0" w:space="0" w:color="auto"/>
                                <w:bottom w:val="none" w:sz="0" w:space="0" w:color="auto"/>
                                <w:right w:val="none" w:sz="0" w:space="0" w:color="auto"/>
                              </w:divBdr>
                              <w:divsChild>
                                <w:div w:id="1100029511">
                                  <w:marLeft w:val="0"/>
                                  <w:marRight w:val="0"/>
                                  <w:marTop w:val="0"/>
                                  <w:marBottom w:val="0"/>
                                  <w:divBdr>
                                    <w:top w:val="none" w:sz="0" w:space="0" w:color="auto"/>
                                    <w:left w:val="none" w:sz="0" w:space="0" w:color="auto"/>
                                    <w:bottom w:val="none" w:sz="0" w:space="0" w:color="auto"/>
                                    <w:right w:val="none" w:sz="0" w:space="0" w:color="auto"/>
                                  </w:divBdr>
                                  <w:divsChild>
                                    <w:div w:id="207096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738186">
          <w:marLeft w:val="0"/>
          <w:marRight w:val="0"/>
          <w:marTop w:val="0"/>
          <w:marBottom w:val="0"/>
          <w:divBdr>
            <w:top w:val="none" w:sz="0" w:space="0" w:color="auto"/>
            <w:left w:val="none" w:sz="0" w:space="0" w:color="auto"/>
            <w:bottom w:val="none" w:sz="0" w:space="0" w:color="auto"/>
            <w:right w:val="none" w:sz="0" w:space="0" w:color="auto"/>
          </w:divBdr>
          <w:divsChild>
            <w:div w:id="1317607272">
              <w:marLeft w:val="0"/>
              <w:marRight w:val="0"/>
              <w:marTop w:val="0"/>
              <w:marBottom w:val="0"/>
              <w:divBdr>
                <w:top w:val="none" w:sz="0" w:space="0" w:color="auto"/>
                <w:left w:val="none" w:sz="0" w:space="0" w:color="auto"/>
                <w:bottom w:val="none" w:sz="0" w:space="0" w:color="auto"/>
                <w:right w:val="none" w:sz="0" w:space="0" w:color="auto"/>
              </w:divBdr>
              <w:divsChild>
                <w:div w:id="1344942339">
                  <w:marLeft w:val="0"/>
                  <w:marRight w:val="0"/>
                  <w:marTop w:val="0"/>
                  <w:marBottom w:val="0"/>
                  <w:divBdr>
                    <w:top w:val="none" w:sz="0" w:space="0" w:color="auto"/>
                    <w:left w:val="none" w:sz="0" w:space="0" w:color="auto"/>
                    <w:bottom w:val="none" w:sz="0" w:space="0" w:color="auto"/>
                    <w:right w:val="none" w:sz="0" w:space="0" w:color="auto"/>
                  </w:divBdr>
                  <w:divsChild>
                    <w:div w:id="262032965">
                      <w:marLeft w:val="0"/>
                      <w:marRight w:val="0"/>
                      <w:marTop w:val="0"/>
                      <w:marBottom w:val="0"/>
                      <w:divBdr>
                        <w:top w:val="none" w:sz="0" w:space="0" w:color="auto"/>
                        <w:left w:val="none" w:sz="0" w:space="0" w:color="auto"/>
                        <w:bottom w:val="none" w:sz="0" w:space="0" w:color="auto"/>
                        <w:right w:val="none" w:sz="0" w:space="0" w:color="auto"/>
                      </w:divBdr>
                      <w:divsChild>
                        <w:div w:id="2109036223">
                          <w:marLeft w:val="0"/>
                          <w:marRight w:val="0"/>
                          <w:marTop w:val="0"/>
                          <w:marBottom w:val="0"/>
                          <w:divBdr>
                            <w:top w:val="none" w:sz="0" w:space="0" w:color="auto"/>
                            <w:left w:val="none" w:sz="0" w:space="0" w:color="auto"/>
                            <w:bottom w:val="none" w:sz="0" w:space="0" w:color="auto"/>
                            <w:right w:val="none" w:sz="0" w:space="0" w:color="auto"/>
                          </w:divBdr>
                          <w:divsChild>
                            <w:div w:id="102972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0258046">
      <w:bodyDiv w:val="1"/>
      <w:marLeft w:val="0"/>
      <w:marRight w:val="0"/>
      <w:marTop w:val="0"/>
      <w:marBottom w:val="0"/>
      <w:divBdr>
        <w:top w:val="none" w:sz="0" w:space="0" w:color="auto"/>
        <w:left w:val="none" w:sz="0" w:space="0" w:color="auto"/>
        <w:bottom w:val="none" w:sz="0" w:space="0" w:color="auto"/>
        <w:right w:val="none" w:sz="0" w:space="0" w:color="auto"/>
      </w:divBdr>
    </w:div>
    <w:div w:id="2022969225">
      <w:bodyDiv w:val="1"/>
      <w:marLeft w:val="0"/>
      <w:marRight w:val="0"/>
      <w:marTop w:val="0"/>
      <w:marBottom w:val="0"/>
      <w:divBdr>
        <w:top w:val="none" w:sz="0" w:space="0" w:color="auto"/>
        <w:left w:val="none" w:sz="0" w:space="0" w:color="auto"/>
        <w:bottom w:val="none" w:sz="0" w:space="0" w:color="auto"/>
        <w:right w:val="none" w:sz="0" w:space="0" w:color="auto"/>
      </w:divBdr>
      <w:divsChild>
        <w:div w:id="19026730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37926457">
      <w:bodyDiv w:val="1"/>
      <w:marLeft w:val="0"/>
      <w:marRight w:val="0"/>
      <w:marTop w:val="0"/>
      <w:marBottom w:val="0"/>
      <w:divBdr>
        <w:top w:val="none" w:sz="0" w:space="0" w:color="auto"/>
        <w:left w:val="none" w:sz="0" w:space="0" w:color="auto"/>
        <w:bottom w:val="none" w:sz="0" w:space="0" w:color="auto"/>
        <w:right w:val="none" w:sz="0" w:space="0" w:color="auto"/>
      </w:divBdr>
      <w:divsChild>
        <w:div w:id="1610926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57964616">
      <w:bodyDiv w:val="1"/>
      <w:marLeft w:val="0"/>
      <w:marRight w:val="0"/>
      <w:marTop w:val="0"/>
      <w:marBottom w:val="0"/>
      <w:divBdr>
        <w:top w:val="none" w:sz="0" w:space="0" w:color="auto"/>
        <w:left w:val="none" w:sz="0" w:space="0" w:color="auto"/>
        <w:bottom w:val="none" w:sz="0" w:space="0" w:color="auto"/>
        <w:right w:val="none" w:sz="0" w:space="0" w:color="auto"/>
      </w:divBdr>
      <w:divsChild>
        <w:div w:id="8044683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59432445">
      <w:bodyDiv w:val="1"/>
      <w:marLeft w:val="0"/>
      <w:marRight w:val="0"/>
      <w:marTop w:val="0"/>
      <w:marBottom w:val="0"/>
      <w:divBdr>
        <w:top w:val="none" w:sz="0" w:space="0" w:color="auto"/>
        <w:left w:val="none" w:sz="0" w:space="0" w:color="auto"/>
        <w:bottom w:val="none" w:sz="0" w:space="0" w:color="auto"/>
        <w:right w:val="none" w:sz="0" w:space="0" w:color="auto"/>
      </w:divBdr>
      <w:divsChild>
        <w:div w:id="2394095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6047811">
      <w:bodyDiv w:val="1"/>
      <w:marLeft w:val="0"/>
      <w:marRight w:val="0"/>
      <w:marTop w:val="0"/>
      <w:marBottom w:val="0"/>
      <w:divBdr>
        <w:top w:val="none" w:sz="0" w:space="0" w:color="auto"/>
        <w:left w:val="none" w:sz="0" w:space="0" w:color="auto"/>
        <w:bottom w:val="none" w:sz="0" w:space="0" w:color="auto"/>
        <w:right w:val="none" w:sz="0" w:space="0" w:color="auto"/>
      </w:divBdr>
      <w:divsChild>
        <w:div w:id="9755316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sar.co.uk/2026/01/findings-from-the-2025-workforce-surve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ailindustryconnect.co.uk/mind-the-gap-addressing-mental-health-in-the-uk-rail-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2433D8-8DB6-4FFD-A994-BF68BE39B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376</TotalTime>
  <Pages>50</Pages>
  <Words>13982</Words>
  <Characters>79699</Characters>
  <Application>Microsoft Office Word</Application>
  <DocSecurity>0</DocSecurity>
  <Lines>664</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83</cp:revision>
  <dcterms:created xsi:type="dcterms:W3CDTF">2026-06-07T21:01:00Z</dcterms:created>
  <dcterms:modified xsi:type="dcterms:W3CDTF">2026-06-29T14:42:00Z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0a847e74-2499-4b98-afa5-6936dac8c3de</vt:lpwstr>
  </property>
</Properties>
</file>