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Black" w:hAnsi="Arial Black"/>
          <w:sz w:val="36"/>
          <w:szCs w:val="36"/>
        </w:rPr>
        <w:id w:val="769665373"/>
        <w:docPartObj>
          <w:docPartGallery w:val="Cover Pages"/>
          <w:docPartUnique/>
        </w:docPartObj>
      </w:sdtPr>
      <w:sdtEndPr>
        <w:rPr>
          <w:rFonts w:cs="Arial"/>
          <w:b/>
          <w:bCs/>
          <w:color w:val="000000" w:themeColor="text1"/>
        </w:rPr>
      </w:sdtEndPr>
      <w:sdtContent>
        <w:p w14:paraId="16E0F148" w14:textId="359E8890" w:rsidR="00613FC4" w:rsidRPr="00613FC4" w:rsidRDefault="00613FC4" w:rsidP="00613FC4">
          <w:pPr>
            <w:rPr>
              <w:rFonts w:ascii="Arial Black" w:hAnsi="Arial Black"/>
              <w:sz w:val="36"/>
              <w:szCs w:val="36"/>
            </w:rPr>
          </w:pPr>
          <w:r w:rsidRPr="00613FC4">
            <w:rPr>
              <w:rFonts w:ascii="Arial Black" w:hAnsi="Arial Black"/>
              <w:sz w:val="36"/>
              <w:szCs w:val="36"/>
            </w:rPr>
            <w:t>Student name:</w:t>
          </w:r>
          <w:r w:rsidRPr="00613FC4">
            <w:rPr>
              <w:rFonts w:ascii="Arial Black" w:hAnsi="Arial Black"/>
              <w:sz w:val="36"/>
              <w:szCs w:val="36"/>
            </w:rPr>
            <w:t xml:space="preserve"> Grigore Efros </w:t>
          </w:r>
          <w:r w:rsidRPr="00613FC4">
            <w:rPr>
              <w:rFonts w:ascii="Arial Black" w:hAnsi="Arial Black"/>
              <w:sz w:val="36"/>
              <w:szCs w:val="36"/>
            </w:rPr>
            <w:tab/>
            <w:t xml:space="preserve">     </w:t>
          </w:r>
        </w:p>
        <w:p w14:paraId="4E9527DA" w14:textId="00A2ADB5" w:rsidR="00613FC4" w:rsidRPr="00613FC4" w:rsidRDefault="00613FC4" w:rsidP="00613FC4">
          <w:pPr>
            <w:rPr>
              <w:rFonts w:ascii="Arial Black" w:hAnsi="Arial Black"/>
              <w:sz w:val="36"/>
              <w:szCs w:val="36"/>
            </w:rPr>
          </w:pPr>
          <w:r w:rsidRPr="00613FC4">
            <w:rPr>
              <w:rFonts w:ascii="Arial Black" w:hAnsi="Arial Black"/>
              <w:sz w:val="36"/>
              <w:szCs w:val="36"/>
            </w:rPr>
            <w:t>Programme:</w:t>
          </w:r>
          <w:r>
            <w:rPr>
              <w:rFonts w:ascii="Arial Black" w:hAnsi="Arial Black"/>
              <w:sz w:val="36"/>
              <w:szCs w:val="36"/>
            </w:rPr>
            <w:t xml:space="preserve"> </w:t>
          </w:r>
          <w:r w:rsidRPr="00613FC4">
            <w:rPr>
              <w:rFonts w:ascii="Arial Black" w:hAnsi="Arial Black"/>
              <w:sz w:val="36"/>
              <w:szCs w:val="36"/>
            </w:rPr>
            <w:t>CERT HE Social Enterprise Management</w:t>
          </w:r>
        </w:p>
        <w:p w14:paraId="4B26C816" w14:textId="0B94C4AA" w:rsidR="00613FC4" w:rsidRPr="00613FC4" w:rsidRDefault="00613FC4" w:rsidP="00613FC4">
          <w:pPr>
            <w:rPr>
              <w:rFonts w:ascii="Arial Black" w:hAnsi="Arial Black"/>
              <w:sz w:val="36"/>
              <w:szCs w:val="36"/>
            </w:rPr>
          </w:pPr>
          <w:r w:rsidRPr="00613FC4">
            <w:rPr>
              <w:rFonts w:ascii="Arial Black" w:hAnsi="Arial Black"/>
              <w:sz w:val="36"/>
              <w:szCs w:val="36"/>
            </w:rPr>
            <w:t>Module:</w:t>
          </w:r>
          <w:r>
            <w:rPr>
              <w:rFonts w:ascii="Arial Black" w:hAnsi="Arial Black"/>
              <w:sz w:val="36"/>
              <w:szCs w:val="36"/>
            </w:rPr>
            <w:t xml:space="preserve"> </w:t>
          </w:r>
          <w:r w:rsidRPr="00613FC4">
            <w:rPr>
              <w:rFonts w:ascii="Arial Black" w:hAnsi="Arial Black"/>
              <w:sz w:val="36"/>
              <w:szCs w:val="36"/>
            </w:rPr>
            <w:t>Social Enterprise: Theory and Practise</w:t>
          </w:r>
        </w:p>
        <w:p w14:paraId="29D6D16E" w14:textId="4E03EB5C" w:rsidR="00613FC4" w:rsidRPr="00613FC4" w:rsidRDefault="00613FC4" w:rsidP="00613FC4">
          <w:pPr>
            <w:rPr>
              <w:rFonts w:ascii="Arial Black" w:hAnsi="Arial Black"/>
              <w:sz w:val="36"/>
              <w:szCs w:val="36"/>
            </w:rPr>
          </w:pPr>
          <w:r w:rsidRPr="00613FC4">
            <w:rPr>
              <w:rFonts w:ascii="Arial Black" w:hAnsi="Arial Black"/>
              <w:sz w:val="36"/>
              <w:szCs w:val="36"/>
            </w:rPr>
            <w:t>Module code:</w:t>
          </w:r>
          <w:r>
            <w:rPr>
              <w:rFonts w:ascii="Arial Black" w:hAnsi="Arial Black"/>
              <w:sz w:val="36"/>
              <w:szCs w:val="36"/>
            </w:rPr>
            <w:t xml:space="preserve"> </w:t>
          </w:r>
          <w:r w:rsidRPr="00613FC4">
            <w:rPr>
              <w:rFonts w:ascii="Arial Black" w:hAnsi="Arial Black"/>
              <w:sz w:val="36"/>
              <w:szCs w:val="36"/>
            </w:rPr>
            <w:t>BMSE4009D</w:t>
          </w:r>
        </w:p>
        <w:p w14:paraId="0159283D" w14:textId="655735AE" w:rsidR="00613FC4" w:rsidRPr="00613FC4" w:rsidRDefault="00613FC4" w:rsidP="00613FC4">
          <w:pPr>
            <w:rPr>
              <w:rFonts w:ascii="Arial Black" w:hAnsi="Arial Black"/>
              <w:sz w:val="36"/>
              <w:szCs w:val="36"/>
            </w:rPr>
          </w:pPr>
          <w:r w:rsidRPr="00613FC4">
            <w:rPr>
              <w:rFonts w:ascii="Arial Black" w:hAnsi="Arial Black"/>
              <w:sz w:val="36"/>
              <w:szCs w:val="36"/>
            </w:rPr>
            <w:t>Lecturer:</w:t>
          </w:r>
          <w:r>
            <w:rPr>
              <w:rFonts w:ascii="Arial Black" w:hAnsi="Arial Black"/>
              <w:sz w:val="36"/>
              <w:szCs w:val="36"/>
            </w:rPr>
            <w:t xml:space="preserve"> </w:t>
          </w:r>
          <w:r w:rsidRPr="00613FC4">
            <w:rPr>
              <w:rFonts w:ascii="Arial Black" w:hAnsi="Arial Black"/>
              <w:sz w:val="36"/>
              <w:szCs w:val="36"/>
            </w:rPr>
            <w:t>Jessica Shore</w:t>
          </w:r>
        </w:p>
        <w:p w14:paraId="522D3AE1" w14:textId="0424D880" w:rsidR="00613FC4" w:rsidRPr="00613FC4" w:rsidRDefault="00613FC4">
          <w:pPr>
            <w:rPr>
              <w:rFonts w:ascii="Arial Black" w:hAnsi="Arial Black" w:cs="Arial"/>
              <w:b/>
              <w:bCs/>
              <w:color w:val="000000" w:themeColor="text1"/>
              <w:sz w:val="36"/>
              <w:szCs w:val="36"/>
            </w:rPr>
          </w:pPr>
          <w:r w:rsidRPr="00613FC4">
            <w:rPr>
              <w:rFonts w:ascii="Arial Black" w:hAnsi="Arial Black"/>
              <w:noProof/>
              <w:sz w:val="36"/>
              <w:szCs w:val="36"/>
            </w:rPr>
            <mc:AlternateContent>
              <mc:Choice Requires="wps">
                <w:drawing>
                  <wp:anchor distT="0" distB="0" distL="182880" distR="182880" simplePos="0" relativeHeight="251660288" behindDoc="0" locked="0" layoutInCell="1" allowOverlap="1" wp14:anchorId="6B13700A" wp14:editId="796C4969">
                    <wp:simplePos x="0" y="0"/>
                    <wp:positionH relativeFrom="margin">
                      <wp:posOffset>-769451</wp:posOffset>
                    </wp:positionH>
                    <wp:positionV relativeFrom="page">
                      <wp:posOffset>5398907</wp:posOffset>
                    </wp:positionV>
                    <wp:extent cx="7134860" cy="6720840"/>
                    <wp:effectExtent l="0" t="0" r="889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713486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8093F2" w14:textId="1922CD42" w:rsidR="00613FC4" w:rsidRPr="00613FC4" w:rsidRDefault="00613FC4" w:rsidP="00613FC4">
                                <w:pPr>
                                  <w:pStyle w:val="NoSpacing"/>
                                  <w:spacing w:before="40" w:after="560" w:line="216" w:lineRule="auto"/>
                                  <w:jc w:val="center"/>
                                  <w:rPr>
                                    <w:color w:val="156082" w:themeColor="accent1"/>
                                    <w:sz w:val="72"/>
                                    <w:szCs w:val="72"/>
                                  </w:rPr>
                                </w:pPr>
                                <w:sdt>
                                  <w:sdtPr>
                                    <w:rPr>
                                      <w:rFonts w:ascii="Arial Black" w:hAnsi="Arial Black"/>
                                      <w:color w:val="156082"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13FC4">
                                      <w:rPr>
                                        <w:rFonts w:ascii="Arial Black" w:hAnsi="Arial Black"/>
                                        <w:color w:val="156082" w:themeColor="accent1"/>
                                        <w:sz w:val="56"/>
                                        <w:szCs w:val="56"/>
                                      </w:rPr>
                                      <w:t>Social Impact Measurement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6B13700A" id="_x0000_t202" coordsize="21600,21600" o:spt="202" path="m,l,21600r21600,l21600,xe">
                    <v:stroke joinstyle="miter"/>
                    <v:path gradientshapeok="t" o:connecttype="rect"/>
                  </v:shapetype>
                  <v:shape id="Text Box 131" o:spid="_x0000_s1026" type="#_x0000_t202" style="position:absolute;margin-left:-60.6pt;margin-top:425.1pt;width:561.8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" filled="f" stroked="f" strokeweight=".5pt">
                    <v:textbox style="mso-fit-shape-to-text:t" inset="0,0,0,0">
                      <w:txbxContent>
                        <w:p w14:paraId="168093F2" w14:textId="1922CD42" w:rsidR="00613FC4" w:rsidRPr="00613FC4" w:rsidRDefault="00613FC4" w:rsidP="00613FC4">
                          <w:pPr>
                            <w:pStyle w:val="NoSpacing"/>
                            <w:spacing w:before="40" w:after="560" w:line="216" w:lineRule="auto"/>
                            <w:jc w:val="center"/>
                            <w:rPr>
                              <w:color w:val="156082" w:themeColor="accent1"/>
                              <w:sz w:val="72"/>
                              <w:szCs w:val="72"/>
                            </w:rPr>
                          </w:pPr>
                          <w:sdt>
                            <w:sdtPr>
                              <w:rPr>
                                <w:rFonts w:ascii="Arial Black" w:hAnsi="Arial Black"/>
                                <w:color w:val="156082"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13FC4">
                                <w:rPr>
                                  <w:rFonts w:ascii="Arial Black" w:hAnsi="Arial Black"/>
                                  <w:color w:val="156082" w:themeColor="accent1"/>
                                  <w:sz w:val="56"/>
                                  <w:szCs w:val="56"/>
                                </w:rPr>
                                <w:t>Social Impact Measurement</w:t>
                              </w:r>
                            </w:sdtContent>
                          </w:sdt>
                        </w:p>
                      </w:txbxContent>
                    </v:textbox>
                    <w10:wrap type="square" anchorx="margin" anchory="page"/>
                  </v:shape>
                </w:pict>
              </mc:Fallback>
            </mc:AlternateContent>
          </w:r>
          <w:r w:rsidRPr="00613FC4">
            <w:rPr>
              <w:rFonts w:ascii="Arial Black" w:hAnsi="Arial Black" w:cs="Arial"/>
              <w:b/>
              <w:bCs/>
              <w:color w:val="000000" w:themeColor="text1"/>
              <w:sz w:val="36"/>
              <w:szCs w:val="36"/>
            </w:rPr>
            <w:br w:type="page"/>
          </w:r>
        </w:p>
      </w:sdtContent>
    </w:sdt>
    <w:p w14:paraId="65006762" w14:textId="67C380B3" w:rsidR="00A162C6" w:rsidRPr="00A162C6" w:rsidRDefault="00A162C6" w:rsidP="004D004A">
      <w:pPr>
        <w:spacing w:line="480" w:lineRule="auto"/>
        <w:rPr>
          <w:rFonts w:ascii="Arial" w:hAnsi="Arial" w:cs="Arial"/>
          <w:b/>
          <w:bCs/>
          <w:color w:val="000000" w:themeColor="text1"/>
        </w:rPr>
      </w:pPr>
      <w:r w:rsidRPr="00A162C6">
        <w:rPr>
          <w:rFonts w:ascii="Arial" w:hAnsi="Arial" w:cs="Arial"/>
          <w:b/>
          <w:bCs/>
          <w:color w:val="000000" w:themeColor="text1"/>
        </w:rPr>
        <w:lastRenderedPageBreak/>
        <w:t xml:space="preserve">Introduction </w:t>
      </w:r>
    </w:p>
    <w:p w14:paraId="4B227E54" w14:textId="77777777" w:rsidR="00A162C6" w:rsidRDefault="004D004A" w:rsidP="004D004A">
      <w:pPr>
        <w:spacing w:line="480" w:lineRule="auto"/>
        <w:rPr>
          <w:rFonts w:ascii="Arial" w:hAnsi="Arial" w:cs="Arial"/>
        </w:rPr>
      </w:pPr>
      <w:r w:rsidRPr="004D004A">
        <w:rPr>
          <w:rFonts w:ascii="Arial" w:hAnsi="Arial" w:cs="Arial"/>
        </w:rPr>
        <w:t>Toast Ale's mission is to combat food waste by creating exceptional beer that focuses attention on the enormous amount of waste that occurs throughout our global food supply chain. Their strategy includes sourcing additional bread; integrating it into their brewing process; collaborating with other craft breweries to create new styles of beer with added nutritional benefits; attracting consumers to their products through social media; investing part of their profits back into food waste activism.</w:t>
      </w:r>
    </w:p>
    <w:p w14:paraId="486E8C52" w14:textId="77777777" w:rsidR="00A162C6" w:rsidRDefault="004D004A" w:rsidP="004D004A">
      <w:pPr>
        <w:spacing w:line="480" w:lineRule="auto"/>
        <w:rPr>
          <w:rFonts w:ascii="Arial" w:hAnsi="Arial" w:cs="Arial"/>
        </w:rPr>
      </w:pPr>
      <w:r w:rsidRPr="004D004A">
        <w:rPr>
          <w:rFonts w:ascii="Arial" w:hAnsi="Arial" w:cs="Arial"/>
        </w:rPr>
        <w:t>To examine how Toast Ale creates positive societal impact using SAN analysis, this report utili</w:t>
      </w:r>
      <w:r w:rsidR="00A162C6">
        <w:rPr>
          <w:rFonts w:ascii="Arial" w:hAnsi="Arial" w:cs="Arial"/>
        </w:rPr>
        <w:t>s</w:t>
      </w:r>
      <w:r w:rsidRPr="004D004A">
        <w:rPr>
          <w:rFonts w:ascii="Arial" w:hAnsi="Arial" w:cs="Arial"/>
        </w:rPr>
        <w:t xml:space="preserve">es a SAN framework to analyse and assess its input/output transformation </w:t>
      </w:r>
      <w:r w:rsidR="00A162C6" w:rsidRPr="004D004A">
        <w:rPr>
          <w:rFonts w:ascii="Arial" w:hAnsi="Arial" w:cs="Arial"/>
        </w:rPr>
        <w:t>process. Toast</w:t>
      </w:r>
      <w:r w:rsidRPr="004D004A">
        <w:rPr>
          <w:rFonts w:ascii="Arial" w:hAnsi="Arial" w:cs="Arial"/>
        </w:rPr>
        <w:t xml:space="preserve"> Ale's vision offers both a healthy planet and an economically viable business. In other words, by using surplus bread to replace 1/3 of the barley needed to produce the beer, they are reducing their reliance on natural resources (such as land, energy and carbon emissions).</w:t>
      </w:r>
    </w:p>
    <w:p w14:paraId="046DC4AE" w14:textId="3060ECB5" w:rsidR="004D004A" w:rsidRPr="004D004A" w:rsidRDefault="004D004A" w:rsidP="004D004A">
      <w:pPr>
        <w:spacing w:line="480" w:lineRule="auto"/>
        <w:rPr>
          <w:rFonts w:ascii="Arial" w:hAnsi="Arial" w:cs="Arial"/>
        </w:rPr>
      </w:pPr>
      <w:r w:rsidRPr="004D004A">
        <w:rPr>
          <w:rFonts w:ascii="Arial" w:hAnsi="Arial" w:cs="Arial"/>
        </w:rPr>
        <w:t xml:space="preserve">Through the sharing of its brewing recipe with the public as well as encouraging other breweries to participate in collaborative efforts with Toast Ale, it is fair to say that Toast Ale is operating according to the principles of </w:t>
      </w:r>
      <w:r w:rsidR="00A162C6" w:rsidRPr="004D004A">
        <w:rPr>
          <w:rFonts w:ascii="Arial" w:hAnsi="Arial" w:cs="Arial"/>
        </w:rPr>
        <w:t>open-source</w:t>
      </w:r>
      <w:r w:rsidRPr="004D004A">
        <w:rPr>
          <w:rFonts w:ascii="Arial" w:hAnsi="Arial" w:cs="Arial"/>
        </w:rPr>
        <w:t xml:space="preserve"> technology. Furthermore, the concept of </w:t>
      </w:r>
      <w:r w:rsidR="00A162C6" w:rsidRPr="004D004A">
        <w:rPr>
          <w:rFonts w:ascii="Arial" w:hAnsi="Arial" w:cs="Arial"/>
        </w:rPr>
        <w:t>open-source</w:t>
      </w:r>
      <w:r w:rsidRPr="004D004A">
        <w:rPr>
          <w:rFonts w:ascii="Arial" w:hAnsi="Arial" w:cs="Arial"/>
        </w:rPr>
        <w:t xml:space="preserve"> fits perfectly with the principles of social enterprise, meaning they believe that their commitment to creating a better world (i.e., by producing a sustainable product) is more important than creating a competitive advantage for themselves</w:t>
      </w:r>
      <w:r w:rsidR="00A162C6">
        <w:rPr>
          <w:rFonts w:ascii="Arial" w:hAnsi="Arial" w:cs="Arial"/>
        </w:rPr>
        <w:t xml:space="preserve"> (</w:t>
      </w:r>
      <w:proofErr w:type="spellStart"/>
      <w:r w:rsidRPr="004D004A">
        <w:rPr>
          <w:rFonts w:ascii="Arial" w:hAnsi="Arial" w:cs="Arial"/>
        </w:rPr>
        <w:t>Alhaddi</w:t>
      </w:r>
      <w:proofErr w:type="spellEnd"/>
      <w:r w:rsidR="00A162C6">
        <w:rPr>
          <w:rFonts w:ascii="Arial" w:hAnsi="Arial" w:cs="Arial"/>
        </w:rPr>
        <w:t xml:space="preserve">, </w:t>
      </w:r>
      <w:r w:rsidRPr="004D004A">
        <w:rPr>
          <w:rFonts w:ascii="Arial" w:hAnsi="Arial" w:cs="Arial"/>
        </w:rPr>
        <w:t>2015)</w:t>
      </w:r>
      <w:r w:rsidR="00A162C6">
        <w:rPr>
          <w:rFonts w:ascii="Arial" w:hAnsi="Arial" w:cs="Arial"/>
        </w:rPr>
        <w:t>.</w:t>
      </w:r>
    </w:p>
    <w:p w14:paraId="77F195B6" w14:textId="5598286C" w:rsidR="004D004A" w:rsidRPr="00A162C6" w:rsidRDefault="004D004A" w:rsidP="004D004A">
      <w:pPr>
        <w:spacing w:line="480" w:lineRule="auto"/>
        <w:rPr>
          <w:rFonts w:ascii="Arial" w:hAnsi="Arial" w:cs="Arial"/>
          <w:b/>
          <w:bCs/>
        </w:rPr>
      </w:pPr>
      <w:r w:rsidRPr="00A162C6">
        <w:rPr>
          <w:rFonts w:ascii="Arial" w:hAnsi="Arial" w:cs="Arial"/>
          <w:b/>
          <w:bCs/>
        </w:rPr>
        <w:t>Collaborative Engagement and Resource Allocation</w:t>
      </w:r>
    </w:p>
    <w:p w14:paraId="22030326" w14:textId="77777777" w:rsidR="00A162C6" w:rsidRDefault="004D004A" w:rsidP="004D004A">
      <w:pPr>
        <w:spacing w:line="480" w:lineRule="auto"/>
        <w:rPr>
          <w:rFonts w:ascii="Arial" w:hAnsi="Arial" w:cs="Arial"/>
        </w:rPr>
      </w:pPr>
      <w:r w:rsidRPr="004D004A">
        <w:rPr>
          <w:rFonts w:ascii="Arial" w:hAnsi="Arial" w:cs="Arial"/>
        </w:rPr>
        <w:t xml:space="preserve">Toast Ale partners with numerous stakeholders, such as bakeries that provide surplus bread, breweries that brew their beer, environmental NGOS, customers, </w:t>
      </w:r>
      <w:r w:rsidRPr="004D004A">
        <w:rPr>
          <w:rFonts w:ascii="Arial" w:hAnsi="Arial" w:cs="Arial"/>
        </w:rPr>
        <w:lastRenderedPageBreak/>
        <w:t>restaurant partners, and employees who are involved in the distribution of surplus food. Based on stakeholder theory (Faucher 2022), Toast Ale creates value for each of these stakeholder groups through cooperative relationships between them where they each contribute a different type of resource(s) (e.g., expertise, legitimacy, etc.) and collectively benefit.</w:t>
      </w:r>
    </w:p>
    <w:p w14:paraId="081B7467" w14:textId="5B026637" w:rsidR="00A162C6" w:rsidRDefault="004D004A" w:rsidP="004D004A">
      <w:pPr>
        <w:spacing w:line="480" w:lineRule="auto"/>
        <w:rPr>
          <w:rFonts w:ascii="Arial" w:hAnsi="Arial" w:cs="Arial"/>
        </w:rPr>
      </w:pPr>
      <w:r w:rsidRPr="004D004A">
        <w:rPr>
          <w:rFonts w:ascii="Arial" w:hAnsi="Arial" w:cs="Arial"/>
        </w:rPr>
        <w:t>Toast Ale has developed long standing partnerships with bakeries that supply its main raw ingredient (i.e., surplus bread), partnerships with breweries who help produce its beer, and charitable organisations like Feedback to whom they donate a percentage of their profits.</w:t>
      </w:r>
    </w:p>
    <w:p w14:paraId="0426C2E5" w14:textId="54D4361B" w:rsidR="004D004A" w:rsidRPr="004D004A" w:rsidRDefault="004D004A" w:rsidP="004D004A">
      <w:pPr>
        <w:spacing w:line="480" w:lineRule="auto"/>
        <w:rPr>
          <w:rFonts w:ascii="Arial" w:hAnsi="Arial" w:cs="Arial"/>
        </w:rPr>
      </w:pPr>
      <w:r w:rsidRPr="004D004A">
        <w:rPr>
          <w:rFonts w:ascii="Arial" w:hAnsi="Arial" w:cs="Arial"/>
        </w:rPr>
        <w:t xml:space="preserve">Toast Ale allocates its resources across a variety of areas; for example, by using surplus bread as a primary raw material to produce its beer, Toast Ale reduces the cost of production while also reducing its impact on the environment. To manage this process, Toast Ale employs skilled brewers, sustainability experts, marketing professionals, and people who are responsible for managing its supply chain partnerships and logistics. In addition to the direct purchase and sale of beer through retail outlets or crowdfunding, Toast Ale has developed its financial resources from many other outlets, such as using its brand to advocate for sustainability and developing strong community relationships that support its </w:t>
      </w:r>
      <w:r w:rsidR="007B6414" w:rsidRPr="004D004A">
        <w:rPr>
          <w:rFonts w:ascii="Arial" w:hAnsi="Arial" w:cs="Arial"/>
        </w:rPr>
        <w:t>efforts. Research</w:t>
      </w:r>
      <w:r w:rsidRPr="004D004A">
        <w:rPr>
          <w:rFonts w:ascii="Arial" w:hAnsi="Arial" w:cs="Arial"/>
        </w:rPr>
        <w:t xml:space="preserve"> indicates that the highest levels of impact from social enterprises are realized through combining direct service with systemic interventions directed at long-term change (</w:t>
      </w:r>
      <w:proofErr w:type="spellStart"/>
      <w:r w:rsidRPr="004D004A">
        <w:rPr>
          <w:rFonts w:ascii="Arial" w:hAnsi="Arial" w:cs="Arial"/>
        </w:rPr>
        <w:t>Koleros</w:t>
      </w:r>
      <w:proofErr w:type="spellEnd"/>
      <w:r w:rsidRPr="004D004A">
        <w:rPr>
          <w:rFonts w:ascii="Arial" w:hAnsi="Arial" w:cs="Arial"/>
        </w:rPr>
        <w:t xml:space="preserve"> et al 2024), and this allocation supports this idea. Toast Ale’s dual role as producer and catalyst for environmental awareness.</w:t>
      </w:r>
    </w:p>
    <w:p w14:paraId="351F166A" w14:textId="77777777" w:rsidR="0038430F" w:rsidRDefault="0038430F" w:rsidP="004D004A">
      <w:pPr>
        <w:spacing w:line="480" w:lineRule="auto"/>
        <w:rPr>
          <w:rFonts w:ascii="Arial" w:hAnsi="Arial" w:cs="Arial"/>
          <w:b/>
          <w:bCs/>
        </w:rPr>
      </w:pPr>
    </w:p>
    <w:p w14:paraId="49EAE795" w14:textId="77777777" w:rsidR="0038430F" w:rsidRDefault="0038430F" w:rsidP="004D004A">
      <w:pPr>
        <w:spacing w:line="480" w:lineRule="auto"/>
        <w:rPr>
          <w:rFonts w:ascii="Arial" w:hAnsi="Arial" w:cs="Arial"/>
          <w:b/>
          <w:bCs/>
        </w:rPr>
      </w:pPr>
    </w:p>
    <w:p w14:paraId="5E0F7DB1" w14:textId="04ABB27C" w:rsidR="004D004A" w:rsidRPr="007B6414" w:rsidRDefault="007B6414" w:rsidP="004D004A">
      <w:pPr>
        <w:spacing w:line="480" w:lineRule="auto"/>
        <w:rPr>
          <w:rFonts w:ascii="Arial" w:hAnsi="Arial" w:cs="Arial"/>
          <w:b/>
          <w:bCs/>
        </w:rPr>
      </w:pPr>
      <w:r w:rsidRPr="007B6414">
        <w:rPr>
          <w:rFonts w:ascii="Arial" w:hAnsi="Arial" w:cs="Arial"/>
          <w:b/>
          <w:bCs/>
        </w:rPr>
        <w:lastRenderedPageBreak/>
        <w:t>Delivery of Social Value</w:t>
      </w:r>
    </w:p>
    <w:p w14:paraId="1CFE09B4" w14:textId="77777777" w:rsidR="007B6414" w:rsidRDefault="004D004A" w:rsidP="004D004A">
      <w:pPr>
        <w:spacing w:line="480" w:lineRule="auto"/>
        <w:rPr>
          <w:rFonts w:ascii="Arial" w:hAnsi="Arial" w:cs="Arial"/>
        </w:rPr>
      </w:pPr>
      <w:r w:rsidRPr="004D004A">
        <w:rPr>
          <w:rFonts w:ascii="Arial" w:hAnsi="Arial" w:cs="Arial"/>
        </w:rPr>
        <w:t>The focus of Toast Ale's delivery of social value is through sustainable brewing operations, waste reduction and advocacy. Each time bread is wasted, it represents an opportunity for other purposes other than simply discarding it. The process of brewing illustrates how surplus food products are converted into high-quality beers through a circular economy model.</w:t>
      </w:r>
    </w:p>
    <w:p w14:paraId="169DCF1D" w14:textId="77777777" w:rsidR="007B6414" w:rsidRDefault="004D004A" w:rsidP="004D004A">
      <w:pPr>
        <w:spacing w:line="480" w:lineRule="auto"/>
        <w:rPr>
          <w:rFonts w:ascii="Arial" w:hAnsi="Arial" w:cs="Arial"/>
        </w:rPr>
      </w:pPr>
      <w:r w:rsidRPr="004D004A">
        <w:rPr>
          <w:rFonts w:ascii="Arial" w:hAnsi="Arial" w:cs="Arial"/>
        </w:rPr>
        <w:t xml:space="preserve">By collaborating with local bakeries and collecting surplus bread, Toast Ale is helping to solve the waste problem and build strong local supply chains while encouraging sustainable practices among bakeries. The partnerships that Toast Ale has established with hospitality venues and retail outlets allow for widespread distribution of the company's products and promote awareness of sustainable consumption. The benefit of Toast Ale's partnerships with hospitality and retail outlets </w:t>
      </w:r>
      <w:r w:rsidR="007B6414" w:rsidRPr="004D004A">
        <w:rPr>
          <w:rFonts w:ascii="Arial" w:hAnsi="Arial" w:cs="Arial"/>
        </w:rPr>
        <w:t>supports</w:t>
      </w:r>
      <w:r w:rsidRPr="004D004A">
        <w:rPr>
          <w:rFonts w:ascii="Arial" w:hAnsi="Arial" w:cs="Arial"/>
        </w:rPr>
        <w:t xml:space="preserve"> the expansion of ethical business models in various industries.</w:t>
      </w:r>
    </w:p>
    <w:p w14:paraId="450A94F0" w14:textId="7EAE450F" w:rsidR="004D004A" w:rsidRPr="007B6414" w:rsidRDefault="004D004A" w:rsidP="004D004A">
      <w:pPr>
        <w:spacing w:line="480" w:lineRule="auto"/>
        <w:rPr>
          <w:rFonts w:ascii="Arial" w:hAnsi="Arial" w:cs="Arial"/>
        </w:rPr>
      </w:pPr>
      <w:r w:rsidRPr="004D004A">
        <w:rPr>
          <w:rFonts w:ascii="Arial" w:hAnsi="Arial" w:cs="Arial"/>
        </w:rPr>
        <w:t xml:space="preserve">Additionally, Toast Ale's operational transparency and impactive reporting create additional social value for their company. They provide information regarding their carbon footprint, the volume of waste </w:t>
      </w:r>
      <w:r w:rsidR="007B6414" w:rsidRPr="004D004A">
        <w:rPr>
          <w:rFonts w:ascii="Arial" w:hAnsi="Arial" w:cs="Arial"/>
        </w:rPr>
        <w:t>generated,</w:t>
      </w:r>
      <w:r w:rsidRPr="004D004A">
        <w:rPr>
          <w:rFonts w:ascii="Arial" w:hAnsi="Arial" w:cs="Arial"/>
        </w:rPr>
        <w:t xml:space="preserve"> and the amount donated to food banks to support food waste reduction in the form of direct and indirect donations. This concept of accountability aligns with the SAN principles of gathering and sharing proof of the social impact of a company. As a result, all distributable profit made by Toast Ale is reinvested into supporting environmental sustainability initiatives.</w:t>
      </w:r>
    </w:p>
    <w:p w14:paraId="713C8C7F" w14:textId="6B4C79FE" w:rsidR="007B6414" w:rsidRPr="007B6414" w:rsidRDefault="007B6414" w:rsidP="004D004A">
      <w:pPr>
        <w:spacing w:line="480" w:lineRule="auto"/>
        <w:rPr>
          <w:rFonts w:ascii="Arial" w:hAnsi="Arial" w:cs="Arial"/>
          <w:b/>
          <w:bCs/>
        </w:rPr>
      </w:pPr>
      <w:r w:rsidRPr="007B6414">
        <w:rPr>
          <w:rFonts w:ascii="Arial" w:hAnsi="Arial" w:cs="Arial"/>
          <w:b/>
          <w:bCs/>
        </w:rPr>
        <w:t>Changes Experienced by Beneficiaries</w:t>
      </w:r>
    </w:p>
    <w:p w14:paraId="42446774" w14:textId="77777777" w:rsidR="007B6414" w:rsidRDefault="004D004A" w:rsidP="004D004A">
      <w:pPr>
        <w:spacing w:line="480" w:lineRule="auto"/>
        <w:rPr>
          <w:rFonts w:ascii="Arial" w:hAnsi="Arial" w:cs="Arial"/>
        </w:rPr>
      </w:pPr>
      <w:r w:rsidRPr="004D004A">
        <w:rPr>
          <w:rFonts w:ascii="Arial" w:hAnsi="Arial" w:cs="Arial"/>
        </w:rPr>
        <w:t xml:space="preserve">Beneficiaries of Toast Ale’s efforts include food waste charities, small bakeries, supply chain partners and consumers purchasing their products that follow the </w:t>
      </w:r>
      <w:r w:rsidRPr="004D004A">
        <w:rPr>
          <w:rFonts w:ascii="Arial" w:hAnsi="Arial" w:cs="Arial"/>
        </w:rPr>
        <w:lastRenderedPageBreak/>
        <w:t>principles of sustainability. Food waste charities such as Feedback derive a financial benefit from the donations made by Toast Ale which allow them to be able to grow their programs that promote sustainable agricultural practices; waste reduction practices; and food redistribution organi</w:t>
      </w:r>
      <w:r w:rsidR="007B6414">
        <w:rPr>
          <w:rFonts w:ascii="Arial" w:hAnsi="Arial" w:cs="Arial"/>
        </w:rPr>
        <w:t>s</w:t>
      </w:r>
      <w:r w:rsidRPr="004D004A">
        <w:rPr>
          <w:rFonts w:ascii="Arial" w:hAnsi="Arial" w:cs="Arial"/>
        </w:rPr>
        <w:t>ations. These donations support long-term systemic interventions designed to enable food security while reducing the harmful impacts on the environment.</w:t>
      </w:r>
    </w:p>
    <w:p w14:paraId="43D9C1F1" w14:textId="30EAFEF9" w:rsidR="004D004A" w:rsidRPr="004D004A" w:rsidRDefault="004D004A" w:rsidP="004D004A">
      <w:pPr>
        <w:spacing w:line="480" w:lineRule="auto"/>
        <w:rPr>
          <w:rFonts w:ascii="Arial" w:hAnsi="Arial" w:cs="Arial"/>
        </w:rPr>
      </w:pPr>
      <w:r w:rsidRPr="004D004A">
        <w:rPr>
          <w:rFonts w:ascii="Arial" w:hAnsi="Arial" w:cs="Arial"/>
        </w:rPr>
        <w:t>Small bakeries also experience operational benefits from receiving and redistributing their excess bread rather than throwing it into landfills or composting piles. Costs associated with waste disposal are reduced and metrics measuring food waste go down, thereby enhancing the sustainability performance of the bakery. The above statements demonstrate that environmental performance has become increasingly relevant within today’s organisations and ultimately leads to stronger economic and reputational results (Delmas et al., 2013).</w:t>
      </w:r>
    </w:p>
    <w:p w14:paraId="13F21C39" w14:textId="5B2B873F" w:rsidR="004D004A" w:rsidRPr="007B6414" w:rsidRDefault="007B6414" w:rsidP="004D004A">
      <w:pPr>
        <w:spacing w:line="480" w:lineRule="auto"/>
        <w:rPr>
          <w:rFonts w:ascii="Arial" w:hAnsi="Arial" w:cs="Arial"/>
          <w:b/>
          <w:bCs/>
        </w:rPr>
      </w:pPr>
      <w:r w:rsidRPr="007B6414">
        <w:rPr>
          <w:rFonts w:ascii="Arial" w:hAnsi="Arial" w:cs="Arial"/>
          <w:b/>
          <w:bCs/>
        </w:rPr>
        <w:t>Wider Social, Economic and Environmental Impact</w:t>
      </w:r>
    </w:p>
    <w:p w14:paraId="009C228A" w14:textId="77777777" w:rsidR="007B6414" w:rsidRDefault="004D004A" w:rsidP="004D004A">
      <w:pPr>
        <w:spacing w:line="480" w:lineRule="auto"/>
        <w:rPr>
          <w:rFonts w:ascii="Arial" w:hAnsi="Arial" w:cs="Arial"/>
        </w:rPr>
      </w:pPr>
      <w:r w:rsidRPr="004D004A">
        <w:rPr>
          <w:rFonts w:ascii="Arial" w:hAnsi="Arial" w:cs="Arial"/>
        </w:rPr>
        <w:t xml:space="preserve">Consumers have a unique opportunity to purchase products that allow them to practice environmentally conscious purchasing choices. A large percentage of customers responding to customer satisfaction surveys conducted by Toast Ale indicate that once they have </w:t>
      </w:r>
      <w:r w:rsidR="007B6414" w:rsidRPr="004D004A">
        <w:rPr>
          <w:rFonts w:ascii="Arial" w:hAnsi="Arial" w:cs="Arial"/>
        </w:rPr>
        <w:t>meet</w:t>
      </w:r>
      <w:r w:rsidRPr="004D004A">
        <w:rPr>
          <w:rFonts w:ascii="Arial" w:hAnsi="Arial" w:cs="Arial"/>
        </w:rPr>
        <w:t xml:space="preserve"> Toast Ale’s branded messaging, they now have a much greater awareness of the food waste crisis. The resulting change in consumer behaviour is extremely important because it establishes a pathway towards sustainable behavioural changes that will support long-term environmental sustainability.</w:t>
      </w:r>
    </w:p>
    <w:p w14:paraId="388DD60F" w14:textId="77777777" w:rsidR="007B6414" w:rsidRDefault="004D004A" w:rsidP="004D004A">
      <w:pPr>
        <w:spacing w:line="480" w:lineRule="auto"/>
        <w:rPr>
          <w:rFonts w:ascii="Arial" w:hAnsi="Arial" w:cs="Arial"/>
        </w:rPr>
      </w:pPr>
      <w:r w:rsidRPr="004D004A">
        <w:rPr>
          <w:rFonts w:ascii="Arial" w:hAnsi="Arial" w:cs="Arial"/>
        </w:rPr>
        <w:t xml:space="preserve">Brewery partners are similarly able to leverage their partnership through the exchange of knowledge; co-branding opportunities; and sharing of their respective </w:t>
      </w:r>
      <w:r w:rsidR="007B6414" w:rsidRPr="004D004A">
        <w:rPr>
          <w:rFonts w:ascii="Arial" w:hAnsi="Arial" w:cs="Arial"/>
        </w:rPr>
        <w:lastRenderedPageBreak/>
        <w:t>expertise. Toast</w:t>
      </w:r>
      <w:r w:rsidRPr="004D004A">
        <w:rPr>
          <w:rFonts w:ascii="Arial" w:hAnsi="Arial" w:cs="Arial"/>
        </w:rPr>
        <w:t xml:space="preserve"> Ale collaborates with breweries to enable experimentation with circular production methods, which would not be possible without this type of partnership.</w:t>
      </w:r>
    </w:p>
    <w:p w14:paraId="3D31119C" w14:textId="77777777" w:rsidR="007B6414" w:rsidRDefault="004D004A" w:rsidP="004D004A">
      <w:pPr>
        <w:spacing w:line="480" w:lineRule="auto"/>
        <w:rPr>
          <w:rFonts w:ascii="Arial" w:hAnsi="Arial" w:cs="Arial"/>
          <w:b/>
          <w:bCs/>
        </w:rPr>
      </w:pPr>
      <w:r w:rsidRPr="007B6414">
        <w:rPr>
          <w:rFonts w:ascii="Arial" w:hAnsi="Arial" w:cs="Arial"/>
          <w:b/>
          <w:bCs/>
        </w:rPr>
        <w:t>Environmental, Economic and Social Impacts</w:t>
      </w:r>
    </w:p>
    <w:p w14:paraId="585C10AC" w14:textId="7D3EC335" w:rsidR="007B6414" w:rsidRDefault="004D004A" w:rsidP="004D004A">
      <w:pPr>
        <w:spacing w:line="480" w:lineRule="auto"/>
        <w:rPr>
          <w:rFonts w:ascii="Arial" w:hAnsi="Arial" w:cs="Arial"/>
          <w:b/>
          <w:bCs/>
        </w:rPr>
      </w:pPr>
      <w:r w:rsidRPr="004D004A">
        <w:rPr>
          <w:rFonts w:ascii="Arial" w:hAnsi="Arial" w:cs="Arial"/>
        </w:rPr>
        <w:t xml:space="preserve">Although many of Toast Ale's environmental contributions come from the enterprise’s long-term engagement with best practices in the food and beverage industries, as well as developing public awareness of issues related to global food waste, they contribute more broadly to </w:t>
      </w:r>
      <w:r w:rsidR="007B6414" w:rsidRPr="004D004A">
        <w:rPr>
          <w:rFonts w:ascii="Arial" w:hAnsi="Arial" w:cs="Arial"/>
        </w:rPr>
        <w:t>several</w:t>
      </w:r>
      <w:r w:rsidRPr="004D004A">
        <w:rPr>
          <w:rFonts w:ascii="Arial" w:hAnsi="Arial" w:cs="Arial"/>
        </w:rPr>
        <w:t xml:space="preserve"> environmental systems and to establishing public environmental responsibility in the food and beverage industries.</w:t>
      </w:r>
    </w:p>
    <w:p w14:paraId="073E37FA" w14:textId="77777777" w:rsidR="007B6414" w:rsidRDefault="004D004A" w:rsidP="004D004A">
      <w:pPr>
        <w:spacing w:line="480" w:lineRule="auto"/>
        <w:rPr>
          <w:rFonts w:ascii="Arial" w:hAnsi="Arial" w:cs="Arial"/>
          <w:b/>
          <w:bCs/>
        </w:rPr>
      </w:pPr>
      <w:r w:rsidRPr="004D004A">
        <w:rPr>
          <w:rFonts w:ascii="Arial" w:hAnsi="Arial" w:cs="Arial"/>
        </w:rPr>
        <w:t>Regarding the environmental impact of Toast Ale, research shows that developing innovative supply chain solutions based on sustainable practices demonstrates a link between increased environmental accountability and increased business performance (Channa et al., 2021). By stimulating a craft beer industry with innovative supply chain solutions, Toast Ale creates opportunities for work in local communities and develops partnerships that foster entrepreneurial collaboration through providing a model showing that sustainable production does exist and can be achieved.</w:t>
      </w:r>
    </w:p>
    <w:p w14:paraId="4EA17D16" w14:textId="77777777" w:rsidR="007B6414" w:rsidRDefault="004D004A" w:rsidP="004D004A">
      <w:pPr>
        <w:spacing w:line="480" w:lineRule="auto"/>
        <w:rPr>
          <w:rFonts w:ascii="Arial" w:hAnsi="Arial" w:cs="Arial"/>
          <w:b/>
          <w:bCs/>
        </w:rPr>
      </w:pPr>
      <w:r w:rsidRPr="004D004A">
        <w:rPr>
          <w:rFonts w:ascii="Arial" w:hAnsi="Arial" w:cs="Arial"/>
        </w:rPr>
        <w:t xml:space="preserve">Toast Ale provides a great example of how a social enterprise can showcase the impact of innovative business practices on the broader food industry, increasing expectations for environmental responsibility (Spieth et al. 2019). For the social operations of Toast Ale, the advocacy campaign against food waste reinforces the size and scope of the food waste problem as a contributor to climate change. </w:t>
      </w:r>
      <w:r w:rsidR="007B6414" w:rsidRPr="004D004A">
        <w:rPr>
          <w:rFonts w:ascii="Arial" w:hAnsi="Arial" w:cs="Arial"/>
        </w:rPr>
        <w:t>Using</w:t>
      </w:r>
      <w:r w:rsidRPr="004D004A">
        <w:rPr>
          <w:rFonts w:ascii="Arial" w:hAnsi="Arial" w:cs="Arial"/>
        </w:rPr>
        <w:t xml:space="preserve"> media and public advocacy, Toast Ale is raising awareness of food waste among individuals and businesses and inspiring behaviour change as it relates to food </w:t>
      </w:r>
      <w:r w:rsidRPr="004D004A">
        <w:rPr>
          <w:rFonts w:ascii="Arial" w:hAnsi="Arial" w:cs="Arial"/>
        </w:rPr>
        <w:lastRenderedPageBreak/>
        <w:t xml:space="preserve">waste reduction. To effect systemic change in food systems, culture must go through a transformation E.g. </w:t>
      </w:r>
      <w:r w:rsidR="007B6414" w:rsidRPr="004D004A">
        <w:rPr>
          <w:rFonts w:ascii="Arial" w:hAnsi="Arial" w:cs="Arial"/>
        </w:rPr>
        <w:t>To</w:t>
      </w:r>
      <w:r w:rsidRPr="004D004A">
        <w:rPr>
          <w:rFonts w:ascii="Arial" w:hAnsi="Arial" w:cs="Arial"/>
        </w:rPr>
        <w:t xml:space="preserve"> provide for a long-term reduction in waste, consumer behaviour must also go through a transformation.</w:t>
      </w:r>
    </w:p>
    <w:p w14:paraId="310C0DC7" w14:textId="0B9AD9C8" w:rsidR="004D004A" w:rsidRPr="007B6414" w:rsidRDefault="004D004A" w:rsidP="004D004A">
      <w:pPr>
        <w:spacing w:line="480" w:lineRule="auto"/>
        <w:rPr>
          <w:rFonts w:ascii="Arial" w:hAnsi="Arial" w:cs="Arial"/>
          <w:b/>
          <w:bCs/>
        </w:rPr>
      </w:pPr>
      <w:r w:rsidRPr="004D004A">
        <w:rPr>
          <w:rFonts w:ascii="Arial" w:hAnsi="Arial" w:cs="Arial"/>
        </w:rPr>
        <w:t>Institutionally and in terms of the relationships that Toast Ale has developed, its work is contributing to the creation of policy discussions regarding the importance of waste reduction; recycling and sustainability; and are building upon the body of sustainability research that suggests systemic change requires an increased level of collaboration and cooperation among businesses, communities and governments (Sala, 2020).</w:t>
      </w:r>
    </w:p>
    <w:p w14:paraId="68778E8D" w14:textId="4C75FB88" w:rsidR="004D004A" w:rsidRPr="007B6414" w:rsidRDefault="004D004A" w:rsidP="004D004A">
      <w:pPr>
        <w:spacing w:line="480" w:lineRule="auto"/>
        <w:rPr>
          <w:rFonts w:ascii="Arial" w:hAnsi="Arial" w:cs="Arial"/>
          <w:b/>
          <w:bCs/>
        </w:rPr>
      </w:pPr>
      <w:r w:rsidRPr="007B6414">
        <w:rPr>
          <w:rFonts w:ascii="Arial" w:hAnsi="Arial" w:cs="Arial"/>
          <w:b/>
          <w:bCs/>
        </w:rPr>
        <w:t>Discussion/Implications</w:t>
      </w:r>
    </w:p>
    <w:p w14:paraId="3E9176A6" w14:textId="002B820D" w:rsidR="004D004A" w:rsidRPr="004D004A" w:rsidRDefault="004D004A" w:rsidP="004D004A">
      <w:pPr>
        <w:spacing w:line="480" w:lineRule="auto"/>
        <w:rPr>
          <w:rFonts w:ascii="Arial" w:hAnsi="Arial" w:cs="Arial"/>
        </w:rPr>
      </w:pPr>
      <w:r w:rsidRPr="004D004A">
        <w:rPr>
          <w:rFonts w:ascii="Arial" w:hAnsi="Arial" w:cs="Arial"/>
        </w:rPr>
        <w:t xml:space="preserve">Analysis has demonstrated that the innovative business model of Toast Ale </w:t>
      </w:r>
      <w:r w:rsidR="0038430F" w:rsidRPr="004D004A">
        <w:rPr>
          <w:rFonts w:ascii="Arial" w:hAnsi="Arial" w:cs="Arial"/>
        </w:rPr>
        <w:t>can create</w:t>
      </w:r>
      <w:r w:rsidRPr="004D004A">
        <w:rPr>
          <w:rFonts w:ascii="Arial" w:hAnsi="Arial" w:cs="Arial"/>
        </w:rPr>
        <w:t xml:space="preserve"> substantial environmental and social impact. Hybrid business models that integrate waste reduction, production for commercial purposes, and advocacy efforts demonstrate the benefits of balancing mission and market forces (as demonstrated by Toast Ale's open-source and collaborative emphasis).</w:t>
      </w:r>
    </w:p>
    <w:p w14:paraId="13FC6673" w14:textId="77777777" w:rsidR="0038430F" w:rsidRDefault="004D004A" w:rsidP="004D004A">
      <w:pPr>
        <w:spacing w:line="480" w:lineRule="auto"/>
        <w:rPr>
          <w:rFonts w:ascii="Arial" w:hAnsi="Arial" w:cs="Arial"/>
        </w:rPr>
      </w:pPr>
      <w:r w:rsidRPr="004D004A">
        <w:rPr>
          <w:rFonts w:ascii="Arial" w:hAnsi="Arial" w:cs="Arial"/>
        </w:rPr>
        <w:t xml:space="preserve">Implications emerge for the enterprise sector at large: </w:t>
      </w:r>
    </w:p>
    <w:p w14:paraId="0735A44B" w14:textId="77777777" w:rsidR="0038430F" w:rsidRPr="0038430F" w:rsidRDefault="004D004A" w:rsidP="0038430F">
      <w:pPr>
        <w:pStyle w:val="ListParagraph"/>
        <w:numPr>
          <w:ilvl w:val="0"/>
          <w:numId w:val="1"/>
        </w:numPr>
        <w:spacing w:line="480" w:lineRule="auto"/>
        <w:rPr>
          <w:rFonts w:ascii="Arial" w:hAnsi="Arial" w:cs="Arial"/>
        </w:rPr>
      </w:pPr>
      <w:r w:rsidRPr="0038430F">
        <w:rPr>
          <w:rFonts w:ascii="Arial" w:hAnsi="Arial" w:cs="Arial"/>
        </w:rPr>
        <w:t>Principles of a circular economy can be a viable means by which to create both financial and environmental benefits</w:t>
      </w:r>
      <w:r w:rsidR="0038430F" w:rsidRPr="0038430F">
        <w:rPr>
          <w:rFonts w:ascii="Arial" w:hAnsi="Arial" w:cs="Arial"/>
        </w:rPr>
        <w:t>.</w:t>
      </w:r>
    </w:p>
    <w:p w14:paraId="4E937E63" w14:textId="28F3E6E8" w:rsidR="0038430F" w:rsidRPr="0038430F" w:rsidRDefault="004D004A" w:rsidP="0038430F">
      <w:pPr>
        <w:pStyle w:val="ListParagraph"/>
        <w:numPr>
          <w:ilvl w:val="0"/>
          <w:numId w:val="1"/>
        </w:numPr>
        <w:spacing w:line="480" w:lineRule="auto"/>
        <w:rPr>
          <w:rFonts w:ascii="Arial" w:hAnsi="Arial" w:cs="Arial"/>
        </w:rPr>
      </w:pPr>
      <w:r w:rsidRPr="0038430F">
        <w:rPr>
          <w:rFonts w:ascii="Arial" w:hAnsi="Arial" w:cs="Arial"/>
        </w:rPr>
        <w:t xml:space="preserve">A business that demonstrates processes of transparency and stakeholder engagement </w:t>
      </w:r>
      <w:r w:rsidR="0038430F" w:rsidRPr="0038430F">
        <w:rPr>
          <w:rFonts w:ascii="Arial" w:hAnsi="Arial" w:cs="Arial"/>
        </w:rPr>
        <w:t>can</w:t>
      </w:r>
      <w:r w:rsidRPr="0038430F">
        <w:rPr>
          <w:rFonts w:ascii="Arial" w:hAnsi="Arial" w:cs="Arial"/>
        </w:rPr>
        <w:t xml:space="preserve"> build trust and legitimacy, which enables them to connect with consumers and affect behaviour</w:t>
      </w:r>
      <w:r w:rsidR="0038430F" w:rsidRPr="0038430F">
        <w:rPr>
          <w:rFonts w:ascii="Arial" w:hAnsi="Arial" w:cs="Arial"/>
        </w:rPr>
        <w:t>.</w:t>
      </w:r>
    </w:p>
    <w:p w14:paraId="1833D032" w14:textId="77777777" w:rsidR="0038430F" w:rsidRDefault="004D004A" w:rsidP="004D004A">
      <w:pPr>
        <w:pStyle w:val="ListParagraph"/>
        <w:numPr>
          <w:ilvl w:val="0"/>
          <w:numId w:val="1"/>
        </w:numPr>
        <w:spacing w:line="480" w:lineRule="auto"/>
        <w:rPr>
          <w:rFonts w:ascii="Arial" w:hAnsi="Arial" w:cs="Arial"/>
        </w:rPr>
      </w:pPr>
      <w:r w:rsidRPr="0038430F">
        <w:rPr>
          <w:rFonts w:ascii="Arial" w:hAnsi="Arial" w:cs="Arial"/>
        </w:rPr>
        <w:t>The combination of commercial activities and activism provides an enterprise with a means to affect systemic change, as evident through the campaigns and partnerships formed by Toast Ale.</w:t>
      </w:r>
    </w:p>
    <w:p w14:paraId="6FCF84E2" w14:textId="6A569F8D" w:rsidR="0038430F" w:rsidRPr="0038430F" w:rsidRDefault="004D004A" w:rsidP="0038430F">
      <w:pPr>
        <w:spacing w:line="480" w:lineRule="auto"/>
        <w:rPr>
          <w:rFonts w:ascii="Arial" w:hAnsi="Arial" w:cs="Arial"/>
        </w:rPr>
      </w:pPr>
      <w:r w:rsidRPr="0038430F">
        <w:rPr>
          <w:rFonts w:ascii="Arial" w:hAnsi="Arial" w:cs="Arial"/>
          <w:b/>
          <w:bCs/>
        </w:rPr>
        <w:lastRenderedPageBreak/>
        <w:t>Conclusion</w:t>
      </w:r>
    </w:p>
    <w:p w14:paraId="418B810F" w14:textId="170D2EF7" w:rsidR="004D004A" w:rsidRPr="0038430F" w:rsidRDefault="004D004A" w:rsidP="004D004A">
      <w:pPr>
        <w:spacing w:line="480" w:lineRule="auto"/>
        <w:rPr>
          <w:rFonts w:ascii="Arial" w:hAnsi="Arial" w:cs="Arial"/>
          <w:b/>
          <w:bCs/>
        </w:rPr>
      </w:pPr>
      <w:r w:rsidRPr="004D004A">
        <w:rPr>
          <w:rFonts w:ascii="Arial" w:hAnsi="Arial" w:cs="Arial"/>
        </w:rPr>
        <w:t xml:space="preserve">As this case demonstrates, a social enterprise such as Toast Ale </w:t>
      </w:r>
      <w:proofErr w:type="gramStart"/>
      <w:r w:rsidRPr="004D004A">
        <w:rPr>
          <w:rFonts w:ascii="Arial" w:hAnsi="Arial" w:cs="Arial"/>
        </w:rPr>
        <w:t>is able to</w:t>
      </w:r>
      <w:proofErr w:type="gramEnd"/>
      <w:r w:rsidRPr="004D004A">
        <w:rPr>
          <w:rFonts w:ascii="Arial" w:hAnsi="Arial" w:cs="Arial"/>
        </w:rPr>
        <w:t xml:space="preserve"> take the challenges of an environmental issue and convert them into opportunities to be innovative, collaborate within their community, and create awareness through their customers. By using surplus bread to brew beer, reinvesting profits back into charities that combat food waste, and advocating for sustainable practices throughout the supply chain, Toast Ale creates social and environmental impact that can be quantified. Analysis conducted through the lens of the SAN framework highlights that the mission of the enterprise, its operations, and its outcomes align in a significant manner. The business model developed by Toast Ale can serve as an example to other social enterprises on how to create structural change while also generating profits through operating within commercial markets.</w:t>
      </w:r>
    </w:p>
    <w:p w14:paraId="2A8F6357" w14:textId="77777777" w:rsidR="004D004A" w:rsidRDefault="004D004A" w:rsidP="004D004A">
      <w:pPr>
        <w:spacing w:line="480" w:lineRule="auto"/>
        <w:rPr>
          <w:rFonts w:ascii="Arial" w:hAnsi="Arial" w:cs="Arial"/>
        </w:rPr>
      </w:pPr>
    </w:p>
    <w:p w14:paraId="6D08CE6C" w14:textId="77777777" w:rsidR="004D004A" w:rsidRDefault="004D004A" w:rsidP="004D004A">
      <w:pPr>
        <w:spacing w:line="480" w:lineRule="auto"/>
        <w:rPr>
          <w:rFonts w:ascii="Arial" w:hAnsi="Arial" w:cs="Arial"/>
        </w:rPr>
      </w:pPr>
    </w:p>
    <w:p w14:paraId="160ADE60" w14:textId="77777777" w:rsidR="004D004A" w:rsidRDefault="004D004A" w:rsidP="004D004A">
      <w:pPr>
        <w:spacing w:line="480" w:lineRule="auto"/>
        <w:rPr>
          <w:rFonts w:ascii="Arial" w:hAnsi="Arial" w:cs="Arial"/>
        </w:rPr>
      </w:pPr>
    </w:p>
    <w:p w14:paraId="6E5EC8FA" w14:textId="77777777" w:rsidR="004D004A" w:rsidRDefault="004D004A" w:rsidP="004D004A">
      <w:pPr>
        <w:spacing w:line="480" w:lineRule="auto"/>
        <w:rPr>
          <w:rFonts w:ascii="Arial" w:hAnsi="Arial" w:cs="Arial"/>
        </w:rPr>
      </w:pPr>
    </w:p>
    <w:p w14:paraId="54DAD272" w14:textId="77777777" w:rsidR="004D004A" w:rsidRDefault="004D004A" w:rsidP="004D004A">
      <w:pPr>
        <w:spacing w:line="480" w:lineRule="auto"/>
        <w:rPr>
          <w:rFonts w:ascii="Arial" w:hAnsi="Arial" w:cs="Arial"/>
        </w:rPr>
      </w:pPr>
    </w:p>
    <w:p w14:paraId="4151E3E6" w14:textId="77777777" w:rsidR="004D004A" w:rsidRDefault="004D004A" w:rsidP="004D004A">
      <w:pPr>
        <w:spacing w:line="480" w:lineRule="auto"/>
        <w:rPr>
          <w:rFonts w:ascii="Arial" w:hAnsi="Arial" w:cs="Arial"/>
        </w:rPr>
      </w:pPr>
    </w:p>
    <w:p w14:paraId="1A49127B" w14:textId="77777777" w:rsidR="004D004A" w:rsidRDefault="004D004A" w:rsidP="004D004A">
      <w:pPr>
        <w:spacing w:line="480" w:lineRule="auto"/>
        <w:rPr>
          <w:rFonts w:ascii="Arial" w:hAnsi="Arial" w:cs="Arial"/>
        </w:rPr>
      </w:pPr>
    </w:p>
    <w:p w14:paraId="1A285AC6" w14:textId="77777777" w:rsidR="004D004A" w:rsidRDefault="004D004A" w:rsidP="004D004A">
      <w:pPr>
        <w:spacing w:line="480" w:lineRule="auto"/>
        <w:rPr>
          <w:rFonts w:ascii="Arial" w:hAnsi="Arial" w:cs="Arial"/>
        </w:rPr>
      </w:pPr>
    </w:p>
    <w:p w14:paraId="3F035414" w14:textId="77777777" w:rsidR="004D004A" w:rsidRDefault="004D004A" w:rsidP="004D004A">
      <w:pPr>
        <w:spacing w:line="480" w:lineRule="auto"/>
        <w:rPr>
          <w:rFonts w:ascii="Arial" w:hAnsi="Arial" w:cs="Arial"/>
        </w:rPr>
      </w:pPr>
    </w:p>
    <w:p w14:paraId="74B00203" w14:textId="77777777" w:rsidR="0038430F" w:rsidRDefault="0038430F" w:rsidP="004D004A">
      <w:pPr>
        <w:spacing w:line="480" w:lineRule="auto"/>
        <w:rPr>
          <w:rFonts w:ascii="Arial" w:hAnsi="Arial" w:cs="Arial"/>
        </w:rPr>
      </w:pPr>
    </w:p>
    <w:p w14:paraId="0B7C291A" w14:textId="30E24CFB" w:rsidR="004D004A" w:rsidRPr="0038430F" w:rsidRDefault="004D004A" w:rsidP="004D004A">
      <w:pPr>
        <w:spacing w:line="480" w:lineRule="auto"/>
        <w:rPr>
          <w:rFonts w:ascii="Arial" w:hAnsi="Arial" w:cs="Arial"/>
          <w:b/>
          <w:bCs/>
        </w:rPr>
      </w:pPr>
      <w:r w:rsidRPr="0038430F">
        <w:rPr>
          <w:rFonts w:ascii="Arial" w:hAnsi="Arial" w:cs="Arial"/>
          <w:b/>
          <w:bCs/>
        </w:rPr>
        <w:lastRenderedPageBreak/>
        <w:t xml:space="preserve">References </w:t>
      </w:r>
    </w:p>
    <w:p w14:paraId="6D258821" w14:textId="77777777" w:rsidR="004D004A" w:rsidRPr="004D004A" w:rsidRDefault="004D004A" w:rsidP="004D004A">
      <w:pPr>
        <w:spacing w:line="480" w:lineRule="auto"/>
        <w:rPr>
          <w:rFonts w:ascii="Arial" w:hAnsi="Arial" w:cs="Arial"/>
        </w:rPr>
      </w:pPr>
      <w:proofErr w:type="spellStart"/>
      <w:r w:rsidRPr="004D004A">
        <w:rPr>
          <w:rFonts w:ascii="Arial" w:hAnsi="Arial" w:cs="Arial"/>
        </w:rPr>
        <w:t>Alhaddi</w:t>
      </w:r>
      <w:proofErr w:type="spellEnd"/>
      <w:r w:rsidRPr="004D004A">
        <w:rPr>
          <w:rFonts w:ascii="Arial" w:hAnsi="Arial" w:cs="Arial"/>
        </w:rPr>
        <w:t xml:space="preserve">, H. (2015). Triple bottom line and sustainability: A literature review. </w:t>
      </w:r>
      <w:r w:rsidRPr="0038430F">
        <w:rPr>
          <w:rFonts w:ascii="Arial" w:hAnsi="Arial" w:cs="Arial"/>
          <w:i/>
          <w:iCs/>
        </w:rPr>
        <w:t>Business and Management Studies, 1</w:t>
      </w:r>
      <w:r w:rsidRPr="004D004A">
        <w:rPr>
          <w:rFonts w:ascii="Arial" w:hAnsi="Arial" w:cs="Arial"/>
        </w:rPr>
        <w:t>(2), 6–10.</w:t>
      </w:r>
    </w:p>
    <w:p w14:paraId="76150D35" w14:textId="77777777" w:rsidR="004D004A" w:rsidRPr="004D004A" w:rsidRDefault="004D004A" w:rsidP="004D004A">
      <w:pPr>
        <w:spacing w:line="480" w:lineRule="auto"/>
        <w:rPr>
          <w:rFonts w:ascii="Arial" w:hAnsi="Arial" w:cs="Arial"/>
        </w:rPr>
      </w:pPr>
      <w:r w:rsidRPr="004D004A">
        <w:rPr>
          <w:rFonts w:ascii="Arial" w:hAnsi="Arial" w:cs="Arial"/>
        </w:rPr>
        <w:t xml:space="preserve">Channa, N. A., Hussain, T., Casali, G. L., </w:t>
      </w:r>
      <w:proofErr w:type="spellStart"/>
      <w:r w:rsidRPr="004D004A">
        <w:rPr>
          <w:rFonts w:ascii="Arial" w:hAnsi="Arial" w:cs="Arial"/>
        </w:rPr>
        <w:t>Dakhan</w:t>
      </w:r>
      <w:proofErr w:type="spellEnd"/>
      <w:r w:rsidRPr="004D004A">
        <w:rPr>
          <w:rFonts w:ascii="Arial" w:hAnsi="Arial" w:cs="Arial"/>
        </w:rPr>
        <w:t>, S. A., &amp; Aisha, R. (2021). Environmental performance through CSR in controversial industries</w:t>
      </w:r>
      <w:r w:rsidRPr="0038430F">
        <w:rPr>
          <w:rFonts w:ascii="Arial" w:hAnsi="Arial" w:cs="Arial"/>
          <w:i/>
          <w:iCs/>
        </w:rPr>
        <w:t>. Environmental Science and Pollution Research, 28</w:t>
      </w:r>
      <w:r w:rsidRPr="004D004A">
        <w:rPr>
          <w:rFonts w:ascii="Arial" w:hAnsi="Arial" w:cs="Arial"/>
        </w:rPr>
        <w:t>(18), 23273–23286.</w:t>
      </w:r>
    </w:p>
    <w:p w14:paraId="7E4A62BB" w14:textId="7376C7E3" w:rsidR="004D004A" w:rsidRPr="004D004A" w:rsidRDefault="004D004A" w:rsidP="004D004A">
      <w:pPr>
        <w:spacing w:line="480" w:lineRule="auto"/>
        <w:rPr>
          <w:rFonts w:ascii="Arial" w:hAnsi="Arial" w:cs="Arial"/>
        </w:rPr>
      </w:pPr>
      <w:r w:rsidRPr="004D004A">
        <w:rPr>
          <w:rFonts w:ascii="Arial" w:hAnsi="Arial" w:cs="Arial"/>
        </w:rPr>
        <w:t xml:space="preserve">Delmas, M. A., Etzion, D., &amp; </w:t>
      </w:r>
      <w:r w:rsidR="00613FC4">
        <w:rPr>
          <w:rFonts w:ascii="Arial" w:hAnsi="Arial" w:cs="Arial"/>
        </w:rPr>
        <w:t>+</w:t>
      </w:r>
      <w:r w:rsidRPr="004D004A">
        <w:rPr>
          <w:rFonts w:ascii="Arial" w:hAnsi="Arial" w:cs="Arial"/>
        </w:rPr>
        <w:t xml:space="preserve">Nairn-Birch, N. (2013). Triangulating environmental performance. </w:t>
      </w:r>
      <w:r w:rsidRPr="0038430F">
        <w:rPr>
          <w:rFonts w:ascii="Arial" w:hAnsi="Arial" w:cs="Arial"/>
          <w:i/>
          <w:iCs/>
        </w:rPr>
        <w:t>Academy of Management Perspectives, 27</w:t>
      </w:r>
      <w:r w:rsidRPr="004D004A">
        <w:rPr>
          <w:rFonts w:ascii="Arial" w:hAnsi="Arial" w:cs="Arial"/>
        </w:rPr>
        <w:t>(3), 255–267.</w:t>
      </w:r>
    </w:p>
    <w:p w14:paraId="4216BF98" w14:textId="77777777" w:rsidR="004D004A" w:rsidRPr="004D004A" w:rsidRDefault="004D004A" w:rsidP="004D004A">
      <w:pPr>
        <w:spacing w:line="480" w:lineRule="auto"/>
        <w:rPr>
          <w:rFonts w:ascii="Arial" w:hAnsi="Arial" w:cs="Arial"/>
        </w:rPr>
      </w:pPr>
      <w:r w:rsidRPr="004D004A">
        <w:rPr>
          <w:rFonts w:ascii="Arial" w:hAnsi="Arial" w:cs="Arial"/>
        </w:rPr>
        <w:t xml:space="preserve">Faucher, R. C. (2022). </w:t>
      </w:r>
      <w:r w:rsidRPr="0038430F">
        <w:rPr>
          <w:rFonts w:ascii="Arial" w:hAnsi="Arial" w:cs="Arial"/>
          <w:i/>
          <w:iCs/>
        </w:rPr>
        <w:t>Stakeholder theory and CSR in Spain</w:t>
      </w:r>
      <w:r w:rsidRPr="004D004A">
        <w:rPr>
          <w:rFonts w:ascii="Arial" w:hAnsi="Arial" w:cs="Arial"/>
        </w:rPr>
        <w:t>.</w:t>
      </w:r>
    </w:p>
    <w:p w14:paraId="726092A0" w14:textId="4088D6C9" w:rsidR="004D004A" w:rsidRPr="004D004A" w:rsidRDefault="004D004A" w:rsidP="004D004A">
      <w:pPr>
        <w:spacing w:line="480" w:lineRule="auto"/>
        <w:rPr>
          <w:rFonts w:ascii="Arial" w:hAnsi="Arial" w:cs="Arial"/>
        </w:rPr>
      </w:pPr>
      <w:proofErr w:type="spellStart"/>
      <w:r w:rsidRPr="004D004A">
        <w:rPr>
          <w:rFonts w:ascii="Arial" w:hAnsi="Arial" w:cs="Arial"/>
        </w:rPr>
        <w:t>Koleros</w:t>
      </w:r>
      <w:proofErr w:type="spellEnd"/>
      <w:r w:rsidRPr="004D004A">
        <w:rPr>
          <w:rFonts w:ascii="Arial" w:hAnsi="Arial" w:cs="Arial"/>
        </w:rPr>
        <w:t xml:space="preserve">, A., Adrien, M. H., &amp; Tyrrell, T. (2024). </w:t>
      </w:r>
      <w:r w:rsidRPr="0038430F">
        <w:rPr>
          <w:rFonts w:ascii="Arial" w:hAnsi="Arial" w:cs="Arial"/>
          <w:i/>
          <w:iCs/>
        </w:rPr>
        <w:t xml:space="preserve">Theories of </w:t>
      </w:r>
      <w:r w:rsidR="0038430F" w:rsidRPr="0038430F">
        <w:rPr>
          <w:rFonts w:ascii="Arial" w:hAnsi="Arial" w:cs="Arial"/>
          <w:i/>
          <w:iCs/>
        </w:rPr>
        <w:t>change</w:t>
      </w:r>
      <w:r w:rsidRPr="004D004A">
        <w:rPr>
          <w:rFonts w:ascii="Arial" w:hAnsi="Arial" w:cs="Arial"/>
        </w:rPr>
        <w:t>. Taylor &amp; Francis.</w:t>
      </w:r>
    </w:p>
    <w:p w14:paraId="7A1EB4D5" w14:textId="77777777" w:rsidR="004D004A" w:rsidRPr="004D004A" w:rsidRDefault="004D004A" w:rsidP="004D004A">
      <w:pPr>
        <w:spacing w:line="480" w:lineRule="auto"/>
        <w:rPr>
          <w:rFonts w:ascii="Arial" w:hAnsi="Arial" w:cs="Arial"/>
        </w:rPr>
      </w:pPr>
      <w:r w:rsidRPr="004D004A">
        <w:rPr>
          <w:rFonts w:ascii="Arial" w:hAnsi="Arial" w:cs="Arial"/>
        </w:rPr>
        <w:t xml:space="preserve">Sala, S. (2020). Triple bottom line and sustainability assessment. In </w:t>
      </w:r>
      <w:r w:rsidRPr="0038430F">
        <w:rPr>
          <w:rFonts w:ascii="Arial" w:hAnsi="Arial" w:cs="Arial"/>
          <w:i/>
          <w:iCs/>
        </w:rPr>
        <w:t>Biofuels for a More Sustainable Future</w:t>
      </w:r>
      <w:r w:rsidRPr="004D004A">
        <w:rPr>
          <w:rFonts w:ascii="Arial" w:hAnsi="Arial" w:cs="Arial"/>
        </w:rPr>
        <w:t>, 47–72.</w:t>
      </w:r>
    </w:p>
    <w:p w14:paraId="7BEEB48C" w14:textId="77777777" w:rsidR="004D004A" w:rsidRPr="004D004A" w:rsidRDefault="004D004A" w:rsidP="004D004A">
      <w:pPr>
        <w:spacing w:line="480" w:lineRule="auto"/>
        <w:rPr>
          <w:rFonts w:ascii="Arial" w:hAnsi="Arial" w:cs="Arial"/>
        </w:rPr>
      </w:pPr>
      <w:proofErr w:type="spellStart"/>
      <w:r w:rsidRPr="004D004A">
        <w:rPr>
          <w:rFonts w:ascii="Arial" w:hAnsi="Arial" w:cs="Arial"/>
        </w:rPr>
        <w:t>Sparviero</w:t>
      </w:r>
      <w:proofErr w:type="spellEnd"/>
      <w:r w:rsidRPr="004D004A">
        <w:rPr>
          <w:rFonts w:ascii="Arial" w:hAnsi="Arial" w:cs="Arial"/>
        </w:rPr>
        <w:t xml:space="preserve">, S. (2019). The socially oriented business model canvas. </w:t>
      </w:r>
      <w:r w:rsidRPr="0038430F">
        <w:rPr>
          <w:rFonts w:ascii="Arial" w:hAnsi="Arial" w:cs="Arial"/>
          <w:i/>
          <w:iCs/>
        </w:rPr>
        <w:t>Journal of Social Entrepreneurship, 10</w:t>
      </w:r>
      <w:r w:rsidRPr="004D004A">
        <w:rPr>
          <w:rFonts w:ascii="Arial" w:hAnsi="Arial" w:cs="Arial"/>
        </w:rPr>
        <w:t>(2), 232–251.</w:t>
      </w:r>
    </w:p>
    <w:p w14:paraId="0C857EBB" w14:textId="57E19002" w:rsidR="004D004A" w:rsidRPr="004D004A" w:rsidRDefault="004D004A" w:rsidP="004D004A">
      <w:pPr>
        <w:spacing w:line="480" w:lineRule="auto"/>
        <w:rPr>
          <w:rFonts w:ascii="Arial" w:hAnsi="Arial" w:cs="Arial"/>
        </w:rPr>
      </w:pPr>
      <w:r w:rsidRPr="004D004A">
        <w:rPr>
          <w:rFonts w:ascii="Arial" w:hAnsi="Arial" w:cs="Arial"/>
        </w:rPr>
        <w:t xml:space="preserve">Spieth, P., Schneider, S., </w:t>
      </w:r>
      <w:proofErr w:type="spellStart"/>
      <w:r w:rsidRPr="004D004A">
        <w:rPr>
          <w:rFonts w:ascii="Arial" w:hAnsi="Arial" w:cs="Arial"/>
        </w:rPr>
        <w:t>Clauß</w:t>
      </w:r>
      <w:proofErr w:type="spellEnd"/>
      <w:r w:rsidRPr="004D004A">
        <w:rPr>
          <w:rFonts w:ascii="Arial" w:hAnsi="Arial" w:cs="Arial"/>
        </w:rPr>
        <w:t xml:space="preserve">, T., &amp; Eichenberg, D. (2019). Value drivers of social businesses. </w:t>
      </w:r>
      <w:r w:rsidRPr="0038430F">
        <w:rPr>
          <w:rFonts w:ascii="Arial" w:hAnsi="Arial" w:cs="Arial"/>
          <w:i/>
          <w:iCs/>
        </w:rPr>
        <w:t>Long Range Planning, 52</w:t>
      </w:r>
      <w:r w:rsidRPr="004D004A">
        <w:rPr>
          <w:rFonts w:ascii="Arial" w:hAnsi="Arial" w:cs="Arial"/>
        </w:rPr>
        <w:t>(3), 427–444.</w:t>
      </w:r>
    </w:p>
    <w:sectPr w:rsidR="004D004A" w:rsidRPr="004D004A" w:rsidSect="00613FC4">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BC8F7" w14:textId="77777777" w:rsidR="005773C9" w:rsidRDefault="005773C9" w:rsidP="00613FC4">
      <w:pPr>
        <w:spacing w:after="0" w:line="240" w:lineRule="auto"/>
      </w:pPr>
      <w:r>
        <w:separator/>
      </w:r>
    </w:p>
  </w:endnote>
  <w:endnote w:type="continuationSeparator" w:id="0">
    <w:p w14:paraId="602FD825" w14:textId="77777777" w:rsidR="005773C9" w:rsidRDefault="005773C9" w:rsidP="00613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797CC" w14:textId="77777777" w:rsidR="005773C9" w:rsidRDefault="005773C9" w:rsidP="00613FC4">
      <w:pPr>
        <w:spacing w:after="0" w:line="240" w:lineRule="auto"/>
      </w:pPr>
      <w:r>
        <w:separator/>
      </w:r>
    </w:p>
  </w:footnote>
  <w:footnote w:type="continuationSeparator" w:id="0">
    <w:p w14:paraId="2CABF27C" w14:textId="77777777" w:rsidR="005773C9" w:rsidRDefault="005773C9" w:rsidP="00613F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0587401"/>
      <w:docPartObj>
        <w:docPartGallery w:val="Page Numbers (Top of Page)"/>
        <w:docPartUnique/>
      </w:docPartObj>
    </w:sdtPr>
    <w:sdtEndPr>
      <w:rPr>
        <w:noProof/>
      </w:rPr>
    </w:sdtEndPr>
    <w:sdtContent>
      <w:p w14:paraId="5595D96D" w14:textId="0EC64C7C" w:rsidR="00613FC4" w:rsidRDefault="00613FC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B84B6C2" w14:textId="77777777" w:rsidR="00613FC4" w:rsidRDefault="00613F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0240A5"/>
    <w:multiLevelType w:val="hybridMultilevel"/>
    <w:tmpl w:val="620A7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4084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04A"/>
    <w:rsid w:val="0038430F"/>
    <w:rsid w:val="004D004A"/>
    <w:rsid w:val="005773C9"/>
    <w:rsid w:val="00613FC4"/>
    <w:rsid w:val="007B6414"/>
    <w:rsid w:val="00A162C6"/>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9AB49"/>
  <w15:chartTrackingRefBased/>
  <w15:docId w15:val="{564D7509-2143-42F7-B47D-A4E8A3F7D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0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00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00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00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00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00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00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00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00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0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00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00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00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00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00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00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00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004A"/>
    <w:rPr>
      <w:rFonts w:eastAsiaTheme="majorEastAsia" w:cstheme="majorBidi"/>
      <w:color w:val="272727" w:themeColor="text1" w:themeTint="D8"/>
    </w:rPr>
  </w:style>
  <w:style w:type="paragraph" w:styleId="Title">
    <w:name w:val="Title"/>
    <w:basedOn w:val="Normal"/>
    <w:next w:val="Normal"/>
    <w:link w:val="TitleChar"/>
    <w:uiPriority w:val="10"/>
    <w:qFormat/>
    <w:rsid w:val="004D00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00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00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00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004A"/>
    <w:pPr>
      <w:spacing w:before="160"/>
      <w:jc w:val="center"/>
    </w:pPr>
    <w:rPr>
      <w:i/>
      <w:iCs/>
      <w:color w:val="404040" w:themeColor="text1" w:themeTint="BF"/>
    </w:rPr>
  </w:style>
  <w:style w:type="character" w:customStyle="1" w:styleId="QuoteChar">
    <w:name w:val="Quote Char"/>
    <w:basedOn w:val="DefaultParagraphFont"/>
    <w:link w:val="Quote"/>
    <w:uiPriority w:val="29"/>
    <w:rsid w:val="004D004A"/>
    <w:rPr>
      <w:i/>
      <w:iCs/>
      <w:color w:val="404040" w:themeColor="text1" w:themeTint="BF"/>
    </w:rPr>
  </w:style>
  <w:style w:type="paragraph" w:styleId="ListParagraph">
    <w:name w:val="List Paragraph"/>
    <w:basedOn w:val="Normal"/>
    <w:uiPriority w:val="34"/>
    <w:qFormat/>
    <w:rsid w:val="004D004A"/>
    <w:pPr>
      <w:ind w:left="720"/>
      <w:contextualSpacing/>
    </w:pPr>
  </w:style>
  <w:style w:type="character" w:styleId="IntenseEmphasis">
    <w:name w:val="Intense Emphasis"/>
    <w:basedOn w:val="DefaultParagraphFont"/>
    <w:uiPriority w:val="21"/>
    <w:qFormat/>
    <w:rsid w:val="004D004A"/>
    <w:rPr>
      <w:i/>
      <w:iCs/>
      <w:color w:val="0F4761" w:themeColor="accent1" w:themeShade="BF"/>
    </w:rPr>
  </w:style>
  <w:style w:type="paragraph" w:styleId="IntenseQuote">
    <w:name w:val="Intense Quote"/>
    <w:basedOn w:val="Normal"/>
    <w:next w:val="Normal"/>
    <w:link w:val="IntenseQuoteChar"/>
    <w:uiPriority w:val="30"/>
    <w:qFormat/>
    <w:rsid w:val="004D00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004A"/>
    <w:rPr>
      <w:i/>
      <w:iCs/>
      <w:color w:val="0F4761" w:themeColor="accent1" w:themeShade="BF"/>
    </w:rPr>
  </w:style>
  <w:style w:type="character" w:styleId="IntenseReference">
    <w:name w:val="Intense Reference"/>
    <w:basedOn w:val="DefaultParagraphFont"/>
    <w:uiPriority w:val="32"/>
    <w:qFormat/>
    <w:rsid w:val="004D004A"/>
    <w:rPr>
      <w:b/>
      <w:bCs/>
      <w:smallCaps/>
      <w:color w:val="0F4761" w:themeColor="accent1" w:themeShade="BF"/>
      <w:spacing w:val="5"/>
    </w:rPr>
  </w:style>
  <w:style w:type="paragraph" w:styleId="Header">
    <w:name w:val="header"/>
    <w:basedOn w:val="Normal"/>
    <w:link w:val="HeaderChar"/>
    <w:uiPriority w:val="99"/>
    <w:unhideWhenUsed/>
    <w:rsid w:val="00613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FC4"/>
  </w:style>
  <w:style w:type="paragraph" w:styleId="Footer">
    <w:name w:val="footer"/>
    <w:basedOn w:val="Normal"/>
    <w:link w:val="FooterChar"/>
    <w:uiPriority w:val="99"/>
    <w:unhideWhenUsed/>
    <w:rsid w:val="00613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FC4"/>
  </w:style>
  <w:style w:type="paragraph" w:styleId="NoSpacing">
    <w:name w:val="No Spacing"/>
    <w:link w:val="NoSpacingChar"/>
    <w:uiPriority w:val="1"/>
    <w:qFormat/>
    <w:rsid w:val="00613FC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13FC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1837</Words>
  <Characters>10472</Characters>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2025-12-11T02:57:00Z</dcterms:created>
  <dcterms:modified xsi:type="dcterms:W3CDTF">2025-12-11T02:57:00Z</dcterms:modified>
</cp:coreProperties>
</file>