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A"/>
        <w:jc w:val="center"/>
        <w:rPr>
          <w:sz w:val="52"/>
          <w:szCs w:val="52"/>
        </w:rPr>
      </w:pPr>
      <w:r>
        <w:rPr>
          <w:sz w:val="52"/>
          <w:szCs w:val="52"/>
        </w:rPr>
        <w:drawing xmlns:a="http://schemas.openxmlformats.org/drawingml/2006/main">
          <wp:inline distT="0" distB="0" distL="0" distR="0">
            <wp:extent cx="2895599" cy="960374"/>
            <wp:effectExtent l="0" t="0" r="0" b="0"/>
            <wp:docPr id="1073741825"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TextDescription automatically generated" descr="TextDescription automatically generated"/>
                    <pic:cNvPicPr>
                      <a:picLocks noChangeAspect="1"/>
                    </pic:cNvPicPr>
                  </pic:nvPicPr>
                  <pic:blipFill>
                    <a:blip r:embed="rId4">
                      <a:extLst/>
                    </a:blip>
                    <a:stretch>
                      <a:fillRect/>
                    </a:stretch>
                  </pic:blipFill>
                  <pic:spPr>
                    <a:xfrm>
                      <a:off x="0" y="0"/>
                      <a:ext cx="2895599" cy="960374"/>
                    </a:xfrm>
                    <a:prstGeom prst="rect">
                      <a:avLst/>
                    </a:prstGeom>
                    <a:ln w="12700" cap="flat">
                      <a:noFill/>
                      <a:miter lim="400000"/>
                    </a:ln>
                    <a:effectLst/>
                  </pic:spPr>
                </pic:pic>
              </a:graphicData>
            </a:graphic>
          </wp:inline>
        </w:drawing>
      </w:r>
    </w:p>
    <w:p>
      <w:pPr>
        <w:pStyle w:val="Основний текст A"/>
        <w:jc w:val="center"/>
        <w:rPr>
          <w:outline w:val="0"/>
          <w:color w:val="ff0000"/>
          <w:u w:color="ff0000"/>
          <w14:textFill>
            <w14:solidFill>
              <w14:srgbClr w14:val="FF0000"/>
            </w14:solidFill>
          </w14:textFill>
        </w:rPr>
      </w:pPr>
    </w:p>
    <w:p>
      <w:pPr>
        <w:pStyle w:val="Основний текст A"/>
        <w:rPr>
          <w:outline w:val="0"/>
          <w:color w:val="ff0000"/>
          <w:u w:color="ff0000"/>
          <w14:textFill>
            <w14:solidFill>
              <w14:srgbClr w14:val="FF0000"/>
            </w14:solidFill>
          </w14:textFill>
        </w:rPr>
      </w:pPr>
    </w:p>
    <w:p>
      <w:pPr>
        <w:pStyle w:val="Основний текст A"/>
        <w:rPr>
          <w:outline w:val="0"/>
          <w:color w:val="ff0000"/>
          <w:u w:color="ff0000"/>
          <w14:textFill>
            <w14:solidFill>
              <w14:srgbClr w14:val="FF0000"/>
            </w14:solidFill>
          </w14:textFill>
        </w:rPr>
      </w:pPr>
    </w:p>
    <w:p>
      <w:pPr>
        <w:pStyle w:val="Основний текст A"/>
        <w:rPr>
          <w:outline w:val="0"/>
          <w:color w:val="ff0000"/>
          <w:u w:color="ff0000"/>
          <w14:textFill>
            <w14:solidFill>
              <w14:srgbClr w14:val="FF0000"/>
            </w14:solidFill>
          </w14:textFill>
        </w:rPr>
      </w:pPr>
    </w:p>
    <w:p>
      <w:pPr>
        <w:pStyle w:val="Основний текст A"/>
        <w:rPr>
          <w:outline w:val="0"/>
          <w:color w:val="ff0000"/>
          <w:u w:color="ff0000"/>
          <w14:textFill>
            <w14:solidFill>
              <w14:srgbClr w14:val="FF0000"/>
            </w14:solidFill>
          </w14:textFill>
        </w:rPr>
      </w:pPr>
    </w:p>
    <w:p>
      <w:pPr>
        <w:pStyle w:val="Основний текст A"/>
        <w:rPr>
          <w:outline w:val="0"/>
          <w:color w:val="ff0000"/>
          <w:u w:color="ff0000"/>
          <w14:textFill>
            <w14:solidFill>
              <w14:srgbClr w14:val="FF0000"/>
            </w14:solidFill>
          </w14:textFill>
        </w:rPr>
      </w:pPr>
    </w:p>
    <w:p>
      <w:pPr>
        <w:pStyle w:val="Основний текст A"/>
      </w:pPr>
    </w:p>
    <w:p>
      <w:pPr>
        <w:pStyle w:val="Основний текст A"/>
        <w:rPr>
          <w:b w:val="1"/>
          <w:bCs w:val="1"/>
          <w:sz w:val="34"/>
          <w:szCs w:val="34"/>
        </w:rPr>
      </w:pPr>
      <w:r>
        <w:rPr>
          <w:rFonts w:cs="Arial Unicode MS" w:eastAsia="Arial Unicode MS"/>
          <w:b w:val="1"/>
          <w:bCs w:val="1"/>
          <w:rtl w:val="0"/>
          <w:lang w:val="en-US"/>
        </w:rPr>
        <w:t xml:space="preserve">    </w:t>
      </w:r>
      <w:r>
        <w:rPr>
          <w:rFonts w:cs="Arial Unicode MS" w:eastAsia="Arial Unicode MS"/>
          <w:b w:val="1"/>
          <w:bCs w:val="1"/>
          <w:sz w:val="34"/>
          <w:szCs w:val="34"/>
          <w:rtl w:val="0"/>
          <w:lang w:val="en-US"/>
        </w:rPr>
        <w:t xml:space="preserve"> Developing and Managing Individuals and Teams             </w:t>
      </w:r>
    </w:p>
    <w:p>
      <w:pPr>
        <w:pStyle w:val="Основний текст A"/>
        <w:rPr>
          <w:b w:val="1"/>
          <w:bCs w:val="1"/>
          <w:sz w:val="34"/>
          <w:szCs w:val="34"/>
        </w:rPr>
      </w:pPr>
      <w:r>
        <w:rPr>
          <w:rFonts w:cs="Arial Unicode MS" w:eastAsia="Arial Unicode MS"/>
          <w:b w:val="1"/>
          <w:bCs w:val="1"/>
          <w:sz w:val="34"/>
          <w:szCs w:val="34"/>
          <w:rtl w:val="0"/>
          <w:lang w:val="en-US"/>
        </w:rPr>
        <w:t xml:space="preserve">                                                </w:t>
      </w:r>
      <w:r>
        <w:rPr>
          <w:rFonts w:cs="Arial Unicode MS" w:eastAsia="Arial Unicode MS"/>
          <w:b w:val="1"/>
          <w:bCs w:val="1"/>
          <w:rtl w:val="0"/>
          <w:lang w:val="en-US"/>
        </w:rPr>
        <w:t xml:space="preserve">                  </w:t>
      </w:r>
      <w:r>
        <w:rPr>
          <w:rFonts w:cs="Arial Unicode MS" w:eastAsia="Arial Unicode MS"/>
          <w:b w:val="1"/>
          <w:bCs w:val="1"/>
          <w:sz w:val="34"/>
          <w:szCs w:val="34"/>
          <w:rtl w:val="0"/>
          <w:lang w:val="en-US"/>
        </w:rPr>
        <w:t xml:space="preserve"> (</w:t>
      </w:r>
      <w:r>
        <w:rPr>
          <w:rFonts w:cs="Arial Unicode MS" w:eastAsia="Arial Unicode MS"/>
          <w:b w:val="1"/>
          <w:bCs w:val="1"/>
          <w:sz w:val="34"/>
          <w:szCs w:val="34"/>
          <w:rtl w:val="0"/>
          <w:lang w:val="it-IT"/>
        </w:rPr>
        <w:t>LCLM5002</w:t>
      </w:r>
      <w:r>
        <w:rPr>
          <w:rFonts w:cs="Arial Unicode MS" w:eastAsia="Arial Unicode MS"/>
          <w:b w:val="1"/>
          <w:bCs w:val="1"/>
          <w:sz w:val="34"/>
          <w:szCs w:val="34"/>
          <w:rtl w:val="0"/>
          <w:lang w:val="en-US"/>
        </w:rPr>
        <w:t>)</w:t>
      </w:r>
    </w:p>
    <w:p>
      <w:pPr>
        <w:pStyle w:val="Основний текст A"/>
        <w:rPr>
          <w:rStyle w:val="Немає A"/>
          <w:sz w:val="26"/>
          <w:szCs w:val="26"/>
        </w:rPr>
      </w:pPr>
    </w:p>
    <w:p>
      <w:pPr>
        <w:pStyle w:val="Типовий"/>
        <w:suppressAutoHyphens w:val="1"/>
        <w:spacing w:before="0" w:after="323" w:line="240" w:lineRule="auto"/>
        <w:rPr>
          <w:rFonts w:ascii="Arial" w:cs="Arial" w:hAnsi="Arial" w:eastAsia="Arial"/>
          <w:b w:val="1"/>
          <w:bCs w:val="1"/>
          <w:outline w:val="0"/>
          <w:color w:val="222222"/>
          <w:sz w:val="28"/>
          <w:szCs w:val="28"/>
          <w:u w:color="222222"/>
          <w:shd w:val="clear" w:color="auto" w:fill="ffffff"/>
          <w14:textFill>
            <w14:solidFill>
              <w14:srgbClr w14:val="222222"/>
            </w14:solidFill>
          </w14:textFill>
        </w:rPr>
      </w:pPr>
      <w:r>
        <w:rPr>
          <w:rFonts w:ascii="Arial" w:hAnsi="Arial"/>
          <w:b w:val="1"/>
          <w:bCs w:val="1"/>
          <w:outline w:val="0"/>
          <w:color w:val="222222"/>
          <w:sz w:val="28"/>
          <w:szCs w:val="28"/>
          <w:u w:color="222222"/>
          <w:shd w:val="clear" w:color="auto" w:fill="ffffff"/>
          <w:rtl w:val="0"/>
          <w:lang w:val="en-US"/>
          <w14:textFill>
            <w14:solidFill>
              <w14:srgbClr w14:val="222222"/>
            </w14:solidFill>
          </w14:textFill>
        </w:rPr>
        <w:t xml:space="preserve">  Individual Report: </w:t>
      </w:r>
    </w:p>
    <w:p>
      <w:pPr>
        <w:pStyle w:val="Типовий"/>
        <w:suppressAutoHyphens w:val="1"/>
        <w:spacing w:before="0" w:after="323" w:line="240" w:lineRule="auto"/>
        <w:rPr>
          <w:rFonts w:ascii="Arial" w:cs="Arial" w:hAnsi="Arial" w:eastAsia="Arial"/>
          <w:b w:val="1"/>
          <w:bCs w:val="1"/>
          <w:outline w:val="0"/>
          <w:color w:val="222222"/>
          <w:sz w:val="28"/>
          <w:szCs w:val="28"/>
          <w:u w:color="222222"/>
          <w:shd w:val="clear" w:color="auto" w:fill="ffffff"/>
          <w14:textFill>
            <w14:solidFill>
              <w14:srgbClr w14:val="222222"/>
            </w14:solidFill>
          </w14:textFill>
        </w:rPr>
      </w:pPr>
      <w:r>
        <w:rPr>
          <w:rFonts w:ascii="Arial" w:hAnsi="Arial"/>
          <w:b w:val="1"/>
          <w:bCs w:val="1"/>
          <w:outline w:val="0"/>
          <w:color w:val="222222"/>
          <w:sz w:val="28"/>
          <w:szCs w:val="28"/>
          <w:u w:color="222222"/>
          <w:shd w:val="clear" w:color="auto" w:fill="ffffff"/>
          <w:rtl w:val="0"/>
          <w:lang w:val="en-US"/>
          <w14:textFill>
            <w14:solidFill>
              <w14:srgbClr w14:val="222222"/>
            </w14:solidFill>
          </w14:textFill>
        </w:rPr>
        <w:t xml:space="preserve">Contemporary Human Resource Challenges at </w:t>
      </w:r>
      <w:r>
        <w:rPr>
          <w:rFonts w:ascii="Arial" w:hAnsi="Arial"/>
          <w:b w:val="1"/>
          <w:bCs w:val="1"/>
          <w:outline w:val="0"/>
          <w:color w:val="222222"/>
          <w:sz w:val="28"/>
          <w:szCs w:val="28"/>
          <w:u w:color="222222"/>
          <w:shd w:val="clear" w:color="auto" w:fill="ffffff"/>
          <w:rtl w:val="0"/>
          <w:lang w:val="it-IT"/>
          <w14:textFill>
            <w14:solidFill>
              <w14:srgbClr w14:val="222222"/>
            </w14:solidFill>
          </w14:textFill>
        </w:rPr>
        <w:t>Marks &amp; Spencer</w:t>
      </w:r>
    </w:p>
    <w:p>
      <w:pPr>
        <w:pStyle w:val="Основний текст A"/>
      </w:pPr>
    </w:p>
    <w:p>
      <w:pPr>
        <w:pStyle w:val="Основний текст A"/>
      </w:pPr>
    </w:p>
    <w:p>
      <w:pPr>
        <w:pStyle w:val="Основний текст A"/>
      </w:pPr>
    </w:p>
    <w:p>
      <w:pPr>
        <w:pStyle w:val="Основний текст A"/>
      </w:pPr>
    </w:p>
    <w:p>
      <w:pPr>
        <w:pStyle w:val="Основний текст A"/>
      </w:pPr>
    </w:p>
    <w:p>
      <w:pPr>
        <w:pStyle w:val="Основний текст A"/>
      </w:pPr>
    </w:p>
    <w:p>
      <w:pPr>
        <w:pStyle w:val="Основний текст A"/>
        <w:rPr>
          <w:rStyle w:val="Немає A"/>
          <w:sz w:val="40"/>
          <w:szCs w:val="40"/>
        </w:rPr>
      </w:pPr>
    </w:p>
    <w:p>
      <w:pPr>
        <w:pStyle w:val="Основний текст A"/>
        <w:rPr>
          <w:rStyle w:val="Немає A"/>
          <w:sz w:val="40"/>
          <w:szCs w:val="40"/>
        </w:rPr>
      </w:pPr>
    </w:p>
    <w:p>
      <w:pPr>
        <w:pStyle w:val="Основний текст A"/>
        <w:rPr>
          <w:rStyle w:val="Немає A"/>
          <w:sz w:val="40"/>
          <w:szCs w:val="40"/>
        </w:rPr>
      </w:pPr>
    </w:p>
    <w:p>
      <w:pPr>
        <w:pStyle w:val="Основний текст A"/>
        <w:rPr>
          <w:rStyle w:val="Немає A"/>
          <w:sz w:val="40"/>
          <w:szCs w:val="40"/>
        </w:rPr>
      </w:pP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rPr>
          <w:rFonts w:ascii="Arial" w:cs="Arial" w:hAnsi="Arial" w:eastAsia="Arial"/>
          <w:sz w:val="22"/>
          <w:szCs w:val="22"/>
        </w:rPr>
      </w:pPr>
      <w:r>
        <w:rPr>
          <w:rFonts w:ascii="Arial" w:hAnsi="Arial"/>
          <w:b w:val="1"/>
          <w:bCs w:val="1"/>
          <w:sz w:val="22"/>
          <w:szCs w:val="22"/>
          <w:rtl w:val="0"/>
          <w:lang w:val="nl-NL"/>
        </w:rPr>
        <w:t xml:space="preserve">Student name: </w:t>
      </w:r>
      <w:r>
        <w:rPr>
          <w:rFonts w:ascii="Arial" w:hAnsi="Arial"/>
          <w:sz w:val="22"/>
          <w:szCs w:val="22"/>
          <w:rtl w:val="0"/>
          <w:lang w:val="en-US"/>
        </w:rPr>
        <w:t>Andriana Chemodurova</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rPr>
          <w:rFonts w:ascii="Arial" w:cs="Arial" w:hAnsi="Arial" w:eastAsia="Arial"/>
          <w:sz w:val="22"/>
          <w:szCs w:val="22"/>
        </w:rPr>
      </w:pPr>
      <w:r>
        <w:rPr>
          <w:rFonts w:ascii="Arial" w:hAnsi="Arial"/>
          <w:sz w:val="22"/>
          <w:szCs w:val="22"/>
          <w:rtl w:val="0"/>
          <w:lang w:val="en-US"/>
        </w:rPr>
        <w:t>S</w:t>
      </w:r>
      <w:r>
        <w:rPr>
          <w:rFonts w:ascii="Arial" w:hAnsi="Arial"/>
          <w:b w:val="1"/>
          <w:bCs w:val="1"/>
          <w:sz w:val="22"/>
          <w:szCs w:val="22"/>
          <w:rtl w:val="0"/>
          <w:lang w:val="en-US"/>
        </w:rPr>
        <w:t>tudent ID</w:t>
      </w:r>
      <w:r>
        <w:rPr>
          <w:rFonts w:ascii="Arial" w:hAnsi="Arial"/>
          <w:sz w:val="22"/>
          <w:szCs w:val="22"/>
          <w:rtl w:val="0"/>
          <w:lang w:val="en-US"/>
        </w:rPr>
        <w:t>: 2441784</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1"/>
        <w:spacing w:before="0" w:line="240" w:lineRule="auto"/>
        <w:rPr>
          <w:rFonts w:ascii="Arial" w:cs="Arial" w:hAnsi="Arial" w:eastAsia="Arial"/>
          <w:b w:val="1"/>
          <w:bCs w:val="1"/>
        </w:rPr>
      </w:pPr>
      <w:r>
        <w:rPr>
          <w:rFonts w:ascii="Arial" w:hAnsi="Arial"/>
          <w:b w:val="1"/>
          <w:bCs w:val="1"/>
          <w:rtl w:val="0"/>
          <w:lang w:val="fr-FR"/>
        </w:rPr>
        <w:t xml:space="preserve">Lecturer: </w:t>
      </w:r>
      <w:r>
        <w:rPr>
          <w:rFonts w:ascii="Arial" w:hAnsi="Arial"/>
          <w:rtl w:val="0"/>
          <w:lang w:val="da-DK"/>
        </w:rPr>
        <w:t>Amer Kareem</w:t>
      </w:r>
    </w:p>
    <w:p>
      <w:pPr>
        <w:pStyle w:val="Основний текст A"/>
        <w:rPr>
          <w:rStyle w:val="Немає A"/>
          <w:sz w:val="40"/>
          <w:szCs w:val="40"/>
        </w:rPr>
      </w:pPr>
    </w:p>
    <w:p>
      <w:pPr>
        <w:pStyle w:val="Основний текст A"/>
        <w:rPr>
          <w:rStyle w:val="Немає A"/>
          <w:sz w:val="40"/>
          <w:szCs w:val="40"/>
        </w:rPr>
      </w:pPr>
    </w:p>
    <w:p>
      <w:pPr>
        <w:pStyle w:val="Основний текст A"/>
        <w:rPr>
          <w:rStyle w:val="Немає A"/>
          <w:sz w:val="40"/>
          <w:szCs w:val="40"/>
        </w:rPr>
      </w:pPr>
    </w:p>
    <w:p>
      <w:pPr>
        <w:pStyle w:val="Основний текст A"/>
        <w:spacing w:line="360" w:lineRule="auto"/>
        <w:rPr>
          <w:rStyle w:val="Немає A"/>
          <w:sz w:val="40"/>
          <w:szCs w:val="40"/>
        </w:rPr>
      </w:pPr>
    </w:p>
    <w:p>
      <w:pPr>
        <w:pStyle w:val="Основний текст A"/>
        <w:spacing w:line="360" w:lineRule="auto"/>
        <w:rPr>
          <w:b w:val="1"/>
          <w:bCs w:val="1"/>
          <w:sz w:val="24"/>
          <w:szCs w:val="24"/>
        </w:rPr>
      </w:pPr>
    </w:p>
    <w:p>
      <w:pPr>
        <w:pStyle w:val="Типовий"/>
        <w:suppressAutoHyphens w:val="1"/>
        <w:spacing w:before="0" w:after="322" w:line="360" w:lineRule="auto"/>
        <w:rPr>
          <w:rFonts w:ascii="Arial" w:cs="Arial" w:hAnsi="Arial" w:eastAsia="Arial"/>
          <w:b w:val="1"/>
          <w:bCs w:val="1"/>
          <w:sz w:val="48"/>
          <w:szCs w:val="48"/>
        </w:rPr>
      </w:pPr>
      <w:r>
        <w:rPr>
          <w:rFonts w:ascii="Arial" w:hAnsi="Arial"/>
          <w:b w:val="1"/>
          <w:bCs w:val="1"/>
          <w:sz w:val="48"/>
          <w:szCs w:val="48"/>
          <w:rtl w:val="0"/>
          <w:lang w:val="en-US"/>
        </w:rPr>
        <w:t>Table of Contents</w:t>
      </w:r>
    </w:p>
    <w:p>
      <w:pPr>
        <w:pStyle w:val="Типовий"/>
        <w:numPr>
          <w:ilvl w:val="0"/>
          <w:numId w:val="2"/>
        </w:numPr>
        <w:suppressAutoHyphens w:val="1"/>
        <w:bidi w:val="0"/>
        <w:spacing w:before="0" w:line="360" w:lineRule="auto"/>
        <w:ind w:right="0"/>
        <w:jc w:val="left"/>
        <w:rPr>
          <w:rFonts w:ascii="Arial" w:hAnsi="Arial"/>
          <w:sz w:val="28"/>
          <w:szCs w:val="28"/>
          <w:rtl w:val="0"/>
          <w:lang w:val="fr-FR"/>
        </w:rPr>
      </w:pPr>
      <w:r>
        <w:rPr>
          <w:rFonts w:ascii="Arial" w:hAnsi="Arial"/>
          <w:sz w:val="28"/>
          <w:szCs w:val="28"/>
          <w:rtl w:val="0"/>
          <w:lang w:val="fr-FR"/>
        </w:rPr>
        <w:t xml:space="preserve">Introduction .............................................................................. </w:t>
      </w:r>
      <w:r>
        <w:rPr>
          <w:rFonts w:ascii="Arial" w:hAnsi="Arial"/>
          <w:sz w:val="28"/>
          <w:szCs w:val="28"/>
          <w:rtl w:val="0"/>
          <w:lang w:val="en-US"/>
        </w:rPr>
        <w:t>3</w:t>
      </w:r>
    </w:p>
    <w:p>
      <w:pPr>
        <w:pStyle w:val="Типовий"/>
        <w:numPr>
          <w:ilvl w:val="0"/>
          <w:numId w:val="2"/>
        </w:numPr>
        <w:suppressAutoHyphens w:val="1"/>
        <w:bidi w:val="0"/>
        <w:spacing w:before="0" w:line="360" w:lineRule="auto"/>
        <w:ind w:right="0"/>
        <w:jc w:val="left"/>
        <w:rPr>
          <w:rFonts w:ascii="Arial" w:hAnsi="Arial"/>
          <w:sz w:val="28"/>
          <w:szCs w:val="28"/>
          <w:rtl w:val="0"/>
          <w:lang w:val="en-US"/>
        </w:rPr>
      </w:pPr>
      <w:r>
        <w:rPr>
          <w:rStyle w:val="Немає A"/>
          <w:rFonts w:ascii="Arial" w:hAnsi="Arial"/>
          <w:sz w:val="28"/>
          <w:szCs w:val="28"/>
          <w:rtl w:val="0"/>
          <w:lang w:val="en-US"/>
        </w:rPr>
        <w:t>Explanation of Key Factors ...................................................... 3</w:t>
      </w:r>
      <w:r>
        <w:rPr>
          <w:rStyle w:val="Немає A"/>
          <w:rFonts w:ascii="Arial" w:cs="Arial" w:hAnsi="Arial" w:eastAsia="Arial"/>
          <w:sz w:val="28"/>
          <w:szCs w:val="28"/>
          <w:rtl w:val="0"/>
        </w:rPr>
        <w:br w:type="textWrapping"/>
        <w:t>   </w:t>
      </w:r>
      <w:r>
        <w:rPr>
          <w:rStyle w:val="Немає A"/>
          <w:rFonts w:ascii="Arial" w:hAnsi="Arial"/>
          <w:sz w:val="28"/>
          <w:szCs w:val="28"/>
          <w:rtl w:val="0"/>
          <w:lang w:val="en-US"/>
        </w:rPr>
        <w:t>2.1 Technological Advancements .......................................... 3</w:t>
      </w:r>
      <w:r>
        <w:rPr>
          <w:rStyle w:val="Немає A"/>
          <w:rFonts w:ascii="Arial" w:cs="Arial" w:hAnsi="Arial" w:eastAsia="Arial"/>
          <w:sz w:val="28"/>
          <w:szCs w:val="28"/>
          <w:rtl w:val="0"/>
        </w:rPr>
        <w:br w:type="textWrapping"/>
        <w:t>   </w:t>
      </w:r>
      <w:r>
        <w:rPr>
          <w:rStyle w:val="Немає A"/>
          <w:rFonts w:ascii="Arial" w:hAnsi="Arial"/>
          <w:sz w:val="28"/>
          <w:szCs w:val="28"/>
          <w:rtl w:val="0"/>
          <w:lang w:val="en-US"/>
        </w:rPr>
        <w:t>2.2 Talent Acquisition and Retention ...................................... 4</w:t>
      </w:r>
      <w:r>
        <w:rPr>
          <w:rStyle w:val="Немає A"/>
          <w:rFonts w:ascii="Arial" w:cs="Arial" w:hAnsi="Arial" w:eastAsia="Arial"/>
          <w:sz w:val="28"/>
          <w:szCs w:val="28"/>
          <w:rtl w:val="0"/>
        </w:rPr>
        <w:br w:type="textWrapping"/>
        <w:t>   </w:t>
      </w:r>
      <w:r>
        <w:rPr>
          <w:rStyle w:val="Немає A"/>
          <w:rFonts w:ascii="Arial" w:hAnsi="Arial"/>
          <w:sz w:val="28"/>
          <w:szCs w:val="28"/>
          <w:rtl w:val="0"/>
          <w:lang w:val="en-US"/>
        </w:rPr>
        <w:t>2.3 Diversity, Equity and Inclusion (DEI) .................................6</w:t>
      </w:r>
    </w:p>
    <w:p>
      <w:pPr>
        <w:pStyle w:val="Типовий"/>
        <w:numPr>
          <w:ilvl w:val="0"/>
          <w:numId w:val="2"/>
        </w:numPr>
        <w:suppressAutoHyphens w:val="1"/>
        <w:bidi w:val="0"/>
        <w:spacing w:before="0" w:line="360" w:lineRule="auto"/>
        <w:ind w:right="0"/>
        <w:jc w:val="left"/>
        <w:rPr>
          <w:rFonts w:ascii="Arial" w:hAnsi="Arial"/>
          <w:sz w:val="28"/>
          <w:szCs w:val="28"/>
          <w:rtl w:val="0"/>
          <w:lang w:val="en-US"/>
        </w:rPr>
      </w:pPr>
      <w:r>
        <w:rPr>
          <w:rStyle w:val="Немає A"/>
          <w:rFonts w:ascii="Arial" w:hAnsi="Arial"/>
          <w:sz w:val="28"/>
          <w:szCs w:val="28"/>
          <w:rtl w:val="0"/>
          <w:lang w:val="en-US"/>
        </w:rPr>
        <w:t xml:space="preserve">Evaluation of Contemporary HR Practices </w:t>
      </w:r>
      <w:r>
        <w:rPr>
          <w:rStyle w:val="Немає A"/>
          <w:rFonts w:ascii="Arial" w:hAnsi="Arial" w:hint="default"/>
          <w:sz w:val="28"/>
          <w:szCs w:val="28"/>
          <w:rtl w:val="0"/>
          <w:lang w:val="en-US"/>
        </w:rPr>
        <w:t>…………………</w:t>
      </w:r>
      <w:r>
        <w:rPr>
          <w:rStyle w:val="Немає A"/>
          <w:rFonts w:ascii="Arial" w:hAnsi="Arial"/>
          <w:sz w:val="28"/>
          <w:szCs w:val="28"/>
          <w:rtl w:val="0"/>
          <w:lang w:val="en-US"/>
        </w:rPr>
        <w:t>..</w:t>
      </w:r>
      <w:r>
        <w:rPr>
          <w:rStyle w:val="Немає A"/>
          <w:rFonts w:ascii="Arial" w:hAnsi="Arial" w:hint="default"/>
          <w:sz w:val="28"/>
          <w:szCs w:val="28"/>
          <w:rtl w:val="0"/>
          <w:lang w:val="en-US"/>
        </w:rPr>
        <w:t xml:space="preserve">… </w:t>
      </w:r>
      <w:r>
        <w:rPr>
          <w:rStyle w:val="Немає A"/>
          <w:rFonts w:ascii="Arial" w:hAnsi="Arial"/>
          <w:sz w:val="28"/>
          <w:szCs w:val="28"/>
          <w:rtl w:val="0"/>
          <w:lang w:val="en-US"/>
        </w:rPr>
        <w:t>7</w:t>
      </w:r>
    </w:p>
    <w:p>
      <w:pPr>
        <w:pStyle w:val="Типовий"/>
        <w:numPr>
          <w:ilvl w:val="0"/>
          <w:numId w:val="2"/>
        </w:numPr>
        <w:suppressAutoHyphens w:val="1"/>
        <w:bidi w:val="0"/>
        <w:spacing w:before="0" w:line="360" w:lineRule="auto"/>
        <w:ind w:right="0"/>
        <w:jc w:val="left"/>
        <w:rPr>
          <w:rFonts w:ascii="Arial" w:hAnsi="Arial"/>
          <w:sz w:val="28"/>
          <w:szCs w:val="28"/>
          <w:rtl w:val="0"/>
          <w:lang w:val="en-US"/>
        </w:rPr>
      </w:pPr>
      <w:r>
        <w:rPr>
          <w:rStyle w:val="Немає A"/>
          <w:rFonts w:ascii="Arial" w:hAnsi="Arial"/>
          <w:sz w:val="28"/>
          <w:szCs w:val="28"/>
          <w:rtl w:val="0"/>
          <w:lang w:val="en-US"/>
        </w:rPr>
        <w:t xml:space="preserve">Critical Evaluation of Managerial Implementation </w:t>
      </w:r>
      <w:r>
        <w:rPr>
          <w:rStyle w:val="Немає A"/>
          <w:rFonts w:ascii="Arial" w:hAnsi="Arial" w:hint="default"/>
          <w:sz w:val="28"/>
          <w:szCs w:val="28"/>
          <w:rtl w:val="0"/>
          <w:lang w:val="en-US"/>
        </w:rPr>
        <w:t>………………</w:t>
      </w:r>
      <w:r>
        <w:rPr>
          <w:rStyle w:val="Немає A"/>
          <w:rFonts w:ascii="Arial" w:hAnsi="Arial"/>
          <w:sz w:val="28"/>
          <w:szCs w:val="28"/>
          <w:rtl w:val="0"/>
          <w:lang w:val="en-US"/>
        </w:rPr>
        <w:t>8</w:t>
      </w:r>
    </w:p>
    <w:p>
      <w:pPr>
        <w:pStyle w:val="Типовий"/>
        <w:numPr>
          <w:ilvl w:val="0"/>
          <w:numId w:val="2"/>
        </w:numPr>
        <w:suppressAutoHyphens w:val="1"/>
        <w:bidi w:val="0"/>
        <w:spacing w:before="0" w:line="360" w:lineRule="auto"/>
        <w:ind w:right="0"/>
        <w:jc w:val="left"/>
        <w:rPr>
          <w:rFonts w:ascii="Arial" w:hAnsi="Arial"/>
          <w:sz w:val="28"/>
          <w:szCs w:val="28"/>
          <w:rtl w:val="0"/>
          <w:lang w:val="fr-FR"/>
        </w:rPr>
      </w:pPr>
      <w:r>
        <w:rPr>
          <w:rFonts w:ascii="Arial" w:hAnsi="Arial"/>
          <w:sz w:val="28"/>
          <w:szCs w:val="28"/>
          <w:rtl w:val="0"/>
          <w:lang w:val="fr-FR"/>
        </w:rPr>
        <w:t xml:space="preserve">Conclusion </w:t>
      </w:r>
      <w:r>
        <w:rPr>
          <w:rFonts w:ascii="Arial" w:hAnsi="Arial" w:hint="default"/>
          <w:sz w:val="28"/>
          <w:szCs w:val="28"/>
          <w:rtl w:val="0"/>
          <w:lang w:val="fr-FR"/>
        </w:rPr>
        <w:t>…………………………………………………………</w:t>
      </w:r>
      <w:r>
        <w:rPr>
          <w:rFonts w:ascii="Arial" w:hAnsi="Arial"/>
          <w:sz w:val="28"/>
          <w:szCs w:val="28"/>
          <w:rtl w:val="0"/>
          <w:lang w:val="fr-FR"/>
        </w:rPr>
        <w:t>.</w:t>
      </w:r>
      <w:r>
        <w:rPr>
          <w:rFonts w:ascii="Arial" w:hAnsi="Arial"/>
          <w:sz w:val="28"/>
          <w:szCs w:val="28"/>
          <w:rtl w:val="0"/>
          <w:lang w:val="en-US"/>
        </w:rPr>
        <w:t>9</w:t>
      </w:r>
    </w:p>
    <w:p>
      <w:pPr>
        <w:pStyle w:val="Типовий"/>
        <w:numPr>
          <w:ilvl w:val="0"/>
          <w:numId w:val="2"/>
        </w:numPr>
        <w:suppressAutoHyphens w:val="1"/>
        <w:bidi w:val="0"/>
        <w:spacing w:before="0" w:line="360" w:lineRule="auto"/>
        <w:ind w:right="0"/>
        <w:jc w:val="left"/>
        <w:rPr>
          <w:rFonts w:ascii="Arial" w:hAnsi="Arial"/>
          <w:sz w:val="28"/>
          <w:szCs w:val="28"/>
          <w:rtl w:val="0"/>
          <w:lang w:val="en-US"/>
        </w:rPr>
      </w:pPr>
      <w:r>
        <w:rPr>
          <w:rStyle w:val="Немає A"/>
          <w:rFonts w:ascii="Arial" w:hAnsi="Arial"/>
          <w:sz w:val="28"/>
          <w:szCs w:val="28"/>
          <w:rtl w:val="0"/>
          <w:lang w:val="en-US"/>
        </w:rPr>
        <w:t>Recommendations .................................................................. 10</w:t>
      </w:r>
    </w:p>
    <w:p>
      <w:pPr>
        <w:pStyle w:val="Типовий"/>
        <w:numPr>
          <w:ilvl w:val="0"/>
          <w:numId w:val="2"/>
        </w:numPr>
        <w:suppressAutoHyphens w:val="1"/>
        <w:bidi w:val="0"/>
        <w:spacing w:before="0" w:line="360" w:lineRule="auto"/>
        <w:ind w:right="0"/>
        <w:jc w:val="left"/>
        <w:rPr>
          <w:rFonts w:ascii="Arial" w:hAnsi="Arial"/>
          <w:sz w:val="28"/>
          <w:szCs w:val="28"/>
          <w:rtl w:val="0"/>
          <w:lang w:val="da-DK"/>
        </w:rPr>
      </w:pPr>
      <w:r>
        <w:rPr>
          <w:rFonts w:ascii="Arial" w:hAnsi="Arial"/>
          <w:sz w:val="28"/>
          <w:szCs w:val="28"/>
          <w:rtl w:val="0"/>
          <w:lang w:val="da-DK"/>
        </w:rPr>
        <w:t xml:space="preserve">Reference List ......................................................................... </w:t>
      </w:r>
      <w:r>
        <w:rPr>
          <w:rFonts w:ascii="Arial" w:hAnsi="Arial"/>
          <w:sz w:val="28"/>
          <w:szCs w:val="28"/>
          <w:rtl w:val="0"/>
          <w:lang w:val="en-US"/>
        </w:rPr>
        <w:t>11</w:t>
      </w: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Основний текст A"/>
        <w:tabs>
          <w:tab w:val="left" w:pos="1008"/>
        </w:tabs>
        <w:spacing w:line="360" w:lineRule="auto"/>
        <w:rPr>
          <w:sz w:val="24"/>
          <w:szCs w:val="24"/>
          <w:shd w:val="clear" w:color="auto" w:fill="ffffff"/>
        </w:rPr>
      </w:pPr>
    </w:p>
    <w:p>
      <w:pPr>
        <w:pStyle w:val="Типовий"/>
        <w:suppressAutoHyphens w:val="1"/>
        <w:spacing w:before="0" w:after="322" w:line="360" w:lineRule="auto"/>
        <w:rPr>
          <w:rFonts w:ascii="Arial" w:cs="Arial" w:hAnsi="Arial" w:eastAsia="Arial"/>
          <w:b w:val="1"/>
          <w:bCs w:val="1"/>
        </w:rPr>
      </w:pPr>
    </w:p>
    <w:p>
      <w:pPr>
        <w:pStyle w:val="Типовий"/>
        <w:suppressAutoHyphens w:val="1"/>
        <w:spacing w:before="0" w:after="322" w:line="360" w:lineRule="auto"/>
        <w:rPr>
          <w:rFonts w:ascii="Arial" w:cs="Arial" w:hAnsi="Arial" w:eastAsia="Arial"/>
          <w:b w:val="1"/>
          <w:bCs w:val="1"/>
          <w:sz w:val="30"/>
          <w:szCs w:val="30"/>
        </w:rPr>
      </w:pPr>
      <w:r>
        <w:rPr>
          <w:rFonts w:ascii="Arial" w:hAnsi="Arial"/>
          <w:b w:val="1"/>
          <w:bCs w:val="1"/>
          <w:sz w:val="30"/>
          <w:szCs w:val="30"/>
          <w:rtl w:val="0"/>
          <w:lang w:val="en-US"/>
        </w:rPr>
        <w:t>Developing and Managing Individuals and Teams</w:t>
      </w:r>
    </w:p>
    <w:p>
      <w:pPr>
        <w:pStyle w:val="Типовий"/>
        <w:suppressAutoHyphens w:val="1"/>
        <w:spacing w:before="0" w:after="299" w:line="360" w:lineRule="auto"/>
        <w:rPr>
          <w:rFonts w:ascii="Arial" w:cs="Arial" w:hAnsi="Arial" w:eastAsia="Arial"/>
          <w:b w:val="1"/>
          <w:bCs w:val="1"/>
          <w:sz w:val="30"/>
          <w:szCs w:val="30"/>
        </w:rPr>
      </w:pPr>
      <w:r>
        <w:rPr>
          <w:rFonts w:ascii="Arial" w:hAnsi="Arial"/>
          <w:b w:val="1"/>
          <w:bCs w:val="1"/>
          <w:sz w:val="30"/>
          <w:szCs w:val="30"/>
          <w:rtl w:val="0"/>
          <w:lang w:val="en-US"/>
        </w:rPr>
        <w:t>Individual Report: Contemporary Human Resource Challenges at Marks &amp; Spencer</w:t>
      </w:r>
    </w:p>
    <w:p>
      <w:pPr>
        <w:pStyle w:val="Типовий"/>
        <w:suppressAutoHyphens w:val="1"/>
        <w:spacing w:before="0" w:after="281" w:line="360" w:lineRule="auto"/>
        <w:rPr>
          <w:rFonts w:ascii="Arial" w:cs="Arial" w:hAnsi="Arial" w:eastAsia="Arial"/>
          <w:b w:val="1"/>
          <w:bCs w:val="1"/>
          <w:sz w:val="26"/>
          <w:szCs w:val="26"/>
        </w:rPr>
      </w:pPr>
      <w:r>
        <w:rPr>
          <w:rFonts w:ascii="Arial" w:hAnsi="Arial"/>
          <w:b w:val="1"/>
          <w:bCs w:val="1"/>
          <w:sz w:val="26"/>
          <w:szCs w:val="26"/>
          <w:rtl w:val="0"/>
          <w:lang w:val="en-US"/>
        </w:rPr>
        <w:t xml:space="preserve"> </w:t>
      </w:r>
      <w:r>
        <w:rPr>
          <w:rFonts w:ascii="Arial" w:hAnsi="Arial"/>
          <w:b w:val="1"/>
          <w:bCs w:val="1"/>
          <w:sz w:val="26"/>
          <w:szCs w:val="26"/>
          <w:rtl w:val="0"/>
          <w:lang w:val="fr-FR"/>
        </w:rPr>
        <w:t>Introduction</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Human Resource Management (HRM) plays a vital role in helping organisations respond to technological change, evolving workforce expectations and increasing market competition. Modern organisations are expected not only to recruit and retain skilled employees but also to support their development, wellbeing and engagement. Effective HRM contributes to higher productivity, employee satisfaction and long-term organisational success by aligning workforce capabilities with strategic objectives (Armstrong and Taylor, 2023).</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(M&amp;S) is one of the UK's leading retailers, employing more than 60,000 people across its food, clothing and home divisions. To remain competitive, the company has invested in digital transformation, sustainability and workforce development. As customer expectations continue to evolve, M&amp;S has adapted its HR strategies to ensure employees possess the knowledge and skills required to deliver high-quality customer service while supporting organisational goals (Marks &amp; Spencer Group plc, 2024).</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Like many retailers, M&amp;S faces several contemporary HR challenges. These include adapting to rapid technological change, attracting and retaining talented employees, and promoting diversity, equity and inclusion (DEI). Successfully addressing these challenges is essential for maintaining organisational performance and achieving sustainable competitive advantage.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This report analyses these three HR challenges, evaluates the contemporary HR practices adopted by Marks &amp; Spencer and critically examines the role of managers in implementing these practices effectively.</w:t>
      </w:r>
    </w:p>
    <w:p>
      <w:pPr>
        <w:pStyle w:val="Типовий"/>
        <w:suppressAutoHyphens w:val="1"/>
        <w:spacing w:before="0" w:after="322" w:line="360" w:lineRule="auto"/>
        <w:rPr>
          <w:rFonts w:ascii="Arial" w:cs="Arial" w:hAnsi="Arial" w:eastAsia="Arial"/>
          <w:b w:val="1"/>
          <w:bCs w:val="1"/>
          <w:sz w:val="26"/>
          <w:szCs w:val="26"/>
        </w:rPr>
      </w:pPr>
    </w:p>
    <w:p>
      <w:pPr>
        <w:pStyle w:val="Типовий"/>
        <w:suppressAutoHyphens w:val="1"/>
        <w:spacing w:before="0" w:after="322" w:line="360" w:lineRule="auto"/>
        <w:rPr>
          <w:rFonts w:ascii="Arial" w:cs="Arial" w:hAnsi="Arial" w:eastAsia="Arial"/>
          <w:b w:val="1"/>
          <w:bCs w:val="1"/>
          <w:sz w:val="26"/>
          <w:szCs w:val="26"/>
        </w:rPr>
      </w:pPr>
      <w:r>
        <w:rPr>
          <w:rFonts w:ascii="Arial" w:hAnsi="Arial"/>
          <w:b w:val="1"/>
          <w:bCs w:val="1"/>
          <w:sz w:val="26"/>
          <w:szCs w:val="26"/>
          <w:rtl w:val="0"/>
          <w:lang w:val="en-US"/>
        </w:rPr>
        <w:t xml:space="preserve"> 1. Explanation of Key Factors</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 xml:space="preserve"> 1.1 Technological Advancements</w:t>
      </w:r>
    </w:p>
    <w:p>
      <w:pPr>
        <w:pStyle w:val="Типовий"/>
        <w:suppressAutoHyphens w:val="1"/>
        <w:spacing w:before="0" w:after="240" w:line="360" w:lineRule="auto"/>
        <w:rPr>
          <w:rFonts w:ascii="Arial" w:cs="Arial" w:hAnsi="Arial" w:eastAsia="Arial"/>
        </w:rPr>
      </w:pPr>
      <w:r>
        <w:rPr>
          <w:rFonts w:ascii="Arial" w:hAnsi="Arial"/>
          <w:rtl w:val="0"/>
          <w:lang w:val="en-US"/>
        </w:rPr>
        <w:t>Technological advancement has significantly transformed Human Resource Management and retail operations. Organisations increasingly use artificial intelligence, cloud-based HR systems, workforce analytics and digital recruitment platforms to improve efficiency and support informed decision-making (CIPD, 2024). In the retail sector, digital technologies also enhance customer service and operational performance.</w:t>
      </w:r>
    </w:p>
    <w:p>
      <w:pPr>
        <w:pStyle w:val="Типовий"/>
        <w:suppressAutoHyphens w:val="1"/>
        <w:spacing w:before="0" w:after="240" w:line="360" w:lineRule="auto"/>
        <w:rPr>
          <w:rFonts w:ascii="Arial" w:cs="Arial" w:hAnsi="Arial" w:eastAsia="Arial"/>
        </w:rPr>
      </w:pPr>
      <w:r>
        <w:rPr>
          <w:rFonts w:ascii="Arial" w:hAnsi="Arial"/>
          <w:rtl w:val="0"/>
          <w:lang w:val="en-US"/>
        </w:rPr>
        <w:t>Marks &amp; Spencer has invested extensively in digital innovation through automated stock management, self-service technology, digital inventory systems and workforce planning tools. These technologies improve operational efficiency while allowing employees to spend more time supporting customers. The company also offers digital learning platforms that help employees develop the skills needed to adapt to technological change (Marks &amp; Spencer Group plc, 2024).</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Despite these benefits, technological change creates several HR challenges. Employees must continually update their digital knowledge to remain effective, while those with limited technological skills may experience uncertainty or reduced confidence during periods of organisational change. Continuous investment in learning and development is therefore essential to ensure employees remain productive and adaptable.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Technology may also affect employee wellbeing. Digital monitoring and performance analytics can improve efficiency but may increase stress if employees feel constantly monitored. HR managers must balance the benefits of technology with employee wellbeing by encouraging open communication, providing appropriate support and involving employees in the change process. Rees and French (2022) argue that successful digital transformation depends on effective leadership, employee participation and continuous learning rather than technology alone.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Digital transformation has also increased demand for employees with strong analytical, problem-solving and technological skills. Consequently, HR professionals should regularly review recruitment, training and workforce planning strategies to ensure employees are prepared for future business requirements. Wilton (2022) suggests that organisations integrating technology with employee development are more likely to improve innovation, productivity and long-term competitiveness.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Overall, technological advancement provides significant opportunities for Marks &amp; Spencer to improve efficiency and customer experience. However, sustainable success depends on continuous investment in employee development, effective leadership and well-managed organisational change.</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1.2 Talent Acquisition and Retention</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Attracting and retaining skilled employees has become a major challenge across the UK retail sector. Labour shortages, demographic changes and evolving employee expectations have increased competition for talented workers, requiring organisations to develop attractive employment strategies (CIPD, 2024).</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competes with other major retailers for experienced employees. While competitive pay remains important, many candidates now value career progression, professional development, flexible working and a supportive organisational culture. Consequently, the organisation must provide a positive employee experience throughout the employment lifecycle to remain competitive.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Retaining employees is equally important, as high staff turnover increases recruitment costs, results in the loss of organisational knowledge and may reduce the quality of customer service.To address this issue, Marks &amp; Spencer invests in apprenticeships, leadership development, mentoring and digital learning programmes that encourage continuous professional growth. These initiatives strengthen workforce capability while demonstrating the organisation's commitment to long-term career development.</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However, training alone is unlikely to improve retention. Employees are more likely to remain with organisations that recognise their contributions, promote work-life balance and provide supportive leadership (Bratton et al., 2022). Managers therefore play a key role in creating positive working environments where employees feel valued, motivated and able to achieve their career goals.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As workforce expectations continue to evolve, particularly among younger employees, organisations must regularly review recruitment, reward and talent management strategies. Flexible working, wellbeing support and meaningful career opportunities have become essential for attracting and retaining talented employees in a competitive labour market (Taylor, 2024).</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1.3 Diversity, Equity and Inclusion (DEI)</w:t>
      </w:r>
    </w:p>
    <w:p>
      <w:pPr>
        <w:pStyle w:val="Типовий"/>
        <w:suppressAutoHyphens w:val="1"/>
        <w:spacing w:before="0" w:after="240" w:line="360" w:lineRule="auto"/>
        <w:rPr>
          <w:rFonts w:ascii="Arial" w:cs="Arial" w:hAnsi="Arial" w:eastAsia="Arial"/>
        </w:rPr>
      </w:pPr>
      <w:r>
        <w:rPr>
          <w:rFonts w:ascii="Arial" w:hAnsi="Arial"/>
          <w:rtl w:val="0"/>
          <w:lang w:val="en-US"/>
        </w:rPr>
        <w:t>Organisations increasingly recognise Diversity, Equity and Inclusion (DEI) as a strategic priority because it supports innovation, employee engagement and organisational performance. A diverse workforce contributes different perspectives and experiences that enhance decision-making and enable organisations to respond more effectively to customer needs. HR professionals therefore play an important role in creating workplaces where employees have equal opportunities to contribute and develop regardless of their background (CIPD, 2022).</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has integrated diversity and inclusion into its people strategy by promoting inclusive recruitment, employee resource groups and leadership initiatives. The organisation aims to create a respectful and supportive workplace where employees from different cultural, ethnic and social backgrounds can succeed (Marks &amp; Spencer Group plc, 2024).</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Employee networks supporting gender equality, disability inclusion, ethnic diversity and LGBTQ+ colleagues encourage collaboration, professional development and employee engagement. These initiatives also provide valuable feedback that helps senior leaders improve organisational culture.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Despite these positive initiatives, diversity policies alone do not guarantee inclusion. Unconscious bias and inconsistent management practices may continue to influence recruitment, promotion and performance decisions if managers are not properly trained. According to the CIPD (2022), organisations achieve better equality outcomes when they monitor diversity data and provide inclusive leadership training.</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Promoting inclusion also strengthens organisational reputation. Customers, investors and potential employees increasingly expect organisations to demonstrate responsible employment practices and social responsibility. By maintaining an inclusive culture, Marks &amp; Spencer enhances both its employer brand and long-term organisational performance.</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2. Evaluation of Contemporary HR Practices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has implemented several contemporary Human Resource Management (HRM) practices to improve organisational performance and support employee development. Armstrong and Taylor (2023) argue that HRM creates competitive advantage when people management practices are aligned with business strategy. This is reflected in M&amp;S's commitment to developing a skilled, adaptable and engaged workforce.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A key HR practice is </w:t>
      </w:r>
      <w:r>
        <w:rPr>
          <w:rFonts w:ascii="Arial" w:hAnsi="Arial"/>
          <w:b w:val="1"/>
          <w:bCs w:val="1"/>
          <w:rtl w:val="0"/>
          <w:lang w:val="en-US"/>
        </w:rPr>
        <w:t>continuous learning and development</w:t>
      </w:r>
      <w:r>
        <w:rPr>
          <w:rFonts w:ascii="Arial" w:hAnsi="Arial"/>
          <w:rtl w:val="0"/>
          <w:lang w:val="en-US"/>
        </w:rPr>
        <w:t>. Through digital learning platforms, apprenticeships and leadership programmes, the organisation equips employees with the knowledge and skills needed to respond to technological and organisational change. According to Human Capital Theory (Becker, 1964), investing in employees' knowledge and skills enhances both individual productivity and overall organisational performance. However, training should be evaluated regularly to ensure it supports both business objectives and employee needs. Rees and French (2022) emphasise that learning is most effective when reinforced through coaching, mentoring and continuous feedback.</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also uses </w:t>
      </w:r>
      <w:r>
        <w:rPr>
          <w:rFonts w:ascii="Arial" w:hAnsi="Arial"/>
          <w:b w:val="1"/>
          <w:bCs w:val="1"/>
          <w:rtl w:val="0"/>
          <w:lang w:val="en-US"/>
        </w:rPr>
        <w:t>digital recruitment</w:t>
      </w:r>
      <w:r>
        <w:rPr>
          <w:rFonts w:ascii="Arial" w:hAnsi="Arial"/>
          <w:rtl w:val="0"/>
          <w:lang w:val="en-US"/>
        </w:rPr>
        <w:t xml:space="preserve"> to improve efficiency and attract a wider range of candidates. Online recruitment systems reduce recruitment costs and accelerate the hiring process. Nevertheless, excessive reliance on automated screening may unintentionally disadvantage some applicants. HR professionals should therefore monitor recruitment outcomes to ensure fairness, transparency and equal employment opportunities.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w:t>
      </w:r>
      <w:r>
        <w:rPr>
          <w:rFonts w:ascii="Arial" w:hAnsi="Arial"/>
          <w:b w:val="1"/>
          <w:bCs w:val="1"/>
          <w:rtl w:val="0"/>
          <w:lang w:val="en-US"/>
        </w:rPr>
        <w:t>Employee wellbeing</w:t>
      </w:r>
      <w:r>
        <w:rPr>
          <w:rFonts w:ascii="Arial" w:hAnsi="Arial"/>
          <w:rtl w:val="0"/>
          <w:lang w:val="en-US"/>
        </w:rPr>
        <w:t xml:space="preserve"> is another important element of the company's HR strategy. M&amp;S supports employees through wellbeing initiatives, flexible working arrangements where possible and mental health services. These practices reflect the principles of the </w:t>
      </w:r>
      <w:r>
        <w:rPr>
          <w:rFonts w:ascii="Arial" w:hAnsi="Arial"/>
          <w:b w:val="1"/>
          <w:bCs w:val="1"/>
          <w:rtl w:val="0"/>
          <w:lang w:val="en-US"/>
        </w:rPr>
        <w:t>Psychological Contract</w:t>
      </w:r>
      <w:r>
        <w:rPr>
          <w:rFonts w:ascii="Arial" w:hAnsi="Arial"/>
          <w:rtl w:val="0"/>
          <w:lang w:val="en-US"/>
        </w:rPr>
        <w:t xml:space="preserve">, which suggests that employees demonstrate greater commitment when organisations meet their expectations for </w:t>
      </w:r>
    </w:p>
    <w:p>
      <w:pPr>
        <w:pStyle w:val="Типовий"/>
        <w:suppressAutoHyphens w:val="1"/>
        <w:spacing w:before="0" w:after="240" w:line="360" w:lineRule="auto"/>
        <w:rPr>
          <w:rFonts w:ascii="Arial" w:cs="Arial" w:hAnsi="Arial" w:eastAsia="Arial"/>
        </w:rPr>
      </w:pPr>
      <w:r>
        <w:rPr>
          <w:rFonts w:ascii="Arial" w:hAnsi="Arial"/>
          <w:rtl w:val="0"/>
          <w:lang w:val="en-US"/>
        </w:rPr>
        <w:t>support and development. However, wellbeing initiatives alone cannot eliminate workplace stress if excessive workloads and staffing shortages remain unresolved.</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Employee engagement is promoted through surveys, performance discussions and recognition programmes that encourage communication and employee participation. These initiatives are consistent with </w:t>
      </w:r>
      <w:r>
        <w:rPr>
          <w:rFonts w:ascii="Arial" w:hAnsi="Arial"/>
          <w:b w:val="1"/>
          <w:bCs w:val="1"/>
          <w:rtl w:val="0"/>
          <w:lang w:val="en-US"/>
        </w:rPr>
        <w:t>McGregor's Theory Y (1960)</w:t>
      </w:r>
      <w:r>
        <w:rPr>
          <w:rFonts w:ascii="Arial" w:hAnsi="Arial"/>
          <w:rtl w:val="0"/>
          <w:lang w:val="en-US"/>
        </w:rPr>
        <w:t>, which proposes that employees are motivated, capable of taking responsibility and willing to contribute when managers provide trust, support and development opportunities. However, their effectiveness depends on managers applying HR policies consistently across all departments.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Marks &amp; Spencer also strengthens </w:t>
      </w:r>
      <w:r>
        <w:rPr>
          <w:rFonts w:ascii="Arial" w:hAnsi="Arial"/>
          <w:b w:val="1"/>
          <w:bCs w:val="1"/>
          <w:rtl w:val="0"/>
          <w:lang w:val="en-US"/>
        </w:rPr>
        <w:t>diversity and inclusion</w:t>
      </w:r>
      <w:r>
        <w:rPr>
          <w:rFonts w:ascii="Arial" w:hAnsi="Arial"/>
          <w:rtl w:val="0"/>
          <w:lang w:val="en-US"/>
        </w:rPr>
        <w:t xml:space="preserve"> through inclusive recruitment practices, leadership development and employee support networks. These initiatives improve collaboration, innovation and organisational culture but require continuous monitoring, leadership accountability and employee feedback to ensure they achieve meaningful rather than symbolic outcomes (CIPD, 2022).</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Overall, the organisation's HR practices support workforce capability, organisational flexibility and long-term business performance. Their success, however, depends on continuous evaluation, effective leadership and the ability to adapt HR strategies to changing organisational and employee needs.</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3. Critical Evaluation of Managerial Implementation</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The effectiveness of Human Resource Management (HRM) depends on managers' ability to implement organisational policies consistently. At Marks &amp; Spencer, line managers play a key role in maintaining employee engagement, performance and organisational effectiveness. Although the company has introduced modern HR initiatives, their success relies on effective leadership and communication.</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Managing organisational change is a major responsibility. Digital transformation has improved operational efficiency but also requires employees to adapt to new technologies and working methods. Managers should communicate changes clearly, involve employees in the process and provide appropriate training to reduce resistance. Crawshaw, Budhwar and Davis (2023) argue that employee participation and transparent communication are essential for successful change.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Managers also support learning and development by encouraging employees to participate in training and apply new skills in the workplace. According to Rees and French (2022), coaching, mentoring and regular feedback improve learning outcomes and employee performance.</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Employee engagement is strengthened through performance reviews, team meetings and employee surveys. However, engagement may vary between departments if managers apply HR policies inconsistently. This reflects </w:t>
      </w:r>
      <w:r>
        <w:rPr>
          <w:rFonts w:ascii="Arial" w:hAnsi="Arial"/>
          <w:b w:val="1"/>
          <w:bCs w:val="1"/>
          <w:rtl w:val="0"/>
          <w:lang w:val="en-US"/>
        </w:rPr>
        <w:t>McGregor's Theory Y (1960)</w:t>
      </w:r>
      <w:r>
        <w:rPr>
          <w:rFonts w:ascii="Arial" w:hAnsi="Arial"/>
          <w:rtl w:val="0"/>
          <w:lang w:val="en-US"/>
        </w:rPr>
        <w:t>, which suggests employees perform better when managers encourage trust, participation and personal development.</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Inclusive leadership is equally important. Managers should ensure fair recruitment, promotion and performance management while promoting equality and diversity. Regular training helps reduce bias and supports employee engagement (CIPD, 2022).</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Managers also contribute to employee wellbeing by monitoring workloads, encouraging work-life balance and responding to concerns. Although wellbeing initiatives are valuable, their effectiveness depends on supportive leadership and timely intervention (Wilton, 2022).</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Overall, successful managerial implementation requires strong communication, adaptability and leadership. By supporting employee development, inclusion and wellbeing, managers make an important contribution to organisational performance and long-term business success.</w:t>
      </w:r>
    </w:p>
    <w:p>
      <w:pPr>
        <w:pStyle w:val="Типовий"/>
        <w:suppressAutoHyphens w:val="1"/>
        <w:spacing w:before="0" w:after="299" w:line="360" w:lineRule="auto"/>
        <w:rPr>
          <w:rFonts w:ascii="Arial" w:cs="Arial" w:hAnsi="Arial" w:eastAsia="Arial"/>
          <w:b w:val="1"/>
          <w:bCs w:val="1"/>
          <w:sz w:val="26"/>
          <w:szCs w:val="26"/>
          <w:lang w:val="it-IT"/>
        </w:rPr>
      </w:pPr>
      <w:r>
        <w:rPr>
          <w:rFonts w:ascii="Arial" w:hAnsi="Arial"/>
          <w:b w:val="1"/>
          <w:bCs w:val="1"/>
          <w:sz w:val="26"/>
          <w:szCs w:val="26"/>
          <w:rtl w:val="0"/>
          <w:lang w:val="it-IT"/>
        </w:rPr>
        <w:t>Conclusion</w:t>
      </w:r>
    </w:p>
    <w:p>
      <w:pPr>
        <w:pStyle w:val="Типовий"/>
        <w:suppressAutoHyphens w:val="1"/>
        <w:spacing w:before="0" w:after="240" w:line="360" w:lineRule="auto"/>
        <w:rPr>
          <w:rFonts w:ascii="Arial" w:cs="Arial" w:hAnsi="Arial" w:eastAsia="Arial"/>
        </w:rPr>
      </w:pPr>
      <w:r>
        <w:rPr>
          <w:rFonts w:ascii="Arial" w:hAnsi="Arial"/>
          <w:b w:val="1"/>
          <w:bCs w:val="1"/>
          <w:sz w:val="26"/>
          <w:szCs w:val="26"/>
          <w:rtl w:val="0"/>
          <w:lang w:val="en-US"/>
        </w:rPr>
        <w:t xml:space="preserve"> </w:t>
      </w:r>
      <w:r>
        <w:rPr>
          <w:rFonts w:ascii="Arial" w:hAnsi="Arial"/>
          <w:rtl w:val="0"/>
          <w:lang w:val="en-US"/>
        </w:rPr>
        <w:t>In today's business environment, Human Resource Management plays a critical role in helping organisations respond to technological innovation, labour market challenges and changing workforce expectations. This report analysed three key HR issues affecting Marks &amp; Spencer: technological change, talent acquisition and retention, and diversity, equity and inclusion. Each challenge requires well-designed HR strategies and strong managerial leadership to support organisational performance. The report evaluated several contemporary HR practices, including digital learning, employee wellbeing initiatives, digital recruitment and diversity programmes. These practices contribute to workforce capability, employee engagement and organisational adaptability. However, their effectiveness depends on regular evaluation, consistent implementation and alignment with business objectives.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The report also highlighted the importance of managers in implementing HR strategies successfully. Through effective communication, employee development, inclusive leadership and wellbeing support, managers help create a positive organisational culture and improve organisational performance. Continued investment in leadership capability will enable Marks &amp; Spencer to respond effectively to future workforce challenges while maintaining its competitive position within the UK retail sector.</w:t>
      </w:r>
    </w:p>
    <w:p>
      <w:pPr>
        <w:pStyle w:val="Типовий"/>
        <w:suppressAutoHyphens w:val="1"/>
        <w:spacing w:before="0" w:after="299" w:line="360" w:lineRule="auto"/>
        <w:rPr>
          <w:rFonts w:ascii="Arial" w:cs="Arial" w:hAnsi="Arial" w:eastAsia="Arial"/>
          <w:b w:val="1"/>
          <w:bCs w:val="1"/>
          <w:sz w:val="26"/>
          <w:szCs w:val="26"/>
        </w:rPr>
      </w:pPr>
      <w:r>
        <w:rPr>
          <w:rFonts w:ascii="Arial" w:hAnsi="Arial"/>
          <w:b w:val="1"/>
          <w:bCs w:val="1"/>
          <w:sz w:val="26"/>
          <w:szCs w:val="26"/>
          <w:rtl w:val="0"/>
          <w:lang w:val="en-US"/>
        </w:rPr>
        <w:t>Recommendations</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 Based on the findings of this report, the following recommendations are proposed for Marks &amp; Spencer:</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Continue expanding digital learning programmes to improve employees' technological skills and support future organisational change.</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Strengthen leadership development by providing managers with additional training in change management, coaching and inclusive leadership.</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Increase employee participation in decision-making to improve engagement, innovation and organisational commitment.</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Regularly monitor diversity and inclusion outcomes using workforce data and employee feedback to ensure continuous improvement.</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Expand flexible working opportunities where operationally feasible to enhance employee wellbeing and reduce staff turnover.</w:t>
      </w:r>
    </w:p>
    <w:p>
      <w:pPr>
        <w:pStyle w:val="Типовий"/>
        <w:numPr>
          <w:ilvl w:val="0"/>
          <w:numId w:val="4"/>
        </w:numPr>
        <w:suppressAutoHyphens w:val="1"/>
        <w:bidi w:val="0"/>
        <w:spacing w:before="0" w:line="360" w:lineRule="auto"/>
        <w:ind w:right="0"/>
        <w:jc w:val="left"/>
        <w:rPr>
          <w:rFonts w:ascii="Arial" w:hAnsi="Arial"/>
          <w:rtl w:val="0"/>
          <w:lang w:val="en-US"/>
        </w:rPr>
      </w:pPr>
      <w:r>
        <w:rPr>
          <w:rStyle w:val="Немає A"/>
          <w:rFonts w:ascii="Arial" w:hAnsi="Arial"/>
          <w:rtl w:val="0"/>
          <w:lang w:val="en-US"/>
        </w:rPr>
        <w:t>Review recruitment, reward and talent management strategies regularly to remain competitive within the UK labour market and attract skilled employees.</w:t>
      </w:r>
    </w:p>
    <w:p>
      <w:pPr>
        <w:pStyle w:val="Типовий"/>
        <w:suppressAutoHyphens w:val="1"/>
        <w:spacing w:before="0" w:after="322" w:line="240" w:lineRule="auto"/>
        <w:rPr>
          <w:rStyle w:val="Немає A"/>
          <w:rFonts w:ascii="Arial" w:cs="Arial" w:hAnsi="Arial" w:eastAsia="Arial"/>
          <w:b w:val="1"/>
          <w:bCs w:val="1"/>
        </w:rPr>
      </w:pPr>
    </w:p>
    <w:p>
      <w:pPr>
        <w:pStyle w:val="Типовий"/>
        <w:suppressAutoHyphens w:val="1"/>
        <w:spacing w:before="0" w:after="322" w:line="240" w:lineRule="auto"/>
        <w:rPr>
          <w:rStyle w:val="Немає A"/>
          <w:rFonts w:ascii="Arial" w:cs="Arial" w:hAnsi="Arial" w:eastAsia="Arial"/>
          <w:b w:val="1"/>
          <w:bCs w:val="1"/>
        </w:rPr>
      </w:pPr>
    </w:p>
    <w:p>
      <w:pPr>
        <w:pStyle w:val="Типовий"/>
        <w:suppressAutoHyphens w:val="1"/>
        <w:spacing w:before="0" w:after="322" w:line="240" w:lineRule="auto"/>
        <w:rPr>
          <w:rFonts w:ascii="Arial" w:cs="Arial" w:hAnsi="Arial" w:eastAsia="Arial"/>
          <w:b w:val="1"/>
          <w:bCs w:val="1"/>
        </w:rPr>
      </w:pPr>
    </w:p>
    <w:p>
      <w:pPr>
        <w:pStyle w:val="Типовий"/>
        <w:suppressAutoHyphens w:val="1"/>
        <w:spacing w:before="0" w:after="322" w:line="240" w:lineRule="auto"/>
        <w:rPr>
          <w:rFonts w:ascii="Arial" w:cs="Arial" w:hAnsi="Arial" w:eastAsia="Arial"/>
          <w:b w:val="1"/>
          <w:bCs w:val="1"/>
        </w:rPr>
      </w:pPr>
    </w:p>
    <w:p>
      <w:pPr>
        <w:pStyle w:val="Типовий"/>
        <w:suppressAutoHyphens w:val="1"/>
        <w:spacing w:before="0" w:after="322" w:line="240" w:lineRule="auto"/>
        <w:rPr>
          <w:rFonts w:ascii="Arial" w:cs="Arial" w:hAnsi="Arial" w:eastAsia="Arial"/>
          <w:b w:val="1"/>
          <w:bCs w:val="1"/>
          <w:sz w:val="28"/>
          <w:szCs w:val="28"/>
          <w:lang w:val="pt-PT"/>
        </w:rPr>
      </w:pPr>
      <w:r>
        <w:rPr>
          <w:rFonts w:ascii="Arial" w:hAnsi="Arial"/>
          <w:b w:val="1"/>
          <w:bCs w:val="1"/>
          <w:sz w:val="28"/>
          <w:szCs w:val="28"/>
          <w:rtl w:val="0"/>
          <w:lang w:val="pt-PT"/>
        </w:rPr>
        <w:t>Reference List</w:t>
      </w:r>
    </w:p>
    <w:p>
      <w:pPr>
        <w:pStyle w:val="Типовий"/>
        <w:suppressAutoHyphens w:val="1"/>
        <w:spacing w:before="0" w:after="240" w:line="240" w:lineRule="auto"/>
        <w:rPr>
          <w:rFonts w:ascii="Arial" w:cs="Arial" w:hAnsi="Arial" w:eastAsia="Arial"/>
        </w:rPr>
      </w:pPr>
      <w:r>
        <w:rPr>
          <w:rFonts w:ascii="Arial" w:hAnsi="Arial"/>
          <w:rtl w:val="0"/>
          <w:lang w:val="en-US"/>
        </w:rPr>
        <w:t xml:space="preserve">Armstrong, M. and Taylor, S. (2023) </w:t>
      </w:r>
      <w:r>
        <w:rPr>
          <w:rFonts w:ascii="Arial" w:hAnsi="Arial"/>
          <w:i w:val="1"/>
          <w:iCs w:val="1"/>
          <w:rtl w:val="0"/>
          <w:lang w:val="en-US"/>
        </w:rPr>
        <w:t>Armstrong's Handbook of Human Resource Management Practice</w:t>
      </w:r>
      <w:r>
        <w:rPr>
          <w:rFonts w:ascii="Arial" w:hAnsi="Arial"/>
          <w:rtl w:val="0"/>
          <w:lang w:val="en-US"/>
        </w:rPr>
        <w:t>. 16th edn. London: Kogan Page.</w:t>
      </w:r>
    </w:p>
    <w:p>
      <w:pPr>
        <w:pStyle w:val="Типовий"/>
        <w:suppressAutoHyphens w:val="1"/>
        <w:spacing w:before="0" w:after="240" w:line="240" w:lineRule="auto"/>
        <w:rPr>
          <w:rFonts w:ascii="Arial" w:cs="Arial" w:hAnsi="Arial" w:eastAsia="Arial"/>
        </w:rPr>
      </w:pPr>
      <w:r>
        <w:rPr>
          <w:rFonts w:ascii="Arial" w:hAnsi="Arial"/>
          <w:rtl w:val="0"/>
          <w:lang w:val="en-US"/>
        </w:rPr>
        <w:t xml:space="preserve">Becker, G.S. (1964) </w:t>
      </w:r>
      <w:r>
        <w:rPr>
          <w:rFonts w:ascii="Arial" w:hAnsi="Arial"/>
          <w:i w:val="1"/>
          <w:iCs w:val="1"/>
          <w:rtl w:val="0"/>
          <w:lang w:val="en-US"/>
        </w:rPr>
        <w:t>Human Capital: A Theoretical and Empirical Analysis, with Special Reference to Education</w:t>
      </w:r>
      <w:r>
        <w:rPr>
          <w:rFonts w:ascii="Arial" w:hAnsi="Arial"/>
          <w:rtl w:val="0"/>
          <w:lang w:val="en-US"/>
        </w:rPr>
        <w:t>. New York: Columbia University Press.</w:t>
      </w:r>
    </w:p>
    <w:p>
      <w:pPr>
        <w:pStyle w:val="Типовий"/>
        <w:suppressAutoHyphens w:val="1"/>
        <w:spacing w:before="0" w:after="240" w:line="240" w:lineRule="auto"/>
        <w:rPr>
          <w:rFonts w:ascii="Arial" w:cs="Arial" w:hAnsi="Arial" w:eastAsia="Arial"/>
        </w:rPr>
      </w:pPr>
      <w:r>
        <w:rPr>
          <w:rFonts w:ascii="Arial" w:hAnsi="Arial"/>
          <w:rtl w:val="0"/>
          <w:lang w:val="en-US"/>
        </w:rPr>
        <w:t xml:space="preserve">Bratton, J., Gold, J., Bratton, A. and Steele, L. (2022) </w:t>
      </w:r>
      <w:r>
        <w:rPr>
          <w:rFonts w:ascii="Arial" w:hAnsi="Arial"/>
          <w:i w:val="1"/>
          <w:iCs w:val="1"/>
          <w:rtl w:val="0"/>
          <w:lang w:val="en-US"/>
        </w:rPr>
        <w:t>Human Resource Management: Theory and Practice</w:t>
      </w:r>
      <w:r>
        <w:rPr>
          <w:rFonts w:ascii="Arial" w:hAnsi="Arial"/>
          <w:rtl w:val="0"/>
          <w:lang w:val="en-US"/>
        </w:rPr>
        <w:t>. 9th edn. London: Red Globe Press.</w:t>
      </w:r>
    </w:p>
    <w:p>
      <w:pPr>
        <w:pStyle w:val="Типовий"/>
        <w:suppressAutoHyphens w:val="1"/>
        <w:spacing w:before="0" w:after="240" w:line="240" w:lineRule="auto"/>
        <w:rPr>
          <w:rStyle w:val="Немає"/>
          <w:rFonts w:ascii="Arial" w:cs="Arial" w:hAnsi="Arial" w:eastAsia="Arial"/>
          <w:outline w:val="0"/>
          <w:color w:val="000000"/>
          <w:u w:val="none" w:color="000000"/>
          <w14:textFill>
            <w14:solidFill>
              <w14:srgbClr w14:val="000000"/>
            </w14:solidFill>
          </w14:textFill>
        </w:rPr>
      </w:pPr>
      <w:r>
        <w:rPr>
          <w:rFonts w:ascii="Arial" w:hAnsi="Arial"/>
          <w:outline w:val="0"/>
          <w:color w:val="000000"/>
          <w:u w:val="none" w:color="000000"/>
          <w:rtl w:val="0"/>
          <w:lang w:val="en-US"/>
          <w14:textFill>
            <w14:solidFill>
              <w14:srgbClr w14:val="000000"/>
            </w14:solidFill>
          </w14:textFill>
        </w:rPr>
        <w:t xml:space="preserve">CIPD (2022) </w:t>
      </w:r>
      <w:r>
        <w:rPr>
          <w:rFonts w:ascii="Arial" w:hAnsi="Arial"/>
          <w:i w:val="1"/>
          <w:iCs w:val="1"/>
          <w:outline w:val="0"/>
          <w:color w:val="000000"/>
          <w:u w:val="none" w:color="000000"/>
          <w:rtl w:val="0"/>
          <w:lang w:val="en-US"/>
          <w14:textFill>
            <w14:solidFill>
              <w14:srgbClr w14:val="000000"/>
            </w14:solidFill>
          </w14:textFill>
        </w:rPr>
        <w:t>Inclusion and Diversity at Work</w:t>
      </w:r>
      <w:r>
        <w:rPr>
          <w:rFonts w:ascii="Arial" w:hAnsi="Arial"/>
          <w:outline w:val="0"/>
          <w:color w:val="000000"/>
          <w:u w:val="none" w:color="000000"/>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"https://www.cipd.org/uk/knowledge/factsheets/diversity-factsheet/"</w:instrText>
      </w:r>
      <w:r>
        <w:rPr>
          <w:rStyle w:val="Hyperlink.0"/>
        </w:rPr>
        <w:fldChar w:fldCharType="separate" w:fldLock="0"/>
      </w:r>
      <w:r>
        <w:rPr>
          <w:rStyle w:val="Hyperlink.0"/>
          <w:rtl w:val="0"/>
          <w:lang w:val="en-US"/>
        </w:rPr>
        <w:t>https://www.cipd.org/uk/knowledge/factsheets/diversity-factsheet/</w:t>
      </w:r>
      <w:r>
        <w:rPr/>
        <w:fldChar w:fldCharType="end" w:fldLock="0"/>
      </w:r>
      <w:r>
        <w:rPr>
          <w:rStyle w:val="Немає"/>
          <w:rFonts w:ascii="Arial" w:hAnsi="Arial"/>
          <w:outline w:val="0"/>
          <w:color w:val="000000"/>
          <w:u w:val="none" w:color="000000"/>
          <w:rtl w:val="0"/>
          <w:lang w:val="en-US"/>
          <w14:textFill>
            <w14:solidFill>
              <w14:srgbClr w14:val="000000"/>
            </w14:solidFill>
          </w14:textFill>
        </w:rPr>
        <w:t xml:space="preserve"> (Accessed: 3 August 2026).</w:t>
      </w:r>
    </w:p>
    <w:p>
      <w:pPr>
        <w:pStyle w:val="Типовий"/>
        <w:suppressAutoHyphens w:val="1"/>
        <w:spacing w:before="0" w:after="240" w:line="240" w:lineRule="auto"/>
        <w:rPr>
          <w:rStyle w:val="Немає"/>
          <w:rFonts w:ascii="Arial" w:cs="Arial" w:hAnsi="Arial" w:eastAsia="Arial"/>
          <w:outline w:val="0"/>
          <w:color w:val="000000"/>
          <w:u w:val="none" w:color="000000"/>
          <w14:textFill>
            <w14:solidFill>
              <w14:srgbClr w14:val="000000"/>
            </w14:solidFill>
          </w14:textFill>
        </w:rPr>
      </w:pPr>
      <w:r>
        <w:rPr>
          <w:rStyle w:val="Немає"/>
          <w:rFonts w:ascii="Arial" w:hAnsi="Arial"/>
          <w:outline w:val="0"/>
          <w:color w:val="000000"/>
          <w:u w:val="none" w:color="000000"/>
          <w:rtl w:val="0"/>
          <w:lang w:val="en-US"/>
          <w14:textFill>
            <w14:solidFill>
              <w14:srgbClr w14:val="000000"/>
            </w14:solidFill>
          </w14:textFill>
        </w:rPr>
        <w:t xml:space="preserve">CIPD (2024) </w:t>
      </w:r>
      <w:r>
        <w:rPr>
          <w:rStyle w:val="Немає"/>
          <w:rFonts w:ascii="Arial" w:hAnsi="Arial"/>
          <w:i w:val="1"/>
          <w:iCs w:val="1"/>
          <w:outline w:val="0"/>
          <w:color w:val="000000"/>
          <w:u w:val="none" w:color="000000"/>
          <w:rtl w:val="0"/>
          <w:lang w:val="en-US"/>
          <w14:textFill>
            <w14:solidFill>
              <w14:srgbClr w14:val="000000"/>
            </w14:solidFill>
          </w14:textFill>
        </w:rPr>
        <w:t>People Profession Survey 2024</w:t>
      </w:r>
      <w:r>
        <w:rPr>
          <w:rStyle w:val="Немає"/>
          <w:rFonts w:ascii="Arial" w:hAnsi="Arial"/>
          <w:outline w:val="0"/>
          <w:color w:val="000000"/>
          <w:u w:val="none" w:color="000000"/>
          <w:rtl w:val="0"/>
          <w:lang w:val="en-US"/>
          <w14:textFill>
            <w14:solidFill>
              <w14:srgbClr w14:val="000000"/>
            </w14:solidFill>
          </w14:textFill>
        </w:rPr>
        <w:t xml:space="preserve">. Available at: </w:t>
      </w:r>
      <w:r>
        <w:rPr>
          <w:rStyle w:val="Hyperlink.0"/>
        </w:rPr>
        <w:fldChar w:fldCharType="begin" w:fldLock="0"/>
      </w:r>
      <w:r>
        <w:rPr>
          <w:rStyle w:val="Hyperlink.0"/>
        </w:rPr>
        <w:instrText xml:space="preserve"> HYPERLINK "https://www.cipd.org/uk/knowledge/reports/people-profession-survey/"</w:instrText>
      </w:r>
      <w:r>
        <w:rPr>
          <w:rStyle w:val="Hyperlink.0"/>
        </w:rPr>
        <w:fldChar w:fldCharType="separate" w:fldLock="0"/>
      </w:r>
      <w:r>
        <w:rPr>
          <w:rStyle w:val="Hyperlink.0"/>
          <w:rtl w:val="0"/>
          <w:lang w:val="en-US"/>
        </w:rPr>
        <w:t>https://www.cipd.org/uk/knowledge/reports/people-profession-survey/</w:t>
      </w:r>
      <w:r>
        <w:rPr/>
        <w:fldChar w:fldCharType="end" w:fldLock="0"/>
      </w:r>
      <w:r>
        <w:rPr>
          <w:rStyle w:val="Немає"/>
          <w:rFonts w:ascii="Arial" w:hAnsi="Arial"/>
          <w:outline w:val="0"/>
          <w:color w:val="000000"/>
          <w:u w:val="none" w:color="000000"/>
          <w:rtl w:val="0"/>
          <w:lang w:val="en-US"/>
          <w14:textFill>
            <w14:solidFill>
              <w14:srgbClr w14:val="000000"/>
            </w14:solidFill>
          </w14:textFill>
        </w:rPr>
        <w:t xml:space="preserve"> (Accessed: 3 August 2026).</w:t>
      </w:r>
    </w:p>
    <w:p>
      <w:pPr>
        <w:pStyle w:val="Типовий"/>
        <w:suppressAutoHyphens w:val="1"/>
        <w:spacing w:before="0" w:after="240" w:line="240" w:lineRule="auto"/>
        <w:rPr>
          <w:rStyle w:val="Немає"/>
          <w:rFonts w:ascii="Arial" w:cs="Arial" w:hAnsi="Arial" w:eastAsia="Arial"/>
        </w:rPr>
      </w:pPr>
      <w:r>
        <w:rPr>
          <w:rStyle w:val="Немає"/>
          <w:rFonts w:ascii="Arial" w:hAnsi="Arial"/>
          <w:rtl w:val="0"/>
          <w:lang w:val="en-US"/>
        </w:rPr>
        <w:t xml:space="preserve">Crawshaw, J., Budhwar, P. and Davis, A. (2023) </w:t>
      </w:r>
      <w:r>
        <w:rPr>
          <w:rStyle w:val="Немає"/>
          <w:rFonts w:ascii="Arial" w:hAnsi="Arial"/>
          <w:i w:val="1"/>
          <w:iCs w:val="1"/>
          <w:rtl w:val="0"/>
          <w:lang w:val="en-US"/>
        </w:rPr>
        <w:t>Human Resource Management: Strategic and International Perspectives</w:t>
      </w:r>
      <w:r>
        <w:rPr>
          <w:rStyle w:val="Немає"/>
          <w:rFonts w:ascii="Arial" w:hAnsi="Arial"/>
          <w:rtl w:val="0"/>
          <w:lang w:val="en-US"/>
        </w:rPr>
        <w:t>. 3rd edn. London: SAGE.</w:t>
      </w:r>
    </w:p>
    <w:p>
      <w:pPr>
        <w:pStyle w:val="Типовий"/>
        <w:suppressAutoHyphens w:val="1"/>
        <w:spacing w:before="0" w:after="240" w:line="240" w:lineRule="auto"/>
        <w:rPr>
          <w:rStyle w:val="Немає"/>
          <w:rFonts w:ascii="Arial" w:cs="Arial" w:hAnsi="Arial" w:eastAsia="Arial"/>
        </w:rPr>
      </w:pPr>
      <w:r>
        <w:rPr>
          <w:rStyle w:val="Немає"/>
          <w:rFonts w:ascii="Arial" w:hAnsi="Arial"/>
          <w:rtl w:val="0"/>
          <w:lang w:val="it-IT"/>
        </w:rPr>
        <w:t xml:space="preserve">Marks &amp; Spencer Group plc (2024) </w:t>
      </w:r>
      <w:r>
        <w:rPr>
          <w:rStyle w:val="Немає"/>
          <w:rFonts w:ascii="Arial" w:hAnsi="Arial"/>
          <w:i w:val="1"/>
          <w:iCs w:val="1"/>
          <w:rtl w:val="0"/>
          <w:lang w:val="en-US"/>
        </w:rPr>
        <w:t>Annual Report and Financial Statements 2024</w:t>
      </w:r>
      <w:r>
        <w:rPr>
          <w:rStyle w:val="Немає"/>
          <w:rFonts w:ascii="Arial" w:hAnsi="Arial"/>
          <w:rtl w:val="0"/>
          <w:lang w:val="en-US"/>
        </w:rPr>
        <w:t xml:space="preserve">. Available at: </w:t>
      </w:r>
      <w:r>
        <w:rPr>
          <w:rStyle w:val="Hyperlink.1"/>
          <w:rFonts w:ascii="Arial" w:cs="Arial" w:hAnsi="Arial" w:eastAsia="Arial"/>
          <w:outline w:val="0"/>
          <w:color w:val="0000ee"/>
          <w:u w:val="single" w:color="0000ee"/>
          <w:lang w:val="en-US"/>
          <w14:textFill>
            <w14:solidFill>
              <w14:srgbClr w14:val="0000EE"/>
            </w14:solidFill>
          </w14:textFill>
        </w:rPr>
        <w:fldChar w:fldCharType="begin" w:fldLock="0"/>
      </w:r>
      <w:r>
        <w:rPr>
          <w:rStyle w:val="Hyperlink.1"/>
          <w:rFonts w:ascii="Arial" w:cs="Arial" w:hAnsi="Arial" w:eastAsia="Arial"/>
          <w:outline w:val="0"/>
          <w:color w:val="0000ee"/>
          <w:u w:val="single" w:color="0000ee"/>
          <w:lang w:val="en-US"/>
          <w14:textFill>
            <w14:solidFill>
              <w14:srgbClr w14:val="0000EE"/>
            </w14:solidFill>
          </w14:textFill>
        </w:rPr>
        <w:instrText xml:space="preserve"> HYPERLINK "https://corporate.marksandspencer.com/investors/results-reports-and-presentations"</w:instrText>
      </w:r>
      <w:r>
        <w:rPr>
          <w:rStyle w:val="Hyperlink.1"/>
          <w:rFonts w:ascii="Arial" w:cs="Arial" w:hAnsi="Arial" w:eastAsia="Arial"/>
          <w:outline w:val="0"/>
          <w:color w:val="0000ee"/>
          <w:u w:val="single" w:color="0000ee"/>
          <w:lang w:val="en-US"/>
          <w14:textFill>
            <w14:solidFill>
              <w14:srgbClr w14:val="0000EE"/>
            </w14:solidFill>
          </w14:textFill>
        </w:rPr>
        <w:fldChar w:fldCharType="separate" w:fldLock="0"/>
      </w:r>
      <w:r>
        <w:rPr>
          <w:rStyle w:val="Hyperlink.1"/>
          <w:rFonts w:ascii="Arial" w:hAnsi="Arial"/>
          <w:outline w:val="0"/>
          <w:color w:val="0000ee"/>
          <w:u w:val="single" w:color="0000ee"/>
          <w:rtl w:val="0"/>
          <w:lang w:val="en-US"/>
          <w14:textFill>
            <w14:solidFill>
              <w14:srgbClr w14:val="0000EE"/>
            </w14:solidFill>
          </w14:textFill>
        </w:rPr>
        <w:t>https://corporate.marksandspencer.com/investors/results-reports-and-presentations</w:t>
      </w:r>
      <w:r>
        <w:rPr/>
        <w:fldChar w:fldCharType="end" w:fldLock="0"/>
      </w:r>
      <w:r>
        <w:rPr>
          <w:rStyle w:val="Немає"/>
          <w:rFonts w:ascii="Arial" w:hAnsi="Arial"/>
          <w:rtl w:val="0"/>
          <w:lang w:val="en-US"/>
        </w:rPr>
        <w:t xml:space="preserve"> (Accessed: 3 August 2026).</w:t>
      </w:r>
    </w:p>
    <w:p>
      <w:pPr>
        <w:pStyle w:val="Типовий"/>
        <w:suppressAutoHyphens w:val="1"/>
        <w:spacing w:before="0" w:after="240" w:line="240" w:lineRule="auto"/>
        <w:rPr>
          <w:rStyle w:val="Немає"/>
          <w:rFonts w:ascii="Arial" w:cs="Arial" w:hAnsi="Arial" w:eastAsia="Arial"/>
        </w:rPr>
      </w:pPr>
      <w:r>
        <w:rPr>
          <w:rStyle w:val="Немає"/>
          <w:rFonts w:ascii="Arial" w:hAnsi="Arial"/>
          <w:rtl w:val="0"/>
          <w:lang w:val="en-US"/>
        </w:rPr>
        <w:t xml:space="preserve">McGregor, D. (1960) </w:t>
      </w:r>
      <w:r>
        <w:rPr>
          <w:rStyle w:val="Немає"/>
          <w:rFonts w:ascii="Arial" w:hAnsi="Arial"/>
          <w:i w:val="1"/>
          <w:iCs w:val="1"/>
          <w:rtl w:val="0"/>
          <w:lang w:val="en-US"/>
        </w:rPr>
        <w:t>The Human Side of Enterprise</w:t>
      </w:r>
      <w:r>
        <w:rPr>
          <w:rStyle w:val="Немає"/>
          <w:rFonts w:ascii="Arial" w:hAnsi="Arial"/>
          <w:rtl w:val="0"/>
          <w:lang w:val="en-US"/>
        </w:rPr>
        <w:t>. New York: McGraw-Hill.</w:t>
      </w:r>
    </w:p>
    <w:p>
      <w:pPr>
        <w:pStyle w:val="Типовий"/>
        <w:suppressAutoHyphens w:val="1"/>
        <w:spacing w:before="0" w:after="240" w:line="240" w:lineRule="auto"/>
        <w:rPr>
          <w:rStyle w:val="Немає"/>
          <w:rFonts w:ascii="Arial" w:cs="Arial" w:hAnsi="Arial" w:eastAsia="Arial"/>
        </w:rPr>
      </w:pPr>
      <w:r>
        <w:rPr>
          <w:rStyle w:val="Немає"/>
          <w:rFonts w:ascii="Arial" w:hAnsi="Arial"/>
          <w:rtl w:val="0"/>
          <w:lang w:val="en-US"/>
        </w:rPr>
        <w:t xml:space="preserve">Rees, G. and French, R. (2022) </w:t>
      </w:r>
      <w:r>
        <w:rPr>
          <w:rStyle w:val="Немає"/>
          <w:rFonts w:ascii="Arial" w:hAnsi="Arial"/>
          <w:i w:val="1"/>
          <w:iCs w:val="1"/>
          <w:rtl w:val="0"/>
          <w:lang w:val="en-US"/>
        </w:rPr>
        <w:t>Leading, Managing and Developing People</w:t>
      </w:r>
      <w:r>
        <w:rPr>
          <w:rStyle w:val="Немає"/>
          <w:rFonts w:ascii="Arial" w:hAnsi="Arial"/>
          <w:rtl w:val="0"/>
          <w:lang w:val="en-US"/>
        </w:rPr>
        <w:t>. 9th edn. London: CIPD/Kogan Page.</w:t>
      </w:r>
    </w:p>
    <w:p>
      <w:pPr>
        <w:pStyle w:val="Типовий"/>
        <w:suppressAutoHyphens w:val="1"/>
        <w:spacing w:before="0" w:after="240" w:line="240" w:lineRule="auto"/>
        <w:rPr>
          <w:rStyle w:val="Немає"/>
          <w:rFonts w:ascii="Arial" w:cs="Arial" w:hAnsi="Arial" w:eastAsia="Arial"/>
        </w:rPr>
      </w:pPr>
      <w:r>
        <w:rPr>
          <w:rStyle w:val="Немає"/>
          <w:rFonts w:ascii="Arial" w:hAnsi="Arial"/>
          <w:rtl w:val="0"/>
          <w:lang w:val="en-US"/>
        </w:rPr>
        <w:t xml:space="preserve">Taylor, S. (2024) </w:t>
      </w:r>
      <w:r>
        <w:rPr>
          <w:rStyle w:val="Немає"/>
          <w:rFonts w:ascii="Arial" w:hAnsi="Arial"/>
          <w:i w:val="1"/>
          <w:iCs w:val="1"/>
          <w:rtl w:val="0"/>
          <w:lang w:val="en-US"/>
        </w:rPr>
        <w:t>Resourcing and Talent Management</w:t>
      </w:r>
      <w:r>
        <w:rPr>
          <w:rStyle w:val="Немає"/>
          <w:rFonts w:ascii="Arial" w:hAnsi="Arial"/>
          <w:rtl w:val="0"/>
          <w:lang w:val="en-US"/>
        </w:rPr>
        <w:t>. 9th edn. London: Kogan Page.</w:t>
      </w:r>
    </w:p>
    <w:p>
      <w:pPr>
        <w:pStyle w:val="Типовий"/>
        <w:suppressAutoHyphens w:val="1"/>
        <w:spacing w:before="0" w:after="240" w:line="240" w:lineRule="auto"/>
      </w:pPr>
      <w:r>
        <w:rPr>
          <w:rStyle w:val="Немає"/>
          <w:rFonts w:ascii="Arial" w:hAnsi="Arial"/>
          <w:rtl w:val="0"/>
          <w:lang w:val="en-US"/>
        </w:rPr>
        <w:t xml:space="preserve">Wilton, N. (2022) </w:t>
      </w:r>
      <w:r>
        <w:rPr>
          <w:rStyle w:val="Немає"/>
          <w:rFonts w:ascii="Arial" w:hAnsi="Arial"/>
          <w:i w:val="1"/>
          <w:iCs w:val="1"/>
          <w:rtl w:val="0"/>
          <w:lang w:val="en-US"/>
        </w:rPr>
        <w:t>An Introduction to Human Resource Management</w:t>
      </w:r>
      <w:r>
        <w:rPr>
          <w:rStyle w:val="Немає"/>
          <w:rFonts w:ascii="Arial" w:hAnsi="Arial"/>
          <w:rtl w:val="0"/>
          <w:lang w:val="en-US"/>
        </w:rPr>
        <w:t>. 5th edn. London: SAGE Publications.</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Bdr>
        <w:top w:val="single" w:color="d9d9d9" w:sz="4" w:space="0" w:shadow="0" w:frame="0"/>
        <w:left w:val="nil"/>
        <w:bottom w:val="nil"/>
        <w:right w:val="nil"/>
      </w:pBdr>
      <w:tabs>
        <w:tab w:val="right" w:pos="9000"/>
        <w:tab w:val="clear" w:pos="9026"/>
      </w:tabs>
      <w:jc w:val="right"/>
    </w:pPr>
    <w:r>
      <w:rPr>
        <w:rStyle w:val="Немає A"/>
      </w:rPr>
      <w:fldChar w:fldCharType="begin" w:fldLock="0"/>
    </w:r>
    <w:r>
      <w:rPr>
        <w:rStyle w:val="Немає A"/>
      </w:rPr>
      <w:instrText xml:space="preserve"> PAGE </w:instrText>
    </w:r>
    <w:r>
      <w:rPr>
        <w:rStyle w:val="Немає A"/>
      </w:rPr>
      <w:fldChar w:fldCharType="separate" w:fldLock="0"/>
    </w:r>
    <w:r>
      <w:rPr>
        <w:rStyle w:val="Немає A"/>
      </w:rPr>
    </w:r>
    <w:r>
      <w:rPr>
        <w:rStyle w:val="Немає A"/>
      </w:rPr>
      <w:fldChar w:fldCharType="end" w:fldLock="0"/>
    </w:r>
    <w:r>
      <w:rPr>
        <w:rStyle w:val="Немає A"/>
        <w:rtl w:val="0"/>
        <w:lang w:val="en-US"/>
      </w:rPr>
      <w:t xml:space="preserve"> | </w:t>
    </w:r>
    <w:r>
      <w:rPr>
        <w:outline w:val="0"/>
        <w:color w:val="7f7f7f"/>
        <w:spacing w:val="0"/>
        <w:u w:color="7f7f7f"/>
        <w:rtl w:val="0"/>
        <w:lang w:val="en-US"/>
        <w14:textFill>
          <w14:solidFill>
            <w14:srgbClr w14:val="7F7F7F"/>
          </w14:solidFill>
        </w14:textFill>
      </w:rPr>
      <w:t>Page</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Колонтитули"/>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Номери"/>
  </w:abstractNum>
  <w:abstractNum w:abstractNumId="1">
    <w:multiLevelType w:val="hybridMultilevel"/>
    <w:styleLink w:val="Номери"/>
    <w:lvl w:ilvl="0">
      <w:start w:val="1"/>
      <w:numFmt w:val="decimal"/>
      <w:suff w:val="tab"/>
      <w:lvlText w:val="%1."/>
      <w:lvlJc w:val="left"/>
      <w:pPr>
        <w:ind w:left="72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2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24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6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68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190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12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34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2563" w:hanging="583"/>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Номери.0"/>
  </w:abstractNum>
  <w:abstractNum w:abstractNumId="3">
    <w:multiLevelType w:val="hybridMultilevel"/>
    <w:styleLink w:val="Номери.0"/>
    <w:lvl w:ilvl="0">
      <w:start w:val="1"/>
      <w:numFmt w:val="decimal"/>
      <w:suff w:val="tab"/>
      <w:lvlText w:val="%1."/>
      <w:lvlJc w:val="left"/>
      <w:pPr>
        <w:ind w:left="72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94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6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38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60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182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04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26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2480" w:hanging="500"/>
      </w:pPr>
      <w:rPr>
        <w:rFonts w:ascii="Times Roman" w:cs="Times Roman" w:hAnsi="Times Roman" w:eastAsia="Times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Колонтитули">
    <w:name w:val="Колонтитули"/>
    <w:next w:val="Колонтитули"/>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Немає A">
    <w:name w:val="Немає A"/>
  </w:style>
  <w:style w:type="paragraph" w:styleId="Основний текст A">
    <w:name w:val="Основний текст A"/>
    <w:next w:val="Основний текст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Типовий">
    <w:name w:val="Типовий"/>
    <w:next w:val="Типов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Номери">
    <w:name w:val="Номери"/>
    <w:pPr>
      <w:numPr>
        <w:numId w:val="1"/>
      </w:numPr>
    </w:pPr>
  </w:style>
  <w:style w:type="numbering" w:styleId="Номери.0">
    <w:name w:val="Номери.0"/>
    <w:pPr>
      <w:numPr>
        <w:numId w:val="3"/>
      </w:numPr>
    </w:pPr>
  </w:style>
  <w:style w:type="character" w:styleId="Немає">
    <w:name w:val="Немає"/>
  </w:style>
  <w:style w:type="character" w:styleId="Hyperlink.0">
    <w:name w:val="Hyperlink.0"/>
    <w:basedOn w:val="Немає"/>
    <w:next w:val="Hyperlink.0"/>
    <w:rPr>
      <w:rFonts w:ascii="Arial" w:cs="Arial" w:hAnsi="Arial" w:eastAsia="Arial"/>
      <w:outline w:val="0"/>
      <w:color w:val="0563c1"/>
      <w:u w:val="single" w:color="0563c1"/>
      <w14:textFill>
        <w14:solidFill>
          <w14:srgbClr w14:val="0563C1"/>
        </w14:solidFill>
      </w14:textFill>
    </w:rPr>
  </w:style>
  <w:style w:type="character" w:styleId="Hyperlink.1">
    <w:name w:val="Hyperlink.1"/>
    <w:basedOn w:val="Немає"/>
    <w:next w:val="Hyperlink.1"/>
    <w:rPr>
      <w:rFonts w:ascii="Arial" w:cs="Arial" w:hAnsi="Arial" w:eastAsia="Arial"/>
      <w:outline w:val="0"/>
      <w:color w:val="0000ee"/>
      <w:u w:val="single" w:color="0000ee"/>
      <w:lang w:val="en-US"/>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