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9AD" w:rsidRPr="00303375" w:rsidRDefault="00AF79AD" w:rsidP="00AF79AD">
      <w:pPr>
        <w:jc w:val="both"/>
        <w:rPr>
          <w:b/>
        </w:rPr>
      </w:pPr>
      <w:r w:rsidRPr="00303375">
        <w:rPr>
          <w:b/>
        </w:rPr>
        <w:t>Look at the following extracts from texts and then carry out the following:</w:t>
      </w:r>
    </w:p>
    <w:p w:rsidR="00AF79AD" w:rsidRDefault="00AF79AD" w:rsidP="00AF79AD">
      <w:pPr>
        <w:pStyle w:val="NoSpacing"/>
      </w:pPr>
      <w:r>
        <w:t>(i) Underline the evidence in each</w:t>
      </w:r>
    </w:p>
    <w:p w:rsidR="00AF79AD" w:rsidRDefault="00AF79AD" w:rsidP="00AF79AD">
      <w:pPr>
        <w:pStyle w:val="NoSpacing"/>
      </w:pPr>
      <w:r>
        <w:t>(ii) Decide which evidence is strong and which is weak and think about your reasons</w:t>
      </w:r>
    </w:p>
    <w:p w:rsidR="00AF79AD" w:rsidRDefault="00AF79AD" w:rsidP="00AF79AD">
      <w:pPr>
        <w:jc w:val="both"/>
      </w:pPr>
    </w:p>
    <w:p w:rsidR="00AF79AD" w:rsidRPr="00425483" w:rsidRDefault="00AF79AD" w:rsidP="00AF79AD">
      <w:pPr>
        <w:jc w:val="both"/>
        <w:rPr>
          <w:b/>
          <w:color w:val="FF0000"/>
          <w:u w:val="single"/>
        </w:rPr>
      </w:pPr>
      <w:r>
        <w:t xml:space="preserve">(1) Another reason that women are better than men at raising children is that they are kinder. My mother was a good example. </w:t>
      </w:r>
      <w:r w:rsidRPr="00425483">
        <w:rPr>
          <w:b/>
          <w:color w:val="FF0000"/>
          <w:u w:val="single"/>
        </w:rPr>
        <w:t>She did many kinds things not only for me but also for many other people she met, including strangers.</w:t>
      </w:r>
    </w:p>
    <w:p w:rsidR="006765F0" w:rsidRDefault="006765F0" w:rsidP="00AF79AD">
      <w:pPr>
        <w:jc w:val="both"/>
      </w:pPr>
    </w:p>
    <w:p w:rsidR="00AF79AD" w:rsidRPr="00425483" w:rsidRDefault="00AF79AD" w:rsidP="00AF79AD">
      <w:pPr>
        <w:jc w:val="both"/>
        <w:rPr>
          <w:b/>
          <w:color w:val="FF0000"/>
          <w:u w:val="single"/>
        </w:rPr>
      </w:pPr>
      <w:r>
        <w:t xml:space="preserve">(2) Living costs are also increasing in the area of housing affordability. </w:t>
      </w:r>
      <w:r w:rsidRPr="00425483">
        <w:rPr>
          <w:b/>
          <w:color w:val="FF0000"/>
          <w:u w:val="single"/>
        </w:rPr>
        <w:t>In a recent survey, 68% of people said that they found it more difficult to pay their rent or mortgage than last year.</w:t>
      </w:r>
    </w:p>
    <w:p w:rsidR="006765F0" w:rsidRDefault="006765F0" w:rsidP="00AF79AD">
      <w:pPr>
        <w:jc w:val="both"/>
      </w:pPr>
    </w:p>
    <w:p w:rsidR="00AF79AD" w:rsidRDefault="00AF79AD" w:rsidP="00AF79AD">
      <w:pPr>
        <w:jc w:val="both"/>
      </w:pPr>
      <w:r>
        <w:t xml:space="preserve">(3) The decline in the fertility rate is a further a reason that immigration will become more and more important. </w:t>
      </w:r>
      <w:r w:rsidRPr="00425483">
        <w:rPr>
          <w:b/>
          <w:color w:val="FF0000"/>
          <w:u w:val="single"/>
        </w:rPr>
        <w:t>According to Weston (2001), the fertility rate in this country from 3.5 live births in 1961 to its lowest level ever, 1.8 babies per woman, in 1999 and 2000. This trend looks set to continue into the future. Weston (Ibid.) also states that the minimum fertility rate necessary to sustain a population at a constant level is 2.1 births per female.</w:t>
      </w:r>
      <w:r w:rsidRPr="00425483">
        <w:rPr>
          <w:color w:val="FF0000"/>
        </w:rPr>
        <w:t xml:space="preserve"> </w:t>
      </w:r>
      <w:r>
        <w:t xml:space="preserve">Therefore, unless this trend reverses, immigration is necessary to sustain the population.  </w:t>
      </w:r>
    </w:p>
    <w:p w:rsidR="006765F0" w:rsidRDefault="006765F0" w:rsidP="00AF79AD">
      <w:pPr>
        <w:jc w:val="both"/>
      </w:pPr>
    </w:p>
    <w:p w:rsidR="00AF79AD" w:rsidRDefault="00AF79AD" w:rsidP="00AF79AD">
      <w:pPr>
        <w:jc w:val="both"/>
      </w:pPr>
      <w:r>
        <w:t xml:space="preserve">(4) </w:t>
      </w:r>
      <w:r w:rsidRPr="00EB2DC1">
        <w:rPr>
          <w:b/>
          <w:color w:val="FF0000"/>
          <w:u w:val="single"/>
        </w:rPr>
        <w:t>No evidence has yet been found of a direct link between this particular product and heart disease or other illnesses</w:t>
      </w:r>
      <w:r>
        <w:t>. Therefore, we would conclude that it is perfectly safe for people of all ages to take.</w:t>
      </w:r>
    </w:p>
    <w:p w:rsidR="006765F0" w:rsidRDefault="006765F0" w:rsidP="00AF79AD">
      <w:pPr>
        <w:jc w:val="both"/>
      </w:pPr>
    </w:p>
    <w:p w:rsidR="00AF79AD" w:rsidRPr="00EB2DC1" w:rsidRDefault="00AF79AD" w:rsidP="00AF79AD">
      <w:pPr>
        <w:jc w:val="both"/>
        <w:rPr>
          <w:b/>
          <w:color w:val="FF0000"/>
          <w:u w:val="single"/>
        </w:rPr>
      </w:pPr>
      <w:r>
        <w:t xml:space="preserve">(5) It appears for the moment that there is unlikely to be a connection between eating this product and the ability to concentrate. </w:t>
      </w:r>
      <w:r w:rsidRPr="00EB2DC1">
        <w:rPr>
          <w:b/>
          <w:color w:val="FF0000"/>
          <w:u w:val="single"/>
        </w:rPr>
        <w:t xml:space="preserve">Despite extensive research focused on investigating this link, such as Crumlin (1996), Detford (2000) and Gandiger-Hertzog (2002), no evidence has been found. </w:t>
      </w:r>
    </w:p>
    <w:p w:rsidR="006765F0" w:rsidRDefault="006765F0" w:rsidP="00AF79AD">
      <w:pPr>
        <w:jc w:val="both"/>
      </w:pPr>
    </w:p>
    <w:p w:rsidR="00AF79AD" w:rsidRPr="0055134D" w:rsidRDefault="00AF79AD" w:rsidP="00AF79AD">
      <w:pPr>
        <w:jc w:val="both"/>
        <w:rPr>
          <w:b/>
          <w:color w:val="FF0000"/>
          <w:u w:val="single"/>
        </w:rPr>
      </w:pPr>
      <w:r>
        <w:t xml:space="preserve">(6) People from Govindia can no longer be trusted. This conclusion stems from the fact that </w:t>
      </w:r>
      <w:r w:rsidRPr="0055134D">
        <w:rPr>
          <w:b/>
          <w:color w:val="FF0000"/>
          <w:u w:val="single"/>
        </w:rPr>
        <w:t>two tourists from that country were convicted of murder while visiting this country. Also, the Prime Minister of Govindia has declared that he will search any fishing boats from our country if the police suspect them of carrying illegal drugs, which is obviously a ridiculous accusation. Any country that does that clearly does not respect our national sovereignty.</w:t>
      </w:r>
    </w:p>
    <w:p w:rsidR="006765F0" w:rsidRDefault="006765F0" w:rsidP="00AF79AD">
      <w:pPr>
        <w:jc w:val="both"/>
      </w:pPr>
    </w:p>
    <w:p w:rsidR="00AF79AD" w:rsidRPr="006C6194" w:rsidRDefault="00AF79AD" w:rsidP="00AF79AD">
      <w:pPr>
        <w:jc w:val="both"/>
        <w:rPr>
          <w:b/>
          <w:color w:val="FF0000"/>
          <w:u w:val="single"/>
        </w:rPr>
      </w:pPr>
      <w:r>
        <w:t xml:space="preserve">(7) Despite popular myths, chocolate contains little that is bad for the skin. </w:t>
      </w:r>
      <w:r w:rsidRPr="006C6194">
        <w:rPr>
          <w:b/>
          <w:color w:val="FF0000"/>
          <w:u w:val="single"/>
        </w:rPr>
        <w:t>The confederation of Product Manufacturers report of 2002 states that “Our research demonstrates that there is no direct link between cholate consumption and teenage acne” (page 35).</w:t>
      </w:r>
    </w:p>
    <w:p w:rsidR="00AF79AD" w:rsidRDefault="00AF79AD" w:rsidP="00AF79AD">
      <w:pPr>
        <w:jc w:val="both"/>
      </w:pPr>
    </w:p>
    <w:p w:rsidR="006765F0" w:rsidRDefault="006765F0" w:rsidP="00AF79AD">
      <w:pPr>
        <w:rPr>
          <w:b/>
          <w:u w:val="single"/>
        </w:rPr>
      </w:pPr>
    </w:p>
    <w:p w:rsidR="006765F0" w:rsidRDefault="006765F0" w:rsidP="00AF79AD">
      <w:pPr>
        <w:rPr>
          <w:b/>
          <w:u w:val="single"/>
        </w:rPr>
      </w:pPr>
    </w:p>
    <w:p w:rsidR="006765F0" w:rsidRDefault="006765F0" w:rsidP="00AF79AD">
      <w:pPr>
        <w:rPr>
          <w:b/>
          <w:u w:val="single"/>
        </w:rPr>
      </w:pPr>
    </w:p>
    <w:p w:rsidR="005037B5" w:rsidRDefault="005037B5" w:rsidP="00AF79AD">
      <w:pPr>
        <w:rPr>
          <w:b/>
          <w:u w:val="single"/>
        </w:rPr>
      </w:pPr>
    </w:p>
    <w:p w:rsidR="00AF79AD" w:rsidRPr="005037B5" w:rsidRDefault="00025F6C" w:rsidP="00AF79AD">
      <w:pPr>
        <w:rPr>
          <w:b/>
          <w:color w:val="FF0000"/>
          <w:u w:val="single"/>
        </w:rPr>
      </w:pPr>
      <w:r w:rsidRPr="005037B5">
        <w:rPr>
          <w:b/>
          <w:color w:val="FF0000"/>
          <w:u w:val="single"/>
        </w:rPr>
        <w:t>ANSWERS</w:t>
      </w:r>
    </w:p>
    <w:p w:rsidR="00FC71E8" w:rsidRDefault="00FC71E8" w:rsidP="00AB6AFF">
      <w:pPr>
        <w:jc w:val="both"/>
        <w:rPr>
          <w:b/>
          <w:color w:val="FF0000"/>
          <w:u w:val="single"/>
        </w:rPr>
      </w:pPr>
    </w:p>
    <w:p w:rsidR="00025F6C" w:rsidRDefault="00AF7E0A" w:rsidP="00AB6AFF">
      <w:pPr>
        <w:jc w:val="both"/>
      </w:pPr>
      <w:r>
        <w:rPr>
          <w:b/>
          <w:color w:val="FF0000"/>
          <w:u w:val="single"/>
        </w:rPr>
        <w:t xml:space="preserve">(1) </w:t>
      </w:r>
      <w:r w:rsidR="00025F6C" w:rsidRPr="00FC71E8">
        <w:rPr>
          <w:b/>
          <w:color w:val="FF0000"/>
          <w:u w:val="single"/>
        </w:rPr>
        <w:t>Very weak</w:t>
      </w:r>
      <w:r w:rsidR="00025F6C" w:rsidRPr="00FC71E8">
        <w:rPr>
          <w:color w:val="FF0000"/>
        </w:rPr>
        <w:t xml:space="preserve"> </w:t>
      </w:r>
      <w:r w:rsidR="00025F6C">
        <w:t>– An individual case does not provide strong evidence for a general situation</w:t>
      </w:r>
    </w:p>
    <w:p w:rsidR="00AF7E0A" w:rsidRDefault="00AF7E0A" w:rsidP="00AB6AFF">
      <w:pPr>
        <w:jc w:val="both"/>
        <w:rPr>
          <w:b/>
          <w:color w:val="FF0000"/>
          <w:u w:val="single"/>
        </w:rPr>
      </w:pPr>
    </w:p>
    <w:p w:rsidR="00025F6C" w:rsidRDefault="00AF7E0A" w:rsidP="00AB6AFF">
      <w:pPr>
        <w:jc w:val="both"/>
      </w:pPr>
      <w:r>
        <w:rPr>
          <w:b/>
          <w:color w:val="FF0000"/>
          <w:u w:val="single"/>
        </w:rPr>
        <w:t xml:space="preserve">(2) </w:t>
      </w:r>
      <w:r w:rsidR="00025F6C" w:rsidRPr="00FC71E8">
        <w:rPr>
          <w:b/>
          <w:color w:val="FF0000"/>
          <w:u w:val="single"/>
        </w:rPr>
        <w:t>Weak</w:t>
      </w:r>
      <w:r w:rsidR="00025F6C">
        <w:t xml:space="preserve"> – The lack of referen</w:t>
      </w:r>
      <w:r w:rsidR="00E11690">
        <w:t>c</w:t>
      </w:r>
      <w:r w:rsidR="00025F6C">
        <w:t>e for the survey is suspicious. The survey could have been made up or organised by a biased political pressure group, etc…</w:t>
      </w:r>
    </w:p>
    <w:p w:rsidR="00AF7E0A" w:rsidRDefault="00AF7E0A" w:rsidP="00AB6AFF">
      <w:pPr>
        <w:jc w:val="both"/>
        <w:rPr>
          <w:b/>
          <w:color w:val="FF0000"/>
          <w:u w:val="single"/>
        </w:rPr>
      </w:pPr>
    </w:p>
    <w:p w:rsidR="00025F6C" w:rsidRDefault="00AF7E0A" w:rsidP="00AB6AFF">
      <w:pPr>
        <w:jc w:val="both"/>
      </w:pPr>
      <w:r>
        <w:rPr>
          <w:b/>
          <w:color w:val="FF0000"/>
          <w:u w:val="single"/>
        </w:rPr>
        <w:t xml:space="preserve">(3) </w:t>
      </w:r>
      <w:r w:rsidR="00025F6C" w:rsidRPr="00FC71E8">
        <w:rPr>
          <w:b/>
          <w:color w:val="FF0000"/>
          <w:u w:val="single"/>
        </w:rPr>
        <w:t>Stronger</w:t>
      </w:r>
      <w:r w:rsidR="00025F6C">
        <w:t xml:space="preserve"> – It is well referenced, and logical. The weak point would b “This trend looks set to continue into the future</w:t>
      </w:r>
      <w:r w:rsidR="00167F92">
        <w:t>” – where is the evidence for that?</w:t>
      </w:r>
    </w:p>
    <w:p w:rsidR="00AF7E0A" w:rsidRDefault="00AF7E0A" w:rsidP="00AB6AFF">
      <w:pPr>
        <w:jc w:val="both"/>
        <w:rPr>
          <w:b/>
          <w:color w:val="FF0000"/>
          <w:u w:val="single"/>
        </w:rPr>
      </w:pPr>
    </w:p>
    <w:p w:rsidR="00167F92" w:rsidRDefault="00AF7E0A" w:rsidP="00AB6AFF">
      <w:pPr>
        <w:jc w:val="both"/>
      </w:pPr>
      <w:r>
        <w:rPr>
          <w:b/>
          <w:color w:val="FF0000"/>
          <w:u w:val="single"/>
        </w:rPr>
        <w:t xml:space="preserve">(4) </w:t>
      </w:r>
      <w:r w:rsidR="006765F0" w:rsidRPr="00FC71E8">
        <w:rPr>
          <w:b/>
          <w:color w:val="FF0000"/>
          <w:u w:val="single"/>
        </w:rPr>
        <w:t>Weak</w:t>
      </w:r>
      <w:r w:rsidR="006765F0">
        <w:t xml:space="preserve"> – Sta</w:t>
      </w:r>
      <w:r w:rsidR="0017656B">
        <w:t>t</w:t>
      </w:r>
      <w:r w:rsidR="006765F0">
        <w:t xml:space="preserve">ing that no evidence exists is not proof. It is quite possible </w:t>
      </w:r>
      <w:r w:rsidR="00583A02">
        <w:t>that if research is done, it would support the opposite opinion. However, compare with number 5!</w:t>
      </w:r>
    </w:p>
    <w:p w:rsidR="00AF7E0A" w:rsidRDefault="00AF7E0A" w:rsidP="00AB6AFF">
      <w:pPr>
        <w:jc w:val="both"/>
        <w:rPr>
          <w:b/>
          <w:color w:val="FF0000"/>
          <w:u w:val="single"/>
        </w:rPr>
      </w:pPr>
    </w:p>
    <w:p w:rsidR="006D7C63" w:rsidRDefault="00AF7E0A" w:rsidP="00AB6AFF">
      <w:pPr>
        <w:jc w:val="both"/>
      </w:pPr>
      <w:r>
        <w:rPr>
          <w:b/>
          <w:color w:val="FF0000"/>
          <w:u w:val="single"/>
        </w:rPr>
        <w:t xml:space="preserve">(5) </w:t>
      </w:r>
      <w:r w:rsidR="00583A02" w:rsidRPr="00FC71E8">
        <w:rPr>
          <w:b/>
          <w:color w:val="FF0000"/>
          <w:u w:val="single"/>
        </w:rPr>
        <w:t>Much stronger than 4.</w:t>
      </w:r>
      <w:r w:rsidR="00583A02" w:rsidRPr="00FC71E8">
        <w:rPr>
          <w:color w:val="FF0000"/>
        </w:rPr>
        <w:t xml:space="preserve"> </w:t>
      </w:r>
      <w:r w:rsidR="00583A02">
        <w:t>It indicates that plenty of research has been done, that it was recent, and that it was focused on the issue concerned – all good signs. Also, inst</w:t>
      </w:r>
      <w:r w:rsidR="006D7C63">
        <w:t>ea</w:t>
      </w:r>
      <w:r w:rsidR="00583A02">
        <w:t xml:space="preserve">d of </w:t>
      </w:r>
      <w:r w:rsidR="006D7C63">
        <w:t xml:space="preserve">giving a definite statement (such as “is perfectly safe” in example 4), the use of the word ‘unlikely’ in the statement of opinion allows for the possibility that further research may reach a different conclusion. </w:t>
      </w:r>
    </w:p>
    <w:p w:rsidR="00AF7E0A" w:rsidRDefault="00AF7E0A" w:rsidP="00AB6AFF">
      <w:pPr>
        <w:jc w:val="both"/>
        <w:rPr>
          <w:b/>
          <w:color w:val="FF0000"/>
          <w:u w:val="single"/>
        </w:rPr>
      </w:pPr>
    </w:p>
    <w:p w:rsidR="00583A02" w:rsidRDefault="00AF7E0A" w:rsidP="00AB6AFF">
      <w:pPr>
        <w:jc w:val="both"/>
      </w:pPr>
      <w:r>
        <w:rPr>
          <w:b/>
          <w:color w:val="FF0000"/>
          <w:u w:val="single"/>
        </w:rPr>
        <w:t xml:space="preserve">(6) </w:t>
      </w:r>
      <w:r w:rsidR="00AB6AFF" w:rsidRPr="00FC71E8">
        <w:rPr>
          <w:b/>
          <w:color w:val="FF0000"/>
          <w:u w:val="single"/>
        </w:rPr>
        <w:t>Weak</w:t>
      </w:r>
      <w:r w:rsidR="00AB6AFF">
        <w:t xml:space="preserve"> – It contains two examples of over-generalisation. That is, reaching a conclusion that applies to everyone from just a small number of specific examples.  Even an elected Prime Minister does not represent the views of all people from a country.</w:t>
      </w:r>
      <w:r w:rsidR="006D7C63">
        <w:t xml:space="preserve"> </w:t>
      </w:r>
    </w:p>
    <w:p w:rsidR="00AF7E0A" w:rsidRDefault="00AF7E0A" w:rsidP="00AB6AFF">
      <w:pPr>
        <w:jc w:val="both"/>
        <w:rPr>
          <w:b/>
          <w:color w:val="FF0000"/>
          <w:u w:val="single"/>
        </w:rPr>
      </w:pPr>
    </w:p>
    <w:p w:rsidR="007B444A" w:rsidRDefault="00AF7E0A" w:rsidP="00AB6AFF">
      <w:pPr>
        <w:jc w:val="both"/>
      </w:pPr>
      <w:bookmarkStart w:id="0" w:name="_GoBack"/>
      <w:bookmarkEnd w:id="0"/>
      <w:r>
        <w:rPr>
          <w:b/>
          <w:color w:val="FF0000"/>
          <w:u w:val="single"/>
        </w:rPr>
        <w:t xml:space="preserve">(7) </w:t>
      </w:r>
      <w:r w:rsidR="007B444A" w:rsidRPr="00FC71E8">
        <w:rPr>
          <w:b/>
          <w:color w:val="FF0000"/>
          <w:u w:val="single"/>
        </w:rPr>
        <w:t>Weak</w:t>
      </w:r>
      <w:r w:rsidR="007B444A">
        <w:t xml:space="preserve"> – Who paid for the research? What kind of companies do they represent? This looks like an example of bias and vested interest. Even a though a reference is given, this source must be treated with suspicion.  </w:t>
      </w:r>
    </w:p>
    <w:p w:rsidR="007B444A" w:rsidRDefault="007B444A" w:rsidP="00AB6AFF">
      <w:pPr>
        <w:jc w:val="both"/>
      </w:pPr>
    </w:p>
    <w:p w:rsidR="007B444A" w:rsidRDefault="007B444A" w:rsidP="00AB6AFF">
      <w:pPr>
        <w:jc w:val="both"/>
      </w:pPr>
    </w:p>
    <w:p w:rsidR="00583A02" w:rsidRDefault="00583A02" w:rsidP="00AF79AD"/>
    <w:p w:rsidR="00AF79AD" w:rsidRDefault="00AF79AD" w:rsidP="00AF79AD"/>
    <w:p w:rsidR="00AF79AD" w:rsidRDefault="00AF79AD" w:rsidP="00AF79AD"/>
    <w:p w:rsidR="00207D11" w:rsidRDefault="00207D11"/>
    <w:sectPr w:rsidR="00207D11">
      <w:foot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7DE" w:rsidRPr="002027DE" w:rsidRDefault="00AF7E0A">
    <w:pPr>
      <w:pStyle w:val="Footer"/>
      <w:rPr>
        <w:sz w:val="20"/>
        <w:szCs w:val="20"/>
      </w:rPr>
    </w:pPr>
    <w:r>
      <w:rPr>
        <w:sz w:val="20"/>
        <w:szCs w:val="20"/>
      </w:rPr>
      <w:tab/>
    </w:r>
    <w:r>
      <w:rPr>
        <w:sz w:val="20"/>
        <w:szCs w:val="20"/>
      </w:rPr>
      <w:t xml:space="preserve">                                                                                            </w:t>
    </w:r>
    <w:r w:rsidRPr="002027DE">
      <w:rPr>
        <w:sz w:val="20"/>
        <w:szCs w:val="20"/>
      </w:rPr>
      <w:t>©</w:t>
    </w:r>
    <w:r w:rsidRPr="002027DE">
      <w:rPr>
        <w:sz w:val="20"/>
        <w:szCs w:val="20"/>
      </w:rPr>
      <w:t xml:space="preserve"> 2004 </w:t>
    </w:r>
    <w:r w:rsidRPr="002027DE">
      <w:rPr>
        <w:sz w:val="20"/>
        <w:szCs w:val="20"/>
      </w:rPr>
      <w:t xml:space="preserve">Kathy </w:t>
    </w:r>
    <w:r w:rsidRPr="002027DE">
      <w:rPr>
        <w:sz w:val="20"/>
        <w:szCs w:val="20"/>
      </w:rPr>
      <w:t xml:space="preserve">K. </w:t>
    </w:r>
    <w:r w:rsidRPr="002027DE">
      <w:rPr>
        <w:sz w:val="20"/>
        <w:szCs w:val="20"/>
      </w:rPr>
      <w:t>Cox and Dave Hill</w:t>
    </w:r>
    <w:r w:rsidRPr="002027DE">
      <w:rPr>
        <w:sz w:val="20"/>
        <w:szCs w:val="20"/>
      </w:rPr>
      <w:t xml:space="preserve"> - e</w:t>
    </w:r>
    <w:r w:rsidRPr="002027DE">
      <w:rPr>
        <w:sz w:val="20"/>
        <w:szCs w:val="20"/>
      </w:rPr>
      <w:t xml:space="preserve">xtract </w:t>
    </w:r>
    <w:r w:rsidRPr="002027DE">
      <w:rPr>
        <w:sz w:val="20"/>
        <w:szCs w:val="20"/>
      </w:rPr>
      <w:t>from EAP NOW!</w:t>
    </w:r>
  </w:p>
  <w:p w:rsidR="002027DE" w:rsidRPr="002027DE" w:rsidRDefault="00AF7E0A">
    <w:pPr>
      <w:pStyle w:val="Footer"/>
      <w:rPr>
        <w:sz w:val="20"/>
        <w:szCs w:val="2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9AD"/>
    <w:rsid w:val="000039E9"/>
    <w:rsid w:val="00013913"/>
    <w:rsid w:val="00016042"/>
    <w:rsid w:val="0002141B"/>
    <w:rsid w:val="00021DD3"/>
    <w:rsid w:val="00021FF2"/>
    <w:rsid w:val="00023A3D"/>
    <w:rsid w:val="00025F6C"/>
    <w:rsid w:val="00027C1C"/>
    <w:rsid w:val="00027C7C"/>
    <w:rsid w:val="000300D3"/>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67F92"/>
    <w:rsid w:val="001727E0"/>
    <w:rsid w:val="00173C51"/>
    <w:rsid w:val="0017656B"/>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5E5"/>
    <w:rsid w:val="00406FE0"/>
    <w:rsid w:val="00410590"/>
    <w:rsid w:val="0041416C"/>
    <w:rsid w:val="00415424"/>
    <w:rsid w:val="00421073"/>
    <w:rsid w:val="00425483"/>
    <w:rsid w:val="00426F8C"/>
    <w:rsid w:val="00430947"/>
    <w:rsid w:val="00430E7C"/>
    <w:rsid w:val="004350D0"/>
    <w:rsid w:val="0043717B"/>
    <w:rsid w:val="00441DE7"/>
    <w:rsid w:val="0044277A"/>
    <w:rsid w:val="004464DF"/>
    <w:rsid w:val="00447C76"/>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7B5"/>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134D"/>
    <w:rsid w:val="00552F35"/>
    <w:rsid w:val="005549EC"/>
    <w:rsid w:val="005604F4"/>
    <w:rsid w:val="005611BF"/>
    <w:rsid w:val="00562156"/>
    <w:rsid w:val="005664E9"/>
    <w:rsid w:val="0057099D"/>
    <w:rsid w:val="00570A4C"/>
    <w:rsid w:val="00570BFC"/>
    <w:rsid w:val="005717E0"/>
    <w:rsid w:val="00575430"/>
    <w:rsid w:val="00577C10"/>
    <w:rsid w:val="005811B8"/>
    <w:rsid w:val="00581565"/>
    <w:rsid w:val="005818F2"/>
    <w:rsid w:val="00583A02"/>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765F0"/>
    <w:rsid w:val="00686F56"/>
    <w:rsid w:val="00687AA3"/>
    <w:rsid w:val="00691D64"/>
    <w:rsid w:val="006927DE"/>
    <w:rsid w:val="006A06C0"/>
    <w:rsid w:val="006A0ABD"/>
    <w:rsid w:val="006B0441"/>
    <w:rsid w:val="006B06D7"/>
    <w:rsid w:val="006B28D1"/>
    <w:rsid w:val="006B4640"/>
    <w:rsid w:val="006B66F6"/>
    <w:rsid w:val="006C1DA2"/>
    <w:rsid w:val="006C5A9E"/>
    <w:rsid w:val="006C6194"/>
    <w:rsid w:val="006C778C"/>
    <w:rsid w:val="006D11DA"/>
    <w:rsid w:val="006D3B51"/>
    <w:rsid w:val="006D7327"/>
    <w:rsid w:val="006D7C63"/>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721E"/>
    <w:rsid w:val="00797748"/>
    <w:rsid w:val="007A475B"/>
    <w:rsid w:val="007A4CAE"/>
    <w:rsid w:val="007A5143"/>
    <w:rsid w:val="007A56BE"/>
    <w:rsid w:val="007A7FA4"/>
    <w:rsid w:val="007B0F50"/>
    <w:rsid w:val="007B29C9"/>
    <w:rsid w:val="007B444A"/>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E0434"/>
    <w:rsid w:val="009E2A95"/>
    <w:rsid w:val="009F4452"/>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6AFF"/>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AF79AD"/>
    <w:rsid w:val="00AF7E0A"/>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3F28"/>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1690"/>
    <w:rsid w:val="00E1439B"/>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2DC1"/>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C71E8"/>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2D211-B354-4E47-A086-DAD8DCB28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9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79AD"/>
    <w:pPr>
      <w:spacing w:after="0" w:line="240" w:lineRule="auto"/>
    </w:pPr>
  </w:style>
  <w:style w:type="paragraph" w:styleId="Footer">
    <w:name w:val="footer"/>
    <w:basedOn w:val="Normal"/>
    <w:link w:val="FooterChar"/>
    <w:uiPriority w:val="99"/>
    <w:unhideWhenUsed/>
    <w:rsid w:val="00AF7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17</cp:revision>
  <dcterms:created xsi:type="dcterms:W3CDTF">2020-05-02T07:55:00Z</dcterms:created>
  <dcterms:modified xsi:type="dcterms:W3CDTF">2020-05-02T08:25:00Z</dcterms:modified>
</cp:coreProperties>
</file>