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EFB598" w14:textId="77777777" w:rsidR="00C655F5" w:rsidRPr="00982F6A" w:rsidRDefault="00025827">
      <w:pPr>
        <w:rPr>
          <w:rFonts w:ascii="Arial" w:hAnsi="Arial" w:cs="Arial"/>
          <w:b/>
          <w:bCs/>
          <w:lang w:val="en-GB"/>
        </w:rPr>
      </w:pPr>
      <w:r w:rsidRPr="00982F6A">
        <w:rPr>
          <w:rFonts w:ascii="Arial" w:hAnsi="Arial" w:cs="Arial"/>
          <w:noProof/>
          <w:lang w:val="en-GB"/>
        </w:rPr>
        <w:drawing>
          <wp:anchor distT="0" distB="0" distL="114300" distR="114300" simplePos="0" relativeHeight="251658240" behindDoc="0" locked="0" layoutInCell="1" hidden="0" allowOverlap="1" wp14:anchorId="58283D8D" wp14:editId="1ACE3DC4">
            <wp:simplePos x="0" y="0"/>
            <wp:positionH relativeFrom="column">
              <wp:posOffset>1244600</wp:posOffset>
            </wp:positionH>
            <wp:positionV relativeFrom="paragraph">
              <wp:posOffset>0</wp:posOffset>
            </wp:positionV>
            <wp:extent cx="3454400" cy="1145540"/>
            <wp:effectExtent l="0" t="0" r="0" b="0"/>
            <wp:wrapTopAndBottom distT="0" dist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454400" cy="1145540"/>
                    </a:xfrm>
                    <a:prstGeom prst="rect">
                      <a:avLst/>
                    </a:prstGeom>
                    <a:ln/>
                  </pic:spPr>
                </pic:pic>
              </a:graphicData>
            </a:graphic>
          </wp:anchor>
        </w:drawing>
      </w:r>
    </w:p>
    <w:p w14:paraId="4D16942F" w14:textId="77777777" w:rsidR="00C655F5" w:rsidRPr="00982F6A" w:rsidRDefault="00025827">
      <w:pPr>
        <w:jc w:val="center"/>
        <w:rPr>
          <w:rFonts w:ascii="Arial" w:eastAsia="Arial" w:hAnsi="Arial" w:cs="Arial"/>
          <w:b/>
          <w:bCs/>
          <w:sz w:val="32"/>
          <w:szCs w:val="32"/>
          <w:lang w:val="en-GB"/>
        </w:rPr>
      </w:pPr>
      <w:r w:rsidRPr="00982F6A">
        <w:rPr>
          <w:rFonts w:ascii="Arial" w:eastAsia="Arial" w:hAnsi="Arial" w:cs="Arial"/>
          <w:b/>
          <w:bCs/>
          <w:sz w:val="32"/>
          <w:szCs w:val="32"/>
          <w:lang w:val="en-GB"/>
        </w:rPr>
        <w:t>Master of Business Administration</w:t>
      </w:r>
    </w:p>
    <w:p w14:paraId="763FB499" w14:textId="77777777" w:rsidR="00C655F5" w:rsidRPr="00982F6A" w:rsidRDefault="00025827">
      <w:pPr>
        <w:jc w:val="center"/>
        <w:rPr>
          <w:rFonts w:ascii="Arial" w:eastAsia="Arial" w:hAnsi="Arial" w:cs="Arial"/>
          <w:b/>
          <w:bCs/>
          <w:sz w:val="28"/>
          <w:szCs w:val="28"/>
          <w:lang w:val="en-GB"/>
        </w:rPr>
      </w:pPr>
      <w:r w:rsidRPr="00982F6A">
        <w:rPr>
          <w:rFonts w:ascii="Arial" w:eastAsia="Arial" w:hAnsi="Arial" w:cs="Arial"/>
          <w:b/>
          <w:bCs/>
          <w:sz w:val="28"/>
          <w:szCs w:val="28"/>
          <w:lang w:val="en-GB"/>
        </w:rPr>
        <w:t>Student Name: Supria Alam</w:t>
      </w:r>
    </w:p>
    <w:p w14:paraId="05005682" w14:textId="77777777" w:rsidR="00C655F5" w:rsidRPr="00982F6A" w:rsidRDefault="00025827">
      <w:pPr>
        <w:jc w:val="center"/>
        <w:rPr>
          <w:rFonts w:ascii="Arial" w:eastAsia="Arial" w:hAnsi="Arial" w:cs="Arial"/>
          <w:b/>
          <w:bCs/>
          <w:sz w:val="28"/>
          <w:szCs w:val="28"/>
          <w:lang w:val="en-GB"/>
        </w:rPr>
      </w:pPr>
      <w:r w:rsidRPr="00982F6A">
        <w:rPr>
          <w:rFonts w:ascii="Arial" w:eastAsia="Arial" w:hAnsi="Arial" w:cs="Arial"/>
          <w:b/>
          <w:bCs/>
          <w:sz w:val="28"/>
          <w:szCs w:val="28"/>
          <w:lang w:val="en-GB"/>
        </w:rPr>
        <w:t>Student Number:</w:t>
      </w:r>
      <w:r w:rsidRPr="00982F6A">
        <w:rPr>
          <w:rFonts w:ascii="Arial" w:eastAsia="Arial" w:hAnsi="Arial" w:cs="Arial"/>
          <w:sz w:val="28"/>
          <w:szCs w:val="28"/>
          <w:lang w:val="en-GB"/>
        </w:rPr>
        <w:t xml:space="preserve"> </w:t>
      </w:r>
      <w:r w:rsidRPr="00982F6A">
        <w:rPr>
          <w:rFonts w:ascii="Arial" w:eastAsia="Arial" w:hAnsi="Arial" w:cs="Arial"/>
          <w:b/>
          <w:bCs/>
          <w:sz w:val="28"/>
          <w:szCs w:val="28"/>
          <w:lang w:val="en-GB"/>
        </w:rPr>
        <w:t>2435898</w:t>
      </w:r>
    </w:p>
    <w:p w14:paraId="790375B1" w14:textId="77777777" w:rsidR="00C655F5" w:rsidRPr="00982F6A" w:rsidRDefault="00025827">
      <w:pPr>
        <w:jc w:val="center"/>
        <w:rPr>
          <w:rFonts w:ascii="Arial" w:eastAsia="Arial" w:hAnsi="Arial" w:cs="Arial"/>
          <w:b/>
          <w:bCs/>
          <w:sz w:val="28"/>
          <w:szCs w:val="28"/>
          <w:lang w:val="en-GB"/>
        </w:rPr>
      </w:pPr>
      <w:r w:rsidRPr="00982F6A">
        <w:rPr>
          <w:rFonts w:ascii="Arial" w:eastAsia="Arial" w:hAnsi="Arial" w:cs="Arial"/>
          <w:b/>
          <w:bCs/>
          <w:sz w:val="28"/>
          <w:szCs w:val="28"/>
          <w:lang w:val="en-GB"/>
        </w:rPr>
        <w:t>Module Code: LCMB7035</w:t>
      </w:r>
    </w:p>
    <w:p w14:paraId="4AAAB6AD" w14:textId="77777777" w:rsidR="000B52EB" w:rsidRDefault="00025827">
      <w:pPr>
        <w:jc w:val="center"/>
        <w:rPr>
          <w:rFonts w:ascii="Arial" w:eastAsia="Arial" w:hAnsi="Arial" w:cs="Arial"/>
          <w:b/>
          <w:bCs/>
          <w:sz w:val="28"/>
          <w:szCs w:val="28"/>
          <w:lang w:val="en-GB"/>
        </w:rPr>
      </w:pPr>
      <w:r w:rsidRPr="00982F6A">
        <w:rPr>
          <w:rFonts w:ascii="Arial" w:eastAsia="Arial" w:hAnsi="Arial" w:cs="Arial"/>
          <w:b/>
          <w:bCs/>
          <w:sz w:val="28"/>
          <w:szCs w:val="28"/>
          <w:lang w:val="en-GB"/>
        </w:rPr>
        <w:t>Module Name: Dissertation</w:t>
      </w:r>
    </w:p>
    <w:p w14:paraId="14C6F78C" w14:textId="021715C4" w:rsidR="00C655F5" w:rsidRPr="00982F6A" w:rsidRDefault="00025827">
      <w:pPr>
        <w:jc w:val="center"/>
        <w:rPr>
          <w:rFonts w:ascii="Arial" w:eastAsia="Arial" w:hAnsi="Arial" w:cs="Arial"/>
          <w:b/>
          <w:bCs/>
          <w:sz w:val="28"/>
          <w:szCs w:val="28"/>
          <w:lang w:val="en-GB"/>
        </w:rPr>
      </w:pPr>
      <w:r w:rsidRPr="00982F6A">
        <w:rPr>
          <w:rFonts w:ascii="Arial" w:eastAsia="Arial" w:hAnsi="Arial" w:cs="Arial"/>
          <w:b/>
          <w:bCs/>
          <w:sz w:val="28"/>
          <w:szCs w:val="28"/>
          <w:lang w:val="en-GB"/>
        </w:rPr>
        <w:t xml:space="preserve"> </w:t>
      </w:r>
    </w:p>
    <w:p w14:paraId="30136D3C" w14:textId="77777777" w:rsidR="00C655F5" w:rsidRDefault="00025827">
      <w:pPr>
        <w:jc w:val="center"/>
        <w:rPr>
          <w:rFonts w:ascii="Arial" w:eastAsia="Arial" w:hAnsi="Arial" w:cs="Arial"/>
          <w:b/>
          <w:bCs/>
          <w:sz w:val="28"/>
          <w:szCs w:val="28"/>
          <w:lang w:val="en-GB"/>
        </w:rPr>
      </w:pPr>
      <w:r w:rsidRPr="00982F6A">
        <w:rPr>
          <w:rFonts w:ascii="Arial" w:eastAsia="Arial" w:hAnsi="Arial" w:cs="Arial"/>
          <w:b/>
          <w:bCs/>
          <w:sz w:val="28"/>
          <w:szCs w:val="28"/>
          <w:lang w:val="en-GB"/>
        </w:rPr>
        <w:t xml:space="preserve">Supervisor Name: Taonga Kaonga </w:t>
      </w:r>
      <w:proofErr w:type="spellStart"/>
      <w:r w:rsidRPr="00982F6A">
        <w:rPr>
          <w:rFonts w:ascii="Arial" w:eastAsia="Arial" w:hAnsi="Arial" w:cs="Arial"/>
          <w:b/>
          <w:bCs/>
          <w:sz w:val="28"/>
          <w:szCs w:val="28"/>
          <w:lang w:val="en-GB"/>
        </w:rPr>
        <w:t>Sobere-Snithers</w:t>
      </w:r>
      <w:proofErr w:type="spellEnd"/>
    </w:p>
    <w:p w14:paraId="2C55B91F" w14:textId="77777777" w:rsidR="000B52EB" w:rsidRPr="00982F6A" w:rsidRDefault="000B52EB">
      <w:pPr>
        <w:jc w:val="center"/>
        <w:rPr>
          <w:rFonts w:ascii="Arial" w:eastAsia="Arial" w:hAnsi="Arial" w:cs="Arial"/>
          <w:b/>
          <w:bCs/>
          <w:sz w:val="28"/>
          <w:szCs w:val="28"/>
          <w:lang w:val="en-GB"/>
        </w:rPr>
      </w:pPr>
    </w:p>
    <w:p w14:paraId="74525330" w14:textId="77777777" w:rsidR="00C655F5" w:rsidRDefault="00025827">
      <w:pPr>
        <w:jc w:val="center"/>
        <w:rPr>
          <w:rFonts w:ascii="Arial" w:eastAsia="Arial" w:hAnsi="Arial" w:cs="Arial"/>
          <w:b/>
          <w:bCs/>
          <w:sz w:val="28"/>
          <w:szCs w:val="28"/>
          <w:lang w:val="en-GB"/>
        </w:rPr>
      </w:pPr>
      <w:r w:rsidRPr="00982F6A">
        <w:rPr>
          <w:rFonts w:ascii="Arial" w:eastAsia="Arial" w:hAnsi="Arial" w:cs="Arial"/>
          <w:b/>
          <w:bCs/>
          <w:sz w:val="28"/>
          <w:szCs w:val="28"/>
          <w:lang w:val="en-GB"/>
        </w:rPr>
        <w:t>Title: Strategic Human Capital Management as a tool to Manage Organisational Risk and Enhancing Performance in UK Organisations.</w:t>
      </w:r>
    </w:p>
    <w:p w14:paraId="284EA4F3" w14:textId="77777777" w:rsidR="000B52EB" w:rsidRPr="00982F6A" w:rsidRDefault="000B52EB">
      <w:pPr>
        <w:jc w:val="center"/>
        <w:rPr>
          <w:rFonts w:ascii="Arial" w:eastAsia="Arial" w:hAnsi="Arial" w:cs="Arial"/>
          <w:b/>
          <w:bCs/>
          <w:sz w:val="28"/>
          <w:szCs w:val="28"/>
          <w:lang w:val="en-GB"/>
        </w:rPr>
      </w:pPr>
    </w:p>
    <w:p w14:paraId="154E41B7" w14:textId="13DDEF31" w:rsidR="00C655F5" w:rsidRPr="00982F6A" w:rsidRDefault="00025827">
      <w:pPr>
        <w:jc w:val="center"/>
        <w:rPr>
          <w:rFonts w:ascii="Arial" w:eastAsia="Arial" w:hAnsi="Arial" w:cs="Arial"/>
          <w:b/>
          <w:bCs/>
          <w:i/>
          <w:iCs/>
          <w:sz w:val="28"/>
          <w:szCs w:val="28"/>
          <w:lang w:val="en-GB"/>
        </w:rPr>
      </w:pPr>
      <w:r w:rsidRPr="00982F6A">
        <w:rPr>
          <w:rFonts w:ascii="Arial" w:eastAsia="Arial" w:hAnsi="Arial" w:cs="Arial"/>
          <w:b/>
          <w:bCs/>
          <w:sz w:val="28"/>
          <w:szCs w:val="28"/>
          <w:lang w:val="en-GB"/>
        </w:rPr>
        <w:t xml:space="preserve">Word Count: </w:t>
      </w:r>
      <w:r w:rsidR="000B52EB">
        <w:rPr>
          <w:rFonts w:ascii="Arial" w:eastAsia="Arial" w:hAnsi="Arial" w:cs="Arial"/>
          <w:b/>
          <w:bCs/>
          <w:sz w:val="28"/>
          <w:szCs w:val="28"/>
          <w:lang w:val="en-GB"/>
        </w:rPr>
        <w:t>15782</w:t>
      </w:r>
    </w:p>
    <w:p w14:paraId="763BC4E5" w14:textId="6993C0C8" w:rsidR="00C655F5" w:rsidRPr="00982F6A" w:rsidRDefault="00025827">
      <w:pPr>
        <w:jc w:val="center"/>
        <w:rPr>
          <w:rFonts w:ascii="Arial" w:eastAsia="Arial" w:hAnsi="Arial" w:cs="Arial"/>
          <w:b/>
          <w:bCs/>
          <w:sz w:val="28"/>
          <w:szCs w:val="28"/>
          <w:lang w:val="en-GB"/>
        </w:rPr>
      </w:pPr>
      <w:r w:rsidRPr="00982F6A">
        <w:rPr>
          <w:rFonts w:ascii="Arial" w:eastAsia="Arial" w:hAnsi="Arial" w:cs="Arial"/>
          <w:b/>
          <w:bCs/>
          <w:sz w:val="28"/>
          <w:szCs w:val="28"/>
          <w:lang w:val="en-GB"/>
        </w:rPr>
        <w:t xml:space="preserve">Submission Deadline: </w:t>
      </w:r>
      <w:r w:rsidR="00EA37CC" w:rsidRPr="00EA37CC">
        <w:rPr>
          <w:rFonts w:ascii="Arial" w:eastAsia="Arial" w:hAnsi="Arial" w:cs="Arial"/>
          <w:b/>
          <w:bCs/>
          <w:sz w:val="28"/>
          <w:szCs w:val="28"/>
          <w:lang w:val="en-GB"/>
        </w:rPr>
        <w:t>06/05/2026</w:t>
      </w:r>
    </w:p>
    <w:p w14:paraId="6DFD86F7" w14:textId="77777777" w:rsidR="00C655F5" w:rsidRPr="00982F6A" w:rsidRDefault="00C655F5">
      <w:pPr>
        <w:rPr>
          <w:rFonts w:ascii="Arial" w:hAnsi="Arial" w:cs="Arial"/>
          <w:lang w:val="en-GB"/>
        </w:rPr>
      </w:pPr>
    </w:p>
    <w:p w14:paraId="322FA2A6" w14:textId="77777777" w:rsidR="00C655F5" w:rsidRPr="00982F6A" w:rsidRDefault="00C655F5">
      <w:pPr>
        <w:rPr>
          <w:rFonts w:ascii="Arial" w:hAnsi="Arial" w:cs="Arial"/>
          <w:lang w:val="en-GB"/>
        </w:rPr>
      </w:pPr>
    </w:p>
    <w:p w14:paraId="687F89F4" w14:textId="77777777" w:rsidR="00C655F5" w:rsidRPr="00982F6A" w:rsidRDefault="00C655F5">
      <w:pPr>
        <w:rPr>
          <w:rFonts w:ascii="Arial" w:hAnsi="Arial" w:cs="Arial"/>
          <w:lang w:val="en-GB"/>
        </w:rPr>
      </w:pPr>
    </w:p>
    <w:p w14:paraId="7FDC32B3" w14:textId="77777777" w:rsidR="00C655F5" w:rsidRPr="00982F6A" w:rsidRDefault="00C655F5">
      <w:pPr>
        <w:rPr>
          <w:rFonts w:ascii="Arial" w:hAnsi="Arial" w:cs="Arial"/>
          <w:lang w:val="en-GB"/>
        </w:rPr>
      </w:pPr>
    </w:p>
    <w:p w14:paraId="3D91EDCB" w14:textId="77777777" w:rsidR="00C655F5" w:rsidRPr="00982F6A" w:rsidRDefault="00C655F5">
      <w:pPr>
        <w:rPr>
          <w:rFonts w:ascii="Arial" w:hAnsi="Arial" w:cs="Arial"/>
          <w:lang w:val="en-GB"/>
        </w:rPr>
      </w:pPr>
    </w:p>
    <w:p w14:paraId="225C6CD3" w14:textId="77777777" w:rsidR="00C655F5" w:rsidRPr="00982F6A" w:rsidRDefault="00C655F5">
      <w:pPr>
        <w:rPr>
          <w:rFonts w:ascii="Arial" w:hAnsi="Arial" w:cs="Arial"/>
          <w:lang w:val="en-GB"/>
        </w:rPr>
      </w:pPr>
    </w:p>
    <w:p w14:paraId="4EC79997" w14:textId="77777777" w:rsidR="00C655F5" w:rsidRPr="00982F6A" w:rsidRDefault="00C655F5">
      <w:pPr>
        <w:rPr>
          <w:rFonts w:ascii="Arial" w:hAnsi="Arial" w:cs="Arial"/>
          <w:lang w:val="en-GB"/>
        </w:rPr>
      </w:pPr>
    </w:p>
    <w:p w14:paraId="5A5C25DF" w14:textId="77777777" w:rsidR="00C655F5" w:rsidRPr="00982F6A" w:rsidRDefault="00C655F5">
      <w:pPr>
        <w:rPr>
          <w:rFonts w:ascii="Arial" w:hAnsi="Arial" w:cs="Arial"/>
          <w:lang w:val="en-GB"/>
        </w:rPr>
      </w:pPr>
    </w:p>
    <w:p w14:paraId="1906C23E" w14:textId="77777777" w:rsidR="001D19AC" w:rsidRPr="00982F6A" w:rsidRDefault="001D19AC" w:rsidP="001D19AC">
      <w:pPr>
        <w:pBdr>
          <w:top w:val="single" w:sz="4" w:space="1" w:color="auto"/>
          <w:left w:val="single" w:sz="4" w:space="4" w:color="auto"/>
          <w:bottom w:val="single" w:sz="4" w:space="31" w:color="auto"/>
          <w:right w:val="single" w:sz="4" w:space="4" w:color="auto"/>
        </w:pBdr>
        <w:spacing w:after="120" w:line="259" w:lineRule="auto"/>
        <w:jc w:val="center"/>
        <w:rPr>
          <w:rFonts w:ascii="Arial" w:eastAsia="Calibri" w:hAnsi="Arial" w:cs="Arial"/>
          <w:sz w:val="22"/>
          <w:szCs w:val="22"/>
          <w:lang w:val="en-GB" w:eastAsia="en-US"/>
        </w:rPr>
      </w:pPr>
      <w:r w:rsidRPr="00982F6A">
        <w:rPr>
          <w:rFonts w:ascii="Arial" w:eastAsia="Calibri" w:hAnsi="Arial" w:cs="Arial"/>
          <w:noProof/>
          <w:sz w:val="22"/>
          <w:szCs w:val="22"/>
          <w:lang w:val="en-GB"/>
        </w:rPr>
        <w:lastRenderedPageBreak/>
        <w:drawing>
          <wp:inline distT="0" distB="0" distL="0" distR="0" wp14:anchorId="75243F1F" wp14:editId="0A968DF0">
            <wp:extent cx="2844800" cy="116840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14:paraId="3356911A" w14:textId="77777777" w:rsidR="001D19AC" w:rsidRPr="00982F6A" w:rsidRDefault="001D19AC" w:rsidP="001D19AC">
      <w:pPr>
        <w:pBdr>
          <w:top w:val="single" w:sz="4" w:space="1" w:color="auto"/>
          <w:left w:val="single" w:sz="4" w:space="4" w:color="auto"/>
          <w:bottom w:val="single" w:sz="4" w:space="31" w:color="auto"/>
          <w:right w:val="single" w:sz="4" w:space="4" w:color="auto"/>
        </w:pBdr>
        <w:spacing w:after="120" w:line="259" w:lineRule="auto"/>
        <w:jc w:val="center"/>
        <w:rPr>
          <w:rFonts w:ascii="Arial" w:eastAsia="Calibri" w:hAnsi="Arial" w:cs="Arial"/>
          <w:b/>
          <w:sz w:val="28"/>
          <w:szCs w:val="28"/>
          <w:lang w:val="en-GB" w:eastAsia="en-US"/>
        </w:rPr>
      </w:pPr>
    </w:p>
    <w:p w14:paraId="1B095E5A" w14:textId="77777777" w:rsidR="001D19AC" w:rsidRPr="00982F6A" w:rsidRDefault="001D19AC" w:rsidP="001D19AC">
      <w:pPr>
        <w:pBdr>
          <w:top w:val="single" w:sz="4" w:space="1" w:color="auto"/>
          <w:left w:val="single" w:sz="4" w:space="4" w:color="auto"/>
          <w:bottom w:val="single" w:sz="4" w:space="31" w:color="auto"/>
          <w:right w:val="single" w:sz="4" w:space="4" w:color="auto"/>
        </w:pBdr>
        <w:spacing w:after="120" w:line="259" w:lineRule="auto"/>
        <w:jc w:val="center"/>
        <w:rPr>
          <w:rFonts w:ascii="Arial" w:eastAsia="Calibri" w:hAnsi="Arial" w:cs="Arial"/>
          <w:sz w:val="28"/>
          <w:szCs w:val="28"/>
          <w:lang w:val="en-GB" w:eastAsia="en-US"/>
        </w:rPr>
      </w:pPr>
      <w:r w:rsidRPr="00982F6A">
        <w:rPr>
          <w:rFonts w:ascii="Arial" w:eastAsia="Calibri" w:hAnsi="Arial" w:cs="Arial"/>
          <w:b/>
          <w:sz w:val="28"/>
          <w:szCs w:val="28"/>
          <w:lang w:val="en-GB" w:eastAsia="en-US"/>
        </w:rPr>
        <w:t>Master’s Degrees by Examination and Dissertation</w:t>
      </w:r>
    </w:p>
    <w:p w14:paraId="5175563F" w14:textId="77777777" w:rsidR="001D19AC" w:rsidRPr="00982F6A" w:rsidRDefault="001D19AC" w:rsidP="001D19AC">
      <w:pPr>
        <w:pBdr>
          <w:top w:val="single" w:sz="4" w:space="1" w:color="auto"/>
          <w:left w:val="single" w:sz="4" w:space="4" w:color="auto"/>
          <w:bottom w:val="single" w:sz="4" w:space="31" w:color="auto"/>
          <w:right w:val="single" w:sz="4" w:space="4" w:color="auto"/>
        </w:pBdr>
        <w:spacing w:after="120" w:line="259" w:lineRule="auto"/>
        <w:jc w:val="center"/>
        <w:rPr>
          <w:rFonts w:ascii="Arial" w:eastAsia="Calibri" w:hAnsi="Arial" w:cs="Arial"/>
          <w:sz w:val="28"/>
          <w:szCs w:val="28"/>
          <w:lang w:val="en-GB" w:eastAsia="en-US"/>
        </w:rPr>
      </w:pPr>
      <w:r w:rsidRPr="00982F6A">
        <w:rPr>
          <w:rFonts w:ascii="Arial" w:eastAsia="Calibri" w:hAnsi="Arial" w:cs="Arial"/>
          <w:b/>
          <w:sz w:val="28"/>
          <w:szCs w:val="28"/>
          <w:lang w:val="en-GB" w:eastAsia="en-US"/>
        </w:rPr>
        <w:t>Declaration Form</w:t>
      </w:r>
    </w:p>
    <w:p w14:paraId="1D7A8788" w14:textId="77777777" w:rsidR="001D19AC" w:rsidRPr="00982F6A" w:rsidRDefault="001D19AC" w:rsidP="001D19AC">
      <w:pPr>
        <w:pBdr>
          <w:top w:val="single" w:sz="4" w:space="1" w:color="auto"/>
          <w:left w:val="single" w:sz="4" w:space="4" w:color="auto"/>
          <w:bottom w:val="single" w:sz="4" w:space="31" w:color="auto"/>
          <w:right w:val="single" w:sz="4" w:space="4" w:color="auto"/>
        </w:pBdr>
        <w:spacing w:after="120" w:line="480" w:lineRule="auto"/>
        <w:rPr>
          <w:rFonts w:ascii="Arial" w:eastAsia="Calibri" w:hAnsi="Arial" w:cs="Arial"/>
          <w:sz w:val="22"/>
          <w:szCs w:val="22"/>
          <w:lang w:val="en-GB" w:eastAsia="en-US"/>
        </w:rPr>
      </w:pPr>
    </w:p>
    <w:p w14:paraId="00AE1B51" w14:textId="77777777" w:rsidR="001D19AC" w:rsidRPr="00982F6A" w:rsidRDefault="001D19AC" w:rsidP="001D19AC">
      <w:pPr>
        <w:pBdr>
          <w:top w:val="single" w:sz="4" w:space="1" w:color="auto"/>
          <w:left w:val="single" w:sz="4" w:space="4" w:color="auto"/>
          <w:bottom w:val="single" w:sz="4" w:space="31" w:color="auto"/>
          <w:right w:val="single" w:sz="4" w:space="4" w:color="auto"/>
        </w:pBdr>
        <w:spacing w:after="120" w:line="480" w:lineRule="auto"/>
        <w:rPr>
          <w:rFonts w:ascii="Arial" w:eastAsia="Calibri" w:hAnsi="Arial" w:cs="Arial"/>
          <w:lang w:val="en-GB" w:eastAsia="en-US"/>
        </w:rPr>
      </w:pPr>
      <w:r w:rsidRPr="00982F6A">
        <w:rPr>
          <w:rFonts w:ascii="Arial" w:eastAsia="Calibri" w:hAnsi="Arial" w:cs="Arial"/>
          <w:lang w:val="en-GB" w:eastAsia="en-US"/>
        </w:rPr>
        <w:t xml:space="preserve">I, </w:t>
      </w:r>
      <w:r w:rsidR="00FE596D" w:rsidRPr="00982F6A">
        <w:rPr>
          <w:rFonts w:ascii="Arial" w:eastAsia="Arial" w:hAnsi="Arial" w:cs="Arial"/>
          <w:bCs/>
          <w:szCs w:val="28"/>
          <w:lang w:val="en-GB"/>
        </w:rPr>
        <w:t>Supria Alam</w:t>
      </w:r>
      <w:r w:rsidRPr="00982F6A">
        <w:rPr>
          <w:rFonts w:ascii="Arial" w:eastAsia="Calibri" w:hAnsi="Arial" w:cs="Arial"/>
          <w:lang w:val="en-GB" w:eastAsia="en-US"/>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325A9AAA" w14:textId="77777777" w:rsidR="001D19AC" w:rsidRPr="00982F6A" w:rsidRDefault="001D19AC" w:rsidP="001D19AC">
      <w:pPr>
        <w:pBdr>
          <w:top w:val="single" w:sz="4" w:space="1" w:color="auto"/>
          <w:left w:val="single" w:sz="4" w:space="4" w:color="auto"/>
          <w:bottom w:val="single" w:sz="4" w:space="31" w:color="auto"/>
          <w:right w:val="single" w:sz="4" w:space="4" w:color="auto"/>
        </w:pBdr>
        <w:spacing w:after="120" w:line="480" w:lineRule="auto"/>
        <w:rPr>
          <w:rFonts w:ascii="Arial" w:eastAsia="Calibri" w:hAnsi="Arial" w:cs="Arial"/>
          <w:lang w:val="en-GB" w:eastAsia="en-US"/>
        </w:rPr>
      </w:pPr>
      <w:r w:rsidRPr="00982F6A">
        <w:rPr>
          <w:rFonts w:ascii="Arial" w:eastAsia="Calibri" w:hAnsi="Arial" w:cs="Arial"/>
          <w:lang w:val="en-GB" w:eastAsia="en-US"/>
        </w:rPr>
        <w:t xml:space="preserve"> </w:t>
      </w:r>
    </w:p>
    <w:p w14:paraId="58EC33FD" w14:textId="77777777" w:rsidR="001D19AC" w:rsidRPr="00982F6A" w:rsidRDefault="001D19AC" w:rsidP="001D19AC">
      <w:pPr>
        <w:pBdr>
          <w:top w:val="single" w:sz="4" w:space="1" w:color="auto"/>
          <w:left w:val="single" w:sz="4" w:space="4" w:color="auto"/>
          <w:bottom w:val="single" w:sz="4" w:space="31" w:color="auto"/>
          <w:right w:val="single" w:sz="4" w:space="4" w:color="auto"/>
        </w:pBdr>
        <w:spacing w:after="120" w:line="480" w:lineRule="auto"/>
        <w:rPr>
          <w:rFonts w:ascii="Arial" w:eastAsia="Calibri" w:hAnsi="Arial" w:cs="Arial"/>
          <w:lang w:val="en-GB" w:eastAsia="en-US"/>
        </w:rPr>
      </w:pPr>
      <w:r w:rsidRPr="00982F6A">
        <w:rPr>
          <w:rFonts w:ascii="Arial" w:eastAsia="Calibri" w:hAnsi="Arial" w:cs="Arial"/>
          <w:lang w:val="en-GB" w:eastAsia="en-US"/>
        </w:rPr>
        <w:t xml:space="preserve">Signature: </w:t>
      </w:r>
      <w:r w:rsidR="00FE596D" w:rsidRPr="00982F6A">
        <w:rPr>
          <w:rFonts w:ascii="Arial" w:eastAsia="Arial" w:hAnsi="Arial" w:cs="Arial"/>
          <w:bCs/>
          <w:szCs w:val="28"/>
          <w:lang w:val="en-GB"/>
        </w:rPr>
        <w:t>Supria Alam</w:t>
      </w:r>
    </w:p>
    <w:p w14:paraId="47F62EE2" w14:textId="400E2F58" w:rsidR="001D19AC" w:rsidRPr="00982F6A" w:rsidRDefault="001D19AC" w:rsidP="001D19AC">
      <w:pPr>
        <w:pBdr>
          <w:top w:val="single" w:sz="4" w:space="1" w:color="auto"/>
          <w:left w:val="single" w:sz="4" w:space="4" w:color="auto"/>
          <w:bottom w:val="single" w:sz="4" w:space="31" w:color="auto"/>
          <w:right w:val="single" w:sz="4" w:space="4" w:color="auto"/>
        </w:pBdr>
        <w:spacing w:after="120" w:line="480" w:lineRule="auto"/>
        <w:rPr>
          <w:rFonts w:ascii="Arial" w:eastAsia="Calibri" w:hAnsi="Arial" w:cs="Arial"/>
          <w:lang w:val="en-GB" w:eastAsia="en-US"/>
        </w:rPr>
      </w:pPr>
      <w:r w:rsidRPr="00982F6A">
        <w:rPr>
          <w:rFonts w:ascii="Arial" w:eastAsia="Calibri" w:hAnsi="Arial" w:cs="Arial"/>
          <w:lang w:val="en-GB" w:eastAsia="en-US"/>
        </w:rPr>
        <w:t xml:space="preserve"> Date: </w:t>
      </w:r>
      <w:r w:rsidR="00EA37CC" w:rsidRPr="00EA37CC">
        <w:rPr>
          <w:rFonts w:ascii="Arial" w:eastAsia="Calibri" w:hAnsi="Arial" w:cs="Arial"/>
          <w:lang w:val="en-GB" w:eastAsia="en-US"/>
        </w:rPr>
        <w:t>06/05/2026</w:t>
      </w:r>
    </w:p>
    <w:p w14:paraId="4BF78B84" w14:textId="77777777" w:rsidR="00E34571" w:rsidRPr="00982F6A" w:rsidRDefault="00E34571" w:rsidP="00924C79">
      <w:pPr>
        <w:rPr>
          <w:rFonts w:ascii="Arial" w:hAnsi="Arial" w:cs="Arial"/>
          <w:lang w:val="en-GB"/>
        </w:rPr>
        <w:sectPr w:rsidR="00E34571" w:rsidRPr="00982F6A" w:rsidSect="00E34571">
          <w:footerReference w:type="default" r:id="rId10"/>
          <w:pgSz w:w="12240" w:h="15840"/>
          <w:pgMar w:top="1440" w:right="1440" w:bottom="1440" w:left="1440" w:header="720" w:footer="720" w:gutter="0"/>
          <w:pgNumType w:fmt="lowerRoman"/>
          <w:cols w:space="720"/>
        </w:sectPr>
      </w:pPr>
      <w:bookmarkStart w:id="0" w:name="_ykhpmtpraabx" w:colFirst="0" w:colLast="0"/>
      <w:bookmarkEnd w:id="0"/>
    </w:p>
    <w:p w14:paraId="4ABDE954" w14:textId="77777777" w:rsidR="00810EC8" w:rsidRPr="00982F6A" w:rsidRDefault="00810EC8">
      <w:pPr>
        <w:rPr>
          <w:rFonts w:ascii="Arial" w:hAnsi="Arial" w:cs="Arial"/>
          <w:lang w:val="en-GB"/>
        </w:rPr>
      </w:pPr>
      <w:bookmarkStart w:id="1" w:name="_Toc227155961"/>
    </w:p>
    <w:p w14:paraId="75A30F85" w14:textId="77777777" w:rsidR="00810EC8" w:rsidRPr="00982F6A" w:rsidRDefault="00810EC8">
      <w:pPr>
        <w:rPr>
          <w:rFonts w:ascii="Arial" w:hAnsi="Arial" w:cs="Arial"/>
          <w:lang w:val="en-GB"/>
        </w:rPr>
      </w:pPr>
    </w:p>
    <w:p w14:paraId="1697CC5D" w14:textId="4D3F10F6" w:rsidR="00982F6A" w:rsidRDefault="00982F6A">
      <w:pPr>
        <w:rPr>
          <w:rFonts w:ascii="Arial" w:hAnsi="Arial" w:cs="Arial"/>
          <w:lang w:val="en-GB"/>
        </w:rPr>
      </w:pPr>
    </w:p>
    <w:p w14:paraId="09368F2A" w14:textId="77777777" w:rsidR="00097D2D" w:rsidRDefault="00097D2D">
      <w:pPr>
        <w:rPr>
          <w:rFonts w:ascii="Arial" w:eastAsia="Play" w:hAnsi="Arial" w:cs="Play"/>
          <w:b/>
          <w:color w:val="000000" w:themeColor="text1"/>
          <w:sz w:val="32"/>
          <w:szCs w:val="40"/>
          <w:lang w:val="en-GB"/>
        </w:rPr>
      </w:pPr>
      <w:bookmarkStart w:id="2" w:name="_Toc220918504"/>
      <w:bookmarkStart w:id="3" w:name="_Toc228704001"/>
      <w:r>
        <w:rPr>
          <w:lang w:val="en-GB"/>
        </w:rPr>
        <w:br w:type="page"/>
      </w:r>
    </w:p>
    <w:p w14:paraId="4112D109" w14:textId="0596E75D" w:rsidR="00982F6A" w:rsidRPr="00A261FC" w:rsidRDefault="00982F6A" w:rsidP="001777EB">
      <w:pPr>
        <w:pStyle w:val="Heading1"/>
        <w:rPr>
          <w:lang w:val="en-GB"/>
        </w:rPr>
      </w:pPr>
      <w:r w:rsidRPr="00A261FC">
        <w:rPr>
          <w:lang w:val="en-GB"/>
        </w:rPr>
        <w:lastRenderedPageBreak/>
        <w:t>Acknowledgement</w:t>
      </w:r>
      <w:bookmarkEnd w:id="2"/>
      <w:bookmarkEnd w:id="3"/>
    </w:p>
    <w:p w14:paraId="73214365" w14:textId="550BCF17" w:rsidR="00982F6A" w:rsidRPr="00A261FC" w:rsidRDefault="00E83AA1" w:rsidP="00982F6A">
      <w:pPr>
        <w:spacing w:line="360" w:lineRule="auto"/>
        <w:jc w:val="both"/>
        <w:rPr>
          <w:rFonts w:ascii="Arial" w:hAnsi="Arial" w:cs="Arial"/>
          <w:bCs/>
          <w:lang w:val="en-GB"/>
        </w:rPr>
      </w:pPr>
      <w:r w:rsidRPr="00E83AA1">
        <w:rPr>
          <w:rFonts w:ascii="Arial" w:hAnsi="Arial" w:cs="Arial"/>
          <w:bCs/>
          <w:lang w:val="en-GB"/>
        </w:rPr>
        <w:t>I want to take this opportunity to thank all those who helped to make this research project successful. To begin with, I am extremely thankful to the University of Wales Trinity Saint David (UWTSD), as it has provided the academic structure and tools that have enabled the conduct of this study. The stringent standards and academic atmosphere of the university have played a key role in developing my critical thinking and research skills. I have to say my heartfelt thanks to my academic supervisor because h</w:t>
      </w:r>
      <w:r w:rsidR="00515EB9">
        <w:rPr>
          <w:rFonts w:ascii="Arial" w:hAnsi="Arial" w:cs="Arial"/>
          <w:bCs/>
          <w:lang w:val="en-GB"/>
        </w:rPr>
        <w:t>er</w:t>
      </w:r>
      <w:r w:rsidRPr="00E83AA1">
        <w:rPr>
          <w:rFonts w:ascii="Arial" w:hAnsi="Arial" w:cs="Arial"/>
          <w:bCs/>
          <w:lang w:val="en-GB"/>
        </w:rPr>
        <w:t xml:space="preserve"> guidance, constructive feedback, and support were invaluable during the research process. Their knowledge in strategic human capital management and organisational theory gave the necessary guiding hand needed to go through the mazes of this report. I also owe my thanks to the various industry bodies and organisations, such as PwC UK, Bloomberg, and IBISWorld, with their transparent reporting and detailed industry analysis providing the secondary data that were the backbone of this analysis. I also find the past academic efforts on the part of authors like Saunders, Lewis, and Thornhill to be of great importance to my systematic literature review since their methodological frameworks provided the rigour required in my systematic literature review. I would also like to acknowledge my family and friends who had to be patient, encouraging, and supportive during the protracted period of research and writing. They always looked up to me, and this kept them motivated. It is a tribute to the spirit of collaboration that the academic and professional worlds have shown in creating this work, and I hope it makes a significant contribution towards the current discussion on sustainable and ethical change in the business environment throughout the globe.</w:t>
      </w:r>
      <w:r w:rsidR="00982F6A" w:rsidRPr="00A261FC">
        <w:rPr>
          <w:rFonts w:ascii="Arial" w:hAnsi="Arial" w:cs="Arial"/>
          <w:bCs/>
          <w:lang w:val="en-GB"/>
        </w:rPr>
        <w:t xml:space="preserve"> </w:t>
      </w:r>
      <w:r w:rsidR="00982F6A" w:rsidRPr="00A261FC">
        <w:rPr>
          <w:rFonts w:ascii="Arial" w:hAnsi="Arial" w:cs="Arial"/>
          <w:b/>
          <w:lang w:val="en-GB"/>
        </w:rPr>
        <w:br w:type="page"/>
      </w:r>
    </w:p>
    <w:p w14:paraId="5E238189" w14:textId="77777777" w:rsidR="00982F6A" w:rsidRPr="00A261FC" w:rsidRDefault="00982F6A" w:rsidP="001777EB">
      <w:pPr>
        <w:pStyle w:val="Heading1"/>
        <w:rPr>
          <w:lang w:val="en-GB"/>
        </w:rPr>
      </w:pPr>
      <w:bookmarkStart w:id="4" w:name="_Toc220533899"/>
      <w:bookmarkStart w:id="5" w:name="_Toc220918505"/>
      <w:bookmarkStart w:id="6" w:name="_Toc228704002"/>
      <w:r w:rsidRPr="00A261FC">
        <w:rPr>
          <w:lang w:val="en-GB"/>
        </w:rPr>
        <w:lastRenderedPageBreak/>
        <w:t>Abstract</w:t>
      </w:r>
      <w:bookmarkEnd w:id="4"/>
      <w:bookmarkEnd w:id="5"/>
      <w:bookmarkEnd w:id="6"/>
    </w:p>
    <w:p w14:paraId="790070F5" w14:textId="0BBA6FEC" w:rsidR="00252658" w:rsidRPr="00252658" w:rsidRDefault="00252658" w:rsidP="00252658">
      <w:pPr>
        <w:spacing w:line="360" w:lineRule="auto"/>
        <w:jc w:val="both"/>
        <w:rPr>
          <w:rFonts w:ascii="Arial" w:hAnsi="Arial" w:cs="Arial"/>
          <w:bCs/>
          <w:lang w:val="en-US"/>
        </w:rPr>
      </w:pPr>
      <w:r w:rsidRPr="00252658">
        <w:rPr>
          <w:rFonts w:ascii="Arial" w:hAnsi="Arial" w:cs="Arial"/>
          <w:bCs/>
          <w:lang w:val="en-US"/>
        </w:rPr>
        <w:t xml:space="preserve">This study explores the strategic value of strategic human capital management (SHCM), artificial intelligence (AI), and big data to create a sustainable and ethical change in the UK business environment with a particular emphasis on the hospitality and distribution industries. The traditional definition of human resources in 2026 is being redefined due to the need for strong risk governance and a technologically agile </w:t>
      </w:r>
      <w:proofErr w:type="spellStart"/>
      <w:r w:rsidRPr="00252658">
        <w:rPr>
          <w:rFonts w:ascii="Arial" w:hAnsi="Arial" w:cs="Arial"/>
          <w:bCs/>
          <w:lang w:val="en-US"/>
        </w:rPr>
        <w:t>organisation</w:t>
      </w:r>
      <w:proofErr w:type="spellEnd"/>
      <w:r w:rsidRPr="00252658">
        <w:rPr>
          <w:rFonts w:ascii="Arial" w:hAnsi="Arial" w:cs="Arial"/>
          <w:bCs/>
          <w:lang w:val="en-US"/>
        </w:rPr>
        <w:t xml:space="preserve">. This paper will discuss how SHCM practices address the contemporary </w:t>
      </w:r>
      <w:proofErr w:type="spellStart"/>
      <w:r w:rsidRPr="00252658">
        <w:rPr>
          <w:rFonts w:ascii="Arial" w:hAnsi="Arial" w:cs="Arial"/>
          <w:bCs/>
          <w:lang w:val="en-US"/>
        </w:rPr>
        <w:t>organisational</w:t>
      </w:r>
      <w:proofErr w:type="spellEnd"/>
      <w:r w:rsidRPr="00252658">
        <w:rPr>
          <w:rFonts w:ascii="Arial" w:hAnsi="Arial" w:cs="Arial"/>
          <w:bCs/>
          <w:lang w:val="en-US"/>
        </w:rPr>
        <w:t xml:space="preserve"> threats. The most important finding is that SHCM has developed out of an administrative role to a predetermined governance device. In particular, the study shows that by combining AI-based analytics and pipelines that are based on agile reskilling, firms will be able to transform the threat posed by technological displacement into a competitive edge. Moreover, the research finds a direct linkage between advanced employee wellbeing </w:t>
      </w:r>
      <w:proofErr w:type="spellStart"/>
      <w:r w:rsidRPr="00252658">
        <w:rPr>
          <w:rFonts w:ascii="Arial" w:hAnsi="Arial" w:cs="Arial"/>
          <w:bCs/>
          <w:lang w:val="en-US"/>
        </w:rPr>
        <w:t>programmes</w:t>
      </w:r>
      <w:proofErr w:type="spellEnd"/>
      <w:r w:rsidRPr="00252658">
        <w:rPr>
          <w:rFonts w:ascii="Arial" w:hAnsi="Arial" w:cs="Arial"/>
          <w:bCs/>
          <w:lang w:val="en-US"/>
        </w:rPr>
        <w:t xml:space="preserve"> and speed of innovation, especially in high-pressure R&amp;D settings. The focus of this transformation continues to be ethical considerations. The report covers a model of strategic human capital governance that balances the benefits of the efficiency of big data with the need to retain academic and data integrity. The study finds that to ensure th</w:t>
      </w:r>
      <w:r w:rsidR="00BD2183">
        <w:rPr>
          <w:rFonts w:ascii="Arial" w:hAnsi="Arial" w:cs="Arial"/>
          <w:bCs/>
          <w:lang w:val="en-US"/>
        </w:rPr>
        <w:t>e</w:t>
      </w:r>
      <w:r w:rsidRPr="00252658">
        <w:rPr>
          <w:rFonts w:ascii="Arial" w:hAnsi="Arial" w:cs="Arial"/>
          <w:bCs/>
          <w:lang w:val="en-US"/>
        </w:rPr>
        <w:t xml:space="preserve"> long-term resilience of </w:t>
      </w:r>
      <w:proofErr w:type="gramStart"/>
      <w:r w:rsidRPr="00252658">
        <w:rPr>
          <w:rFonts w:ascii="Arial" w:hAnsi="Arial" w:cs="Arial"/>
          <w:bCs/>
          <w:lang w:val="en-US"/>
        </w:rPr>
        <w:t>the UK</w:t>
      </w:r>
      <w:proofErr w:type="gramEnd"/>
      <w:r w:rsidRPr="00252658">
        <w:rPr>
          <w:rFonts w:ascii="Arial" w:hAnsi="Arial" w:cs="Arial"/>
          <w:bCs/>
          <w:lang w:val="en-US"/>
        </w:rPr>
        <w:t xml:space="preserve"> </w:t>
      </w:r>
      <w:proofErr w:type="spellStart"/>
      <w:r w:rsidRPr="00252658">
        <w:rPr>
          <w:rFonts w:ascii="Arial" w:hAnsi="Arial" w:cs="Arial"/>
          <w:bCs/>
          <w:lang w:val="en-US"/>
        </w:rPr>
        <w:t>organisations</w:t>
      </w:r>
      <w:proofErr w:type="spellEnd"/>
      <w:r w:rsidRPr="00252658">
        <w:rPr>
          <w:rFonts w:ascii="Arial" w:hAnsi="Arial" w:cs="Arial"/>
          <w:bCs/>
          <w:lang w:val="en-US"/>
        </w:rPr>
        <w:t xml:space="preserve"> is achieved, SHCM needs to be directly integrated into enterprise risk management (ERM) systems. This alignment not only protect</w:t>
      </w:r>
      <w:r w:rsidR="00515EB9">
        <w:rPr>
          <w:rFonts w:ascii="Arial" w:hAnsi="Arial" w:cs="Arial"/>
          <w:bCs/>
          <w:lang w:val="en-US"/>
        </w:rPr>
        <w:t>s</w:t>
      </w:r>
      <w:r w:rsidRPr="00252658">
        <w:rPr>
          <w:rFonts w:ascii="Arial" w:hAnsi="Arial" w:cs="Arial"/>
          <w:bCs/>
          <w:lang w:val="en-US"/>
        </w:rPr>
        <w:t xml:space="preserve"> the so-called 'brand equity' but also makes sure that human capital remains one of the so-called 'valuable, rare, inimitable, and non-substitutable' (VRIN) resources in an eve</w:t>
      </w:r>
      <w:r w:rsidR="00BD2183">
        <w:rPr>
          <w:rFonts w:ascii="Arial" w:hAnsi="Arial" w:cs="Arial"/>
          <w:bCs/>
          <w:lang w:val="en-US"/>
        </w:rPr>
        <w:t>n</w:t>
      </w:r>
      <w:r w:rsidRPr="00252658">
        <w:rPr>
          <w:rFonts w:ascii="Arial" w:hAnsi="Arial" w:cs="Arial"/>
          <w:bCs/>
          <w:lang w:val="en-US"/>
        </w:rPr>
        <w:t xml:space="preserve"> more automated world.</w:t>
      </w:r>
    </w:p>
    <w:p w14:paraId="4D0563D4" w14:textId="3A498894" w:rsidR="00982F6A" w:rsidRPr="00252658" w:rsidRDefault="00252658" w:rsidP="00252658">
      <w:pPr>
        <w:spacing w:line="360" w:lineRule="auto"/>
        <w:jc w:val="both"/>
        <w:rPr>
          <w:rFonts w:ascii="Arial" w:hAnsi="Arial" w:cs="Arial"/>
          <w:bCs/>
          <w:lang w:val="en-US"/>
        </w:rPr>
      </w:pPr>
      <w:r w:rsidRPr="00252658">
        <w:rPr>
          <w:rFonts w:ascii="Arial" w:hAnsi="Arial" w:cs="Arial"/>
          <w:b/>
          <w:lang w:val="en-US"/>
        </w:rPr>
        <w:t>Keywords:</w:t>
      </w:r>
      <w:r w:rsidRPr="00252658">
        <w:rPr>
          <w:rFonts w:ascii="Arial" w:hAnsi="Arial" w:cs="Arial"/>
          <w:bCs/>
          <w:lang w:val="en-US"/>
        </w:rPr>
        <w:t xml:space="preserve"> strategic human capital management, artificial intelligence, risk governance, sustainable transformation, UK hospitality, big data, </w:t>
      </w:r>
      <w:proofErr w:type="spellStart"/>
      <w:r w:rsidRPr="00252658">
        <w:rPr>
          <w:rFonts w:ascii="Arial" w:hAnsi="Arial" w:cs="Arial"/>
          <w:bCs/>
          <w:lang w:val="en-US"/>
        </w:rPr>
        <w:t>organisational</w:t>
      </w:r>
      <w:proofErr w:type="spellEnd"/>
      <w:r w:rsidRPr="00252658">
        <w:rPr>
          <w:rFonts w:ascii="Arial" w:hAnsi="Arial" w:cs="Arial"/>
          <w:bCs/>
          <w:lang w:val="en-US"/>
        </w:rPr>
        <w:t xml:space="preserve"> resilience.</w:t>
      </w:r>
      <w:r w:rsidR="00982F6A">
        <w:rPr>
          <w:rFonts w:ascii="Arial" w:hAnsi="Arial" w:cs="Arial"/>
          <w:bCs/>
          <w:lang w:val="en-GB"/>
        </w:rPr>
        <w:br w:type="page"/>
      </w:r>
    </w:p>
    <w:p w14:paraId="25CA8D80" w14:textId="77777777" w:rsidR="00982F6A" w:rsidRDefault="00982F6A" w:rsidP="001777EB">
      <w:pPr>
        <w:pStyle w:val="Heading1"/>
        <w:rPr>
          <w:lang w:val="en-GB"/>
        </w:rPr>
      </w:pPr>
      <w:bookmarkStart w:id="7" w:name="_Toc228704003"/>
      <w:r w:rsidRPr="00982F6A">
        <w:rPr>
          <w:lang w:val="en-GB"/>
        </w:rPr>
        <w:lastRenderedPageBreak/>
        <w:t>List of Abbreviation</w:t>
      </w:r>
      <w:r>
        <w:rPr>
          <w:lang w:val="en-GB"/>
        </w:rPr>
        <w:t>:</w:t>
      </w:r>
      <w:bookmarkEnd w:id="7"/>
    </w:p>
    <w:tbl>
      <w:tblPr>
        <w:tblStyle w:val="TableGrid"/>
        <w:tblW w:w="9126" w:type="dxa"/>
        <w:tblLook w:val="04A0" w:firstRow="1" w:lastRow="0" w:firstColumn="1" w:lastColumn="0" w:noHBand="0" w:noVBand="1"/>
      </w:tblPr>
      <w:tblGrid>
        <w:gridCol w:w="2123"/>
        <w:gridCol w:w="7003"/>
      </w:tblGrid>
      <w:tr w:rsidR="00982F6A" w:rsidRPr="00982F6A" w14:paraId="60B4BB8C" w14:textId="77777777" w:rsidTr="00982F6A">
        <w:trPr>
          <w:trHeight w:val="486"/>
        </w:trPr>
        <w:tc>
          <w:tcPr>
            <w:tcW w:w="0" w:type="auto"/>
            <w:hideMark/>
          </w:tcPr>
          <w:p w14:paraId="5549008D"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Abbreviation</w:t>
            </w:r>
          </w:p>
        </w:tc>
        <w:tc>
          <w:tcPr>
            <w:tcW w:w="0" w:type="auto"/>
            <w:hideMark/>
          </w:tcPr>
          <w:p w14:paraId="6CA713EF"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Full Term</w:t>
            </w:r>
          </w:p>
        </w:tc>
      </w:tr>
      <w:tr w:rsidR="00982F6A" w:rsidRPr="00982F6A" w14:paraId="4C3D7E00" w14:textId="77777777" w:rsidTr="00982F6A">
        <w:trPr>
          <w:trHeight w:val="486"/>
        </w:trPr>
        <w:tc>
          <w:tcPr>
            <w:tcW w:w="0" w:type="auto"/>
            <w:hideMark/>
          </w:tcPr>
          <w:p w14:paraId="34698829"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BDP</w:t>
            </w:r>
          </w:p>
        </w:tc>
        <w:tc>
          <w:tcPr>
            <w:tcW w:w="0" w:type="auto"/>
            <w:hideMark/>
          </w:tcPr>
          <w:p w14:paraId="4F996ED3" w14:textId="77777777" w:rsidR="00982F6A" w:rsidRPr="00982F6A" w:rsidRDefault="00982F6A" w:rsidP="00982F6A">
            <w:pPr>
              <w:spacing w:after="160" w:line="278" w:lineRule="auto"/>
              <w:rPr>
                <w:rFonts w:ascii="Arial" w:hAnsi="Arial" w:cs="Arial"/>
                <w:lang w:val="en-US"/>
              </w:rPr>
            </w:pPr>
            <w:r w:rsidRPr="00982F6A">
              <w:rPr>
                <w:rFonts w:ascii="Arial" w:hAnsi="Arial" w:cs="Arial"/>
                <w:lang w:val="en-US"/>
              </w:rPr>
              <w:t>Brand Performance</w:t>
            </w:r>
          </w:p>
        </w:tc>
      </w:tr>
      <w:tr w:rsidR="00982F6A" w:rsidRPr="00982F6A" w14:paraId="7641AE08" w14:textId="77777777" w:rsidTr="00982F6A">
        <w:trPr>
          <w:trHeight w:val="486"/>
        </w:trPr>
        <w:tc>
          <w:tcPr>
            <w:tcW w:w="0" w:type="auto"/>
            <w:hideMark/>
          </w:tcPr>
          <w:p w14:paraId="6E17AEAC"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CIPD</w:t>
            </w:r>
          </w:p>
        </w:tc>
        <w:tc>
          <w:tcPr>
            <w:tcW w:w="0" w:type="auto"/>
            <w:hideMark/>
          </w:tcPr>
          <w:p w14:paraId="1D94F32C" w14:textId="77777777" w:rsidR="00982F6A" w:rsidRPr="00982F6A" w:rsidRDefault="00982F6A" w:rsidP="00982F6A">
            <w:pPr>
              <w:spacing w:after="160" w:line="278" w:lineRule="auto"/>
              <w:rPr>
                <w:rFonts w:ascii="Arial" w:hAnsi="Arial" w:cs="Arial"/>
                <w:lang w:val="en-US"/>
              </w:rPr>
            </w:pPr>
            <w:r w:rsidRPr="00982F6A">
              <w:rPr>
                <w:rFonts w:ascii="Arial" w:hAnsi="Arial" w:cs="Arial"/>
                <w:lang w:val="en-US"/>
              </w:rPr>
              <w:t>Chartered Institute of Personnel and Development</w:t>
            </w:r>
          </w:p>
        </w:tc>
      </w:tr>
      <w:tr w:rsidR="00982F6A" w:rsidRPr="00982F6A" w14:paraId="5CDC5243" w14:textId="77777777" w:rsidTr="00982F6A">
        <w:trPr>
          <w:trHeight w:val="486"/>
        </w:trPr>
        <w:tc>
          <w:tcPr>
            <w:tcW w:w="0" w:type="auto"/>
            <w:hideMark/>
          </w:tcPr>
          <w:p w14:paraId="50BE5AF2"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CRO</w:t>
            </w:r>
          </w:p>
        </w:tc>
        <w:tc>
          <w:tcPr>
            <w:tcW w:w="0" w:type="auto"/>
            <w:hideMark/>
          </w:tcPr>
          <w:p w14:paraId="31B3E170" w14:textId="77777777" w:rsidR="00982F6A" w:rsidRPr="00982F6A" w:rsidRDefault="00982F6A" w:rsidP="00982F6A">
            <w:pPr>
              <w:spacing w:after="160" w:line="278" w:lineRule="auto"/>
              <w:rPr>
                <w:rFonts w:ascii="Arial" w:hAnsi="Arial" w:cs="Arial"/>
                <w:lang w:val="en-US"/>
              </w:rPr>
            </w:pPr>
            <w:r w:rsidRPr="00982F6A">
              <w:rPr>
                <w:rFonts w:ascii="Arial" w:hAnsi="Arial" w:cs="Arial"/>
                <w:lang w:val="en-US"/>
              </w:rPr>
              <w:t>Chief Risk Officer</w:t>
            </w:r>
          </w:p>
        </w:tc>
      </w:tr>
      <w:tr w:rsidR="00982F6A" w:rsidRPr="00982F6A" w14:paraId="199E1D5A" w14:textId="77777777" w:rsidTr="00982F6A">
        <w:trPr>
          <w:trHeight w:val="486"/>
        </w:trPr>
        <w:tc>
          <w:tcPr>
            <w:tcW w:w="0" w:type="auto"/>
            <w:hideMark/>
          </w:tcPr>
          <w:p w14:paraId="0B4CC69C"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DCT</w:t>
            </w:r>
          </w:p>
        </w:tc>
        <w:tc>
          <w:tcPr>
            <w:tcW w:w="0" w:type="auto"/>
            <w:hideMark/>
          </w:tcPr>
          <w:p w14:paraId="1B6C023A" w14:textId="77777777" w:rsidR="00982F6A" w:rsidRPr="00982F6A" w:rsidRDefault="00982F6A" w:rsidP="00982F6A">
            <w:pPr>
              <w:spacing w:after="160" w:line="278" w:lineRule="auto"/>
              <w:rPr>
                <w:rFonts w:ascii="Arial" w:hAnsi="Arial" w:cs="Arial"/>
                <w:lang w:val="en-US"/>
              </w:rPr>
            </w:pPr>
            <w:r w:rsidRPr="00982F6A">
              <w:rPr>
                <w:rFonts w:ascii="Arial" w:hAnsi="Arial" w:cs="Arial"/>
                <w:lang w:val="en-US"/>
              </w:rPr>
              <w:t>Dynamic Capabilities Theory</w:t>
            </w:r>
          </w:p>
        </w:tc>
      </w:tr>
      <w:tr w:rsidR="00982F6A" w:rsidRPr="00982F6A" w14:paraId="66C03117" w14:textId="77777777" w:rsidTr="00982F6A">
        <w:trPr>
          <w:trHeight w:val="486"/>
        </w:trPr>
        <w:tc>
          <w:tcPr>
            <w:tcW w:w="0" w:type="auto"/>
            <w:hideMark/>
          </w:tcPr>
          <w:p w14:paraId="61D8B499"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ERM</w:t>
            </w:r>
          </w:p>
        </w:tc>
        <w:tc>
          <w:tcPr>
            <w:tcW w:w="0" w:type="auto"/>
            <w:hideMark/>
          </w:tcPr>
          <w:p w14:paraId="5195468B" w14:textId="77777777" w:rsidR="00982F6A" w:rsidRPr="00982F6A" w:rsidRDefault="00982F6A" w:rsidP="00982F6A">
            <w:pPr>
              <w:spacing w:after="160" w:line="278" w:lineRule="auto"/>
              <w:rPr>
                <w:rFonts w:ascii="Arial" w:hAnsi="Arial" w:cs="Arial"/>
                <w:lang w:val="en-US"/>
              </w:rPr>
            </w:pPr>
            <w:r w:rsidRPr="00982F6A">
              <w:rPr>
                <w:rFonts w:ascii="Arial" w:hAnsi="Arial" w:cs="Arial"/>
                <w:lang w:val="en-US"/>
              </w:rPr>
              <w:t>Enterprise Risk Management</w:t>
            </w:r>
          </w:p>
        </w:tc>
      </w:tr>
      <w:tr w:rsidR="00982F6A" w:rsidRPr="00982F6A" w14:paraId="6285C198" w14:textId="77777777" w:rsidTr="00982F6A">
        <w:trPr>
          <w:trHeight w:val="486"/>
        </w:trPr>
        <w:tc>
          <w:tcPr>
            <w:tcW w:w="0" w:type="auto"/>
            <w:hideMark/>
          </w:tcPr>
          <w:p w14:paraId="76281D16"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ESG</w:t>
            </w:r>
          </w:p>
        </w:tc>
        <w:tc>
          <w:tcPr>
            <w:tcW w:w="0" w:type="auto"/>
            <w:hideMark/>
          </w:tcPr>
          <w:p w14:paraId="7BF0DE1C" w14:textId="77777777" w:rsidR="00982F6A" w:rsidRPr="00982F6A" w:rsidRDefault="00982F6A" w:rsidP="00982F6A">
            <w:pPr>
              <w:spacing w:after="160" w:line="278" w:lineRule="auto"/>
              <w:rPr>
                <w:rFonts w:ascii="Arial" w:hAnsi="Arial" w:cs="Arial"/>
                <w:lang w:val="en-US"/>
              </w:rPr>
            </w:pPr>
            <w:r w:rsidRPr="00982F6A">
              <w:rPr>
                <w:rFonts w:ascii="Arial" w:hAnsi="Arial" w:cs="Arial"/>
                <w:lang w:val="en-US"/>
              </w:rPr>
              <w:t>Environmental, Social, and Governance</w:t>
            </w:r>
          </w:p>
        </w:tc>
      </w:tr>
      <w:tr w:rsidR="00982F6A" w:rsidRPr="00982F6A" w14:paraId="2E9CA1BA" w14:textId="77777777" w:rsidTr="00982F6A">
        <w:trPr>
          <w:trHeight w:val="486"/>
        </w:trPr>
        <w:tc>
          <w:tcPr>
            <w:tcW w:w="0" w:type="auto"/>
            <w:hideMark/>
          </w:tcPr>
          <w:p w14:paraId="4060D3F0"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EVP</w:t>
            </w:r>
          </w:p>
        </w:tc>
        <w:tc>
          <w:tcPr>
            <w:tcW w:w="0" w:type="auto"/>
            <w:hideMark/>
          </w:tcPr>
          <w:p w14:paraId="5DAF715B" w14:textId="77777777" w:rsidR="00982F6A" w:rsidRPr="00982F6A" w:rsidRDefault="00982F6A" w:rsidP="00982F6A">
            <w:pPr>
              <w:spacing w:after="160" w:line="278" w:lineRule="auto"/>
              <w:rPr>
                <w:rFonts w:ascii="Arial" w:hAnsi="Arial" w:cs="Arial"/>
                <w:lang w:val="en-US"/>
              </w:rPr>
            </w:pPr>
            <w:r w:rsidRPr="00982F6A">
              <w:rPr>
                <w:rFonts w:ascii="Arial" w:hAnsi="Arial" w:cs="Arial"/>
                <w:lang w:val="en-US"/>
              </w:rPr>
              <w:t>Employee Value Proposition</w:t>
            </w:r>
          </w:p>
        </w:tc>
      </w:tr>
      <w:tr w:rsidR="00982F6A" w:rsidRPr="00982F6A" w14:paraId="14553D93" w14:textId="77777777" w:rsidTr="00982F6A">
        <w:trPr>
          <w:trHeight w:val="486"/>
        </w:trPr>
        <w:tc>
          <w:tcPr>
            <w:tcW w:w="0" w:type="auto"/>
            <w:hideMark/>
          </w:tcPr>
          <w:p w14:paraId="49F5251A"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FTSE</w:t>
            </w:r>
          </w:p>
        </w:tc>
        <w:tc>
          <w:tcPr>
            <w:tcW w:w="0" w:type="auto"/>
            <w:hideMark/>
          </w:tcPr>
          <w:p w14:paraId="5C9D29B0" w14:textId="77777777" w:rsidR="00982F6A" w:rsidRPr="00982F6A" w:rsidRDefault="00982F6A" w:rsidP="00982F6A">
            <w:pPr>
              <w:spacing w:after="160" w:line="278" w:lineRule="auto"/>
              <w:rPr>
                <w:rFonts w:ascii="Arial" w:hAnsi="Arial" w:cs="Arial"/>
                <w:lang w:val="en-US"/>
              </w:rPr>
            </w:pPr>
            <w:r w:rsidRPr="00982F6A">
              <w:rPr>
                <w:rFonts w:ascii="Arial" w:hAnsi="Arial" w:cs="Arial"/>
                <w:lang w:val="en-US"/>
              </w:rPr>
              <w:t>Financial Times Stock Exchange</w:t>
            </w:r>
          </w:p>
        </w:tc>
      </w:tr>
      <w:tr w:rsidR="00982F6A" w:rsidRPr="00982F6A" w14:paraId="396C10D3" w14:textId="77777777" w:rsidTr="00982F6A">
        <w:trPr>
          <w:trHeight w:val="486"/>
        </w:trPr>
        <w:tc>
          <w:tcPr>
            <w:tcW w:w="0" w:type="auto"/>
            <w:hideMark/>
          </w:tcPr>
          <w:p w14:paraId="2527F4D0"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HCT</w:t>
            </w:r>
          </w:p>
        </w:tc>
        <w:tc>
          <w:tcPr>
            <w:tcW w:w="0" w:type="auto"/>
            <w:hideMark/>
          </w:tcPr>
          <w:p w14:paraId="08E7A330" w14:textId="77777777" w:rsidR="00982F6A" w:rsidRPr="00982F6A" w:rsidRDefault="00982F6A" w:rsidP="00982F6A">
            <w:pPr>
              <w:spacing w:after="160" w:line="278" w:lineRule="auto"/>
              <w:rPr>
                <w:rFonts w:ascii="Arial" w:hAnsi="Arial" w:cs="Arial"/>
                <w:lang w:val="en-US"/>
              </w:rPr>
            </w:pPr>
            <w:r w:rsidRPr="00982F6A">
              <w:rPr>
                <w:rFonts w:ascii="Arial" w:hAnsi="Arial" w:cs="Arial"/>
                <w:lang w:val="en-US"/>
              </w:rPr>
              <w:t>Human Capital Theory</w:t>
            </w:r>
          </w:p>
        </w:tc>
      </w:tr>
      <w:tr w:rsidR="00982F6A" w:rsidRPr="00982F6A" w14:paraId="7CD83929" w14:textId="77777777" w:rsidTr="00982F6A">
        <w:trPr>
          <w:trHeight w:val="486"/>
        </w:trPr>
        <w:tc>
          <w:tcPr>
            <w:tcW w:w="0" w:type="auto"/>
            <w:hideMark/>
          </w:tcPr>
          <w:p w14:paraId="01CE44D3"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HR</w:t>
            </w:r>
          </w:p>
        </w:tc>
        <w:tc>
          <w:tcPr>
            <w:tcW w:w="0" w:type="auto"/>
            <w:hideMark/>
          </w:tcPr>
          <w:p w14:paraId="613301C8" w14:textId="77777777" w:rsidR="00982F6A" w:rsidRPr="00982F6A" w:rsidRDefault="00982F6A" w:rsidP="00982F6A">
            <w:pPr>
              <w:spacing w:after="160" w:line="278" w:lineRule="auto"/>
              <w:rPr>
                <w:rFonts w:ascii="Arial" w:hAnsi="Arial" w:cs="Arial"/>
                <w:lang w:val="en-US"/>
              </w:rPr>
            </w:pPr>
            <w:r w:rsidRPr="00982F6A">
              <w:rPr>
                <w:rFonts w:ascii="Arial" w:hAnsi="Arial" w:cs="Arial"/>
                <w:lang w:val="en-US"/>
              </w:rPr>
              <w:t>Human Resources</w:t>
            </w:r>
          </w:p>
        </w:tc>
      </w:tr>
      <w:tr w:rsidR="00982F6A" w:rsidRPr="00982F6A" w14:paraId="2D19876A" w14:textId="77777777" w:rsidTr="00982F6A">
        <w:trPr>
          <w:trHeight w:val="486"/>
        </w:trPr>
        <w:tc>
          <w:tcPr>
            <w:tcW w:w="0" w:type="auto"/>
            <w:hideMark/>
          </w:tcPr>
          <w:p w14:paraId="0E15D322"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HRM</w:t>
            </w:r>
          </w:p>
        </w:tc>
        <w:tc>
          <w:tcPr>
            <w:tcW w:w="0" w:type="auto"/>
            <w:hideMark/>
          </w:tcPr>
          <w:p w14:paraId="76516EEE" w14:textId="77777777" w:rsidR="00982F6A" w:rsidRPr="00982F6A" w:rsidRDefault="00982F6A" w:rsidP="00982F6A">
            <w:pPr>
              <w:spacing w:after="160" w:line="278" w:lineRule="auto"/>
              <w:rPr>
                <w:rFonts w:ascii="Arial" w:hAnsi="Arial" w:cs="Arial"/>
                <w:lang w:val="en-US"/>
              </w:rPr>
            </w:pPr>
            <w:r w:rsidRPr="00982F6A">
              <w:rPr>
                <w:rFonts w:ascii="Arial" w:hAnsi="Arial" w:cs="Arial"/>
                <w:lang w:val="en-US"/>
              </w:rPr>
              <w:t>Human Resource Management</w:t>
            </w:r>
          </w:p>
        </w:tc>
      </w:tr>
      <w:tr w:rsidR="00982F6A" w:rsidRPr="00982F6A" w14:paraId="26676E5F" w14:textId="77777777" w:rsidTr="00982F6A">
        <w:trPr>
          <w:trHeight w:val="486"/>
        </w:trPr>
        <w:tc>
          <w:tcPr>
            <w:tcW w:w="0" w:type="auto"/>
            <w:hideMark/>
          </w:tcPr>
          <w:p w14:paraId="476CB72A"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IBISWorld</w:t>
            </w:r>
          </w:p>
        </w:tc>
        <w:tc>
          <w:tcPr>
            <w:tcW w:w="0" w:type="auto"/>
            <w:hideMark/>
          </w:tcPr>
          <w:p w14:paraId="30BB8EF1" w14:textId="77777777" w:rsidR="00982F6A" w:rsidRPr="00982F6A" w:rsidRDefault="00982F6A" w:rsidP="00982F6A">
            <w:pPr>
              <w:spacing w:after="160" w:line="278" w:lineRule="auto"/>
              <w:rPr>
                <w:rFonts w:ascii="Arial" w:hAnsi="Arial" w:cs="Arial"/>
                <w:lang w:val="en-US"/>
              </w:rPr>
            </w:pPr>
            <w:r w:rsidRPr="00982F6A">
              <w:rPr>
                <w:rFonts w:ascii="Arial" w:hAnsi="Arial" w:cs="Arial"/>
                <w:lang w:val="en-US"/>
              </w:rPr>
              <w:t>Industry Business Information Services</w:t>
            </w:r>
          </w:p>
        </w:tc>
      </w:tr>
      <w:tr w:rsidR="00982F6A" w:rsidRPr="00982F6A" w14:paraId="60AB6A9B" w14:textId="77777777" w:rsidTr="00982F6A">
        <w:trPr>
          <w:trHeight w:val="486"/>
        </w:trPr>
        <w:tc>
          <w:tcPr>
            <w:tcW w:w="0" w:type="auto"/>
            <w:hideMark/>
          </w:tcPr>
          <w:p w14:paraId="6901FC8A"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IP</w:t>
            </w:r>
          </w:p>
        </w:tc>
        <w:tc>
          <w:tcPr>
            <w:tcW w:w="0" w:type="auto"/>
            <w:hideMark/>
          </w:tcPr>
          <w:p w14:paraId="0C4225A9" w14:textId="77777777" w:rsidR="00982F6A" w:rsidRPr="00982F6A" w:rsidRDefault="00982F6A" w:rsidP="00982F6A">
            <w:pPr>
              <w:spacing w:after="160" w:line="278" w:lineRule="auto"/>
              <w:rPr>
                <w:rFonts w:ascii="Arial" w:hAnsi="Arial" w:cs="Arial"/>
                <w:lang w:val="en-US"/>
              </w:rPr>
            </w:pPr>
            <w:r w:rsidRPr="00982F6A">
              <w:rPr>
                <w:rFonts w:ascii="Arial" w:hAnsi="Arial" w:cs="Arial"/>
                <w:lang w:val="en-US"/>
              </w:rPr>
              <w:t>Intellectual Property</w:t>
            </w:r>
          </w:p>
        </w:tc>
      </w:tr>
      <w:tr w:rsidR="00982F6A" w:rsidRPr="00982F6A" w14:paraId="28365711" w14:textId="77777777" w:rsidTr="00982F6A">
        <w:trPr>
          <w:trHeight w:val="476"/>
        </w:trPr>
        <w:tc>
          <w:tcPr>
            <w:tcW w:w="0" w:type="auto"/>
            <w:hideMark/>
          </w:tcPr>
          <w:p w14:paraId="2B25AE93"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NTDC</w:t>
            </w:r>
          </w:p>
        </w:tc>
        <w:tc>
          <w:tcPr>
            <w:tcW w:w="0" w:type="auto"/>
            <w:hideMark/>
          </w:tcPr>
          <w:p w14:paraId="5FA71751" w14:textId="77777777" w:rsidR="00982F6A" w:rsidRPr="00982F6A" w:rsidRDefault="00982F6A" w:rsidP="00982F6A">
            <w:pPr>
              <w:spacing w:after="160" w:line="278" w:lineRule="auto"/>
              <w:rPr>
                <w:rFonts w:ascii="Arial" w:hAnsi="Arial" w:cs="Arial"/>
                <w:lang w:val="en-US"/>
              </w:rPr>
            </w:pPr>
            <w:r w:rsidRPr="00982F6A">
              <w:rPr>
                <w:rFonts w:ascii="Arial" w:hAnsi="Arial" w:cs="Arial"/>
                <w:lang w:val="en-US"/>
              </w:rPr>
              <w:t>Nigerian Tourism Development Corporation</w:t>
            </w:r>
          </w:p>
        </w:tc>
      </w:tr>
      <w:tr w:rsidR="00982F6A" w:rsidRPr="00982F6A" w14:paraId="4F7911AF" w14:textId="77777777" w:rsidTr="00982F6A">
        <w:trPr>
          <w:trHeight w:val="486"/>
        </w:trPr>
        <w:tc>
          <w:tcPr>
            <w:tcW w:w="0" w:type="auto"/>
            <w:hideMark/>
          </w:tcPr>
          <w:p w14:paraId="47B6FC72"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RBV</w:t>
            </w:r>
          </w:p>
        </w:tc>
        <w:tc>
          <w:tcPr>
            <w:tcW w:w="0" w:type="auto"/>
            <w:hideMark/>
          </w:tcPr>
          <w:p w14:paraId="51FF7003" w14:textId="77777777" w:rsidR="00982F6A" w:rsidRPr="00982F6A" w:rsidRDefault="00982F6A" w:rsidP="00982F6A">
            <w:pPr>
              <w:spacing w:after="160" w:line="278" w:lineRule="auto"/>
              <w:rPr>
                <w:rFonts w:ascii="Arial" w:hAnsi="Arial" w:cs="Arial"/>
                <w:lang w:val="en-US"/>
              </w:rPr>
            </w:pPr>
            <w:r w:rsidRPr="00982F6A">
              <w:rPr>
                <w:rFonts w:ascii="Arial" w:hAnsi="Arial" w:cs="Arial"/>
                <w:lang w:val="en-US"/>
              </w:rPr>
              <w:t>Resource-Based View</w:t>
            </w:r>
          </w:p>
        </w:tc>
      </w:tr>
      <w:tr w:rsidR="00982F6A" w:rsidRPr="00982F6A" w14:paraId="1AE0E491" w14:textId="77777777" w:rsidTr="00982F6A">
        <w:trPr>
          <w:trHeight w:val="486"/>
        </w:trPr>
        <w:tc>
          <w:tcPr>
            <w:tcW w:w="0" w:type="auto"/>
            <w:hideMark/>
          </w:tcPr>
          <w:p w14:paraId="72A8444F"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R&amp;D</w:t>
            </w:r>
          </w:p>
        </w:tc>
        <w:tc>
          <w:tcPr>
            <w:tcW w:w="0" w:type="auto"/>
            <w:hideMark/>
          </w:tcPr>
          <w:p w14:paraId="3C516D75" w14:textId="77777777" w:rsidR="00982F6A" w:rsidRPr="00982F6A" w:rsidRDefault="00982F6A" w:rsidP="00982F6A">
            <w:pPr>
              <w:spacing w:after="160" w:line="278" w:lineRule="auto"/>
              <w:rPr>
                <w:rFonts w:ascii="Arial" w:hAnsi="Arial" w:cs="Arial"/>
                <w:lang w:val="en-US"/>
              </w:rPr>
            </w:pPr>
            <w:r w:rsidRPr="00982F6A">
              <w:rPr>
                <w:rFonts w:ascii="Arial" w:hAnsi="Arial" w:cs="Arial"/>
                <w:lang w:val="en-US"/>
              </w:rPr>
              <w:t>Research and Development</w:t>
            </w:r>
          </w:p>
        </w:tc>
      </w:tr>
      <w:tr w:rsidR="00982F6A" w:rsidRPr="00982F6A" w14:paraId="7FD7A6AD" w14:textId="77777777" w:rsidTr="00982F6A">
        <w:trPr>
          <w:trHeight w:val="486"/>
        </w:trPr>
        <w:tc>
          <w:tcPr>
            <w:tcW w:w="0" w:type="auto"/>
            <w:hideMark/>
          </w:tcPr>
          <w:p w14:paraId="40AD57F5"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SHCM</w:t>
            </w:r>
          </w:p>
        </w:tc>
        <w:tc>
          <w:tcPr>
            <w:tcW w:w="0" w:type="auto"/>
            <w:hideMark/>
          </w:tcPr>
          <w:p w14:paraId="55141E34" w14:textId="77777777" w:rsidR="00982F6A" w:rsidRPr="00982F6A" w:rsidRDefault="00982F6A" w:rsidP="00982F6A">
            <w:pPr>
              <w:spacing w:after="160" w:line="278" w:lineRule="auto"/>
              <w:rPr>
                <w:rFonts w:ascii="Arial" w:hAnsi="Arial" w:cs="Arial"/>
                <w:lang w:val="en-US"/>
              </w:rPr>
            </w:pPr>
            <w:r w:rsidRPr="00982F6A">
              <w:rPr>
                <w:rFonts w:ascii="Arial" w:hAnsi="Arial" w:cs="Arial"/>
                <w:lang w:val="en-US"/>
              </w:rPr>
              <w:t>Strategic Human Capital Management</w:t>
            </w:r>
          </w:p>
        </w:tc>
      </w:tr>
      <w:tr w:rsidR="00982F6A" w:rsidRPr="00982F6A" w14:paraId="2419C4C2" w14:textId="77777777" w:rsidTr="00982F6A">
        <w:trPr>
          <w:trHeight w:val="486"/>
        </w:trPr>
        <w:tc>
          <w:tcPr>
            <w:tcW w:w="0" w:type="auto"/>
            <w:hideMark/>
          </w:tcPr>
          <w:p w14:paraId="0F22295F"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SHRM</w:t>
            </w:r>
          </w:p>
        </w:tc>
        <w:tc>
          <w:tcPr>
            <w:tcW w:w="0" w:type="auto"/>
            <w:hideMark/>
          </w:tcPr>
          <w:p w14:paraId="2C99D1FE" w14:textId="77777777" w:rsidR="00982F6A" w:rsidRPr="00982F6A" w:rsidRDefault="00982F6A" w:rsidP="00982F6A">
            <w:pPr>
              <w:spacing w:after="160" w:line="278" w:lineRule="auto"/>
              <w:rPr>
                <w:rFonts w:ascii="Arial" w:hAnsi="Arial" w:cs="Arial"/>
                <w:lang w:val="en-US"/>
              </w:rPr>
            </w:pPr>
            <w:r w:rsidRPr="00982F6A">
              <w:rPr>
                <w:rFonts w:ascii="Arial" w:hAnsi="Arial" w:cs="Arial"/>
                <w:lang w:val="en-US"/>
              </w:rPr>
              <w:t>Strategic Human Resource Management</w:t>
            </w:r>
          </w:p>
        </w:tc>
      </w:tr>
      <w:tr w:rsidR="00982F6A" w:rsidRPr="00982F6A" w14:paraId="3B9B557D" w14:textId="77777777" w:rsidTr="00982F6A">
        <w:trPr>
          <w:trHeight w:val="486"/>
        </w:trPr>
        <w:tc>
          <w:tcPr>
            <w:tcW w:w="0" w:type="auto"/>
            <w:hideMark/>
          </w:tcPr>
          <w:p w14:paraId="0B9E04E5"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SLR</w:t>
            </w:r>
          </w:p>
        </w:tc>
        <w:tc>
          <w:tcPr>
            <w:tcW w:w="0" w:type="auto"/>
            <w:hideMark/>
          </w:tcPr>
          <w:p w14:paraId="482E846E" w14:textId="77777777" w:rsidR="00982F6A" w:rsidRPr="00982F6A" w:rsidRDefault="00982F6A" w:rsidP="00982F6A">
            <w:pPr>
              <w:spacing w:after="160" w:line="278" w:lineRule="auto"/>
              <w:rPr>
                <w:rFonts w:ascii="Arial" w:hAnsi="Arial" w:cs="Arial"/>
                <w:lang w:val="en-US"/>
              </w:rPr>
            </w:pPr>
            <w:r w:rsidRPr="00982F6A">
              <w:rPr>
                <w:rFonts w:ascii="Arial" w:hAnsi="Arial" w:cs="Arial"/>
                <w:lang w:val="en-US"/>
              </w:rPr>
              <w:t>Systematic Literature Review</w:t>
            </w:r>
          </w:p>
        </w:tc>
      </w:tr>
      <w:tr w:rsidR="00982F6A" w:rsidRPr="00982F6A" w14:paraId="4455B43C" w14:textId="77777777" w:rsidTr="00982F6A">
        <w:trPr>
          <w:trHeight w:val="486"/>
        </w:trPr>
        <w:tc>
          <w:tcPr>
            <w:tcW w:w="0" w:type="auto"/>
            <w:hideMark/>
          </w:tcPr>
          <w:p w14:paraId="512B7AF8"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UWTSD</w:t>
            </w:r>
          </w:p>
        </w:tc>
        <w:tc>
          <w:tcPr>
            <w:tcW w:w="0" w:type="auto"/>
            <w:hideMark/>
          </w:tcPr>
          <w:p w14:paraId="0C195EC7" w14:textId="77777777" w:rsidR="00982F6A" w:rsidRPr="00982F6A" w:rsidRDefault="00982F6A" w:rsidP="00982F6A">
            <w:pPr>
              <w:spacing w:after="160" w:line="278" w:lineRule="auto"/>
              <w:rPr>
                <w:rFonts w:ascii="Arial" w:hAnsi="Arial" w:cs="Arial"/>
                <w:lang w:val="en-US"/>
              </w:rPr>
            </w:pPr>
            <w:r w:rsidRPr="00982F6A">
              <w:rPr>
                <w:rFonts w:ascii="Arial" w:hAnsi="Arial" w:cs="Arial"/>
                <w:lang w:val="en-US"/>
              </w:rPr>
              <w:t>University of Wales Trinity Saint David</w:t>
            </w:r>
          </w:p>
        </w:tc>
      </w:tr>
      <w:tr w:rsidR="00982F6A" w:rsidRPr="00982F6A" w14:paraId="5E19E55C" w14:textId="77777777" w:rsidTr="00982F6A">
        <w:trPr>
          <w:trHeight w:val="486"/>
        </w:trPr>
        <w:tc>
          <w:tcPr>
            <w:tcW w:w="0" w:type="auto"/>
            <w:hideMark/>
          </w:tcPr>
          <w:p w14:paraId="26F047A0"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VRIN</w:t>
            </w:r>
          </w:p>
        </w:tc>
        <w:tc>
          <w:tcPr>
            <w:tcW w:w="0" w:type="auto"/>
            <w:hideMark/>
          </w:tcPr>
          <w:p w14:paraId="6AF89931" w14:textId="77777777" w:rsidR="00982F6A" w:rsidRPr="00982F6A" w:rsidRDefault="00982F6A" w:rsidP="00982F6A">
            <w:pPr>
              <w:spacing w:after="160" w:line="278" w:lineRule="auto"/>
              <w:rPr>
                <w:rFonts w:ascii="Arial" w:hAnsi="Arial" w:cs="Arial"/>
                <w:lang w:val="en-US"/>
              </w:rPr>
            </w:pPr>
            <w:r w:rsidRPr="00982F6A">
              <w:rPr>
                <w:rFonts w:ascii="Arial" w:hAnsi="Arial" w:cs="Arial"/>
                <w:lang w:val="en-US"/>
              </w:rPr>
              <w:t>Valuable, Rare, Inimitable, and Non-substitutable</w:t>
            </w:r>
          </w:p>
        </w:tc>
      </w:tr>
    </w:tbl>
    <w:p w14:paraId="2959745D" w14:textId="797C04A1" w:rsidR="00982F6A" w:rsidRDefault="00982F6A" w:rsidP="00982F6A">
      <w:pPr>
        <w:rPr>
          <w:rFonts w:ascii="Arial" w:hAnsi="Arial" w:cs="Arial"/>
          <w:lang w:val="en-GB"/>
        </w:rPr>
      </w:pPr>
      <w:r>
        <w:rPr>
          <w:rFonts w:ascii="Arial" w:hAnsi="Arial" w:cs="Arial"/>
          <w:lang w:val="en-GB"/>
        </w:rPr>
        <w:br w:type="page"/>
      </w:r>
    </w:p>
    <w:sdt>
      <w:sdtPr>
        <w:rPr>
          <w:rFonts w:ascii="Arial" w:eastAsia="Aptos" w:hAnsi="Arial" w:cs="Arial"/>
          <w:color w:val="auto"/>
          <w:sz w:val="24"/>
          <w:szCs w:val="24"/>
          <w:lang w:val="en" w:eastAsia="en-GB"/>
        </w:rPr>
        <w:id w:val="1476327044"/>
        <w:docPartObj>
          <w:docPartGallery w:val="Table of Contents"/>
          <w:docPartUnique/>
        </w:docPartObj>
      </w:sdtPr>
      <w:sdtEndPr>
        <w:rPr>
          <w:b/>
          <w:bCs/>
          <w:noProof/>
        </w:rPr>
      </w:sdtEndPr>
      <w:sdtContent>
        <w:p w14:paraId="6AB3EB8B" w14:textId="53457DFD" w:rsidR="00810EC8" w:rsidRPr="001777EB" w:rsidRDefault="00810EC8" w:rsidP="001777EB">
          <w:pPr>
            <w:pStyle w:val="TOCHeading"/>
            <w:rPr>
              <w:rFonts w:ascii="Arial" w:hAnsi="Arial" w:cs="Arial"/>
              <w:b/>
              <w:bCs/>
              <w:color w:val="auto"/>
              <w:u w:val="single"/>
            </w:rPr>
          </w:pPr>
          <w:r w:rsidRPr="001777EB">
            <w:rPr>
              <w:rFonts w:ascii="Arial" w:hAnsi="Arial" w:cs="Arial"/>
              <w:b/>
              <w:bCs/>
              <w:color w:val="auto"/>
              <w:u w:val="single"/>
            </w:rPr>
            <w:t>Table of Contents</w:t>
          </w:r>
        </w:p>
        <w:p w14:paraId="4CC68DD5" w14:textId="30251956" w:rsidR="001777EB" w:rsidRPr="001777EB" w:rsidRDefault="00810EC8">
          <w:pPr>
            <w:pStyle w:val="TOC1"/>
            <w:tabs>
              <w:tab w:val="right" w:leader="dot" w:pos="9350"/>
            </w:tabs>
            <w:rPr>
              <w:rFonts w:ascii="Arial" w:eastAsiaTheme="minorEastAsia" w:hAnsi="Arial" w:cs="Arial"/>
              <w:noProof/>
              <w:kern w:val="2"/>
              <w:lang w:val="en-US" w:eastAsia="en-US"/>
              <w14:ligatures w14:val="standardContextual"/>
            </w:rPr>
          </w:pPr>
          <w:r w:rsidRPr="001777EB">
            <w:rPr>
              <w:rFonts w:ascii="Arial" w:hAnsi="Arial" w:cs="Arial"/>
            </w:rPr>
            <w:fldChar w:fldCharType="begin"/>
          </w:r>
          <w:r w:rsidRPr="001777EB">
            <w:rPr>
              <w:rFonts w:ascii="Arial" w:hAnsi="Arial" w:cs="Arial"/>
            </w:rPr>
            <w:instrText xml:space="preserve"> TOC \o "1-3" \h \z \u </w:instrText>
          </w:r>
          <w:r w:rsidRPr="001777EB">
            <w:rPr>
              <w:rFonts w:ascii="Arial" w:hAnsi="Arial" w:cs="Arial"/>
            </w:rPr>
            <w:fldChar w:fldCharType="separate"/>
          </w:r>
          <w:hyperlink w:anchor="_Toc228704001" w:history="1">
            <w:r w:rsidR="001777EB" w:rsidRPr="001777EB">
              <w:rPr>
                <w:rStyle w:val="Hyperlink"/>
                <w:rFonts w:ascii="Arial" w:hAnsi="Arial" w:cs="Arial"/>
                <w:noProof/>
                <w:lang w:val="en-GB"/>
              </w:rPr>
              <w:t>Acknowledgement</w:t>
            </w:r>
            <w:r w:rsidR="001777EB" w:rsidRPr="001777EB">
              <w:rPr>
                <w:rFonts w:ascii="Arial" w:hAnsi="Arial" w:cs="Arial"/>
                <w:noProof/>
                <w:webHidden/>
              </w:rPr>
              <w:tab/>
            </w:r>
            <w:r w:rsidR="001777EB" w:rsidRPr="001777EB">
              <w:rPr>
                <w:rFonts w:ascii="Arial" w:hAnsi="Arial" w:cs="Arial"/>
                <w:noProof/>
                <w:webHidden/>
              </w:rPr>
              <w:fldChar w:fldCharType="begin"/>
            </w:r>
            <w:r w:rsidR="001777EB" w:rsidRPr="001777EB">
              <w:rPr>
                <w:rFonts w:ascii="Arial" w:hAnsi="Arial" w:cs="Arial"/>
                <w:noProof/>
                <w:webHidden/>
              </w:rPr>
              <w:instrText xml:space="preserve"> PAGEREF _Toc228704001 \h </w:instrText>
            </w:r>
            <w:r w:rsidR="001777EB" w:rsidRPr="001777EB">
              <w:rPr>
                <w:rFonts w:ascii="Arial" w:hAnsi="Arial" w:cs="Arial"/>
                <w:noProof/>
                <w:webHidden/>
              </w:rPr>
            </w:r>
            <w:r w:rsidR="001777EB" w:rsidRPr="001777EB">
              <w:rPr>
                <w:rFonts w:ascii="Arial" w:hAnsi="Arial" w:cs="Arial"/>
                <w:noProof/>
                <w:webHidden/>
              </w:rPr>
              <w:fldChar w:fldCharType="separate"/>
            </w:r>
            <w:r w:rsidR="00F27CF1">
              <w:rPr>
                <w:rFonts w:ascii="Arial" w:hAnsi="Arial" w:cs="Arial"/>
                <w:noProof/>
                <w:webHidden/>
              </w:rPr>
              <w:t>iv</w:t>
            </w:r>
            <w:r w:rsidR="001777EB" w:rsidRPr="001777EB">
              <w:rPr>
                <w:rFonts w:ascii="Arial" w:hAnsi="Arial" w:cs="Arial"/>
                <w:noProof/>
                <w:webHidden/>
              </w:rPr>
              <w:fldChar w:fldCharType="end"/>
            </w:r>
          </w:hyperlink>
        </w:p>
        <w:p w14:paraId="783C0CD3" w14:textId="57655983" w:rsidR="001777EB" w:rsidRPr="001777EB" w:rsidRDefault="001777EB">
          <w:pPr>
            <w:pStyle w:val="TOC1"/>
            <w:tabs>
              <w:tab w:val="right" w:leader="dot" w:pos="9350"/>
            </w:tabs>
            <w:rPr>
              <w:rFonts w:ascii="Arial" w:eastAsiaTheme="minorEastAsia" w:hAnsi="Arial" w:cs="Arial"/>
              <w:noProof/>
              <w:kern w:val="2"/>
              <w:lang w:val="en-US" w:eastAsia="en-US"/>
              <w14:ligatures w14:val="standardContextual"/>
            </w:rPr>
          </w:pPr>
          <w:hyperlink w:anchor="_Toc228704002" w:history="1">
            <w:r w:rsidRPr="001777EB">
              <w:rPr>
                <w:rStyle w:val="Hyperlink"/>
                <w:rFonts w:ascii="Arial" w:hAnsi="Arial" w:cs="Arial"/>
                <w:noProof/>
                <w:lang w:val="en-GB"/>
              </w:rPr>
              <w:t>Abstract</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_Toc228704002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v</w:t>
            </w:r>
            <w:r w:rsidRPr="001777EB">
              <w:rPr>
                <w:rFonts w:ascii="Arial" w:hAnsi="Arial" w:cs="Arial"/>
                <w:noProof/>
                <w:webHidden/>
              </w:rPr>
              <w:fldChar w:fldCharType="end"/>
            </w:r>
          </w:hyperlink>
        </w:p>
        <w:p w14:paraId="32C502CC" w14:textId="6A4D4DF8" w:rsidR="001777EB" w:rsidRPr="001777EB" w:rsidRDefault="001777EB">
          <w:pPr>
            <w:pStyle w:val="TOC1"/>
            <w:tabs>
              <w:tab w:val="right" w:leader="dot" w:pos="9350"/>
            </w:tabs>
            <w:rPr>
              <w:rFonts w:ascii="Arial" w:eastAsiaTheme="minorEastAsia" w:hAnsi="Arial" w:cs="Arial"/>
              <w:noProof/>
              <w:kern w:val="2"/>
              <w:lang w:val="en-US" w:eastAsia="en-US"/>
              <w14:ligatures w14:val="standardContextual"/>
            </w:rPr>
          </w:pPr>
          <w:hyperlink w:anchor="_Toc228704003" w:history="1">
            <w:r w:rsidRPr="001777EB">
              <w:rPr>
                <w:rStyle w:val="Hyperlink"/>
                <w:rFonts w:ascii="Arial" w:hAnsi="Arial" w:cs="Arial"/>
                <w:noProof/>
                <w:lang w:val="en-GB"/>
              </w:rPr>
              <w:t>List of Abbreviation:</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_Toc228704003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vi</w:t>
            </w:r>
            <w:r w:rsidRPr="001777EB">
              <w:rPr>
                <w:rFonts w:ascii="Arial" w:hAnsi="Arial" w:cs="Arial"/>
                <w:noProof/>
                <w:webHidden/>
              </w:rPr>
              <w:fldChar w:fldCharType="end"/>
            </w:r>
          </w:hyperlink>
        </w:p>
        <w:p w14:paraId="4B092799" w14:textId="4E6C4247" w:rsidR="001777EB" w:rsidRPr="001777EB" w:rsidRDefault="001777EB">
          <w:pPr>
            <w:pStyle w:val="TOC1"/>
            <w:tabs>
              <w:tab w:val="right" w:leader="dot" w:pos="9350"/>
            </w:tabs>
            <w:rPr>
              <w:rFonts w:ascii="Arial" w:eastAsiaTheme="minorEastAsia" w:hAnsi="Arial" w:cs="Arial"/>
              <w:noProof/>
              <w:kern w:val="2"/>
              <w:lang w:val="en-US" w:eastAsia="en-US"/>
              <w14:ligatures w14:val="standardContextual"/>
            </w:rPr>
          </w:pPr>
          <w:hyperlink w:anchor="_Toc228704004" w:history="1">
            <w:r w:rsidRPr="001777EB">
              <w:rPr>
                <w:rStyle w:val="Hyperlink"/>
                <w:rFonts w:ascii="Arial" w:hAnsi="Arial" w:cs="Arial"/>
                <w:noProof/>
                <w:lang w:val="en-GB"/>
              </w:rPr>
              <w:t>Chapter 1: Introduction</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_Toc228704004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1</w:t>
            </w:r>
            <w:r w:rsidRPr="001777EB">
              <w:rPr>
                <w:rFonts w:ascii="Arial" w:hAnsi="Arial" w:cs="Arial"/>
                <w:noProof/>
                <w:webHidden/>
              </w:rPr>
              <w:fldChar w:fldCharType="end"/>
            </w:r>
          </w:hyperlink>
        </w:p>
        <w:p w14:paraId="3940EA1B" w14:textId="0066A6A3"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05" w:history="1">
            <w:r w:rsidRPr="001777EB">
              <w:rPr>
                <w:rStyle w:val="Hyperlink"/>
                <w:rFonts w:ascii="Arial" w:hAnsi="Arial" w:cs="Arial"/>
                <w:noProof/>
              </w:rPr>
              <w:t>1.1 Background and Context</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_Toc228704005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1</w:t>
            </w:r>
            <w:r w:rsidRPr="001777EB">
              <w:rPr>
                <w:rFonts w:ascii="Arial" w:hAnsi="Arial" w:cs="Arial"/>
                <w:noProof/>
                <w:webHidden/>
              </w:rPr>
              <w:fldChar w:fldCharType="end"/>
            </w:r>
          </w:hyperlink>
        </w:p>
        <w:p w14:paraId="0A61D944" w14:textId="3D081905"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06" w:history="1">
            <w:r w:rsidRPr="001777EB">
              <w:rPr>
                <w:rStyle w:val="Hyperlink"/>
                <w:rFonts w:ascii="Arial" w:hAnsi="Arial" w:cs="Arial"/>
                <w:noProof/>
              </w:rPr>
              <w:t>1.2 Problem Statement</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_Toc228704006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2</w:t>
            </w:r>
            <w:r w:rsidRPr="001777EB">
              <w:rPr>
                <w:rFonts w:ascii="Arial" w:hAnsi="Arial" w:cs="Arial"/>
                <w:noProof/>
                <w:webHidden/>
              </w:rPr>
              <w:fldChar w:fldCharType="end"/>
            </w:r>
          </w:hyperlink>
        </w:p>
        <w:p w14:paraId="66D8B5CE" w14:textId="7C07913B"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07" w:history="1">
            <w:r w:rsidRPr="001777EB">
              <w:rPr>
                <w:rStyle w:val="Hyperlink"/>
                <w:rFonts w:ascii="Arial" w:hAnsi="Arial" w:cs="Arial"/>
                <w:noProof/>
              </w:rPr>
              <w:t>1.3 Research Aim</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_Toc228704007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4</w:t>
            </w:r>
            <w:r w:rsidRPr="001777EB">
              <w:rPr>
                <w:rFonts w:ascii="Arial" w:hAnsi="Arial" w:cs="Arial"/>
                <w:noProof/>
                <w:webHidden/>
              </w:rPr>
              <w:fldChar w:fldCharType="end"/>
            </w:r>
          </w:hyperlink>
        </w:p>
        <w:p w14:paraId="22C39134" w14:textId="36C1B189"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08" w:history="1">
            <w:r w:rsidRPr="001777EB">
              <w:rPr>
                <w:rStyle w:val="Hyperlink"/>
                <w:rFonts w:ascii="Arial" w:hAnsi="Arial" w:cs="Arial"/>
                <w:noProof/>
              </w:rPr>
              <w:t>1.4 Research Objectives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_Toc228704008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4</w:t>
            </w:r>
            <w:r w:rsidRPr="001777EB">
              <w:rPr>
                <w:rFonts w:ascii="Arial" w:hAnsi="Arial" w:cs="Arial"/>
                <w:noProof/>
                <w:webHidden/>
              </w:rPr>
              <w:fldChar w:fldCharType="end"/>
            </w:r>
          </w:hyperlink>
        </w:p>
        <w:p w14:paraId="43A64AE9" w14:textId="40E7DA82"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09" w:history="1">
            <w:r w:rsidRPr="001777EB">
              <w:rPr>
                <w:rStyle w:val="Hyperlink"/>
                <w:rFonts w:ascii="Arial" w:hAnsi="Arial" w:cs="Arial"/>
                <w:noProof/>
              </w:rPr>
              <w:t>1.5 Research Questions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_Toc228704009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4</w:t>
            </w:r>
            <w:r w:rsidRPr="001777EB">
              <w:rPr>
                <w:rFonts w:ascii="Arial" w:hAnsi="Arial" w:cs="Arial"/>
                <w:noProof/>
                <w:webHidden/>
              </w:rPr>
              <w:fldChar w:fldCharType="end"/>
            </w:r>
          </w:hyperlink>
        </w:p>
        <w:p w14:paraId="5D94B05F" w14:textId="472C41B7"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10" w:history="1">
            <w:r w:rsidRPr="001777EB">
              <w:rPr>
                <w:rStyle w:val="Hyperlink"/>
                <w:rFonts w:ascii="Arial" w:hAnsi="Arial" w:cs="Arial"/>
                <w:noProof/>
              </w:rPr>
              <w:t>1.6 Significance of the Study</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_Toc228704010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4</w:t>
            </w:r>
            <w:r w:rsidRPr="001777EB">
              <w:rPr>
                <w:rFonts w:ascii="Arial" w:hAnsi="Arial" w:cs="Arial"/>
                <w:noProof/>
                <w:webHidden/>
              </w:rPr>
              <w:fldChar w:fldCharType="end"/>
            </w:r>
          </w:hyperlink>
        </w:p>
        <w:p w14:paraId="2C3F23A6" w14:textId="69030793"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11" w:history="1">
            <w:r w:rsidRPr="001777EB">
              <w:rPr>
                <w:rStyle w:val="Hyperlink"/>
                <w:rFonts w:ascii="Arial" w:hAnsi="Arial" w:cs="Arial"/>
                <w:noProof/>
              </w:rPr>
              <w:t>1.7 Research Methodology Overview</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_Toc228704011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5</w:t>
            </w:r>
            <w:r w:rsidRPr="001777EB">
              <w:rPr>
                <w:rFonts w:ascii="Arial" w:hAnsi="Arial" w:cs="Arial"/>
                <w:noProof/>
                <w:webHidden/>
              </w:rPr>
              <w:fldChar w:fldCharType="end"/>
            </w:r>
          </w:hyperlink>
        </w:p>
        <w:p w14:paraId="0D4769CE" w14:textId="180133EF"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12" w:history="1">
            <w:r w:rsidRPr="001777EB">
              <w:rPr>
                <w:rStyle w:val="Hyperlink"/>
                <w:rFonts w:ascii="Arial" w:hAnsi="Arial" w:cs="Arial"/>
                <w:noProof/>
              </w:rPr>
              <w:t>1.8 Dissertation Structure</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_Toc228704012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6</w:t>
            </w:r>
            <w:r w:rsidRPr="001777EB">
              <w:rPr>
                <w:rFonts w:ascii="Arial" w:hAnsi="Arial" w:cs="Arial"/>
                <w:noProof/>
                <w:webHidden/>
              </w:rPr>
              <w:fldChar w:fldCharType="end"/>
            </w:r>
          </w:hyperlink>
        </w:p>
        <w:p w14:paraId="07B2B6CA" w14:textId="079AC1AD" w:rsidR="001777EB" w:rsidRPr="001777EB" w:rsidRDefault="001777EB">
          <w:pPr>
            <w:pStyle w:val="TOC1"/>
            <w:tabs>
              <w:tab w:val="right" w:leader="dot" w:pos="9350"/>
            </w:tabs>
            <w:rPr>
              <w:rFonts w:ascii="Arial" w:eastAsiaTheme="minorEastAsia" w:hAnsi="Arial" w:cs="Arial"/>
              <w:noProof/>
              <w:kern w:val="2"/>
              <w:lang w:val="en-US" w:eastAsia="en-US"/>
              <w14:ligatures w14:val="standardContextual"/>
            </w:rPr>
          </w:pPr>
          <w:hyperlink w:anchor="_Toc228704013" w:history="1">
            <w:r w:rsidRPr="001777EB">
              <w:rPr>
                <w:rStyle w:val="Hyperlink"/>
                <w:rFonts w:ascii="Arial" w:hAnsi="Arial" w:cs="Arial"/>
                <w:noProof/>
              </w:rPr>
              <w:t>Chapter 2: Literature Review</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_Toc228704013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7</w:t>
            </w:r>
            <w:r w:rsidRPr="001777EB">
              <w:rPr>
                <w:rFonts w:ascii="Arial" w:hAnsi="Arial" w:cs="Arial"/>
                <w:noProof/>
                <w:webHidden/>
              </w:rPr>
              <w:fldChar w:fldCharType="end"/>
            </w:r>
          </w:hyperlink>
        </w:p>
        <w:p w14:paraId="6E1B2AA3" w14:textId="6B40BA12"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14" w:history="1">
            <w:r w:rsidRPr="001777EB">
              <w:rPr>
                <w:rStyle w:val="Hyperlink"/>
                <w:rFonts w:ascii="Arial" w:hAnsi="Arial" w:cs="Arial"/>
                <w:noProof/>
              </w:rPr>
              <w:t>2.1 Introduction</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_Toc228704014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7</w:t>
            </w:r>
            <w:r w:rsidRPr="001777EB">
              <w:rPr>
                <w:rFonts w:ascii="Arial" w:hAnsi="Arial" w:cs="Arial"/>
                <w:noProof/>
                <w:webHidden/>
              </w:rPr>
              <w:fldChar w:fldCharType="end"/>
            </w:r>
          </w:hyperlink>
        </w:p>
        <w:p w14:paraId="233FA574" w14:textId="56F6FB89"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15" w:history="1">
            <w:r w:rsidRPr="001777EB">
              <w:rPr>
                <w:rStyle w:val="Hyperlink"/>
                <w:rFonts w:ascii="Arial" w:hAnsi="Arial" w:cs="Arial"/>
                <w:noProof/>
              </w:rPr>
              <w:t>2.2 Strategic Human Capital Management (SHCM): Concepts and Debates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_Toc228704015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8</w:t>
            </w:r>
            <w:r w:rsidRPr="001777EB">
              <w:rPr>
                <w:rFonts w:ascii="Arial" w:hAnsi="Arial" w:cs="Arial"/>
                <w:noProof/>
                <w:webHidden/>
              </w:rPr>
              <w:fldChar w:fldCharType="end"/>
            </w:r>
          </w:hyperlink>
        </w:p>
        <w:p w14:paraId="5BBB1EE4" w14:textId="31B372AF"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16" w:history="1">
            <w:r w:rsidRPr="001777EB">
              <w:rPr>
                <w:rStyle w:val="Hyperlink"/>
                <w:rFonts w:ascii="Arial" w:hAnsi="Arial" w:cs="Arial"/>
                <w:noProof/>
              </w:rPr>
              <w:t>2.2.1 Defining SHCM</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_Toc228704016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8</w:t>
            </w:r>
            <w:r w:rsidRPr="001777EB">
              <w:rPr>
                <w:rFonts w:ascii="Arial" w:hAnsi="Arial" w:cs="Arial"/>
                <w:noProof/>
                <w:webHidden/>
              </w:rPr>
              <w:fldChar w:fldCharType="end"/>
            </w:r>
          </w:hyperlink>
        </w:p>
        <w:p w14:paraId="349D032B" w14:textId="364B53BE"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17" w:history="1">
            <w:r w:rsidRPr="001777EB">
              <w:rPr>
                <w:rStyle w:val="Hyperlink"/>
                <w:rFonts w:ascii="Arial" w:hAnsi="Arial" w:cs="Arial"/>
                <w:noProof/>
              </w:rPr>
              <w:t>2.2.2 SHCM and Organisational Performance</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_Toc228704017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8</w:t>
            </w:r>
            <w:r w:rsidRPr="001777EB">
              <w:rPr>
                <w:rFonts w:ascii="Arial" w:hAnsi="Arial" w:cs="Arial"/>
                <w:noProof/>
                <w:webHidden/>
              </w:rPr>
              <w:fldChar w:fldCharType="end"/>
            </w:r>
          </w:hyperlink>
        </w:p>
        <w:p w14:paraId="068F6982" w14:textId="76017762"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18" w:history="1">
            <w:r w:rsidRPr="001777EB">
              <w:rPr>
                <w:rStyle w:val="Hyperlink"/>
                <w:rFonts w:ascii="Arial" w:hAnsi="Arial" w:cs="Arial"/>
                <w:noProof/>
              </w:rPr>
              <w:t>2.2.3 SHCM and Employee Wellbeing</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_Toc228704018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9</w:t>
            </w:r>
            <w:r w:rsidRPr="001777EB">
              <w:rPr>
                <w:rFonts w:ascii="Arial" w:hAnsi="Arial" w:cs="Arial"/>
                <w:noProof/>
                <w:webHidden/>
              </w:rPr>
              <w:fldChar w:fldCharType="end"/>
            </w:r>
          </w:hyperlink>
        </w:p>
        <w:p w14:paraId="46CF4E62" w14:textId="0EFD55D0"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19" w:history="1">
            <w:r w:rsidRPr="001777EB">
              <w:rPr>
                <w:rStyle w:val="Hyperlink"/>
                <w:rFonts w:ascii="Arial" w:hAnsi="Arial" w:cs="Arial"/>
                <w:noProof/>
              </w:rPr>
              <w:t>2.3 Organisational Risk: Conceptualising Human Capital Risk</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_Toc228704019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10</w:t>
            </w:r>
            <w:r w:rsidRPr="001777EB">
              <w:rPr>
                <w:rFonts w:ascii="Arial" w:hAnsi="Arial" w:cs="Arial"/>
                <w:noProof/>
                <w:webHidden/>
              </w:rPr>
              <w:fldChar w:fldCharType="end"/>
            </w:r>
          </w:hyperlink>
        </w:p>
        <w:p w14:paraId="19FEDB3F" w14:textId="56B9BDFD"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20" w:history="1">
            <w:r w:rsidRPr="001777EB">
              <w:rPr>
                <w:rStyle w:val="Hyperlink"/>
                <w:rFonts w:ascii="Arial" w:hAnsi="Arial" w:cs="Arial"/>
                <w:noProof/>
              </w:rPr>
              <w:t>2.3.1 Risk Management Frameworks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_Toc228704020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10</w:t>
            </w:r>
            <w:r w:rsidRPr="001777EB">
              <w:rPr>
                <w:rFonts w:ascii="Arial" w:hAnsi="Arial" w:cs="Arial"/>
                <w:noProof/>
                <w:webHidden/>
              </w:rPr>
              <w:fldChar w:fldCharType="end"/>
            </w:r>
          </w:hyperlink>
        </w:p>
        <w:p w14:paraId="612DCAF7" w14:textId="5D67B887"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21" w:history="1">
            <w:r w:rsidRPr="001777EB">
              <w:rPr>
                <w:rStyle w:val="Hyperlink"/>
                <w:rFonts w:ascii="Arial" w:hAnsi="Arial" w:cs="Arial"/>
                <w:noProof/>
              </w:rPr>
              <w:t>2.3.2 Human Capital Risk Categories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_Toc228704021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11</w:t>
            </w:r>
            <w:r w:rsidRPr="001777EB">
              <w:rPr>
                <w:rFonts w:ascii="Arial" w:hAnsi="Arial" w:cs="Arial"/>
                <w:noProof/>
                <w:webHidden/>
              </w:rPr>
              <w:fldChar w:fldCharType="end"/>
            </w:r>
          </w:hyperlink>
        </w:p>
        <w:p w14:paraId="34D03FB8" w14:textId="65C82107"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22" w:history="1">
            <w:r w:rsidRPr="001777EB">
              <w:rPr>
                <w:rStyle w:val="Hyperlink"/>
                <w:rFonts w:ascii="Arial" w:hAnsi="Arial" w:cs="Arial"/>
                <w:noProof/>
              </w:rPr>
              <w:t>2.4 Integrating SHCM with Organisational Risk Management</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_Toc228704022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13</w:t>
            </w:r>
            <w:r w:rsidRPr="001777EB">
              <w:rPr>
                <w:rFonts w:ascii="Arial" w:hAnsi="Arial" w:cs="Arial"/>
                <w:noProof/>
                <w:webHidden/>
              </w:rPr>
              <w:fldChar w:fldCharType="end"/>
            </w:r>
          </w:hyperlink>
        </w:p>
        <w:p w14:paraId="34295574" w14:textId="70739408"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23" w:history="1">
            <w:r w:rsidRPr="001777EB">
              <w:rPr>
                <w:rStyle w:val="Hyperlink"/>
                <w:rFonts w:ascii="Arial" w:hAnsi="Arial" w:cs="Arial"/>
                <w:noProof/>
              </w:rPr>
              <w:t>2.4.1 SHCM as a Risk Mitigation Mechanism</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_Toc228704023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13</w:t>
            </w:r>
            <w:r w:rsidRPr="001777EB">
              <w:rPr>
                <w:rFonts w:ascii="Arial" w:hAnsi="Arial" w:cs="Arial"/>
                <w:noProof/>
                <w:webHidden/>
              </w:rPr>
              <w:fldChar w:fldCharType="end"/>
            </w:r>
          </w:hyperlink>
        </w:p>
        <w:p w14:paraId="30C0144A" w14:textId="0841D76B"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24" w:history="1">
            <w:r w:rsidRPr="001777EB">
              <w:rPr>
                <w:rStyle w:val="Hyperlink"/>
                <w:rFonts w:ascii="Arial" w:hAnsi="Arial" w:cs="Arial"/>
                <w:noProof/>
              </w:rPr>
              <w:t>2.4.2 SHCM and Resilience</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_Toc228704024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14</w:t>
            </w:r>
            <w:r w:rsidRPr="001777EB">
              <w:rPr>
                <w:rFonts w:ascii="Arial" w:hAnsi="Arial" w:cs="Arial"/>
                <w:noProof/>
                <w:webHidden/>
              </w:rPr>
              <w:fldChar w:fldCharType="end"/>
            </w:r>
          </w:hyperlink>
        </w:p>
        <w:p w14:paraId="53D729DB" w14:textId="52076F79"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25" w:history="1">
            <w:r w:rsidRPr="001777EB">
              <w:rPr>
                <w:rStyle w:val="Hyperlink"/>
                <w:rFonts w:ascii="Arial" w:hAnsi="Arial" w:cs="Arial"/>
                <w:noProof/>
              </w:rPr>
              <w:t>2.4.3 Synthesis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_Toc228704025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16</w:t>
            </w:r>
            <w:r w:rsidRPr="001777EB">
              <w:rPr>
                <w:rFonts w:ascii="Arial" w:hAnsi="Arial" w:cs="Arial"/>
                <w:noProof/>
                <w:webHidden/>
              </w:rPr>
              <w:fldChar w:fldCharType="end"/>
            </w:r>
          </w:hyperlink>
        </w:p>
        <w:p w14:paraId="006DA1A3" w14:textId="738CC3DE"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26" w:history="1">
            <w:r w:rsidRPr="001777EB">
              <w:rPr>
                <w:rStyle w:val="Hyperlink"/>
                <w:rFonts w:ascii="Arial" w:hAnsi="Arial" w:cs="Arial"/>
                <w:noProof/>
              </w:rPr>
              <w:t>2.5 Empirical Evidence from Recent Research</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_Toc228704026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16</w:t>
            </w:r>
            <w:r w:rsidRPr="001777EB">
              <w:rPr>
                <w:rFonts w:ascii="Arial" w:hAnsi="Arial" w:cs="Arial"/>
                <w:noProof/>
                <w:webHidden/>
              </w:rPr>
              <w:fldChar w:fldCharType="end"/>
            </w:r>
          </w:hyperlink>
        </w:p>
        <w:p w14:paraId="08DE8CFC" w14:textId="6E0D1C90"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27" w:history="1">
            <w:r w:rsidRPr="001777EB">
              <w:rPr>
                <w:rStyle w:val="Hyperlink"/>
                <w:rFonts w:ascii="Arial" w:hAnsi="Arial" w:cs="Arial"/>
                <w:noProof/>
              </w:rPr>
              <w:t>2.5.1 SHCM and Performance Outcomes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_Toc228704027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16</w:t>
            </w:r>
            <w:r w:rsidRPr="001777EB">
              <w:rPr>
                <w:rFonts w:ascii="Arial" w:hAnsi="Arial" w:cs="Arial"/>
                <w:noProof/>
                <w:webHidden/>
              </w:rPr>
              <w:fldChar w:fldCharType="end"/>
            </w:r>
          </w:hyperlink>
        </w:p>
        <w:p w14:paraId="5CD35DD0" w14:textId="101F7457"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28" w:history="1">
            <w:r w:rsidRPr="001777EB">
              <w:rPr>
                <w:rStyle w:val="Hyperlink"/>
                <w:rFonts w:ascii="Arial" w:hAnsi="Arial" w:cs="Arial"/>
                <w:noProof/>
              </w:rPr>
              <w:t>2.5.2 Human Capital Risk and SHCM in the UK Context</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_Toc228704028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17</w:t>
            </w:r>
            <w:r w:rsidRPr="001777EB">
              <w:rPr>
                <w:rFonts w:ascii="Arial" w:hAnsi="Arial" w:cs="Arial"/>
                <w:noProof/>
                <w:webHidden/>
              </w:rPr>
              <w:fldChar w:fldCharType="end"/>
            </w:r>
          </w:hyperlink>
        </w:p>
        <w:p w14:paraId="33C2D7BB" w14:textId="24DC38D9"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29" w:history="1">
            <w:r w:rsidRPr="001777EB">
              <w:rPr>
                <w:rStyle w:val="Hyperlink"/>
                <w:rFonts w:ascii="Arial" w:hAnsi="Arial" w:cs="Arial"/>
                <w:noProof/>
              </w:rPr>
              <w:t>2.6 Key Theoretical Foundations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_Toc228704029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18</w:t>
            </w:r>
            <w:r w:rsidRPr="001777EB">
              <w:rPr>
                <w:rFonts w:ascii="Arial" w:hAnsi="Arial" w:cs="Arial"/>
                <w:noProof/>
                <w:webHidden/>
              </w:rPr>
              <w:fldChar w:fldCharType="end"/>
            </w:r>
          </w:hyperlink>
        </w:p>
        <w:p w14:paraId="54DAF6F3" w14:textId="762B2C0E"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30" w:history="1">
            <w:r w:rsidRPr="001777EB">
              <w:rPr>
                <w:rStyle w:val="Hyperlink"/>
                <w:rFonts w:ascii="Arial" w:hAnsi="Arial" w:cs="Arial"/>
                <w:noProof/>
              </w:rPr>
              <w:t>2.6.1 Human Capital Theory</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_Toc228704030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18</w:t>
            </w:r>
            <w:r w:rsidRPr="001777EB">
              <w:rPr>
                <w:rFonts w:ascii="Arial" w:hAnsi="Arial" w:cs="Arial"/>
                <w:noProof/>
                <w:webHidden/>
              </w:rPr>
              <w:fldChar w:fldCharType="end"/>
            </w:r>
          </w:hyperlink>
        </w:p>
        <w:p w14:paraId="6F40B632" w14:textId="686FBFFF"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31" w:history="1">
            <w:r w:rsidRPr="001777EB">
              <w:rPr>
                <w:rStyle w:val="Hyperlink"/>
                <w:rFonts w:ascii="Arial" w:hAnsi="Arial" w:cs="Arial"/>
                <w:noProof/>
              </w:rPr>
              <w:t>2.6.2 Resource-Based View (RBV)</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_Toc228704031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19</w:t>
            </w:r>
            <w:r w:rsidRPr="001777EB">
              <w:rPr>
                <w:rFonts w:ascii="Arial" w:hAnsi="Arial" w:cs="Arial"/>
                <w:noProof/>
                <w:webHidden/>
              </w:rPr>
              <w:fldChar w:fldCharType="end"/>
            </w:r>
          </w:hyperlink>
        </w:p>
        <w:p w14:paraId="209A87EA" w14:textId="3834B4C3"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32" w:history="1">
            <w:r w:rsidRPr="001777EB">
              <w:rPr>
                <w:rStyle w:val="Hyperlink"/>
                <w:rFonts w:ascii="Arial" w:hAnsi="Arial" w:cs="Arial"/>
                <w:noProof/>
              </w:rPr>
              <w:t>2.6.3 Dynamic Capabilities Theory</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_Toc228704032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20</w:t>
            </w:r>
            <w:r w:rsidRPr="001777EB">
              <w:rPr>
                <w:rFonts w:ascii="Arial" w:hAnsi="Arial" w:cs="Arial"/>
                <w:noProof/>
                <w:webHidden/>
              </w:rPr>
              <w:fldChar w:fldCharType="end"/>
            </w:r>
          </w:hyperlink>
        </w:p>
        <w:p w14:paraId="635CD746" w14:textId="48526B31"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33" w:history="1">
            <w:r w:rsidRPr="001777EB">
              <w:rPr>
                <w:rStyle w:val="Hyperlink"/>
                <w:rFonts w:ascii="Arial" w:hAnsi="Arial" w:cs="Arial"/>
                <w:noProof/>
              </w:rPr>
              <w:t>2.6.4 Integration of Theories in SHCM</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_Toc228704033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21</w:t>
            </w:r>
            <w:r w:rsidRPr="001777EB">
              <w:rPr>
                <w:rFonts w:ascii="Arial" w:hAnsi="Arial" w:cs="Arial"/>
                <w:noProof/>
                <w:webHidden/>
              </w:rPr>
              <w:fldChar w:fldCharType="end"/>
            </w:r>
          </w:hyperlink>
        </w:p>
        <w:p w14:paraId="7BBB8C44" w14:textId="3075E44C"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34" w:history="1">
            <w:r w:rsidRPr="001777EB">
              <w:rPr>
                <w:rStyle w:val="Hyperlink"/>
                <w:rFonts w:ascii="Arial" w:hAnsi="Arial" w:cs="Arial"/>
                <w:noProof/>
              </w:rPr>
              <w:t>2.7 Conceptual Framework</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_Toc228704034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21</w:t>
            </w:r>
            <w:r w:rsidRPr="001777EB">
              <w:rPr>
                <w:rFonts w:ascii="Arial" w:hAnsi="Arial" w:cs="Arial"/>
                <w:noProof/>
                <w:webHidden/>
              </w:rPr>
              <w:fldChar w:fldCharType="end"/>
            </w:r>
          </w:hyperlink>
        </w:p>
        <w:p w14:paraId="650105DC" w14:textId="3184C0B6"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35" w:history="1">
            <w:r w:rsidRPr="001777EB">
              <w:rPr>
                <w:rStyle w:val="Hyperlink"/>
                <w:rFonts w:ascii="Arial" w:hAnsi="Arial" w:cs="Arial"/>
                <w:noProof/>
              </w:rPr>
              <w:t>2.8 Research Gaps Identified</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_Toc228704035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23</w:t>
            </w:r>
            <w:r w:rsidRPr="001777EB">
              <w:rPr>
                <w:rFonts w:ascii="Arial" w:hAnsi="Arial" w:cs="Arial"/>
                <w:noProof/>
                <w:webHidden/>
              </w:rPr>
              <w:fldChar w:fldCharType="end"/>
            </w:r>
          </w:hyperlink>
        </w:p>
        <w:p w14:paraId="734ABE2F" w14:textId="3FD852AF"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36" w:history="1">
            <w:r w:rsidRPr="001777EB">
              <w:rPr>
                <w:rStyle w:val="Hyperlink"/>
                <w:rFonts w:ascii="Arial" w:hAnsi="Arial" w:cs="Arial"/>
                <w:noProof/>
              </w:rPr>
              <w:t>2.9 Conclusion</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_Toc228704036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24</w:t>
            </w:r>
            <w:r w:rsidRPr="001777EB">
              <w:rPr>
                <w:rFonts w:ascii="Arial" w:hAnsi="Arial" w:cs="Arial"/>
                <w:noProof/>
                <w:webHidden/>
              </w:rPr>
              <w:fldChar w:fldCharType="end"/>
            </w:r>
          </w:hyperlink>
        </w:p>
        <w:p w14:paraId="156EF52E" w14:textId="61B5501B" w:rsidR="001777EB" w:rsidRPr="001777EB" w:rsidRDefault="001777EB">
          <w:pPr>
            <w:pStyle w:val="TOC1"/>
            <w:tabs>
              <w:tab w:val="right" w:leader="dot" w:pos="9350"/>
            </w:tabs>
            <w:rPr>
              <w:rFonts w:ascii="Arial" w:eastAsiaTheme="minorEastAsia" w:hAnsi="Arial" w:cs="Arial"/>
              <w:noProof/>
              <w:kern w:val="2"/>
              <w:lang w:val="en-US" w:eastAsia="en-US"/>
              <w14:ligatures w14:val="standardContextual"/>
            </w:rPr>
          </w:pPr>
          <w:hyperlink w:anchor="_Toc228704037" w:history="1">
            <w:r w:rsidRPr="001777EB">
              <w:rPr>
                <w:rStyle w:val="Hyperlink"/>
                <w:rFonts w:ascii="Arial" w:hAnsi="Arial" w:cs="Arial"/>
                <w:noProof/>
              </w:rPr>
              <w:t>CHAPTER 3: Methodology</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_Toc228704037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25</w:t>
            </w:r>
            <w:r w:rsidRPr="001777EB">
              <w:rPr>
                <w:rFonts w:ascii="Arial" w:hAnsi="Arial" w:cs="Arial"/>
                <w:noProof/>
                <w:webHidden/>
              </w:rPr>
              <w:fldChar w:fldCharType="end"/>
            </w:r>
          </w:hyperlink>
        </w:p>
        <w:p w14:paraId="5CC0B2F6" w14:textId="3E3AC4E5"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38" w:history="1">
            <w:r w:rsidRPr="001777EB">
              <w:rPr>
                <w:rStyle w:val="Hyperlink"/>
                <w:rFonts w:ascii="Arial" w:hAnsi="Arial" w:cs="Arial"/>
                <w:noProof/>
              </w:rPr>
              <w:t>3.1. Introduction</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_Toc228704038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25</w:t>
            </w:r>
            <w:r w:rsidRPr="001777EB">
              <w:rPr>
                <w:rFonts w:ascii="Arial" w:hAnsi="Arial" w:cs="Arial"/>
                <w:noProof/>
                <w:webHidden/>
              </w:rPr>
              <w:fldChar w:fldCharType="end"/>
            </w:r>
          </w:hyperlink>
        </w:p>
        <w:p w14:paraId="679E6B9F" w14:textId="5C02FC9E"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39" w:history="1">
            <w:r w:rsidRPr="001777EB">
              <w:rPr>
                <w:rStyle w:val="Hyperlink"/>
                <w:rFonts w:ascii="Arial" w:hAnsi="Arial" w:cs="Arial"/>
                <w:noProof/>
              </w:rPr>
              <w:t>3.2. Research Philosophies and Assumptions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_Toc228704039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26</w:t>
            </w:r>
            <w:r w:rsidRPr="001777EB">
              <w:rPr>
                <w:rFonts w:ascii="Arial" w:hAnsi="Arial" w:cs="Arial"/>
                <w:noProof/>
                <w:webHidden/>
              </w:rPr>
              <w:fldChar w:fldCharType="end"/>
            </w:r>
          </w:hyperlink>
        </w:p>
        <w:p w14:paraId="43938DF3" w14:textId="5B0537F5"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40" w:history="1">
            <w:r w:rsidRPr="001777EB">
              <w:rPr>
                <w:rStyle w:val="Hyperlink"/>
                <w:rFonts w:ascii="Arial" w:hAnsi="Arial" w:cs="Arial"/>
                <w:noProof/>
                <w:lang w:val="en-US"/>
              </w:rPr>
              <w:t>3.2.1 Epistemological Position: Interpretivism</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_Toc228704040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26</w:t>
            </w:r>
            <w:r w:rsidRPr="001777EB">
              <w:rPr>
                <w:rFonts w:ascii="Arial" w:hAnsi="Arial" w:cs="Arial"/>
                <w:noProof/>
                <w:webHidden/>
              </w:rPr>
              <w:fldChar w:fldCharType="end"/>
            </w:r>
          </w:hyperlink>
        </w:p>
        <w:p w14:paraId="0EB97F4B" w14:textId="000D804C"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41" w:history="1">
            <w:r w:rsidRPr="001777EB">
              <w:rPr>
                <w:rStyle w:val="Hyperlink"/>
                <w:rFonts w:ascii="Arial" w:hAnsi="Arial" w:cs="Arial"/>
                <w:noProof/>
                <w:lang w:val="en-US"/>
              </w:rPr>
              <w:t>3.2.2 Reason why the philosophical choice was made</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_Toc228704041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27</w:t>
            </w:r>
            <w:r w:rsidRPr="001777EB">
              <w:rPr>
                <w:rFonts w:ascii="Arial" w:hAnsi="Arial" w:cs="Arial"/>
                <w:noProof/>
                <w:webHidden/>
              </w:rPr>
              <w:fldChar w:fldCharType="end"/>
            </w:r>
          </w:hyperlink>
        </w:p>
        <w:p w14:paraId="7D5515D1" w14:textId="54C4091D"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42" w:history="1">
            <w:r w:rsidRPr="001777EB">
              <w:rPr>
                <w:rStyle w:val="Hyperlink"/>
                <w:rFonts w:ascii="Arial" w:hAnsi="Arial" w:cs="Arial"/>
                <w:noProof/>
                <w:lang w:val="en-US"/>
              </w:rPr>
              <w:t>3.2.3 Interpretivist Framework of Qualitative Systematic Reviews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_Toc228704042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28</w:t>
            </w:r>
            <w:r w:rsidRPr="001777EB">
              <w:rPr>
                <w:rFonts w:ascii="Arial" w:hAnsi="Arial" w:cs="Arial"/>
                <w:noProof/>
                <w:webHidden/>
              </w:rPr>
              <w:fldChar w:fldCharType="end"/>
            </w:r>
          </w:hyperlink>
        </w:p>
        <w:p w14:paraId="4432EE42" w14:textId="50B854A4"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43" w:history="1">
            <w:r w:rsidRPr="001777EB">
              <w:rPr>
                <w:rStyle w:val="Hyperlink"/>
                <w:rFonts w:ascii="Arial" w:hAnsi="Arial" w:cs="Arial"/>
                <w:noProof/>
              </w:rPr>
              <w:t>3.3 Research Design</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_Toc228704043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29</w:t>
            </w:r>
            <w:r w:rsidRPr="001777EB">
              <w:rPr>
                <w:rFonts w:ascii="Arial" w:hAnsi="Arial" w:cs="Arial"/>
                <w:noProof/>
                <w:webHidden/>
              </w:rPr>
              <w:fldChar w:fldCharType="end"/>
            </w:r>
          </w:hyperlink>
        </w:p>
        <w:p w14:paraId="70EB3337" w14:textId="004DABF7"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44" w:history="1">
            <w:r w:rsidRPr="001777EB">
              <w:rPr>
                <w:rStyle w:val="Hyperlink"/>
                <w:rFonts w:ascii="Arial" w:hAnsi="Arial" w:cs="Arial"/>
                <w:noProof/>
                <w:lang w:val="en-US"/>
              </w:rPr>
              <w:t>3.3.1 Methodological selection: Qualitative research</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_Toc228704044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29</w:t>
            </w:r>
            <w:r w:rsidRPr="001777EB">
              <w:rPr>
                <w:rFonts w:ascii="Arial" w:hAnsi="Arial" w:cs="Arial"/>
                <w:noProof/>
                <w:webHidden/>
              </w:rPr>
              <w:fldChar w:fldCharType="end"/>
            </w:r>
          </w:hyperlink>
        </w:p>
        <w:p w14:paraId="0A18ABA3" w14:textId="3D685BDF"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45" w:history="1">
            <w:r w:rsidRPr="001777EB">
              <w:rPr>
                <w:rStyle w:val="Hyperlink"/>
                <w:rFonts w:ascii="Arial" w:hAnsi="Arial" w:cs="Arial"/>
                <w:noProof/>
                <w:lang w:val="en-US"/>
              </w:rPr>
              <w:t>3.3.2 A Systematic Literature Review (SLR) will be the research strategy</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_Toc228704045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29</w:t>
            </w:r>
            <w:r w:rsidRPr="001777EB">
              <w:rPr>
                <w:rFonts w:ascii="Arial" w:hAnsi="Arial" w:cs="Arial"/>
                <w:noProof/>
                <w:webHidden/>
              </w:rPr>
              <w:fldChar w:fldCharType="end"/>
            </w:r>
          </w:hyperlink>
        </w:p>
        <w:p w14:paraId="6F7D39FE" w14:textId="3F29C3F2"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46" w:history="1">
            <w:r w:rsidRPr="001777EB">
              <w:rPr>
                <w:rStyle w:val="Hyperlink"/>
                <w:rFonts w:ascii="Arial" w:hAnsi="Arial" w:cs="Arial"/>
                <w:noProof/>
                <w:lang w:val="en-US"/>
              </w:rPr>
              <w:t>3.3.3 Time Horizon: Cross-Sectional</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_Toc228704046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30</w:t>
            </w:r>
            <w:r w:rsidRPr="001777EB">
              <w:rPr>
                <w:rFonts w:ascii="Arial" w:hAnsi="Arial" w:cs="Arial"/>
                <w:noProof/>
                <w:webHidden/>
              </w:rPr>
              <w:fldChar w:fldCharType="end"/>
            </w:r>
          </w:hyperlink>
        </w:p>
        <w:p w14:paraId="3226C4CD" w14:textId="5F09F7F5"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47" w:history="1">
            <w:r w:rsidRPr="001777EB">
              <w:rPr>
                <w:rStyle w:val="Hyperlink"/>
                <w:rFonts w:ascii="Arial" w:hAnsi="Arial" w:cs="Arial"/>
                <w:noProof/>
                <w:lang w:val="en-US"/>
              </w:rPr>
              <w:t>3.3.4 Data Collection and Sources: Secondary Data</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_Toc228704047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30</w:t>
            </w:r>
            <w:r w:rsidRPr="001777EB">
              <w:rPr>
                <w:rFonts w:ascii="Arial" w:hAnsi="Arial" w:cs="Arial"/>
                <w:noProof/>
                <w:webHidden/>
              </w:rPr>
              <w:fldChar w:fldCharType="end"/>
            </w:r>
          </w:hyperlink>
        </w:p>
        <w:p w14:paraId="1458CC4F" w14:textId="1F140E66"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48" w:history="1">
            <w:r w:rsidRPr="001777EB">
              <w:rPr>
                <w:rStyle w:val="Hyperlink"/>
                <w:rFonts w:ascii="Arial" w:hAnsi="Arial" w:cs="Arial"/>
                <w:noProof/>
                <w:lang w:val="en-US"/>
              </w:rPr>
              <w:t>3.3.5 Data Analysis: Thematic Analysis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_Toc228704048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31</w:t>
            </w:r>
            <w:r w:rsidRPr="001777EB">
              <w:rPr>
                <w:rFonts w:ascii="Arial" w:hAnsi="Arial" w:cs="Arial"/>
                <w:noProof/>
                <w:webHidden/>
              </w:rPr>
              <w:fldChar w:fldCharType="end"/>
            </w:r>
          </w:hyperlink>
        </w:p>
        <w:p w14:paraId="2DA2B264" w14:textId="71FD7FFA"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49" w:history="1">
            <w:r w:rsidRPr="001777EB">
              <w:rPr>
                <w:rStyle w:val="Hyperlink"/>
                <w:rFonts w:ascii="Arial" w:hAnsi="Arial" w:cs="Arial"/>
                <w:noProof/>
              </w:rPr>
              <w:t>3.4 Research Approaches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_Toc228704049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31</w:t>
            </w:r>
            <w:r w:rsidRPr="001777EB">
              <w:rPr>
                <w:rFonts w:ascii="Arial" w:hAnsi="Arial" w:cs="Arial"/>
                <w:noProof/>
                <w:webHidden/>
              </w:rPr>
              <w:fldChar w:fldCharType="end"/>
            </w:r>
          </w:hyperlink>
        </w:p>
        <w:p w14:paraId="55A268F0" w14:textId="65C0B290"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50" w:history="1">
            <w:r w:rsidRPr="001777EB">
              <w:rPr>
                <w:rStyle w:val="Hyperlink"/>
                <w:rFonts w:ascii="Arial" w:hAnsi="Arial" w:cs="Arial"/>
                <w:noProof/>
              </w:rPr>
              <w:t>3.5 Data Collection Methods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_Toc228704050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32</w:t>
            </w:r>
            <w:r w:rsidRPr="001777EB">
              <w:rPr>
                <w:rFonts w:ascii="Arial" w:hAnsi="Arial" w:cs="Arial"/>
                <w:noProof/>
                <w:webHidden/>
              </w:rPr>
              <w:fldChar w:fldCharType="end"/>
            </w:r>
          </w:hyperlink>
        </w:p>
        <w:p w14:paraId="52A0AB62" w14:textId="3B058321"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51" w:history="1">
            <w:r w:rsidRPr="001777EB">
              <w:rPr>
                <w:rStyle w:val="Hyperlink"/>
                <w:rFonts w:ascii="Arial" w:hAnsi="Arial" w:cs="Arial"/>
                <w:noProof/>
                <w:lang w:val="en-US"/>
              </w:rPr>
              <w:t>3.5.1 The justification of secondary data.</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_Toc228704051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33</w:t>
            </w:r>
            <w:r w:rsidRPr="001777EB">
              <w:rPr>
                <w:rFonts w:ascii="Arial" w:hAnsi="Arial" w:cs="Arial"/>
                <w:noProof/>
                <w:webHidden/>
              </w:rPr>
              <w:fldChar w:fldCharType="end"/>
            </w:r>
          </w:hyperlink>
        </w:p>
        <w:p w14:paraId="78DBB387" w14:textId="50FFEFC4"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52" w:history="1">
            <w:r w:rsidRPr="001777EB">
              <w:rPr>
                <w:rStyle w:val="Hyperlink"/>
                <w:rFonts w:ascii="Arial" w:hAnsi="Arial" w:cs="Arial"/>
                <w:noProof/>
                <w:lang w:val="en-US"/>
              </w:rPr>
              <w:t>3.5.2 Data Sources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_Toc228704052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33</w:t>
            </w:r>
            <w:r w:rsidRPr="001777EB">
              <w:rPr>
                <w:rFonts w:ascii="Arial" w:hAnsi="Arial" w:cs="Arial"/>
                <w:noProof/>
                <w:webHidden/>
              </w:rPr>
              <w:fldChar w:fldCharType="end"/>
            </w:r>
          </w:hyperlink>
        </w:p>
        <w:p w14:paraId="1F833596" w14:textId="0C9EE1B8"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53" w:history="1">
            <w:r w:rsidRPr="001777EB">
              <w:rPr>
                <w:rStyle w:val="Hyperlink"/>
                <w:rFonts w:ascii="Arial" w:hAnsi="Arial" w:cs="Arial"/>
                <w:noProof/>
                <w:lang w:val="en-US"/>
              </w:rPr>
              <w:t>3.5.3 Search Strategy and Selection Criterion</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_Toc228704053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34</w:t>
            </w:r>
            <w:r w:rsidRPr="001777EB">
              <w:rPr>
                <w:rFonts w:ascii="Arial" w:hAnsi="Arial" w:cs="Arial"/>
                <w:noProof/>
                <w:webHidden/>
              </w:rPr>
              <w:fldChar w:fldCharType="end"/>
            </w:r>
          </w:hyperlink>
        </w:p>
        <w:p w14:paraId="07AB7291" w14:textId="29051752"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54" w:history="1">
            <w:r w:rsidRPr="001777EB">
              <w:rPr>
                <w:rStyle w:val="Hyperlink"/>
                <w:rFonts w:ascii="Arial" w:hAnsi="Arial" w:cs="Arial"/>
                <w:noProof/>
              </w:rPr>
              <w:t>3.6 Ethical Considerations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_Toc228704054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34</w:t>
            </w:r>
            <w:r w:rsidRPr="001777EB">
              <w:rPr>
                <w:rFonts w:ascii="Arial" w:hAnsi="Arial" w:cs="Arial"/>
                <w:noProof/>
                <w:webHidden/>
              </w:rPr>
              <w:fldChar w:fldCharType="end"/>
            </w:r>
          </w:hyperlink>
        </w:p>
        <w:p w14:paraId="5756EB8F" w14:textId="50662E0D"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55" w:history="1">
            <w:r w:rsidRPr="001777EB">
              <w:rPr>
                <w:rStyle w:val="Hyperlink"/>
                <w:rFonts w:ascii="Arial" w:hAnsi="Arial" w:cs="Arial"/>
                <w:noProof/>
              </w:rPr>
              <w:t>3.7 Summary</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_Toc228704055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35</w:t>
            </w:r>
            <w:r w:rsidRPr="001777EB">
              <w:rPr>
                <w:rFonts w:ascii="Arial" w:hAnsi="Arial" w:cs="Arial"/>
                <w:noProof/>
                <w:webHidden/>
              </w:rPr>
              <w:fldChar w:fldCharType="end"/>
            </w:r>
          </w:hyperlink>
        </w:p>
        <w:p w14:paraId="3C97A058" w14:textId="1ACE1CBB" w:rsidR="001777EB" w:rsidRPr="001777EB" w:rsidRDefault="001777EB">
          <w:pPr>
            <w:pStyle w:val="TOC1"/>
            <w:tabs>
              <w:tab w:val="right" w:leader="dot" w:pos="9350"/>
            </w:tabs>
            <w:rPr>
              <w:rFonts w:ascii="Arial" w:eastAsiaTheme="minorEastAsia" w:hAnsi="Arial" w:cs="Arial"/>
              <w:noProof/>
              <w:kern w:val="2"/>
              <w:lang w:val="en-US" w:eastAsia="en-US"/>
              <w14:ligatures w14:val="standardContextual"/>
            </w:rPr>
          </w:pPr>
          <w:hyperlink w:anchor="_Toc228704056" w:history="1">
            <w:r w:rsidRPr="001777EB">
              <w:rPr>
                <w:rStyle w:val="Hyperlink"/>
                <w:rFonts w:ascii="Arial" w:hAnsi="Arial" w:cs="Arial"/>
                <w:noProof/>
                <w:lang w:val="en-GB"/>
              </w:rPr>
              <w:t>CHAPTER 4: FINDINGS, ANALYSIS AND DISCUSSION</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_Toc228704056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36</w:t>
            </w:r>
            <w:r w:rsidRPr="001777EB">
              <w:rPr>
                <w:rFonts w:ascii="Arial" w:hAnsi="Arial" w:cs="Arial"/>
                <w:noProof/>
                <w:webHidden/>
              </w:rPr>
              <w:fldChar w:fldCharType="end"/>
            </w:r>
          </w:hyperlink>
        </w:p>
        <w:p w14:paraId="1FEF302E" w14:textId="66269961"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57" w:history="1">
            <w:r w:rsidRPr="001777EB">
              <w:rPr>
                <w:rStyle w:val="Hyperlink"/>
                <w:rFonts w:ascii="Arial" w:hAnsi="Arial" w:cs="Arial"/>
                <w:noProof/>
              </w:rPr>
              <w:t>4.1 Introduction</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_Toc228704057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36</w:t>
            </w:r>
            <w:r w:rsidRPr="001777EB">
              <w:rPr>
                <w:rFonts w:ascii="Arial" w:hAnsi="Arial" w:cs="Arial"/>
                <w:noProof/>
                <w:webHidden/>
              </w:rPr>
              <w:fldChar w:fldCharType="end"/>
            </w:r>
          </w:hyperlink>
        </w:p>
        <w:p w14:paraId="361810E1" w14:textId="0AA6D606"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58" w:history="1">
            <w:r w:rsidRPr="001777EB">
              <w:rPr>
                <w:rStyle w:val="Hyperlink"/>
                <w:rFonts w:ascii="Arial" w:hAnsi="Arial" w:cs="Arial"/>
                <w:noProof/>
              </w:rPr>
              <w:t>4.2 Case Study 1: Bunzl PLC – Strategic Brand and Talent Alignment.</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_Toc228704058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36</w:t>
            </w:r>
            <w:r w:rsidRPr="001777EB">
              <w:rPr>
                <w:rFonts w:ascii="Arial" w:hAnsi="Arial" w:cs="Arial"/>
                <w:noProof/>
                <w:webHidden/>
              </w:rPr>
              <w:fldChar w:fldCharType="end"/>
            </w:r>
          </w:hyperlink>
        </w:p>
        <w:p w14:paraId="544C5C1B" w14:textId="33BD7447"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59" w:history="1">
            <w:r w:rsidRPr="001777EB">
              <w:rPr>
                <w:rStyle w:val="Hyperlink"/>
                <w:rFonts w:ascii="Arial" w:hAnsi="Arial" w:cs="Arial"/>
                <w:noProof/>
              </w:rPr>
              <w:t>4.3 Case Study 2: BT Group - Reducing risks of workforce displacement by AI</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_Toc228704059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38</w:t>
            </w:r>
            <w:r w:rsidRPr="001777EB">
              <w:rPr>
                <w:rFonts w:ascii="Arial" w:hAnsi="Arial" w:cs="Arial"/>
                <w:noProof/>
                <w:webHidden/>
              </w:rPr>
              <w:fldChar w:fldCharType="end"/>
            </w:r>
          </w:hyperlink>
        </w:p>
        <w:p w14:paraId="107665E2" w14:textId="0F04977E"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60" w:history="1">
            <w:r w:rsidRPr="001777EB">
              <w:rPr>
                <w:rStyle w:val="Hyperlink"/>
                <w:rFonts w:ascii="Arial" w:hAnsi="Arial" w:cs="Arial"/>
                <w:noProof/>
              </w:rPr>
              <w:t>4.4 Case Study 3: AstraZeneca UK - Wellbeing to Improve Resilience</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_Toc228704060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39</w:t>
            </w:r>
            <w:r w:rsidRPr="001777EB">
              <w:rPr>
                <w:rFonts w:ascii="Arial" w:hAnsi="Arial" w:cs="Arial"/>
                <w:noProof/>
                <w:webHidden/>
              </w:rPr>
              <w:fldChar w:fldCharType="end"/>
            </w:r>
          </w:hyperlink>
        </w:p>
        <w:p w14:paraId="292F3C0F" w14:textId="1B636DAF"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61" w:history="1">
            <w:r w:rsidRPr="001777EB">
              <w:rPr>
                <w:rStyle w:val="Hyperlink"/>
                <w:rFonts w:ascii="Arial" w:hAnsi="Arial" w:cs="Arial"/>
                <w:noProof/>
              </w:rPr>
              <w:t>4.5 Case Study 4: PwC UK – Data-Driven Risk Governance.</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_Toc228704061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41</w:t>
            </w:r>
            <w:r w:rsidRPr="001777EB">
              <w:rPr>
                <w:rFonts w:ascii="Arial" w:hAnsi="Arial" w:cs="Arial"/>
                <w:noProof/>
                <w:webHidden/>
              </w:rPr>
              <w:fldChar w:fldCharType="end"/>
            </w:r>
          </w:hyperlink>
        </w:p>
        <w:p w14:paraId="141FE4B1" w14:textId="58F63346"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62" w:history="1">
            <w:r w:rsidRPr="001777EB">
              <w:rPr>
                <w:rStyle w:val="Hyperlink"/>
                <w:rFonts w:ascii="Arial" w:hAnsi="Arial" w:cs="Arial"/>
                <w:noProof/>
              </w:rPr>
              <w:t>4.7 Analysis of Results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_Toc228704062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43</w:t>
            </w:r>
            <w:r w:rsidRPr="001777EB">
              <w:rPr>
                <w:rFonts w:ascii="Arial" w:hAnsi="Arial" w:cs="Arial"/>
                <w:noProof/>
                <w:webHidden/>
              </w:rPr>
              <w:fldChar w:fldCharType="end"/>
            </w:r>
          </w:hyperlink>
        </w:p>
        <w:p w14:paraId="26951A97" w14:textId="42B8C9CE"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63" w:history="1">
            <w:r w:rsidRPr="001777EB">
              <w:rPr>
                <w:rStyle w:val="Hyperlink"/>
                <w:rFonts w:ascii="Arial" w:hAnsi="Arial" w:cs="Arial"/>
                <w:noProof/>
              </w:rPr>
              <w:t>4.7.1 The Change to Predictive Risk Management</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_Toc228704063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43</w:t>
            </w:r>
            <w:r w:rsidRPr="001777EB">
              <w:rPr>
                <w:rFonts w:ascii="Arial" w:hAnsi="Arial" w:cs="Arial"/>
                <w:noProof/>
                <w:webHidden/>
              </w:rPr>
              <w:fldChar w:fldCharType="end"/>
            </w:r>
          </w:hyperlink>
        </w:p>
        <w:p w14:paraId="4129E6DA" w14:textId="303E965C"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64" w:history="1">
            <w:r w:rsidRPr="001777EB">
              <w:rPr>
                <w:rStyle w:val="Hyperlink"/>
                <w:rFonts w:ascii="Arial" w:hAnsi="Arial" w:cs="Arial"/>
                <w:noProof/>
              </w:rPr>
              <w:t>4.7.2 Protection of Intangible Assets and Brand Equity</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_Toc228704064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43</w:t>
            </w:r>
            <w:r w:rsidRPr="001777EB">
              <w:rPr>
                <w:rFonts w:ascii="Arial" w:hAnsi="Arial" w:cs="Arial"/>
                <w:noProof/>
                <w:webHidden/>
              </w:rPr>
              <w:fldChar w:fldCharType="end"/>
            </w:r>
          </w:hyperlink>
        </w:p>
        <w:p w14:paraId="7F8A046B" w14:textId="001858DA"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65" w:history="1">
            <w:r w:rsidRPr="001777EB">
              <w:rPr>
                <w:rStyle w:val="Hyperlink"/>
                <w:rFonts w:ascii="Arial" w:hAnsi="Arial" w:cs="Arial"/>
                <w:noProof/>
              </w:rPr>
              <w:t>4.8 Discussion of Results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_Toc228704065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44</w:t>
            </w:r>
            <w:r w:rsidRPr="001777EB">
              <w:rPr>
                <w:rFonts w:ascii="Arial" w:hAnsi="Arial" w:cs="Arial"/>
                <w:noProof/>
                <w:webHidden/>
              </w:rPr>
              <w:fldChar w:fldCharType="end"/>
            </w:r>
          </w:hyperlink>
        </w:p>
        <w:p w14:paraId="6CD88B28" w14:textId="172FC324"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66" w:history="1">
            <w:r w:rsidRPr="001777EB">
              <w:rPr>
                <w:rStyle w:val="Hyperlink"/>
                <w:rFonts w:ascii="Arial" w:hAnsi="Arial" w:cs="Arial"/>
                <w:noProof/>
                <w:lang w:val="en-US"/>
              </w:rPr>
              <w:t>4.8.1 SHCM as a way to validate the Resource-Based View (RBV)</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_Toc228704066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44</w:t>
            </w:r>
            <w:r w:rsidRPr="001777EB">
              <w:rPr>
                <w:rFonts w:ascii="Arial" w:hAnsi="Arial" w:cs="Arial"/>
                <w:noProof/>
                <w:webHidden/>
              </w:rPr>
              <w:fldChar w:fldCharType="end"/>
            </w:r>
          </w:hyperlink>
        </w:p>
        <w:p w14:paraId="4A5F7B56" w14:textId="69F3698E"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67" w:history="1">
            <w:r w:rsidRPr="001777EB">
              <w:rPr>
                <w:rStyle w:val="Hyperlink"/>
                <w:rFonts w:ascii="Arial" w:hAnsi="Arial" w:cs="Arial"/>
                <w:noProof/>
                <w:lang w:val="en-US"/>
              </w:rPr>
              <w:t>4.8.2 SHCM as a Capacity of Dynamics in 2026</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_Toc228704067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44</w:t>
            </w:r>
            <w:r w:rsidRPr="001777EB">
              <w:rPr>
                <w:rFonts w:ascii="Arial" w:hAnsi="Arial" w:cs="Arial"/>
                <w:noProof/>
                <w:webHidden/>
              </w:rPr>
              <w:fldChar w:fldCharType="end"/>
            </w:r>
          </w:hyperlink>
        </w:p>
        <w:p w14:paraId="4C0B6B2F" w14:textId="01639676"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68" w:history="1">
            <w:r w:rsidRPr="001777EB">
              <w:rPr>
                <w:rStyle w:val="Hyperlink"/>
                <w:rFonts w:ascii="Arial" w:hAnsi="Arial" w:cs="Arial"/>
                <w:noProof/>
                <w:lang w:val="en-US"/>
              </w:rPr>
              <w:t>4.8.3 Intersection of Wellbeing and Performance</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_Toc228704068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45</w:t>
            </w:r>
            <w:r w:rsidRPr="001777EB">
              <w:rPr>
                <w:rFonts w:ascii="Arial" w:hAnsi="Arial" w:cs="Arial"/>
                <w:noProof/>
                <w:webHidden/>
              </w:rPr>
              <w:fldChar w:fldCharType="end"/>
            </w:r>
          </w:hyperlink>
        </w:p>
        <w:p w14:paraId="6D1BB4DA" w14:textId="6DEDFC55"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69" w:history="1">
            <w:r w:rsidRPr="001777EB">
              <w:rPr>
                <w:rStyle w:val="Hyperlink"/>
                <w:rFonts w:ascii="Arial" w:hAnsi="Arial" w:cs="Arial"/>
                <w:noProof/>
                <w:lang w:val="en-US"/>
              </w:rPr>
              <w:t>4.8.4 Strategic Alignment and Risk Governance</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_Toc228704069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45</w:t>
            </w:r>
            <w:r w:rsidRPr="001777EB">
              <w:rPr>
                <w:rFonts w:ascii="Arial" w:hAnsi="Arial" w:cs="Arial"/>
                <w:noProof/>
                <w:webHidden/>
              </w:rPr>
              <w:fldChar w:fldCharType="end"/>
            </w:r>
          </w:hyperlink>
        </w:p>
        <w:p w14:paraId="5AF5F3AC" w14:textId="6C8760C1"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70" w:history="1">
            <w:r w:rsidRPr="001777EB">
              <w:rPr>
                <w:rStyle w:val="Hyperlink"/>
                <w:rFonts w:ascii="Arial" w:hAnsi="Arial" w:cs="Arial"/>
                <w:noProof/>
              </w:rPr>
              <w:t>4.9 Conclusion</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_Toc228704070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46</w:t>
            </w:r>
            <w:r w:rsidRPr="001777EB">
              <w:rPr>
                <w:rFonts w:ascii="Arial" w:hAnsi="Arial" w:cs="Arial"/>
                <w:noProof/>
                <w:webHidden/>
              </w:rPr>
              <w:fldChar w:fldCharType="end"/>
            </w:r>
          </w:hyperlink>
        </w:p>
        <w:p w14:paraId="2891FDA7" w14:textId="39F8020D" w:rsidR="001777EB" w:rsidRPr="001777EB" w:rsidRDefault="001777EB">
          <w:pPr>
            <w:pStyle w:val="TOC1"/>
            <w:tabs>
              <w:tab w:val="right" w:leader="dot" w:pos="9350"/>
            </w:tabs>
            <w:rPr>
              <w:rFonts w:ascii="Arial" w:eastAsiaTheme="minorEastAsia" w:hAnsi="Arial" w:cs="Arial"/>
              <w:noProof/>
              <w:kern w:val="2"/>
              <w:lang w:val="en-US" w:eastAsia="en-US"/>
              <w14:ligatures w14:val="standardContextual"/>
            </w:rPr>
          </w:pPr>
          <w:hyperlink w:anchor="_Toc228704071" w:history="1">
            <w:r w:rsidRPr="001777EB">
              <w:rPr>
                <w:rStyle w:val="Hyperlink"/>
                <w:rFonts w:ascii="Arial" w:hAnsi="Arial" w:cs="Arial"/>
                <w:noProof/>
                <w:lang w:val="en-GB"/>
              </w:rPr>
              <w:t>CHAPTER 5: CONCLUSIONS AND RECOMMENDATIONS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_Toc228704071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47</w:t>
            </w:r>
            <w:r w:rsidRPr="001777EB">
              <w:rPr>
                <w:rFonts w:ascii="Arial" w:hAnsi="Arial" w:cs="Arial"/>
                <w:noProof/>
                <w:webHidden/>
              </w:rPr>
              <w:fldChar w:fldCharType="end"/>
            </w:r>
          </w:hyperlink>
        </w:p>
        <w:p w14:paraId="03BCC64A" w14:textId="684460B9"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72" w:history="1">
            <w:r w:rsidRPr="001777EB">
              <w:rPr>
                <w:rStyle w:val="Hyperlink"/>
                <w:rFonts w:ascii="Arial" w:hAnsi="Arial" w:cs="Arial"/>
                <w:noProof/>
              </w:rPr>
              <w:t>5.1 Introduction</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_Toc228704072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47</w:t>
            </w:r>
            <w:r w:rsidRPr="001777EB">
              <w:rPr>
                <w:rFonts w:ascii="Arial" w:hAnsi="Arial" w:cs="Arial"/>
                <w:noProof/>
                <w:webHidden/>
              </w:rPr>
              <w:fldChar w:fldCharType="end"/>
            </w:r>
          </w:hyperlink>
        </w:p>
        <w:p w14:paraId="7C0FB775" w14:textId="75D96994"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73" w:history="1">
            <w:r w:rsidRPr="001777EB">
              <w:rPr>
                <w:rStyle w:val="Hyperlink"/>
                <w:rFonts w:ascii="Arial" w:hAnsi="Arial" w:cs="Arial"/>
                <w:noProof/>
              </w:rPr>
              <w:t>5.2 Conclusion on Major Results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_Toc228704073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47</w:t>
            </w:r>
            <w:r w:rsidRPr="001777EB">
              <w:rPr>
                <w:rFonts w:ascii="Arial" w:hAnsi="Arial" w:cs="Arial"/>
                <w:noProof/>
                <w:webHidden/>
              </w:rPr>
              <w:fldChar w:fldCharType="end"/>
            </w:r>
          </w:hyperlink>
        </w:p>
        <w:p w14:paraId="01FDF4A6" w14:textId="7A083EEC"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74" w:history="1">
            <w:r w:rsidRPr="001777EB">
              <w:rPr>
                <w:rStyle w:val="Hyperlink"/>
                <w:rFonts w:ascii="Arial" w:hAnsi="Arial" w:cs="Arial"/>
                <w:noProof/>
              </w:rPr>
              <w:t>5.2.1 The SHCM as a risk mitigation tool has evolved</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_Toc228704074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47</w:t>
            </w:r>
            <w:r w:rsidRPr="001777EB">
              <w:rPr>
                <w:rFonts w:ascii="Arial" w:hAnsi="Arial" w:cs="Arial"/>
                <w:noProof/>
                <w:webHidden/>
              </w:rPr>
              <w:fldChar w:fldCharType="end"/>
            </w:r>
          </w:hyperlink>
        </w:p>
        <w:p w14:paraId="069F4293" w14:textId="41177714"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75" w:history="1">
            <w:r w:rsidRPr="001777EB">
              <w:rPr>
                <w:rStyle w:val="Hyperlink"/>
                <w:rFonts w:ascii="Arial" w:hAnsi="Arial" w:cs="Arial"/>
                <w:noProof/>
              </w:rPr>
              <w:t>5.2.2 Reskilling as a way of validating dynamic capabilities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_Toc228704075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48</w:t>
            </w:r>
            <w:r w:rsidRPr="001777EB">
              <w:rPr>
                <w:rFonts w:ascii="Arial" w:hAnsi="Arial" w:cs="Arial"/>
                <w:noProof/>
                <w:webHidden/>
              </w:rPr>
              <w:fldChar w:fldCharType="end"/>
            </w:r>
          </w:hyperlink>
        </w:p>
        <w:p w14:paraId="26C9B2B6" w14:textId="10827B52"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76" w:history="1">
            <w:r w:rsidRPr="001777EB">
              <w:rPr>
                <w:rStyle w:val="Hyperlink"/>
                <w:rFonts w:ascii="Arial" w:hAnsi="Arial" w:cs="Arial"/>
                <w:noProof/>
                <w:lang w:val="en-US"/>
              </w:rPr>
              <w:t>5.2.3 The Strategic Link between Wellbeing and Innovation</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_Toc228704076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48</w:t>
            </w:r>
            <w:r w:rsidRPr="001777EB">
              <w:rPr>
                <w:rFonts w:ascii="Arial" w:hAnsi="Arial" w:cs="Arial"/>
                <w:noProof/>
                <w:webHidden/>
              </w:rPr>
              <w:fldChar w:fldCharType="end"/>
            </w:r>
          </w:hyperlink>
        </w:p>
        <w:p w14:paraId="22D9A828" w14:textId="2560C07D"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77" w:history="1">
            <w:r w:rsidRPr="001777EB">
              <w:rPr>
                <w:rStyle w:val="Hyperlink"/>
                <w:rFonts w:ascii="Arial" w:hAnsi="Arial" w:cs="Arial"/>
                <w:noProof/>
                <w:lang w:val="en-US"/>
              </w:rPr>
              <w:t>5.2.4 Branding and Talent Alignment as Defensive Strategy</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_Toc228704077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49</w:t>
            </w:r>
            <w:r w:rsidRPr="001777EB">
              <w:rPr>
                <w:rFonts w:ascii="Arial" w:hAnsi="Arial" w:cs="Arial"/>
                <w:noProof/>
                <w:webHidden/>
              </w:rPr>
              <w:fldChar w:fldCharType="end"/>
            </w:r>
          </w:hyperlink>
        </w:p>
        <w:p w14:paraId="1314CC08" w14:textId="4EDFDC0B"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78" w:history="1">
            <w:r w:rsidRPr="001777EB">
              <w:rPr>
                <w:rStyle w:val="Hyperlink"/>
                <w:rFonts w:ascii="Arial" w:hAnsi="Arial" w:cs="Arial"/>
                <w:noProof/>
              </w:rPr>
              <w:t>5.4 Conclusion with regard to research objectives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_Toc228704078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50</w:t>
            </w:r>
            <w:r w:rsidRPr="001777EB">
              <w:rPr>
                <w:rFonts w:ascii="Arial" w:hAnsi="Arial" w:cs="Arial"/>
                <w:noProof/>
                <w:webHidden/>
              </w:rPr>
              <w:fldChar w:fldCharType="end"/>
            </w:r>
          </w:hyperlink>
        </w:p>
        <w:p w14:paraId="1FE4014C" w14:textId="5C2ACB76"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79" w:history="1">
            <w:r w:rsidRPr="001777EB">
              <w:rPr>
                <w:rStyle w:val="Hyperlink"/>
                <w:rFonts w:ascii="Arial" w:hAnsi="Arial" w:cs="Arial"/>
                <w:noProof/>
              </w:rPr>
              <w:t>5.5 Conclusion depending on the research questions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_Toc228704079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50</w:t>
            </w:r>
            <w:r w:rsidRPr="001777EB">
              <w:rPr>
                <w:rFonts w:ascii="Arial" w:hAnsi="Arial" w:cs="Arial"/>
                <w:noProof/>
                <w:webHidden/>
              </w:rPr>
              <w:fldChar w:fldCharType="end"/>
            </w:r>
          </w:hyperlink>
        </w:p>
        <w:p w14:paraId="09128D27" w14:textId="5934B33D"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80" w:history="1">
            <w:r w:rsidRPr="001777EB">
              <w:rPr>
                <w:rStyle w:val="Hyperlink"/>
                <w:rFonts w:ascii="Arial" w:hAnsi="Arial" w:cs="Arial"/>
                <w:noProof/>
              </w:rPr>
              <w:t>5.6 Recommendations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_Toc228704080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51</w:t>
            </w:r>
            <w:r w:rsidRPr="001777EB">
              <w:rPr>
                <w:rFonts w:ascii="Arial" w:hAnsi="Arial" w:cs="Arial"/>
                <w:noProof/>
                <w:webHidden/>
              </w:rPr>
              <w:fldChar w:fldCharType="end"/>
            </w:r>
          </w:hyperlink>
        </w:p>
        <w:p w14:paraId="27BDC668" w14:textId="5D9D3C61"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81" w:history="1">
            <w:r w:rsidRPr="001777EB">
              <w:rPr>
                <w:rStyle w:val="Hyperlink"/>
                <w:rFonts w:ascii="Arial" w:hAnsi="Arial" w:cs="Arial"/>
                <w:noProof/>
              </w:rPr>
              <w:t>5.6.1 Practical Recommendations to the UK Organisations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_Toc228704081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52</w:t>
            </w:r>
            <w:r w:rsidRPr="001777EB">
              <w:rPr>
                <w:rFonts w:ascii="Arial" w:hAnsi="Arial" w:cs="Arial"/>
                <w:noProof/>
                <w:webHidden/>
              </w:rPr>
              <w:fldChar w:fldCharType="end"/>
            </w:r>
          </w:hyperlink>
        </w:p>
        <w:p w14:paraId="36714C93" w14:textId="73F9B52E"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82" w:history="1">
            <w:r w:rsidRPr="001777EB">
              <w:rPr>
                <w:rStyle w:val="Hyperlink"/>
                <w:rFonts w:ascii="Arial" w:hAnsi="Arial" w:cs="Arial"/>
                <w:noProof/>
              </w:rPr>
              <w:t>5.6.2 Theoretical Suggestions and Recommendations of Future Research</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_Toc228704082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53</w:t>
            </w:r>
            <w:r w:rsidRPr="001777EB">
              <w:rPr>
                <w:rFonts w:ascii="Arial" w:hAnsi="Arial" w:cs="Arial"/>
                <w:noProof/>
                <w:webHidden/>
              </w:rPr>
              <w:fldChar w:fldCharType="end"/>
            </w:r>
          </w:hyperlink>
        </w:p>
        <w:p w14:paraId="33937BDB" w14:textId="266D88F6"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83" w:history="1">
            <w:r w:rsidRPr="001777EB">
              <w:rPr>
                <w:rStyle w:val="Hyperlink"/>
                <w:rFonts w:ascii="Arial" w:hAnsi="Arial" w:cs="Arial"/>
                <w:noProof/>
              </w:rPr>
              <w:t>5.6.3 Conclusion of Recommendations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_Toc228704083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54</w:t>
            </w:r>
            <w:r w:rsidRPr="001777EB">
              <w:rPr>
                <w:rFonts w:ascii="Arial" w:hAnsi="Arial" w:cs="Arial"/>
                <w:noProof/>
                <w:webHidden/>
              </w:rPr>
              <w:fldChar w:fldCharType="end"/>
            </w:r>
          </w:hyperlink>
        </w:p>
        <w:p w14:paraId="3C0357A0" w14:textId="58AAB373"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84" w:history="1">
            <w:r w:rsidRPr="001777EB">
              <w:rPr>
                <w:rStyle w:val="Hyperlink"/>
                <w:rFonts w:ascii="Arial" w:hAnsi="Arial" w:cs="Arial"/>
                <w:noProof/>
              </w:rPr>
              <w:t>5.7 Limitations of Research</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_Toc228704084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54</w:t>
            </w:r>
            <w:r w:rsidRPr="001777EB">
              <w:rPr>
                <w:rFonts w:ascii="Arial" w:hAnsi="Arial" w:cs="Arial"/>
                <w:noProof/>
                <w:webHidden/>
              </w:rPr>
              <w:fldChar w:fldCharType="end"/>
            </w:r>
          </w:hyperlink>
        </w:p>
        <w:p w14:paraId="67457182" w14:textId="202D3372"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85" w:history="1">
            <w:r w:rsidRPr="001777EB">
              <w:rPr>
                <w:rStyle w:val="Hyperlink"/>
                <w:rFonts w:ascii="Arial" w:hAnsi="Arial" w:cs="Arial"/>
                <w:noProof/>
              </w:rPr>
              <w:t>5.7.1 Methodology limitations: Qualitative mono-method</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_Toc228704085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54</w:t>
            </w:r>
            <w:r w:rsidRPr="001777EB">
              <w:rPr>
                <w:rFonts w:ascii="Arial" w:hAnsi="Arial" w:cs="Arial"/>
                <w:noProof/>
                <w:webHidden/>
              </w:rPr>
              <w:fldChar w:fldCharType="end"/>
            </w:r>
          </w:hyperlink>
        </w:p>
        <w:p w14:paraId="6E208701" w14:textId="6DC51969"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86" w:history="1">
            <w:r w:rsidRPr="001777EB">
              <w:rPr>
                <w:rStyle w:val="Hyperlink"/>
                <w:rFonts w:ascii="Arial" w:hAnsi="Arial" w:cs="Arial"/>
                <w:noProof/>
              </w:rPr>
              <w:t>5.7.2 Data Limitations: Secondary Data and Publication Bias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_Toc228704086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55</w:t>
            </w:r>
            <w:r w:rsidRPr="001777EB">
              <w:rPr>
                <w:rFonts w:ascii="Arial" w:hAnsi="Arial" w:cs="Arial"/>
                <w:noProof/>
                <w:webHidden/>
              </w:rPr>
              <w:fldChar w:fldCharType="end"/>
            </w:r>
          </w:hyperlink>
        </w:p>
        <w:p w14:paraId="70E81816" w14:textId="4630EE4B"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87" w:history="1">
            <w:r w:rsidRPr="001777EB">
              <w:rPr>
                <w:rStyle w:val="Hyperlink"/>
                <w:rFonts w:ascii="Arial" w:hAnsi="Arial" w:cs="Arial"/>
                <w:noProof/>
              </w:rPr>
              <w:t>5.7.3 Contextual and Temporal Constraints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_Toc228704087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55</w:t>
            </w:r>
            <w:r w:rsidRPr="001777EB">
              <w:rPr>
                <w:rFonts w:ascii="Arial" w:hAnsi="Arial" w:cs="Arial"/>
                <w:noProof/>
                <w:webHidden/>
              </w:rPr>
              <w:fldChar w:fldCharType="end"/>
            </w:r>
          </w:hyperlink>
        </w:p>
        <w:p w14:paraId="12F10565" w14:textId="62C2E350"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88" w:history="1">
            <w:r w:rsidRPr="001777EB">
              <w:rPr>
                <w:rStyle w:val="Hyperlink"/>
                <w:rFonts w:ascii="Arial" w:hAnsi="Arial" w:cs="Arial"/>
                <w:noProof/>
              </w:rPr>
              <w:t>5.8 Recommendations about Future Work</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_Toc228704088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56</w:t>
            </w:r>
            <w:r w:rsidRPr="001777EB">
              <w:rPr>
                <w:rFonts w:ascii="Arial" w:hAnsi="Arial" w:cs="Arial"/>
                <w:noProof/>
                <w:webHidden/>
              </w:rPr>
              <w:fldChar w:fldCharType="end"/>
            </w:r>
          </w:hyperlink>
        </w:p>
        <w:p w14:paraId="4368C1D7" w14:textId="55857AD3"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89" w:history="1">
            <w:r w:rsidRPr="001777EB">
              <w:rPr>
                <w:rStyle w:val="Hyperlink"/>
                <w:rFonts w:ascii="Arial" w:hAnsi="Arial" w:cs="Arial"/>
                <w:noProof/>
              </w:rPr>
              <w:t>5.8.1 Long-Term Effects of AI Integration on Psychological Contracts of the Workforce</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_Toc228704089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56</w:t>
            </w:r>
            <w:r w:rsidRPr="001777EB">
              <w:rPr>
                <w:rFonts w:ascii="Arial" w:hAnsi="Arial" w:cs="Arial"/>
                <w:noProof/>
                <w:webHidden/>
              </w:rPr>
              <w:fldChar w:fldCharType="end"/>
            </w:r>
          </w:hyperlink>
        </w:p>
        <w:p w14:paraId="24E14041" w14:textId="5093F23C"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90" w:history="1">
            <w:r w:rsidRPr="001777EB">
              <w:rPr>
                <w:rStyle w:val="Hyperlink"/>
                <w:rFonts w:ascii="Arial" w:hAnsi="Arial" w:cs="Arial"/>
                <w:noProof/>
              </w:rPr>
              <w:t>5.8.2 The creation of a human capital resilience index</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_Toc228704090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56</w:t>
            </w:r>
            <w:r w:rsidRPr="001777EB">
              <w:rPr>
                <w:rFonts w:ascii="Arial" w:hAnsi="Arial" w:cs="Arial"/>
                <w:noProof/>
                <w:webHidden/>
              </w:rPr>
              <w:fldChar w:fldCharType="end"/>
            </w:r>
          </w:hyperlink>
        </w:p>
        <w:p w14:paraId="706ACDB6" w14:textId="3612D081"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91" w:history="1">
            <w:r w:rsidRPr="001777EB">
              <w:rPr>
                <w:rStyle w:val="Hyperlink"/>
                <w:rFonts w:ascii="Arial" w:hAnsi="Arial" w:cs="Arial"/>
                <w:noProof/>
              </w:rPr>
              <w:t>5.8.3 Ethical Aspects of Predictive People Analytics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_Toc228704091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57</w:t>
            </w:r>
            <w:r w:rsidRPr="001777EB">
              <w:rPr>
                <w:rFonts w:ascii="Arial" w:hAnsi="Arial" w:cs="Arial"/>
                <w:noProof/>
                <w:webHidden/>
              </w:rPr>
              <w:fldChar w:fldCharType="end"/>
            </w:r>
          </w:hyperlink>
        </w:p>
        <w:p w14:paraId="4C629FA0" w14:textId="1BECFCC9"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92" w:history="1">
            <w:r w:rsidRPr="001777EB">
              <w:rPr>
                <w:rStyle w:val="Hyperlink"/>
                <w:rFonts w:ascii="Arial" w:hAnsi="Arial" w:cs="Arial"/>
                <w:noProof/>
              </w:rPr>
              <w:t>5.8.4 Comparisons of SHCM across cultures in developed vs. emerging economies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_Toc228704092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57</w:t>
            </w:r>
            <w:r w:rsidRPr="001777EB">
              <w:rPr>
                <w:rFonts w:ascii="Arial" w:hAnsi="Arial" w:cs="Arial"/>
                <w:noProof/>
                <w:webHidden/>
              </w:rPr>
              <w:fldChar w:fldCharType="end"/>
            </w:r>
          </w:hyperlink>
        </w:p>
        <w:p w14:paraId="7E92952A" w14:textId="31FF0F24"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93" w:history="1">
            <w:r w:rsidRPr="001777EB">
              <w:rPr>
                <w:rStyle w:val="Hyperlink"/>
                <w:rFonts w:ascii="Arial" w:hAnsi="Arial" w:cs="Arial"/>
                <w:noProof/>
              </w:rPr>
              <w:t>5.8.5 Regenerative Capability Theory: Going Beyond Resilience</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_Toc228704093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58</w:t>
            </w:r>
            <w:r w:rsidRPr="001777EB">
              <w:rPr>
                <w:rFonts w:ascii="Arial" w:hAnsi="Arial" w:cs="Arial"/>
                <w:noProof/>
                <w:webHidden/>
              </w:rPr>
              <w:fldChar w:fldCharType="end"/>
            </w:r>
          </w:hyperlink>
        </w:p>
        <w:p w14:paraId="58715681" w14:textId="6BB3E71B" w:rsidR="001777EB" w:rsidRPr="001777EB" w:rsidRDefault="001777EB">
          <w:pPr>
            <w:pStyle w:val="TOC1"/>
            <w:tabs>
              <w:tab w:val="right" w:leader="dot" w:pos="9350"/>
            </w:tabs>
            <w:rPr>
              <w:rFonts w:ascii="Arial" w:eastAsiaTheme="minorEastAsia" w:hAnsi="Arial" w:cs="Arial"/>
              <w:noProof/>
              <w:kern w:val="2"/>
              <w:lang w:val="en-US" w:eastAsia="en-US"/>
              <w14:ligatures w14:val="standardContextual"/>
            </w:rPr>
          </w:pPr>
          <w:hyperlink w:anchor="_Toc228704094" w:history="1">
            <w:r w:rsidRPr="001777EB">
              <w:rPr>
                <w:rStyle w:val="Hyperlink"/>
                <w:rFonts w:ascii="Arial" w:hAnsi="Arial" w:cs="Arial"/>
                <w:noProof/>
                <w:lang w:val="en-US"/>
              </w:rPr>
              <w:t>Reference</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_Toc228704094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59</w:t>
            </w:r>
            <w:r w:rsidRPr="001777EB">
              <w:rPr>
                <w:rFonts w:ascii="Arial" w:hAnsi="Arial" w:cs="Arial"/>
                <w:noProof/>
                <w:webHidden/>
              </w:rPr>
              <w:fldChar w:fldCharType="end"/>
            </w:r>
          </w:hyperlink>
        </w:p>
        <w:p w14:paraId="1360265D" w14:textId="0F108296" w:rsidR="00810EC8" w:rsidRPr="001777EB" w:rsidRDefault="00810EC8">
          <w:pPr>
            <w:rPr>
              <w:rFonts w:ascii="Arial" w:hAnsi="Arial" w:cs="Arial"/>
            </w:rPr>
          </w:pPr>
          <w:r w:rsidRPr="001777EB">
            <w:rPr>
              <w:rFonts w:ascii="Arial" w:hAnsi="Arial" w:cs="Arial"/>
              <w:b/>
              <w:bCs/>
              <w:noProof/>
            </w:rPr>
            <w:fldChar w:fldCharType="end"/>
          </w:r>
        </w:p>
      </w:sdtContent>
    </w:sdt>
    <w:p w14:paraId="5FC19FB6" w14:textId="2129B3F4" w:rsidR="008C20A9" w:rsidRPr="001777EB" w:rsidRDefault="001777EB" w:rsidP="001777EB">
      <w:pPr>
        <w:jc w:val="center"/>
        <w:rPr>
          <w:rFonts w:ascii="Arial" w:hAnsi="Arial" w:cs="Arial"/>
          <w:b/>
          <w:bCs/>
          <w:lang w:val="en-GB"/>
        </w:rPr>
      </w:pPr>
      <w:r w:rsidRPr="001777EB">
        <w:rPr>
          <w:rFonts w:ascii="Arial" w:hAnsi="Arial" w:cs="Arial"/>
          <w:b/>
          <w:bCs/>
          <w:lang w:val="en-GB"/>
        </w:rPr>
        <w:t>Contents of Tables</w:t>
      </w:r>
    </w:p>
    <w:p w14:paraId="35FE3076" w14:textId="5A73B671" w:rsidR="001777EB" w:rsidRPr="001777EB" w:rsidRDefault="001777EB">
      <w:pPr>
        <w:pStyle w:val="TableofFigures"/>
        <w:tabs>
          <w:tab w:val="right" w:leader="dot" w:pos="9350"/>
        </w:tabs>
        <w:rPr>
          <w:rFonts w:ascii="Arial" w:eastAsiaTheme="minorEastAsia" w:hAnsi="Arial" w:cs="Arial"/>
          <w:noProof/>
          <w:kern w:val="2"/>
          <w:lang w:val="en-US" w:eastAsia="en-US"/>
          <w14:ligatures w14:val="standardContextual"/>
        </w:rPr>
      </w:pPr>
      <w:r w:rsidRPr="001777EB">
        <w:rPr>
          <w:rFonts w:ascii="Arial" w:hAnsi="Arial" w:cs="Arial"/>
          <w:lang w:val="en-GB"/>
        </w:rPr>
        <w:fldChar w:fldCharType="begin"/>
      </w:r>
      <w:r w:rsidRPr="001777EB">
        <w:rPr>
          <w:rFonts w:ascii="Arial" w:hAnsi="Arial" w:cs="Arial"/>
          <w:lang w:val="en-GB"/>
        </w:rPr>
        <w:instrText xml:space="preserve"> TOC \h \z \c "Table" </w:instrText>
      </w:r>
      <w:r w:rsidRPr="001777EB">
        <w:rPr>
          <w:rFonts w:ascii="Arial" w:hAnsi="Arial" w:cs="Arial"/>
          <w:lang w:val="en-GB"/>
        </w:rPr>
        <w:fldChar w:fldCharType="separate"/>
      </w:r>
      <w:hyperlink w:anchor="_Toc228703857" w:history="1">
        <w:r w:rsidRPr="001777EB">
          <w:rPr>
            <w:rStyle w:val="Hyperlink"/>
            <w:rFonts w:ascii="Arial" w:hAnsi="Arial" w:cs="Arial"/>
            <w:noProof/>
          </w:rPr>
          <w:t>Table 1: Summary of Findings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_Toc228703857 \h </w:instrText>
        </w:r>
        <w:r w:rsidRPr="001777EB">
          <w:rPr>
            <w:rFonts w:ascii="Arial" w:hAnsi="Arial" w:cs="Arial"/>
            <w:noProof/>
            <w:webHidden/>
          </w:rPr>
        </w:r>
        <w:r w:rsidRPr="001777EB">
          <w:rPr>
            <w:rFonts w:ascii="Arial" w:hAnsi="Arial" w:cs="Arial"/>
            <w:noProof/>
            <w:webHidden/>
          </w:rPr>
          <w:fldChar w:fldCharType="separate"/>
        </w:r>
        <w:r w:rsidRPr="001777EB">
          <w:rPr>
            <w:rFonts w:ascii="Arial" w:hAnsi="Arial" w:cs="Arial"/>
            <w:noProof/>
            <w:webHidden/>
          </w:rPr>
          <w:t>42</w:t>
        </w:r>
        <w:r w:rsidRPr="001777EB">
          <w:rPr>
            <w:rFonts w:ascii="Arial" w:hAnsi="Arial" w:cs="Arial"/>
            <w:noProof/>
            <w:webHidden/>
          </w:rPr>
          <w:fldChar w:fldCharType="end"/>
        </w:r>
      </w:hyperlink>
    </w:p>
    <w:p w14:paraId="2CB14709" w14:textId="7395F482" w:rsidR="001777EB" w:rsidRPr="001777EB" w:rsidRDefault="001777EB">
      <w:pPr>
        <w:rPr>
          <w:rFonts w:ascii="Arial" w:hAnsi="Arial" w:cs="Arial"/>
          <w:lang w:val="en-GB"/>
        </w:rPr>
      </w:pPr>
      <w:r w:rsidRPr="001777EB">
        <w:rPr>
          <w:rFonts w:ascii="Arial" w:hAnsi="Arial" w:cs="Arial"/>
          <w:lang w:val="en-GB"/>
        </w:rPr>
        <w:fldChar w:fldCharType="end"/>
      </w:r>
    </w:p>
    <w:p w14:paraId="355CAC95" w14:textId="77777777" w:rsidR="008C20A9" w:rsidRPr="001777EB" w:rsidRDefault="008C20A9" w:rsidP="008C20A9">
      <w:pPr>
        <w:jc w:val="center"/>
        <w:rPr>
          <w:rFonts w:ascii="Arial" w:hAnsi="Arial" w:cs="Arial"/>
          <w:b/>
          <w:bCs/>
          <w:u w:val="single"/>
          <w:lang w:val="en-GB"/>
        </w:rPr>
      </w:pPr>
      <w:r w:rsidRPr="001777EB">
        <w:rPr>
          <w:rFonts w:ascii="Arial" w:hAnsi="Arial" w:cs="Arial"/>
          <w:b/>
          <w:bCs/>
          <w:u w:val="single"/>
          <w:lang w:val="en-GB"/>
        </w:rPr>
        <w:t>Contents of Figures:</w:t>
      </w:r>
    </w:p>
    <w:p w14:paraId="2D524461" w14:textId="08399226" w:rsidR="001777EB" w:rsidRPr="001777EB" w:rsidRDefault="008C20A9">
      <w:pPr>
        <w:pStyle w:val="TableofFigures"/>
        <w:tabs>
          <w:tab w:val="right" w:leader="dot" w:pos="9350"/>
        </w:tabs>
        <w:rPr>
          <w:rFonts w:ascii="Arial" w:eastAsiaTheme="minorEastAsia" w:hAnsi="Arial" w:cs="Arial"/>
          <w:noProof/>
          <w:kern w:val="2"/>
          <w:lang w:val="en-US" w:eastAsia="en-US"/>
          <w14:ligatures w14:val="standardContextual"/>
        </w:rPr>
      </w:pPr>
      <w:r w:rsidRPr="001777EB">
        <w:rPr>
          <w:rFonts w:ascii="Arial" w:hAnsi="Arial" w:cs="Arial"/>
          <w:lang w:val="en-GB"/>
        </w:rPr>
        <w:fldChar w:fldCharType="begin"/>
      </w:r>
      <w:r w:rsidRPr="001777EB">
        <w:rPr>
          <w:rFonts w:ascii="Arial" w:hAnsi="Arial" w:cs="Arial"/>
          <w:lang w:val="en-GB"/>
        </w:rPr>
        <w:instrText xml:space="preserve"> TOC \h \z \c "Figure" </w:instrText>
      </w:r>
      <w:r w:rsidRPr="001777EB">
        <w:rPr>
          <w:rFonts w:ascii="Arial" w:hAnsi="Arial" w:cs="Arial"/>
          <w:lang w:val="en-GB"/>
        </w:rPr>
        <w:fldChar w:fldCharType="separate"/>
      </w:r>
      <w:hyperlink w:anchor="_Toc228704095" w:history="1">
        <w:r w:rsidR="001777EB" w:rsidRPr="001777EB">
          <w:rPr>
            <w:rStyle w:val="Hyperlink"/>
            <w:rFonts w:ascii="Arial" w:hAnsi="Arial" w:cs="Arial"/>
            <w:noProof/>
          </w:rPr>
          <w:t>Figure 1: Conceptual Framework -01</w:t>
        </w:r>
        <w:r w:rsidR="001777EB" w:rsidRPr="001777EB">
          <w:rPr>
            <w:rFonts w:ascii="Arial" w:hAnsi="Arial" w:cs="Arial"/>
            <w:noProof/>
            <w:webHidden/>
          </w:rPr>
          <w:tab/>
        </w:r>
        <w:r w:rsidR="001777EB" w:rsidRPr="001777EB">
          <w:rPr>
            <w:rFonts w:ascii="Arial" w:hAnsi="Arial" w:cs="Arial"/>
            <w:noProof/>
            <w:webHidden/>
          </w:rPr>
          <w:fldChar w:fldCharType="begin"/>
        </w:r>
        <w:r w:rsidR="001777EB" w:rsidRPr="001777EB">
          <w:rPr>
            <w:rFonts w:ascii="Arial" w:hAnsi="Arial" w:cs="Arial"/>
            <w:noProof/>
            <w:webHidden/>
          </w:rPr>
          <w:instrText xml:space="preserve"> PAGEREF _Toc228704095 \h </w:instrText>
        </w:r>
        <w:r w:rsidR="001777EB" w:rsidRPr="001777EB">
          <w:rPr>
            <w:rFonts w:ascii="Arial" w:hAnsi="Arial" w:cs="Arial"/>
            <w:noProof/>
            <w:webHidden/>
          </w:rPr>
        </w:r>
        <w:r w:rsidR="001777EB" w:rsidRPr="001777EB">
          <w:rPr>
            <w:rFonts w:ascii="Arial" w:hAnsi="Arial" w:cs="Arial"/>
            <w:noProof/>
            <w:webHidden/>
          </w:rPr>
          <w:fldChar w:fldCharType="separate"/>
        </w:r>
        <w:r w:rsidR="001777EB" w:rsidRPr="001777EB">
          <w:rPr>
            <w:rFonts w:ascii="Arial" w:hAnsi="Arial" w:cs="Arial"/>
            <w:noProof/>
            <w:webHidden/>
          </w:rPr>
          <w:t>22</w:t>
        </w:r>
        <w:r w:rsidR="001777EB" w:rsidRPr="001777EB">
          <w:rPr>
            <w:rFonts w:ascii="Arial" w:hAnsi="Arial" w:cs="Arial"/>
            <w:noProof/>
            <w:webHidden/>
          </w:rPr>
          <w:fldChar w:fldCharType="end"/>
        </w:r>
      </w:hyperlink>
    </w:p>
    <w:p w14:paraId="4815FBBA" w14:textId="10406924" w:rsidR="001777EB" w:rsidRPr="001777EB" w:rsidRDefault="001777EB">
      <w:pPr>
        <w:pStyle w:val="TableofFigures"/>
        <w:tabs>
          <w:tab w:val="right" w:leader="dot" w:pos="9350"/>
        </w:tabs>
        <w:rPr>
          <w:rFonts w:ascii="Arial" w:eastAsiaTheme="minorEastAsia" w:hAnsi="Arial" w:cs="Arial"/>
          <w:noProof/>
          <w:kern w:val="2"/>
          <w:lang w:val="en-US" w:eastAsia="en-US"/>
          <w14:ligatures w14:val="standardContextual"/>
        </w:rPr>
      </w:pPr>
      <w:hyperlink w:anchor="_Toc228704096" w:history="1">
        <w:r w:rsidRPr="001777EB">
          <w:rPr>
            <w:rStyle w:val="Hyperlink"/>
            <w:rFonts w:ascii="Arial" w:hAnsi="Arial" w:cs="Arial"/>
            <w:noProof/>
          </w:rPr>
          <w:t>Figure 2: Conceptual Framework-02</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_Toc228704096 \h </w:instrText>
        </w:r>
        <w:r w:rsidRPr="001777EB">
          <w:rPr>
            <w:rFonts w:ascii="Arial" w:hAnsi="Arial" w:cs="Arial"/>
            <w:noProof/>
            <w:webHidden/>
          </w:rPr>
        </w:r>
        <w:r w:rsidRPr="001777EB">
          <w:rPr>
            <w:rFonts w:ascii="Arial" w:hAnsi="Arial" w:cs="Arial"/>
            <w:noProof/>
            <w:webHidden/>
          </w:rPr>
          <w:fldChar w:fldCharType="separate"/>
        </w:r>
        <w:r w:rsidRPr="001777EB">
          <w:rPr>
            <w:rFonts w:ascii="Arial" w:hAnsi="Arial" w:cs="Arial"/>
            <w:noProof/>
            <w:webHidden/>
          </w:rPr>
          <w:t>22</w:t>
        </w:r>
        <w:r w:rsidRPr="001777EB">
          <w:rPr>
            <w:rFonts w:ascii="Arial" w:hAnsi="Arial" w:cs="Arial"/>
            <w:noProof/>
            <w:webHidden/>
          </w:rPr>
          <w:fldChar w:fldCharType="end"/>
        </w:r>
      </w:hyperlink>
    </w:p>
    <w:p w14:paraId="0E66FB25" w14:textId="48DD70EE" w:rsidR="001777EB" w:rsidRPr="001777EB" w:rsidRDefault="001777EB">
      <w:pPr>
        <w:pStyle w:val="TableofFigures"/>
        <w:tabs>
          <w:tab w:val="right" w:leader="dot" w:pos="9350"/>
        </w:tabs>
        <w:rPr>
          <w:rFonts w:ascii="Arial" w:eastAsiaTheme="minorEastAsia" w:hAnsi="Arial" w:cs="Arial"/>
          <w:noProof/>
          <w:kern w:val="2"/>
          <w:lang w:val="en-US" w:eastAsia="en-US"/>
          <w14:ligatures w14:val="standardContextual"/>
        </w:rPr>
      </w:pPr>
      <w:hyperlink w:anchor="_Toc228704097" w:history="1">
        <w:r w:rsidRPr="001777EB">
          <w:rPr>
            <w:rStyle w:val="Hyperlink"/>
            <w:rFonts w:ascii="Arial" w:hAnsi="Arial" w:cs="Arial"/>
            <w:noProof/>
          </w:rPr>
          <w:t>Figure 3: Conceptual Framework-03</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_Toc228704097 \h </w:instrText>
        </w:r>
        <w:r w:rsidRPr="001777EB">
          <w:rPr>
            <w:rFonts w:ascii="Arial" w:hAnsi="Arial" w:cs="Arial"/>
            <w:noProof/>
            <w:webHidden/>
          </w:rPr>
        </w:r>
        <w:r w:rsidRPr="001777EB">
          <w:rPr>
            <w:rFonts w:ascii="Arial" w:hAnsi="Arial" w:cs="Arial"/>
            <w:noProof/>
            <w:webHidden/>
          </w:rPr>
          <w:fldChar w:fldCharType="separate"/>
        </w:r>
        <w:r w:rsidRPr="001777EB">
          <w:rPr>
            <w:rFonts w:ascii="Arial" w:hAnsi="Arial" w:cs="Arial"/>
            <w:noProof/>
            <w:webHidden/>
          </w:rPr>
          <w:t>23</w:t>
        </w:r>
        <w:r w:rsidRPr="001777EB">
          <w:rPr>
            <w:rFonts w:ascii="Arial" w:hAnsi="Arial" w:cs="Arial"/>
            <w:noProof/>
            <w:webHidden/>
          </w:rPr>
          <w:fldChar w:fldCharType="end"/>
        </w:r>
      </w:hyperlink>
    </w:p>
    <w:p w14:paraId="1FBD757D" w14:textId="6E875A8B" w:rsidR="001777EB" w:rsidRPr="001777EB" w:rsidRDefault="001777EB">
      <w:pPr>
        <w:pStyle w:val="TableofFigures"/>
        <w:tabs>
          <w:tab w:val="right" w:leader="dot" w:pos="9350"/>
        </w:tabs>
        <w:rPr>
          <w:rFonts w:ascii="Arial" w:eastAsiaTheme="minorEastAsia" w:hAnsi="Arial" w:cs="Arial"/>
          <w:noProof/>
          <w:kern w:val="2"/>
          <w:lang w:val="en-US" w:eastAsia="en-US"/>
          <w14:ligatures w14:val="standardContextual"/>
        </w:rPr>
      </w:pPr>
      <w:hyperlink w:anchor="_Toc228704098" w:history="1">
        <w:r w:rsidRPr="001777EB">
          <w:rPr>
            <w:rStyle w:val="Hyperlink"/>
            <w:rFonts w:ascii="Arial" w:hAnsi="Arial" w:cs="Arial"/>
            <w:noProof/>
          </w:rPr>
          <w:t>Figure 4: Research Onion</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_Toc228704098 \h </w:instrText>
        </w:r>
        <w:r w:rsidRPr="001777EB">
          <w:rPr>
            <w:rFonts w:ascii="Arial" w:hAnsi="Arial" w:cs="Arial"/>
            <w:noProof/>
            <w:webHidden/>
          </w:rPr>
        </w:r>
        <w:r w:rsidRPr="001777EB">
          <w:rPr>
            <w:rFonts w:ascii="Arial" w:hAnsi="Arial" w:cs="Arial"/>
            <w:noProof/>
            <w:webHidden/>
          </w:rPr>
          <w:fldChar w:fldCharType="separate"/>
        </w:r>
        <w:r w:rsidRPr="001777EB">
          <w:rPr>
            <w:rFonts w:ascii="Arial" w:hAnsi="Arial" w:cs="Arial"/>
            <w:noProof/>
            <w:webHidden/>
          </w:rPr>
          <w:t>26</w:t>
        </w:r>
        <w:r w:rsidRPr="001777EB">
          <w:rPr>
            <w:rFonts w:ascii="Arial" w:hAnsi="Arial" w:cs="Arial"/>
            <w:noProof/>
            <w:webHidden/>
          </w:rPr>
          <w:fldChar w:fldCharType="end"/>
        </w:r>
      </w:hyperlink>
    </w:p>
    <w:p w14:paraId="4250F4FB" w14:textId="53CFFEBE" w:rsidR="001777EB" w:rsidRPr="001777EB" w:rsidRDefault="001777EB">
      <w:pPr>
        <w:pStyle w:val="TableofFigures"/>
        <w:tabs>
          <w:tab w:val="right" w:leader="dot" w:pos="9350"/>
        </w:tabs>
        <w:rPr>
          <w:rFonts w:ascii="Arial" w:eastAsiaTheme="minorEastAsia" w:hAnsi="Arial" w:cs="Arial"/>
          <w:noProof/>
          <w:kern w:val="2"/>
          <w:lang w:val="en-US" w:eastAsia="en-US"/>
          <w14:ligatures w14:val="standardContextual"/>
        </w:rPr>
      </w:pPr>
      <w:hyperlink w:anchor="_Toc228704099" w:history="1">
        <w:r w:rsidRPr="001777EB">
          <w:rPr>
            <w:rStyle w:val="Hyperlink"/>
            <w:rFonts w:ascii="Arial" w:hAnsi="Arial" w:cs="Arial"/>
            <w:noProof/>
          </w:rPr>
          <w:t>Figure 5: Results, reports and presentations of Bunzl</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_Toc228704099 \h </w:instrText>
        </w:r>
        <w:r w:rsidRPr="001777EB">
          <w:rPr>
            <w:rFonts w:ascii="Arial" w:hAnsi="Arial" w:cs="Arial"/>
            <w:noProof/>
            <w:webHidden/>
          </w:rPr>
        </w:r>
        <w:r w:rsidRPr="001777EB">
          <w:rPr>
            <w:rFonts w:ascii="Arial" w:hAnsi="Arial" w:cs="Arial"/>
            <w:noProof/>
            <w:webHidden/>
          </w:rPr>
          <w:fldChar w:fldCharType="separate"/>
        </w:r>
        <w:r w:rsidRPr="001777EB">
          <w:rPr>
            <w:rFonts w:ascii="Arial" w:hAnsi="Arial" w:cs="Arial"/>
            <w:noProof/>
            <w:webHidden/>
          </w:rPr>
          <w:t>37</w:t>
        </w:r>
        <w:r w:rsidRPr="001777EB">
          <w:rPr>
            <w:rFonts w:ascii="Arial" w:hAnsi="Arial" w:cs="Arial"/>
            <w:noProof/>
            <w:webHidden/>
          </w:rPr>
          <w:fldChar w:fldCharType="end"/>
        </w:r>
      </w:hyperlink>
    </w:p>
    <w:p w14:paraId="36D32058" w14:textId="7E2D9A0B" w:rsidR="001777EB" w:rsidRPr="001777EB" w:rsidRDefault="001777EB">
      <w:pPr>
        <w:pStyle w:val="TableofFigures"/>
        <w:tabs>
          <w:tab w:val="right" w:leader="dot" w:pos="9350"/>
        </w:tabs>
        <w:rPr>
          <w:rFonts w:ascii="Arial" w:eastAsiaTheme="minorEastAsia" w:hAnsi="Arial" w:cs="Arial"/>
          <w:noProof/>
          <w:kern w:val="2"/>
          <w:lang w:val="en-US" w:eastAsia="en-US"/>
          <w14:ligatures w14:val="standardContextual"/>
        </w:rPr>
      </w:pPr>
      <w:hyperlink w:anchor="_Toc228704100" w:history="1">
        <w:r w:rsidRPr="001777EB">
          <w:rPr>
            <w:rStyle w:val="Hyperlink"/>
            <w:rFonts w:ascii="Arial" w:hAnsi="Arial" w:cs="Arial"/>
            <w:noProof/>
          </w:rPr>
          <w:t>Figure 6: Bloomberg Workforce Dynamics and Market Risk</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_Toc228704100 \h </w:instrText>
        </w:r>
        <w:r w:rsidRPr="001777EB">
          <w:rPr>
            <w:rFonts w:ascii="Arial" w:hAnsi="Arial" w:cs="Arial"/>
            <w:noProof/>
            <w:webHidden/>
          </w:rPr>
        </w:r>
        <w:r w:rsidRPr="001777EB">
          <w:rPr>
            <w:rFonts w:ascii="Arial" w:hAnsi="Arial" w:cs="Arial"/>
            <w:noProof/>
            <w:webHidden/>
          </w:rPr>
          <w:fldChar w:fldCharType="separate"/>
        </w:r>
        <w:r w:rsidRPr="001777EB">
          <w:rPr>
            <w:rFonts w:ascii="Arial" w:hAnsi="Arial" w:cs="Arial"/>
            <w:noProof/>
            <w:webHidden/>
          </w:rPr>
          <w:t>38</w:t>
        </w:r>
        <w:r w:rsidRPr="001777EB">
          <w:rPr>
            <w:rFonts w:ascii="Arial" w:hAnsi="Arial" w:cs="Arial"/>
            <w:noProof/>
            <w:webHidden/>
          </w:rPr>
          <w:fldChar w:fldCharType="end"/>
        </w:r>
      </w:hyperlink>
    </w:p>
    <w:p w14:paraId="5C8C9DAB" w14:textId="3DB5F7D8" w:rsidR="001777EB" w:rsidRPr="001777EB" w:rsidRDefault="001777EB">
      <w:pPr>
        <w:pStyle w:val="TableofFigures"/>
        <w:tabs>
          <w:tab w:val="right" w:leader="dot" w:pos="9350"/>
        </w:tabs>
        <w:rPr>
          <w:rFonts w:ascii="Arial" w:eastAsiaTheme="minorEastAsia" w:hAnsi="Arial" w:cs="Arial"/>
          <w:noProof/>
          <w:kern w:val="2"/>
          <w:lang w:val="en-US" w:eastAsia="en-US"/>
          <w14:ligatures w14:val="standardContextual"/>
        </w:rPr>
      </w:pPr>
      <w:hyperlink w:anchor="_Toc228704101" w:history="1">
        <w:r w:rsidRPr="001777EB">
          <w:rPr>
            <w:rStyle w:val="Hyperlink"/>
            <w:rFonts w:ascii="Arial" w:hAnsi="Arial" w:cs="Arial"/>
            <w:noProof/>
          </w:rPr>
          <w:t>Figure 7: Health and Wellbeing at Work report</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_Toc228704101 \h </w:instrText>
        </w:r>
        <w:r w:rsidRPr="001777EB">
          <w:rPr>
            <w:rFonts w:ascii="Arial" w:hAnsi="Arial" w:cs="Arial"/>
            <w:noProof/>
            <w:webHidden/>
          </w:rPr>
        </w:r>
        <w:r w:rsidRPr="001777EB">
          <w:rPr>
            <w:rFonts w:ascii="Arial" w:hAnsi="Arial" w:cs="Arial"/>
            <w:noProof/>
            <w:webHidden/>
          </w:rPr>
          <w:fldChar w:fldCharType="separate"/>
        </w:r>
        <w:r w:rsidRPr="001777EB">
          <w:rPr>
            <w:rFonts w:ascii="Arial" w:hAnsi="Arial" w:cs="Arial"/>
            <w:noProof/>
            <w:webHidden/>
          </w:rPr>
          <w:t>40</w:t>
        </w:r>
        <w:r w:rsidRPr="001777EB">
          <w:rPr>
            <w:rFonts w:ascii="Arial" w:hAnsi="Arial" w:cs="Arial"/>
            <w:noProof/>
            <w:webHidden/>
          </w:rPr>
          <w:fldChar w:fldCharType="end"/>
        </w:r>
      </w:hyperlink>
    </w:p>
    <w:p w14:paraId="198990D3" w14:textId="45BF477B" w:rsidR="001777EB" w:rsidRPr="001777EB" w:rsidRDefault="001777EB">
      <w:pPr>
        <w:pStyle w:val="TableofFigures"/>
        <w:tabs>
          <w:tab w:val="right" w:leader="dot" w:pos="9350"/>
        </w:tabs>
        <w:rPr>
          <w:rFonts w:ascii="Arial" w:eastAsiaTheme="minorEastAsia" w:hAnsi="Arial" w:cs="Arial"/>
          <w:noProof/>
          <w:kern w:val="2"/>
          <w:lang w:val="en-US" w:eastAsia="en-US"/>
          <w14:ligatures w14:val="standardContextual"/>
        </w:rPr>
      </w:pPr>
      <w:hyperlink w:anchor="_Toc228704102" w:history="1">
        <w:r w:rsidRPr="001777EB">
          <w:rPr>
            <w:rStyle w:val="Hyperlink"/>
            <w:rFonts w:ascii="Arial" w:hAnsi="Arial" w:cs="Arial"/>
            <w:noProof/>
          </w:rPr>
          <w:t>Figure 8: Workforce Transformation</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_Toc228704102 \h </w:instrText>
        </w:r>
        <w:r w:rsidRPr="001777EB">
          <w:rPr>
            <w:rFonts w:ascii="Arial" w:hAnsi="Arial" w:cs="Arial"/>
            <w:noProof/>
            <w:webHidden/>
          </w:rPr>
        </w:r>
        <w:r w:rsidRPr="001777EB">
          <w:rPr>
            <w:rFonts w:ascii="Arial" w:hAnsi="Arial" w:cs="Arial"/>
            <w:noProof/>
            <w:webHidden/>
          </w:rPr>
          <w:fldChar w:fldCharType="separate"/>
        </w:r>
        <w:r w:rsidRPr="001777EB">
          <w:rPr>
            <w:rFonts w:ascii="Arial" w:hAnsi="Arial" w:cs="Arial"/>
            <w:noProof/>
            <w:webHidden/>
          </w:rPr>
          <w:t>41</w:t>
        </w:r>
        <w:r w:rsidRPr="001777EB">
          <w:rPr>
            <w:rFonts w:ascii="Arial" w:hAnsi="Arial" w:cs="Arial"/>
            <w:noProof/>
            <w:webHidden/>
          </w:rPr>
          <w:fldChar w:fldCharType="end"/>
        </w:r>
      </w:hyperlink>
    </w:p>
    <w:p w14:paraId="11280654" w14:textId="4D85B11D" w:rsidR="00810EC8" w:rsidRPr="00982F6A" w:rsidRDefault="008C20A9">
      <w:pPr>
        <w:rPr>
          <w:rFonts w:ascii="Arial" w:hAnsi="Arial" w:cs="Arial"/>
          <w:lang w:val="en-GB"/>
        </w:rPr>
      </w:pPr>
      <w:r w:rsidRPr="001777EB">
        <w:rPr>
          <w:rFonts w:ascii="Arial" w:hAnsi="Arial" w:cs="Arial"/>
          <w:lang w:val="en-GB"/>
        </w:rPr>
        <w:fldChar w:fldCharType="end"/>
      </w:r>
      <w:r w:rsidR="00810EC8" w:rsidRPr="00982F6A">
        <w:rPr>
          <w:rFonts w:ascii="Arial" w:hAnsi="Arial" w:cs="Arial"/>
          <w:lang w:val="en-GB"/>
        </w:rPr>
        <w:br w:type="page"/>
      </w:r>
    </w:p>
    <w:p w14:paraId="4A1338DD" w14:textId="77777777" w:rsidR="00810EC8" w:rsidRPr="00982F6A" w:rsidRDefault="00810EC8" w:rsidP="001777EB">
      <w:pPr>
        <w:pStyle w:val="Heading1"/>
        <w:rPr>
          <w:lang w:val="en-GB"/>
        </w:rPr>
        <w:sectPr w:rsidR="00810EC8" w:rsidRPr="00982F6A" w:rsidSect="00810EC8">
          <w:type w:val="continuous"/>
          <w:pgSz w:w="12240" w:h="15840"/>
          <w:pgMar w:top="1440" w:right="1440" w:bottom="1440" w:left="1440" w:header="720" w:footer="720" w:gutter="0"/>
          <w:pgNumType w:fmt="lowerRoman" w:start="3"/>
          <w:cols w:space="720"/>
        </w:sectPr>
      </w:pPr>
    </w:p>
    <w:p w14:paraId="261CB5D7" w14:textId="3235D67F" w:rsidR="00CC7C04" w:rsidRPr="00982F6A" w:rsidRDefault="00CC7C04" w:rsidP="001777EB">
      <w:pPr>
        <w:pStyle w:val="Heading1"/>
        <w:rPr>
          <w:lang w:val="en-GB"/>
        </w:rPr>
      </w:pPr>
      <w:bookmarkStart w:id="8" w:name="_Toc225633898"/>
      <w:bookmarkStart w:id="9" w:name="_Toc228704004"/>
      <w:bookmarkEnd w:id="1"/>
      <w:r w:rsidRPr="00982F6A">
        <w:rPr>
          <w:lang w:val="en-GB"/>
        </w:rPr>
        <w:lastRenderedPageBreak/>
        <w:t>Chapter 1: Introduction</w:t>
      </w:r>
      <w:bookmarkEnd w:id="8"/>
      <w:bookmarkEnd w:id="9"/>
    </w:p>
    <w:p w14:paraId="3678B460" w14:textId="77777777" w:rsidR="00CC7C04" w:rsidRPr="00982F6A" w:rsidRDefault="00CC7C04" w:rsidP="00CC7C04">
      <w:pPr>
        <w:pStyle w:val="Heading2"/>
        <w:rPr>
          <w:rFonts w:cs="Arial"/>
        </w:rPr>
      </w:pPr>
      <w:bookmarkStart w:id="10" w:name="_Toc225633899"/>
      <w:bookmarkStart w:id="11" w:name="_Toc228704005"/>
      <w:r w:rsidRPr="00982F6A">
        <w:rPr>
          <w:rFonts w:cs="Arial"/>
        </w:rPr>
        <w:t>1.1 Background and Context</w:t>
      </w:r>
      <w:bookmarkEnd w:id="10"/>
      <w:bookmarkEnd w:id="11"/>
    </w:p>
    <w:p w14:paraId="4FAC945A" w14:textId="21DBB8E0"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In contemporary business environments, organisations increasingly recognise that their workforce is not merely an operational resource but a critical strategic asset. This shift in perspective has led to the growing importance of HCM, which emphasises the effective management, development, and utilisation of employees’ skills, knowledge, and competencies. Rooted in foundational theories such as Human Capital Theory (Becker, 1993) and the Resource-Based View</w:t>
      </w:r>
      <w:r w:rsidR="00BD2183">
        <w:rPr>
          <w:rFonts w:ascii="Arial" w:eastAsia="Arial" w:hAnsi="Arial" w:cs="Arial"/>
          <w:lang w:val="en-GB"/>
        </w:rPr>
        <w:t xml:space="preserve"> </w:t>
      </w:r>
      <w:r w:rsidRPr="00982F6A">
        <w:rPr>
          <w:rFonts w:ascii="Arial" w:eastAsia="Arial" w:hAnsi="Arial" w:cs="Arial"/>
          <w:lang w:val="en-GB"/>
        </w:rPr>
        <w:t>(Barney, 1991), HCM suggests that human resources can serve as a source of sustainable competitive advantage when strategically managed.</w:t>
      </w:r>
    </w:p>
    <w:p w14:paraId="2AC4137E" w14:textId="05501CC8"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Over time, HCM has evolved into Strategic Human Capital Management, where human resource practices are closely aligned with organisational strategy. SHCM encompasses activities such as talent acquisition, workforce planning, employee development, performance management, and the use of HR analytics to inform decision-making. These practices are no longer limited to improving productivity but are increasingly seen as mechanisms to enhance organisational resilience, adaptability, and long-term sustainability.</w:t>
      </w:r>
    </w:p>
    <w:p w14:paraId="3F2C9799"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Recent developments in the global business landscape have further intensified the importance of SHCM. The aftermath of the COVID-19 pandemic has significantly transformed workplace dynamics, particularly with the rise of remote and hybrid working models. Organisations are now required to manage dispersed workforces, maintain employee engagement, and ensure productivity under uncertain conditions. Additionally, rapid technological advancements, including automation and artificial intelligence, have reshaped job roles and created new skill demands, thereby increasing the complexity of workforce management.</w:t>
      </w:r>
    </w:p>
    <w:p w14:paraId="2CC0A5B8"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 xml:space="preserve">In the United Kingdom, organisations face a unique set of challenges related to human capital. These include persistent skill shortages, high employee turnover, increasing regulatory requirements, and growing concerns about employee wellbeing and mental </w:t>
      </w:r>
      <w:r w:rsidRPr="00982F6A">
        <w:rPr>
          <w:rFonts w:ascii="Arial" w:eastAsia="Arial" w:hAnsi="Arial" w:cs="Arial"/>
          <w:lang w:val="en-GB"/>
        </w:rPr>
        <w:lastRenderedPageBreak/>
        <w:t>health. According to reports by the Office for National Statistics (ONS, 2023) and PwC (2023), labour market disruptions and evolving employee expectations have made workforce management a critical area of organisational risk.</w:t>
      </w:r>
    </w:p>
    <w:p w14:paraId="75A25537"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Traditionally, organisational risk management has focused on financial, operational, and strategic risks, with limited emphasis on human capital-related risks. However, there is a growing recognition that issues such as talent shortages, employee disengagement, leadership failures, and non-compliance with employment regulations can significantly impact organisational performance and reputation. As a result, organisations are increasingly integrating human capital considerations into their broader risk management frameworks.</w:t>
      </w:r>
    </w:p>
    <w:p w14:paraId="6FAC02DB"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Despite these developments, academic research has largely examined SHCM from a performance perspective, focusing on outcomes such as productivity, profitability, and innovation. While these studies provide valuable insights, they often overlook the role of SHCM as a tool for managing organisational risk. This gap is particularly evident in the UK context, where limited research has explored the integration of SHCM with enterprise risk management practices.</w:t>
      </w:r>
    </w:p>
    <w:p w14:paraId="34F690B5"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Therefore, this study seeks to address this gap by examining how SHCM can be used as a strategic tool to manage organisational risk while enhancing performance. By integrating insights from RBV, dynamic capabilities theory, and risk management frameworks, the research aims to provide a comprehensive understanding of the role of human capital in contemporary organisations.</w:t>
      </w:r>
    </w:p>
    <w:p w14:paraId="721A410C" w14:textId="77777777" w:rsidR="00CC7C04" w:rsidRPr="00982F6A" w:rsidRDefault="00CC7C04" w:rsidP="00CC7C04">
      <w:pPr>
        <w:pStyle w:val="Heading2"/>
        <w:rPr>
          <w:rFonts w:cs="Arial"/>
        </w:rPr>
      </w:pPr>
      <w:bookmarkStart w:id="12" w:name="_Toc225633900"/>
      <w:bookmarkStart w:id="13" w:name="_Toc228704006"/>
      <w:r w:rsidRPr="00982F6A">
        <w:rPr>
          <w:rFonts w:cs="Arial"/>
        </w:rPr>
        <w:t>1.2 Problem Statement</w:t>
      </w:r>
      <w:bookmarkEnd w:id="12"/>
      <w:bookmarkEnd w:id="13"/>
    </w:p>
    <w:p w14:paraId="743E6CA2" w14:textId="21607843"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In an increasingly volatile and uncertain business environment, organisations face a wide range of risks that can significantly affect their performance and sustainability. While traditional risk management approaches have focused on financial and operational risks, there is growing evidence that human capital-related risks represent a critical yet underexplored area of concern</w:t>
      </w:r>
      <w:r w:rsidR="00D4436C">
        <w:rPr>
          <w:rFonts w:ascii="Arial" w:eastAsia="Arial" w:hAnsi="Arial" w:cs="Arial"/>
          <w:lang w:val="en-GB"/>
        </w:rPr>
        <w:t xml:space="preserve"> </w:t>
      </w:r>
      <w:r w:rsidR="003E7119">
        <w:rPr>
          <w:rFonts w:ascii="Arial" w:eastAsia="Arial" w:hAnsi="Arial" w:cs="Arial"/>
          <w:lang w:val="en-GB"/>
        </w:rPr>
        <w:t>(</w:t>
      </w:r>
      <w:r w:rsidR="008F2C05">
        <w:rPr>
          <w:rFonts w:ascii="Arial" w:eastAsia="Arial" w:hAnsi="Arial" w:cs="Arial"/>
          <w:lang w:val="en-GB"/>
        </w:rPr>
        <w:t>ISO, 2018; Committee of Sponsoring Organisations of the Treadway Commission, 2017</w:t>
      </w:r>
      <w:r w:rsidR="003E7119">
        <w:rPr>
          <w:rFonts w:ascii="Arial" w:eastAsia="Arial" w:hAnsi="Arial" w:cs="Arial"/>
          <w:lang w:val="en-GB"/>
        </w:rPr>
        <w:t>)</w:t>
      </w:r>
      <w:r w:rsidR="00D4436C">
        <w:rPr>
          <w:rFonts w:ascii="Arial" w:eastAsia="Arial" w:hAnsi="Arial" w:cs="Arial"/>
          <w:lang w:val="en-GB"/>
        </w:rPr>
        <w:t>.</w:t>
      </w:r>
    </w:p>
    <w:p w14:paraId="19DA65AF" w14:textId="300FB28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lastRenderedPageBreak/>
        <w:t>Human capital risks, including employee turnover, skills shortages, low engagement, workplace stress, and regulatory non-compliance, have become more prominent in recent years. These risks are further exacerbated by changes in work patterns, technological disruptions, and evolving employee expectations</w:t>
      </w:r>
      <w:r w:rsidR="008F2C05">
        <w:rPr>
          <w:rFonts w:ascii="Arial" w:eastAsia="Arial" w:hAnsi="Arial" w:cs="Arial"/>
          <w:lang w:val="en-GB"/>
        </w:rPr>
        <w:t xml:space="preserve"> (Dirani </w:t>
      </w:r>
      <w:r w:rsidR="008F2C05">
        <w:rPr>
          <w:rFonts w:ascii="Arial" w:eastAsia="Arial" w:hAnsi="Arial" w:cs="Arial"/>
          <w:i/>
          <w:iCs/>
          <w:lang w:val="en-GB"/>
        </w:rPr>
        <w:t xml:space="preserve">et al., </w:t>
      </w:r>
      <w:r w:rsidR="008F2C05">
        <w:rPr>
          <w:rFonts w:ascii="Arial" w:eastAsia="Arial" w:hAnsi="Arial" w:cs="Arial"/>
          <w:lang w:val="en-GB"/>
        </w:rPr>
        <w:t xml:space="preserve">2020; De Grip and </w:t>
      </w:r>
      <w:proofErr w:type="spellStart"/>
      <w:r w:rsidR="008F2C05">
        <w:rPr>
          <w:rFonts w:ascii="Arial" w:eastAsia="Arial" w:hAnsi="Arial" w:cs="Arial"/>
          <w:lang w:val="en-GB"/>
        </w:rPr>
        <w:t>Ziegele</w:t>
      </w:r>
      <w:proofErr w:type="spellEnd"/>
      <w:r w:rsidR="008F2C05">
        <w:rPr>
          <w:rFonts w:ascii="Arial" w:eastAsia="Arial" w:hAnsi="Arial" w:cs="Arial"/>
          <w:lang w:val="en-GB"/>
        </w:rPr>
        <w:t>, 2021; Chartered Institute of Personnel Development, 2023)</w:t>
      </w:r>
      <w:r w:rsidRPr="00982F6A">
        <w:rPr>
          <w:rFonts w:ascii="Arial" w:eastAsia="Arial" w:hAnsi="Arial" w:cs="Arial"/>
          <w:lang w:val="en-GB"/>
        </w:rPr>
        <w:t>. In the UK, organisations are particularly affected by labour market challenges, including talent gaps and workforce restructuring, which increase the likelihood of operational disruptions and reduced productivity</w:t>
      </w:r>
      <w:r w:rsidR="003E7119">
        <w:rPr>
          <w:rFonts w:ascii="Arial" w:eastAsia="Arial" w:hAnsi="Arial" w:cs="Arial"/>
          <w:lang w:val="en-GB"/>
        </w:rPr>
        <w:t xml:space="preserve"> (</w:t>
      </w:r>
      <w:r w:rsidR="008F2C05">
        <w:rPr>
          <w:rFonts w:ascii="Arial" w:eastAsia="Arial" w:hAnsi="Arial" w:cs="Arial"/>
          <w:lang w:val="en-GB"/>
        </w:rPr>
        <w:t>PwC</w:t>
      </w:r>
      <w:r w:rsidR="003E7119">
        <w:rPr>
          <w:rFonts w:ascii="Arial" w:eastAsia="Arial" w:hAnsi="Arial" w:cs="Arial"/>
          <w:lang w:val="en-GB"/>
        </w:rPr>
        <w:t>, 2023; O</w:t>
      </w:r>
      <w:r w:rsidR="00D4436C">
        <w:rPr>
          <w:rFonts w:ascii="Arial" w:eastAsia="Arial" w:hAnsi="Arial" w:cs="Arial"/>
          <w:lang w:val="en-GB"/>
        </w:rPr>
        <w:t xml:space="preserve">ffice for </w:t>
      </w:r>
      <w:r w:rsidR="003E7119">
        <w:rPr>
          <w:rFonts w:ascii="Arial" w:eastAsia="Arial" w:hAnsi="Arial" w:cs="Arial"/>
          <w:lang w:val="en-GB"/>
        </w:rPr>
        <w:t>N</w:t>
      </w:r>
      <w:r w:rsidR="00D4436C">
        <w:rPr>
          <w:rFonts w:ascii="Arial" w:eastAsia="Arial" w:hAnsi="Arial" w:cs="Arial"/>
          <w:lang w:val="en-GB"/>
        </w:rPr>
        <w:t xml:space="preserve">ational </w:t>
      </w:r>
      <w:r w:rsidR="003E7119">
        <w:rPr>
          <w:rFonts w:ascii="Arial" w:eastAsia="Arial" w:hAnsi="Arial" w:cs="Arial"/>
          <w:lang w:val="en-GB"/>
        </w:rPr>
        <w:t>S</w:t>
      </w:r>
      <w:r w:rsidR="00D4436C">
        <w:rPr>
          <w:rFonts w:ascii="Arial" w:eastAsia="Arial" w:hAnsi="Arial" w:cs="Arial"/>
          <w:lang w:val="en-GB"/>
        </w:rPr>
        <w:t>tatistics</w:t>
      </w:r>
      <w:r w:rsidR="003E7119">
        <w:rPr>
          <w:rFonts w:ascii="Arial" w:eastAsia="Arial" w:hAnsi="Arial" w:cs="Arial"/>
          <w:lang w:val="en-GB"/>
        </w:rPr>
        <w:t>,</w:t>
      </w:r>
      <w:r w:rsidR="00D4436C">
        <w:rPr>
          <w:rFonts w:ascii="Arial" w:eastAsia="Arial" w:hAnsi="Arial" w:cs="Arial"/>
          <w:lang w:val="en-GB"/>
        </w:rPr>
        <w:t xml:space="preserve"> </w:t>
      </w:r>
      <w:r w:rsidR="003E7119">
        <w:rPr>
          <w:rFonts w:ascii="Arial" w:eastAsia="Arial" w:hAnsi="Arial" w:cs="Arial"/>
          <w:lang w:val="en-GB"/>
        </w:rPr>
        <w:t>2023</w:t>
      </w:r>
      <w:r w:rsidR="008F2C05">
        <w:rPr>
          <w:rFonts w:ascii="Arial" w:eastAsia="Arial" w:hAnsi="Arial" w:cs="Arial"/>
          <w:lang w:val="en-GB"/>
        </w:rPr>
        <w:t>; IBISWorld, 2024</w:t>
      </w:r>
      <w:r w:rsidR="003E7119">
        <w:rPr>
          <w:rFonts w:ascii="Arial" w:eastAsia="Arial" w:hAnsi="Arial" w:cs="Arial"/>
          <w:lang w:val="en-GB"/>
        </w:rPr>
        <w:t>)</w:t>
      </w:r>
    </w:p>
    <w:p w14:paraId="6A7BB487" w14:textId="211DE35F"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Despite the significance of these challenges, many organisations continue to treat human resource management and risk management as separate functions. As a result, the potential of Strategic Human Capital Management (SHCM) to mitigate organisational risks is not fully realised</w:t>
      </w:r>
      <w:r w:rsidR="003E7119">
        <w:rPr>
          <w:rFonts w:ascii="Arial" w:eastAsia="Arial" w:hAnsi="Arial" w:cs="Arial"/>
          <w:lang w:val="en-GB"/>
        </w:rPr>
        <w:t xml:space="preserve"> (Kramar, 20</w:t>
      </w:r>
      <w:r w:rsidR="00515EB9">
        <w:rPr>
          <w:rFonts w:ascii="Arial" w:eastAsia="Arial" w:hAnsi="Arial" w:cs="Arial"/>
          <w:lang w:val="en-GB"/>
        </w:rPr>
        <w:t>22; Henry and Pettigrew, 2020</w:t>
      </w:r>
      <w:r w:rsidR="003E7119">
        <w:rPr>
          <w:rFonts w:ascii="Arial" w:eastAsia="Arial" w:hAnsi="Arial" w:cs="Arial"/>
          <w:lang w:val="en-GB"/>
        </w:rPr>
        <w:t>).</w:t>
      </w:r>
      <w:r w:rsidRPr="00982F6A">
        <w:rPr>
          <w:rFonts w:ascii="Arial" w:eastAsia="Arial" w:hAnsi="Arial" w:cs="Arial"/>
          <w:lang w:val="en-GB"/>
        </w:rPr>
        <w:t xml:space="preserve"> Existing research predominantly focuses on the role of SHCM in enhancing performance outcomes, with limited attention to its role in managing risks</w:t>
      </w:r>
      <w:r w:rsidR="003E7119">
        <w:rPr>
          <w:rFonts w:ascii="Arial" w:eastAsia="Arial" w:hAnsi="Arial" w:cs="Arial"/>
          <w:lang w:val="en-GB"/>
        </w:rPr>
        <w:t xml:space="preserve"> (</w:t>
      </w:r>
      <w:r w:rsidR="00515EB9">
        <w:rPr>
          <w:rFonts w:ascii="Arial" w:eastAsia="Arial" w:hAnsi="Arial" w:cs="Arial"/>
          <w:lang w:val="en-GB"/>
        </w:rPr>
        <w:t>Ahmad</w:t>
      </w:r>
      <w:r w:rsidR="003E7119">
        <w:rPr>
          <w:rFonts w:ascii="Arial" w:eastAsia="Arial" w:hAnsi="Arial" w:cs="Arial"/>
          <w:lang w:val="en-GB"/>
        </w:rPr>
        <w:t xml:space="preserve"> </w:t>
      </w:r>
      <w:r w:rsidR="00D4436C">
        <w:rPr>
          <w:rFonts w:ascii="Arial" w:eastAsia="Arial" w:hAnsi="Arial" w:cs="Arial"/>
          <w:i/>
          <w:iCs/>
          <w:lang w:val="en-GB"/>
        </w:rPr>
        <w:t>et al.</w:t>
      </w:r>
      <w:r w:rsidR="00D4436C">
        <w:rPr>
          <w:rFonts w:ascii="Arial" w:eastAsia="Arial" w:hAnsi="Arial" w:cs="Arial"/>
          <w:lang w:val="en-GB"/>
        </w:rPr>
        <w:t>,20</w:t>
      </w:r>
      <w:r w:rsidR="00515EB9">
        <w:rPr>
          <w:rFonts w:ascii="Arial" w:eastAsia="Arial" w:hAnsi="Arial" w:cs="Arial"/>
          <w:lang w:val="en-GB"/>
        </w:rPr>
        <w:t>20</w:t>
      </w:r>
      <w:r w:rsidR="00D4436C">
        <w:rPr>
          <w:rFonts w:ascii="Arial" w:eastAsia="Arial" w:hAnsi="Arial" w:cs="Arial"/>
          <w:lang w:val="en-GB"/>
        </w:rPr>
        <w:t xml:space="preserve">; </w:t>
      </w:r>
      <w:r w:rsidR="00515EB9">
        <w:rPr>
          <w:rFonts w:ascii="Arial" w:eastAsia="Arial" w:hAnsi="Arial" w:cs="Arial"/>
          <w:lang w:val="en-GB"/>
        </w:rPr>
        <w:t>Gupta and Kumar, 2021</w:t>
      </w:r>
      <w:r w:rsidR="003E7119">
        <w:rPr>
          <w:rFonts w:ascii="Arial" w:eastAsia="Arial" w:hAnsi="Arial" w:cs="Arial"/>
          <w:lang w:val="en-GB"/>
        </w:rPr>
        <w:t>)</w:t>
      </w:r>
      <w:r w:rsidRPr="00982F6A">
        <w:rPr>
          <w:rFonts w:ascii="Arial" w:eastAsia="Arial" w:hAnsi="Arial" w:cs="Arial"/>
          <w:lang w:val="en-GB"/>
        </w:rPr>
        <w:t>.</w:t>
      </w:r>
    </w:p>
    <w:p w14:paraId="26C98399" w14:textId="3F6A5923"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Furthermore, there is a lack of theoretical integration between SHCM, risk management, and organisational performance. While frameworks such as the Resource-Based View</w:t>
      </w:r>
      <w:r w:rsidR="003E7119">
        <w:rPr>
          <w:rFonts w:ascii="Arial" w:eastAsia="Arial" w:hAnsi="Arial" w:cs="Arial"/>
          <w:lang w:val="en-GB"/>
        </w:rPr>
        <w:t xml:space="preserve"> </w:t>
      </w:r>
      <w:r w:rsidRPr="00982F6A">
        <w:rPr>
          <w:rFonts w:ascii="Arial" w:eastAsia="Arial" w:hAnsi="Arial" w:cs="Arial"/>
          <w:lang w:val="en-GB"/>
        </w:rPr>
        <w:t>and dynamic capabilities theory highlight the strategic value of human capital, they do not explicitly address its role in risk mitigation</w:t>
      </w:r>
      <w:r w:rsidR="003E7119">
        <w:rPr>
          <w:rFonts w:ascii="Arial" w:eastAsia="Arial" w:hAnsi="Arial" w:cs="Arial"/>
          <w:lang w:val="en-GB"/>
        </w:rPr>
        <w:t xml:space="preserve"> (Teece</w:t>
      </w:r>
      <w:r w:rsidR="00D4436C">
        <w:rPr>
          <w:rFonts w:ascii="Arial" w:eastAsia="Arial" w:hAnsi="Arial" w:cs="Arial"/>
          <w:lang w:val="en-GB"/>
        </w:rPr>
        <w:t>, 201</w:t>
      </w:r>
      <w:r w:rsidR="00515EB9">
        <w:rPr>
          <w:rFonts w:ascii="Arial" w:eastAsia="Arial" w:hAnsi="Arial" w:cs="Arial"/>
          <w:lang w:val="en-GB"/>
        </w:rPr>
        <w:t>4</w:t>
      </w:r>
      <w:r w:rsidR="00D4436C">
        <w:rPr>
          <w:rFonts w:ascii="Arial" w:eastAsia="Arial" w:hAnsi="Arial" w:cs="Arial"/>
          <w:lang w:val="en-GB"/>
        </w:rPr>
        <w:t xml:space="preserve">; </w:t>
      </w:r>
      <w:r w:rsidR="00515EB9">
        <w:rPr>
          <w:rFonts w:ascii="Arial" w:eastAsia="Arial" w:hAnsi="Arial" w:cs="Arial"/>
          <w:lang w:val="en-GB"/>
        </w:rPr>
        <w:t>Wang and Ahmed, 2017</w:t>
      </w:r>
      <w:r w:rsidR="003E7119">
        <w:rPr>
          <w:rFonts w:ascii="Arial" w:eastAsia="Arial" w:hAnsi="Arial" w:cs="Arial"/>
          <w:lang w:val="en-GB"/>
        </w:rPr>
        <w:t>)</w:t>
      </w:r>
      <w:r w:rsidRPr="00982F6A">
        <w:rPr>
          <w:rFonts w:ascii="Arial" w:eastAsia="Arial" w:hAnsi="Arial" w:cs="Arial"/>
          <w:lang w:val="en-GB"/>
        </w:rPr>
        <w:t>. Similarly, enterprise risk management frameworks often overlook human capital as a key risk category</w:t>
      </w:r>
      <w:r w:rsidR="003E7119">
        <w:rPr>
          <w:rFonts w:ascii="Arial" w:eastAsia="Arial" w:hAnsi="Arial" w:cs="Arial"/>
          <w:lang w:val="en-GB"/>
        </w:rPr>
        <w:t xml:space="preserve"> (COSO,20</w:t>
      </w:r>
      <w:r w:rsidR="00D4436C">
        <w:rPr>
          <w:rFonts w:ascii="Arial" w:eastAsia="Arial" w:hAnsi="Arial" w:cs="Arial"/>
          <w:lang w:val="en-GB"/>
        </w:rPr>
        <w:t>1</w:t>
      </w:r>
      <w:r w:rsidR="003E7119">
        <w:rPr>
          <w:rFonts w:ascii="Arial" w:eastAsia="Arial" w:hAnsi="Arial" w:cs="Arial"/>
          <w:lang w:val="en-GB"/>
        </w:rPr>
        <w:t>7</w:t>
      </w:r>
      <w:r w:rsidR="00515EB9">
        <w:rPr>
          <w:rFonts w:ascii="Arial" w:eastAsia="Arial" w:hAnsi="Arial" w:cs="Arial"/>
          <w:lang w:val="en-GB"/>
        </w:rPr>
        <w:t>; ISO, 2018</w:t>
      </w:r>
      <w:r w:rsidR="003E7119">
        <w:rPr>
          <w:rFonts w:ascii="Arial" w:eastAsia="Arial" w:hAnsi="Arial" w:cs="Arial"/>
          <w:lang w:val="en-GB"/>
        </w:rPr>
        <w:t>)</w:t>
      </w:r>
      <w:r w:rsidRPr="00982F6A">
        <w:rPr>
          <w:rFonts w:ascii="Arial" w:eastAsia="Arial" w:hAnsi="Arial" w:cs="Arial"/>
          <w:lang w:val="en-GB"/>
        </w:rPr>
        <w:t>.</w:t>
      </w:r>
    </w:p>
    <w:p w14:paraId="1BCA5548" w14:textId="70F8399B"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This disconnect creates a significant gap in both academic literature and organisational practice. Without a clear understanding of how SHCM can be used to manage human capital risks, organisations may struggle to develop effective strategies to address workforce-related challenges</w:t>
      </w:r>
      <w:r w:rsidR="00515EB9">
        <w:rPr>
          <w:rFonts w:ascii="Arial" w:eastAsia="Arial" w:hAnsi="Arial" w:cs="Arial"/>
          <w:lang w:val="en-GB"/>
        </w:rPr>
        <w:t xml:space="preserve"> (Guest, 2017; Kramar, 2022)</w:t>
      </w:r>
      <w:r w:rsidRPr="00982F6A">
        <w:rPr>
          <w:rFonts w:ascii="Arial" w:eastAsia="Arial" w:hAnsi="Arial" w:cs="Arial"/>
          <w:lang w:val="en-GB"/>
        </w:rPr>
        <w:t>.</w:t>
      </w:r>
    </w:p>
    <w:p w14:paraId="3C3676AF"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Therefore, the central problem addressed in this research is the lack of integration between Strategic Human Capital Management and organisational risk management, particularly in the context of UK organisations. This study aims to bridge this gap by exploring how SHCM can be leveraged as a strategic tool to manage risks and enhance organisational performance.</w:t>
      </w:r>
    </w:p>
    <w:p w14:paraId="1073F503" w14:textId="77777777" w:rsidR="00CC7C04" w:rsidRPr="00982F6A" w:rsidRDefault="00CC7C04" w:rsidP="00CC7C04">
      <w:pPr>
        <w:pStyle w:val="Heading2"/>
        <w:rPr>
          <w:rFonts w:cs="Arial"/>
        </w:rPr>
      </w:pPr>
      <w:bookmarkStart w:id="14" w:name="_Toc225633901"/>
      <w:bookmarkStart w:id="15" w:name="_Toc228704007"/>
      <w:r w:rsidRPr="00982F6A">
        <w:rPr>
          <w:rFonts w:cs="Arial"/>
        </w:rPr>
        <w:lastRenderedPageBreak/>
        <w:t>1.3 Research Aim</w:t>
      </w:r>
      <w:bookmarkEnd w:id="14"/>
      <w:bookmarkEnd w:id="15"/>
    </w:p>
    <w:p w14:paraId="4B8B3AF9" w14:textId="77A5A05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The aim of this research is to critically examine how SHCM contributes to managing organisational risk and enhancing organisational performance in UK organisations.</w:t>
      </w:r>
    </w:p>
    <w:p w14:paraId="376235DA" w14:textId="77777777" w:rsidR="00CC7C04" w:rsidRPr="00982F6A" w:rsidRDefault="00CC7C04" w:rsidP="00CC7C04">
      <w:pPr>
        <w:pStyle w:val="Heading2"/>
        <w:rPr>
          <w:rFonts w:cs="Arial"/>
        </w:rPr>
      </w:pPr>
      <w:bookmarkStart w:id="16" w:name="_Toc225633902"/>
      <w:bookmarkStart w:id="17" w:name="_Toc228704008"/>
      <w:r w:rsidRPr="00982F6A">
        <w:rPr>
          <w:rFonts w:cs="Arial"/>
        </w:rPr>
        <w:t>1.4 Research Objectives</w:t>
      </w:r>
      <w:bookmarkEnd w:id="16"/>
      <w:bookmarkEnd w:id="17"/>
    </w:p>
    <w:p w14:paraId="0973F55D"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To achieve the research aim, the study will pursue the following objectives:</w:t>
      </w:r>
    </w:p>
    <w:p w14:paraId="00E74C75" w14:textId="77777777" w:rsidR="00CC7C04" w:rsidRPr="00982F6A" w:rsidRDefault="00CC7C04" w:rsidP="00CC7C04">
      <w:pPr>
        <w:pStyle w:val="ListParagraph"/>
        <w:numPr>
          <w:ilvl w:val="0"/>
          <w:numId w:val="43"/>
        </w:numPr>
        <w:spacing w:before="240" w:after="240" w:line="360" w:lineRule="auto"/>
        <w:jc w:val="both"/>
        <w:rPr>
          <w:rFonts w:ascii="Arial" w:eastAsia="Arial" w:hAnsi="Arial" w:cs="Arial"/>
          <w:b/>
          <w:lang w:val="en-GB"/>
        </w:rPr>
      </w:pPr>
      <w:r w:rsidRPr="00982F6A">
        <w:rPr>
          <w:rFonts w:ascii="Arial" w:eastAsia="Arial" w:hAnsi="Arial" w:cs="Arial"/>
          <w:lang w:val="en-GB"/>
        </w:rPr>
        <w:t>To explore how strategic HR practices mitigate people-related risks.</w:t>
      </w:r>
      <w:bookmarkStart w:id="18" w:name="_Toc225633903"/>
    </w:p>
    <w:p w14:paraId="5134D7A5" w14:textId="063D836B" w:rsidR="00CC7C04" w:rsidRPr="00982F6A" w:rsidRDefault="00CC7C04" w:rsidP="00CC7C04">
      <w:pPr>
        <w:pStyle w:val="Heading2"/>
        <w:rPr>
          <w:rFonts w:cs="Arial"/>
        </w:rPr>
      </w:pPr>
      <w:bookmarkStart w:id="19" w:name="_Toc228704009"/>
      <w:r w:rsidRPr="00982F6A">
        <w:rPr>
          <w:rFonts w:cs="Arial"/>
        </w:rPr>
        <w:t>1.5 Research Questions</w:t>
      </w:r>
      <w:bookmarkEnd w:id="18"/>
      <w:bookmarkEnd w:id="19"/>
    </w:p>
    <w:p w14:paraId="7341C302"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The research is guided by the following questions:</w:t>
      </w:r>
    </w:p>
    <w:p w14:paraId="2CC0B041" w14:textId="77777777" w:rsidR="00CC7C04" w:rsidRPr="00982F6A" w:rsidRDefault="00CC7C04" w:rsidP="00CC7C04">
      <w:pPr>
        <w:pStyle w:val="ListParagraph"/>
        <w:numPr>
          <w:ilvl w:val="0"/>
          <w:numId w:val="45"/>
        </w:numPr>
        <w:spacing w:before="240" w:after="240" w:line="360" w:lineRule="auto"/>
        <w:jc w:val="both"/>
        <w:rPr>
          <w:rFonts w:ascii="Arial" w:eastAsia="Arial" w:hAnsi="Arial" w:cs="Arial"/>
          <w:lang w:val="en-GB"/>
        </w:rPr>
      </w:pPr>
      <w:r w:rsidRPr="00982F6A">
        <w:rPr>
          <w:rFonts w:ascii="Arial" w:eastAsia="Arial" w:hAnsi="Arial" w:cs="Arial"/>
          <w:lang w:val="en-GB"/>
        </w:rPr>
        <w:t>What is Strategic Human Capital Management and why is it important for organisations?</w:t>
      </w:r>
    </w:p>
    <w:p w14:paraId="0FCC0550" w14:textId="77777777" w:rsidR="00CC7C04" w:rsidRPr="00982F6A" w:rsidRDefault="00CC7C04" w:rsidP="00CC7C04">
      <w:pPr>
        <w:pStyle w:val="ListParagraph"/>
        <w:numPr>
          <w:ilvl w:val="0"/>
          <w:numId w:val="45"/>
        </w:numPr>
        <w:spacing w:before="240" w:after="240" w:line="360" w:lineRule="auto"/>
        <w:jc w:val="both"/>
        <w:rPr>
          <w:rFonts w:ascii="Arial" w:eastAsia="Arial" w:hAnsi="Arial" w:cs="Arial"/>
          <w:lang w:val="en-GB"/>
        </w:rPr>
      </w:pPr>
      <w:r w:rsidRPr="00982F6A">
        <w:rPr>
          <w:rFonts w:ascii="Arial" w:eastAsia="Arial" w:hAnsi="Arial" w:cs="Arial"/>
          <w:lang w:val="en-GB"/>
        </w:rPr>
        <w:t>How do strategic HR practices help organisations manage these risks?</w:t>
      </w:r>
    </w:p>
    <w:p w14:paraId="50567C41" w14:textId="7D6B1330" w:rsidR="00CC7C04" w:rsidRPr="00982F6A" w:rsidRDefault="00CC7C04" w:rsidP="00CC7C04">
      <w:pPr>
        <w:pStyle w:val="ListParagraph"/>
        <w:numPr>
          <w:ilvl w:val="0"/>
          <w:numId w:val="45"/>
        </w:numPr>
        <w:spacing w:before="240" w:after="240" w:line="360" w:lineRule="auto"/>
        <w:jc w:val="both"/>
        <w:rPr>
          <w:rFonts w:ascii="Arial" w:eastAsia="Arial" w:hAnsi="Arial" w:cs="Arial"/>
          <w:lang w:val="en-GB"/>
        </w:rPr>
      </w:pPr>
      <w:r w:rsidRPr="00982F6A">
        <w:rPr>
          <w:rFonts w:ascii="Arial" w:eastAsia="Arial" w:hAnsi="Arial" w:cs="Arial"/>
          <w:lang w:val="en-GB"/>
        </w:rPr>
        <w:t>How can SHCM be integrated into broader organisational risk management frameworks?</w:t>
      </w:r>
    </w:p>
    <w:p w14:paraId="20E99DC3" w14:textId="77777777" w:rsidR="00CC7C04" w:rsidRPr="00982F6A" w:rsidRDefault="00CC7C04" w:rsidP="00CC7C04">
      <w:pPr>
        <w:pStyle w:val="Heading2"/>
        <w:rPr>
          <w:rFonts w:cs="Arial"/>
        </w:rPr>
      </w:pPr>
      <w:bookmarkStart w:id="20" w:name="_Toc225633904"/>
      <w:bookmarkStart w:id="21" w:name="_Toc228704010"/>
      <w:r w:rsidRPr="00982F6A">
        <w:rPr>
          <w:rFonts w:cs="Arial"/>
        </w:rPr>
        <w:t>1.6 Significance of the Study</w:t>
      </w:r>
      <w:bookmarkEnd w:id="20"/>
      <w:bookmarkEnd w:id="21"/>
    </w:p>
    <w:p w14:paraId="3D55F4A4"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This study holds significant value from academic, practical, and policy perspectives.</w:t>
      </w:r>
    </w:p>
    <w:p w14:paraId="25971743" w14:textId="272A0B8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From an academic standpoint, the research contributes to the existing literature by integrating three key domains: Strategic Human Capital Management, organisational risk management, and organisational performance. While previous studies have explored these areas independently, this research provides a comprehensive framework that connects them, thereby addressing an important gap in the literature</w:t>
      </w:r>
      <w:r w:rsidR="00D4436C">
        <w:rPr>
          <w:rFonts w:ascii="Arial" w:eastAsia="Arial" w:hAnsi="Arial" w:cs="Arial"/>
          <w:lang w:val="en-GB"/>
        </w:rPr>
        <w:t xml:space="preserve"> (Kramar, 2022; Snyder, 2019)</w:t>
      </w:r>
      <w:r w:rsidRPr="00982F6A">
        <w:rPr>
          <w:rFonts w:ascii="Arial" w:eastAsia="Arial" w:hAnsi="Arial" w:cs="Arial"/>
          <w:lang w:val="en-GB"/>
        </w:rPr>
        <w:t>.</w:t>
      </w:r>
    </w:p>
    <w:p w14:paraId="30643D75" w14:textId="03A083FC"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From a practical perspective, the study offers valuable insights for managers, HR professionals, and organisational leaders. By highlighting the role of SHCM in managing human capital risks, the research provides guidance on how organisations can develop more effective workforce strategies</w:t>
      </w:r>
      <w:r w:rsidR="00D4436C">
        <w:rPr>
          <w:rFonts w:ascii="Arial" w:eastAsia="Arial" w:hAnsi="Arial" w:cs="Arial"/>
          <w:lang w:val="en-GB"/>
        </w:rPr>
        <w:t xml:space="preserve"> (Marler and Boudreau, 2017; Gupta and Kumar, </w:t>
      </w:r>
      <w:r w:rsidR="00D4436C">
        <w:rPr>
          <w:rFonts w:ascii="Arial" w:eastAsia="Arial" w:hAnsi="Arial" w:cs="Arial"/>
          <w:lang w:val="en-GB"/>
        </w:rPr>
        <w:lastRenderedPageBreak/>
        <w:t>2021)</w:t>
      </w:r>
      <w:r w:rsidRPr="00982F6A">
        <w:rPr>
          <w:rFonts w:ascii="Arial" w:eastAsia="Arial" w:hAnsi="Arial" w:cs="Arial"/>
          <w:lang w:val="en-GB"/>
        </w:rPr>
        <w:t>. This is particularly relevant in the UK context, where organisations face increasing challenges related to skills shortages, employee wellbeing, and regulatory compliance</w:t>
      </w:r>
      <w:r w:rsidR="00D4436C">
        <w:rPr>
          <w:rFonts w:ascii="Arial" w:eastAsia="Arial" w:hAnsi="Arial" w:cs="Arial"/>
          <w:lang w:val="en-GB"/>
        </w:rPr>
        <w:t xml:space="preserve"> (Chartered Institute of Personnel and Development, 2023; Office for National Statistics</w:t>
      </w:r>
      <w:r w:rsidR="008F2C05">
        <w:rPr>
          <w:rFonts w:ascii="Arial" w:eastAsia="Arial" w:hAnsi="Arial" w:cs="Arial"/>
          <w:lang w:val="en-GB"/>
        </w:rPr>
        <w:t>, 2023; PwC, 2023)</w:t>
      </w:r>
      <w:r w:rsidRPr="00982F6A">
        <w:rPr>
          <w:rFonts w:ascii="Arial" w:eastAsia="Arial" w:hAnsi="Arial" w:cs="Arial"/>
          <w:lang w:val="en-GB"/>
        </w:rPr>
        <w:t>.</w:t>
      </w:r>
    </w:p>
    <w:p w14:paraId="10967C5C" w14:textId="0D7EDB75" w:rsidR="00CC7C04" w:rsidRPr="00BD2183" w:rsidRDefault="00CC7C04" w:rsidP="00BD2183">
      <w:pPr>
        <w:spacing w:before="240" w:after="240" w:line="360" w:lineRule="auto"/>
        <w:rPr>
          <w:rFonts w:eastAsia="Arial" w:cs="Arial"/>
          <w:b/>
          <w:bCs/>
          <w:lang w:val="en-US"/>
        </w:rPr>
      </w:pPr>
      <w:r w:rsidRPr="00982F6A">
        <w:rPr>
          <w:rFonts w:ascii="Arial" w:eastAsia="Arial" w:hAnsi="Arial" w:cs="Arial"/>
          <w:lang w:val="en-GB"/>
        </w:rPr>
        <w:t>The study also contributes to policy discussions by emphasising the importance of human capital in organisational resilience and sustainability. As organisations navigate complex and uncertain environments, there is a growing need for policies that support workforce development, employee wellbeing, and effective risk management</w:t>
      </w:r>
      <w:r w:rsidR="008F2C05">
        <w:rPr>
          <w:rFonts w:ascii="Arial" w:eastAsia="Arial" w:hAnsi="Arial" w:cs="Arial"/>
          <w:lang w:val="en-GB"/>
        </w:rPr>
        <w:t xml:space="preserve"> (Duchek, 2020; Kuntz, Malinen and </w:t>
      </w:r>
      <w:proofErr w:type="spellStart"/>
      <w:r w:rsidR="008F2C05" w:rsidRPr="008F2C05">
        <w:rPr>
          <w:rFonts w:ascii="Arial" w:eastAsia="Arial" w:hAnsi="Arial" w:cs="Arial"/>
          <w:lang w:val="en-US"/>
        </w:rPr>
        <w:t>Näswall</w:t>
      </w:r>
      <w:proofErr w:type="spellEnd"/>
      <w:r w:rsidR="008F2C05">
        <w:rPr>
          <w:rFonts w:ascii="Arial" w:eastAsia="Arial" w:hAnsi="Arial" w:cs="Arial"/>
          <w:lang w:val="en-US"/>
        </w:rPr>
        <w:t>, 2023; ISO, 2018)</w:t>
      </w:r>
      <w:r w:rsidR="00BD2183">
        <w:rPr>
          <w:rFonts w:eastAsia="Arial" w:cs="Arial"/>
          <w:b/>
          <w:bCs/>
          <w:lang w:val="en-US"/>
        </w:rPr>
        <w:t>.</w:t>
      </w:r>
    </w:p>
    <w:p w14:paraId="782D9A81" w14:textId="1F1B59E9" w:rsidR="00CC7C04" w:rsidRPr="00982F6A" w:rsidRDefault="00CC7C04" w:rsidP="00CC7C04">
      <w:pPr>
        <w:spacing w:before="240" w:after="240" w:line="360" w:lineRule="auto"/>
        <w:jc w:val="both"/>
        <w:rPr>
          <w:rFonts w:ascii="Arial" w:eastAsia="Arial" w:hAnsi="Arial" w:cs="Arial"/>
          <w:b/>
          <w:bCs/>
          <w:lang w:val="en-GB"/>
        </w:rPr>
      </w:pPr>
      <w:r w:rsidRPr="00982F6A">
        <w:rPr>
          <w:rFonts w:ascii="Arial" w:eastAsia="Arial" w:hAnsi="Arial" w:cs="Arial"/>
          <w:lang w:val="en-GB"/>
        </w:rPr>
        <w:t>Overall, the research enhances understanding of how SHCM can be used not only to improve performance but also to manage risks, thereby supporting long-term organisational success</w:t>
      </w:r>
      <w:r w:rsidR="008F2C05">
        <w:rPr>
          <w:rFonts w:ascii="Arial" w:eastAsia="Arial" w:hAnsi="Arial" w:cs="Arial"/>
          <w:lang w:val="en-GB"/>
        </w:rPr>
        <w:t xml:space="preserve"> (Ahmed </w:t>
      </w:r>
      <w:r w:rsidR="008F2C05">
        <w:rPr>
          <w:rFonts w:ascii="Arial" w:eastAsia="Arial" w:hAnsi="Arial" w:cs="Arial"/>
          <w:i/>
          <w:iCs/>
          <w:lang w:val="en-GB"/>
        </w:rPr>
        <w:t xml:space="preserve">et al., </w:t>
      </w:r>
      <w:r w:rsidR="008F2C05">
        <w:rPr>
          <w:rFonts w:ascii="Arial" w:eastAsia="Arial" w:hAnsi="Arial" w:cs="Arial"/>
          <w:lang w:val="en-GB"/>
        </w:rPr>
        <w:t>2020; Rana and Sharma, 2023)</w:t>
      </w:r>
      <w:r w:rsidRPr="00982F6A">
        <w:rPr>
          <w:rFonts w:ascii="Arial" w:eastAsia="Arial" w:hAnsi="Arial" w:cs="Arial"/>
          <w:lang w:val="en-GB"/>
        </w:rPr>
        <w:t>.</w:t>
      </w:r>
    </w:p>
    <w:p w14:paraId="088D32D7" w14:textId="77777777" w:rsidR="00CC7C04" w:rsidRPr="00982F6A" w:rsidRDefault="00CC7C04" w:rsidP="00CC7C04">
      <w:pPr>
        <w:pStyle w:val="Heading2"/>
        <w:rPr>
          <w:rFonts w:cs="Arial"/>
        </w:rPr>
      </w:pPr>
      <w:bookmarkStart w:id="22" w:name="_Toc225633905"/>
      <w:bookmarkStart w:id="23" w:name="_Toc228704011"/>
      <w:r w:rsidRPr="00982F6A">
        <w:rPr>
          <w:rFonts w:cs="Arial"/>
        </w:rPr>
        <w:t>1.7 Research Methodology Overview</w:t>
      </w:r>
      <w:bookmarkEnd w:id="22"/>
      <w:bookmarkEnd w:id="23"/>
    </w:p>
    <w:p w14:paraId="2BE40BD8"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This research adopts an inductive qualitative approach, using a systematic literature review as the primary research method. The study is guided by an interpretivist research philosophy, which recognises that organisational concepts such as risk, performance, and human capital are socially constructed and context-dependent.</w:t>
      </w:r>
    </w:p>
    <w:p w14:paraId="66A7179C"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The systematic literature review involves the identification, selection, and analysis of approximately 50 peer-reviewed academic journal articles, along with relevant industry reports. This approach allows for a comprehensive and critical examination of existing research on SHCM, organisational risk, and performance.</w:t>
      </w:r>
    </w:p>
    <w:p w14:paraId="3341BA14"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Data will be analysed using thematic analysis, following the framework proposed by Braun and Clarke (2006). This process involves familiarisation with the data, coding of key themes, and the development of a conceptual framework that integrates SHCM with risk management and performance outcomes.</w:t>
      </w:r>
    </w:p>
    <w:p w14:paraId="7B8C5526" w14:textId="77777777" w:rsidR="00CC7C04" w:rsidRPr="00982F6A" w:rsidRDefault="00CC7C04" w:rsidP="00CC7C04">
      <w:pPr>
        <w:spacing w:before="240" w:after="240" w:line="360" w:lineRule="auto"/>
        <w:jc w:val="both"/>
        <w:rPr>
          <w:rFonts w:ascii="Arial" w:eastAsia="Arial" w:hAnsi="Arial" w:cs="Arial"/>
          <w:b/>
          <w:bCs/>
          <w:lang w:val="en-GB"/>
        </w:rPr>
      </w:pPr>
      <w:r w:rsidRPr="00982F6A">
        <w:rPr>
          <w:rFonts w:ascii="Arial" w:eastAsia="Arial" w:hAnsi="Arial" w:cs="Arial"/>
          <w:lang w:val="en-GB"/>
        </w:rPr>
        <w:t xml:space="preserve">The use of secondary data ensures that the research is ethically sound, as it does not involve human participants. However, strict academic standards will be maintained </w:t>
      </w:r>
      <w:r w:rsidRPr="00982F6A">
        <w:rPr>
          <w:rFonts w:ascii="Arial" w:eastAsia="Arial" w:hAnsi="Arial" w:cs="Arial"/>
          <w:lang w:val="en-GB"/>
        </w:rPr>
        <w:lastRenderedPageBreak/>
        <w:t>through accurate referencing, use of credible sources, and transparency in the research process.</w:t>
      </w:r>
    </w:p>
    <w:p w14:paraId="51AB825F" w14:textId="77777777" w:rsidR="00CC7C04" w:rsidRPr="00982F6A" w:rsidRDefault="00CC7C04" w:rsidP="00CC7C04">
      <w:pPr>
        <w:pStyle w:val="Heading2"/>
        <w:rPr>
          <w:rFonts w:cs="Arial"/>
        </w:rPr>
      </w:pPr>
      <w:bookmarkStart w:id="24" w:name="_Toc225633906"/>
      <w:bookmarkStart w:id="25" w:name="_Toc228704012"/>
      <w:r w:rsidRPr="00982F6A">
        <w:rPr>
          <w:rFonts w:cs="Arial"/>
        </w:rPr>
        <w:t>1.8 Dissertation Structure</w:t>
      </w:r>
      <w:bookmarkEnd w:id="24"/>
      <w:bookmarkEnd w:id="25"/>
    </w:p>
    <w:p w14:paraId="3BB5622F"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This dissertation is organised into five main chapters:</w:t>
      </w:r>
    </w:p>
    <w:p w14:paraId="38847F97" w14:textId="68B79DC3" w:rsidR="00CC7C04" w:rsidRPr="00982F6A" w:rsidRDefault="00CC7C04" w:rsidP="00A4240C">
      <w:pPr>
        <w:spacing w:before="240" w:after="240" w:line="360" w:lineRule="auto"/>
        <w:rPr>
          <w:rFonts w:ascii="Arial" w:eastAsia="Arial" w:hAnsi="Arial" w:cs="Arial"/>
          <w:lang w:val="en-GB"/>
        </w:rPr>
      </w:pPr>
      <w:r w:rsidRPr="00982F6A">
        <w:rPr>
          <w:rFonts w:ascii="Arial" w:eastAsia="Arial" w:hAnsi="Arial" w:cs="Arial"/>
          <w:b/>
          <w:bCs/>
          <w:lang w:val="en-GB"/>
        </w:rPr>
        <w:t>Chapter 1: Introduction</w:t>
      </w:r>
      <w:r w:rsidRPr="00982F6A">
        <w:rPr>
          <w:rFonts w:ascii="Arial" w:eastAsia="Arial" w:hAnsi="Arial" w:cs="Arial"/>
          <w:b/>
          <w:bCs/>
          <w:lang w:val="en-GB"/>
        </w:rPr>
        <w:br/>
      </w:r>
      <w:r w:rsidRPr="00982F6A">
        <w:rPr>
          <w:rFonts w:ascii="Arial" w:eastAsia="Arial" w:hAnsi="Arial" w:cs="Arial"/>
          <w:lang w:val="en-GB"/>
        </w:rPr>
        <w:t>This chapter provides an overview of the research, including the background, problem statement, research aim, objectives, questions, significance, and methodology</w:t>
      </w:r>
    </w:p>
    <w:p w14:paraId="4E1F8784" w14:textId="3514596E" w:rsidR="00CC7C04" w:rsidRPr="00982F6A" w:rsidRDefault="00CC7C04" w:rsidP="00A4240C">
      <w:pPr>
        <w:spacing w:before="240" w:after="240" w:line="360" w:lineRule="auto"/>
        <w:rPr>
          <w:rFonts w:ascii="Arial" w:eastAsia="Arial" w:hAnsi="Arial" w:cs="Arial"/>
          <w:lang w:val="en-GB"/>
        </w:rPr>
      </w:pPr>
      <w:r w:rsidRPr="00982F6A">
        <w:rPr>
          <w:rFonts w:ascii="Arial" w:eastAsia="Arial" w:hAnsi="Arial" w:cs="Arial"/>
          <w:b/>
          <w:bCs/>
          <w:lang w:val="en-GB"/>
        </w:rPr>
        <w:t>Chapter 2: Literature Review</w:t>
      </w:r>
      <w:r w:rsidRPr="00982F6A">
        <w:rPr>
          <w:rFonts w:ascii="Arial" w:eastAsia="Arial" w:hAnsi="Arial" w:cs="Arial"/>
          <w:b/>
          <w:bCs/>
          <w:lang w:val="en-GB"/>
        </w:rPr>
        <w:br/>
      </w:r>
      <w:r w:rsidRPr="00982F6A">
        <w:rPr>
          <w:rFonts w:ascii="Arial" w:eastAsia="Arial" w:hAnsi="Arial" w:cs="Arial"/>
          <w:lang w:val="en-GB"/>
        </w:rPr>
        <w:t>This chapter critically reviews existing literature on Strategic Human Capital Management, organisational risk management, and organisational performance. It also identifies gaps in the literature and develops a theoretical framework for the study.</w:t>
      </w:r>
    </w:p>
    <w:p w14:paraId="2A9EAD9E" w14:textId="672C22A5" w:rsidR="00CC7C04" w:rsidRPr="00982F6A" w:rsidRDefault="00CC7C04" w:rsidP="00A4240C">
      <w:pPr>
        <w:spacing w:before="240" w:after="240" w:line="360" w:lineRule="auto"/>
        <w:rPr>
          <w:rFonts w:ascii="Arial" w:eastAsia="Arial" w:hAnsi="Arial" w:cs="Arial"/>
          <w:lang w:val="en-GB"/>
        </w:rPr>
      </w:pPr>
      <w:r w:rsidRPr="00982F6A">
        <w:rPr>
          <w:rFonts w:ascii="Arial" w:eastAsia="Arial" w:hAnsi="Arial" w:cs="Arial"/>
          <w:b/>
          <w:bCs/>
          <w:lang w:val="en-GB"/>
        </w:rPr>
        <w:t>Chapter 3: Research Methodology</w:t>
      </w:r>
      <w:r w:rsidRPr="00982F6A">
        <w:rPr>
          <w:rFonts w:ascii="Arial" w:eastAsia="Arial" w:hAnsi="Arial" w:cs="Arial"/>
          <w:b/>
          <w:bCs/>
          <w:lang w:val="en-GB"/>
        </w:rPr>
        <w:br/>
      </w:r>
      <w:r w:rsidRPr="00982F6A">
        <w:rPr>
          <w:rFonts w:ascii="Arial" w:eastAsia="Arial" w:hAnsi="Arial" w:cs="Arial"/>
          <w:lang w:val="en-GB"/>
        </w:rPr>
        <w:t>This chapter outlines the research design, data sources, data collection methods, and analytical techniques used in the study. It also discusses ethical considerations and research limitations.</w:t>
      </w:r>
    </w:p>
    <w:p w14:paraId="247757FF" w14:textId="233A07DC" w:rsidR="00CC7C04" w:rsidRPr="00982F6A" w:rsidRDefault="00CC7C04" w:rsidP="00A4240C">
      <w:pPr>
        <w:spacing w:before="240" w:after="240" w:line="360" w:lineRule="auto"/>
        <w:rPr>
          <w:rFonts w:ascii="Arial" w:eastAsia="Arial" w:hAnsi="Arial" w:cs="Arial"/>
          <w:lang w:val="en-GB"/>
        </w:rPr>
      </w:pPr>
      <w:r w:rsidRPr="00982F6A">
        <w:rPr>
          <w:rFonts w:ascii="Arial" w:eastAsia="Arial" w:hAnsi="Arial" w:cs="Arial"/>
          <w:b/>
          <w:bCs/>
          <w:lang w:val="en-GB"/>
        </w:rPr>
        <w:t>Chapter 4: Analysis and Discussion</w:t>
      </w:r>
      <w:r w:rsidRPr="00982F6A">
        <w:rPr>
          <w:rFonts w:ascii="Arial" w:eastAsia="Arial" w:hAnsi="Arial" w:cs="Arial"/>
          <w:b/>
          <w:bCs/>
          <w:lang w:val="en-GB"/>
        </w:rPr>
        <w:br/>
      </w:r>
      <w:r w:rsidRPr="00982F6A">
        <w:rPr>
          <w:rFonts w:ascii="Arial" w:eastAsia="Arial" w:hAnsi="Arial" w:cs="Arial"/>
          <w:lang w:val="en-GB"/>
        </w:rPr>
        <w:t>This chapter presents the findings of the thematic analysis and discusses them in relation to the research questions and existing literature.</w:t>
      </w:r>
    </w:p>
    <w:p w14:paraId="1177A410" w14:textId="76EA70D9" w:rsidR="00CC7C04" w:rsidRPr="00982F6A" w:rsidRDefault="00CC7C04" w:rsidP="00A4240C">
      <w:pPr>
        <w:spacing w:before="240" w:after="240" w:line="360" w:lineRule="auto"/>
        <w:rPr>
          <w:rFonts w:ascii="Arial" w:eastAsia="Arial" w:hAnsi="Arial" w:cs="Arial"/>
          <w:lang w:val="en-GB"/>
        </w:rPr>
      </w:pPr>
      <w:r w:rsidRPr="00982F6A">
        <w:rPr>
          <w:rFonts w:ascii="Arial" w:eastAsia="Arial" w:hAnsi="Arial" w:cs="Arial"/>
          <w:b/>
          <w:bCs/>
          <w:lang w:val="en-GB"/>
        </w:rPr>
        <w:t>Chapter 5: Conclusion and Recommendations</w:t>
      </w:r>
      <w:r w:rsidRPr="00982F6A">
        <w:rPr>
          <w:rFonts w:ascii="Arial" w:eastAsia="Arial" w:hAnsi="Arial" w:cs="Arial"/>
          <w:b/>
          <w:bCs/>
          <w:lang w:val="en-GB"/>
        </w:rPr>
        <w:br/>
      </w:r>
      <w:r w:rsidRPr="00982F6A">
        <w:rPr>
          <w:rFonts w:ascii="Arial" w:eastAsia="Arial" w:hAnsi="Arial" w:cs="Arial"/>
          <w:lang w:val="en-GB"/>
        </w:rPr>
        <w:t>This chapter summarises the key findings, discusses their implications, and provides recommendations for practice and future research.</w:t>
      </w:r>
    </w:p>
    <w:p w14:paraId="3CA7A828" w14:textId="77777777" w:rsidR="00A4240C" w:rsidRPr="00982F6A" w:rsidRDefault="00A4240C">
      <w:pPr>
        <w:rPr>
          <w:rFonts w:ascii="Arial" w:eastAsia="Arial" w:hAnsi="Arial" w:cs="Arial"/>
          <w:b/>
          <w:lang w:val="en-GB"/>
        </w:rPr>
      </w:pPr>
      <w:bookmarkStart w:id="26" w:name="_Toc225633907"/>
      <w:r w:rsidRPr="00982F6A">
        <w:rPr>
          <w:rFonts w:ascii="Arial" w:eastAsia="Arial" w:hAnsi="Arial" w:cs="Arial"/>
          <w:b/>
          <w:lang w:val="en-GB"/>
        </w:rPr>
        <w:br w:type="page"/>
      </w:r>
    </w:p>
    <w:p w14:paraId="151219C6" w14:textId="1AF824C7" w:rsidR="00CC7C04" w:rsidRPr="00982F6A" w:rsidRDefault="00CC7C04" w:rsidP="001777EB">
      <w:pPr>
        <w:pStyle w:val="Heading1"/>
      </w:pPr>
      <w:bookmarkStart w:id="27" w:name="_Toc228704013"/>
      <w:r w:rsidRPr="00982F6A">
        <w:lastRenderedPageBreak/>
        <w:t>Chapter 2: Literature Review</w:t>
      </w:r>
      <w:bookmarkEnd w:id="26"/>
      <w:bookmarkEnd w:id="27"/>
    </w:p>
    <w:p w14:paraId="72736D36" w14:textId="77777777" w:rsidR="00CC7C04" w:rsidRPr="00982F6A" w:rsidRDefault="00CC7C04" w:rsidP="00A4240C">
      <w:pPr>
        <w:pStyle w:val="Heading2"/>
        <w:rPr>
          <w:rFonts w:cs="Arial"/>
        </w:rPr>
      </w:pPr>
      <w:bookmarkStart w:id="28" w:name="_Toc225633908"/>
      <w:bookmarkStart w:id="29" w:name="_Toc228704014"/>
      <w:r w:rsidRPr="00982F6A">
        <w:rPr>
          <w:rFonts w:cs="Arial"/>
        </w:rPr>
        <w:t>2.1 Introduction</w:t>
      </w:r>
      <w:bookmarkEnd w:id="28"/>
      <w:bookmarkEnd w:id="29"/>
    </w:p>
    <w:p w14:paraId="513197DE" w14:textId="7098EF5C"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This chapter provides a critical review of the literature concerning SHCM, organisational risk, and organisational performance, with particular attention to UK and developed economy contexts. It aims to situate SHCM within its broader theoretical foundations, including Human Capital Theory, the Resource-Based View, and Dynamic Capabilities Theory, highlighting how these perspectives explain the strategic value of human capital in enhancing performance and managing risk. Human Capital Theory positions employees’ skills, knowledge, and capabilities as vital resources that contribute to organisational value creation (Becker, 1993). RBV extends this by emphasising that strategically managed human capital, being valuable, rare, inimitable, and non-substitutable, can create sustainable competitive advantage (Barney, 1991). Dynamic Capabilities Theory further elaborates how organisations adapt and reconfigure these resources to respond to environmental volatility and uncertainty (Teece et al., 1997).</w:t>
      </w:r>
    </w:p>
    <w:p w14:paraId="769C052C" w14:textId="60CF8359" w:rsidR="00CC7C04" w:rsidRPr="00982F6A" w:rsidRDefault="001273F0" w:rsidP="00CC7C04">
      <w:pPr>
        <w:spacing w:before="240" w:after="240" w:line="360" w:lineRule="auto"/>
        <w:jc w:val="both"/>
        <w:rPr>
          <w:rFonts w:ascii="Arial" w:eastAsia="Arial" w:hAnsi="Arial" w:cs="Arial"/>
          <w:lang w:val="en-GB"/>
        </w:rPr>
      </w:pPr>
      <w:r w:rsidRPr="00982F6A">
        <w:rPr>
          <w:rFonts w:ascii="Arial" w:eastAsia="Arial" w:hAnsi="Arial" w:cs="Arial"/>
          <w:lang w:val="en-GB"/>
        </w:rPr>
        <w:t>The literature review critically addresses scholarly discussions on the effectiveness of strategic human capital management practices, which are workforce planning, talent management, HR analytics, and employee well</w:t>
      </w:r>
      <w:r w:rsidR="00BD2183">
        <w:rPr>
          <w:rFonts w:ascii="Arial" w:eastAsia="Arial" w:hAnsi="Arial" w:cs="Arial"/>
          <w:lang w:val="en-GB"/>
        </w:rPr>
        <w:t>-</w:t>
      </w:r>
      <w:r w:rsidRPr="00982F6A">
        <w:rPr>
          <w:rFonts w:ascii="Arial" w:eastAsia="Arial" w:hAnsi="Arial" w:cs="Arial"/>
          <w:lang w:val="en-GB"/>
        </w:rPr>
        <w:t>being initiatives. This study will assess the impact of these practices on the performance outcomes of organisations by synthesising empirical evidence on the same through scholarly research and industry reports over the past ten years. This discussion will focus on the beneficial effects of SHCM on productivity, innovation, engagement, and resilience based on the existing theories of SHCM, like RBV and Dynamic Capabilities. Nonetheless, it also handles the shortcomings of the available literature on the human capital risk mitigation process. Instead of referring to one author, this synthesis incorporates a variety of authoritative voices, such as Saunders, Lewis and Thornhill (2019) to provide methodological rigour; Ahmad et al. (2020) to provide the impact of SHCM; and 2026 insight of PwC and Bloomberg. Lastly, the chapter also points out important gaps in the existing integration of SHCM with systems of risk governance. This chapter forms the basis on which the conceptual framework is developed that will be used to apply the necessary theoretical scaffolding to the subsequent analysis.</w:t>
      </w:r>
    </w:p>
    <w:p w14:paraId="6F47DD1D" w14:textId="3723C1C2" w:rsidR="00CC7C04" w:rsidRPr="00982F6A" w:rsidRDefault="00CC7C04" w:rsidP="00A4240C">
      <w:pPr>
        <w:pStyle w:val="Heading2"/>
        <w:rPr>
          <w:rFonts w:cs="Arial"/>
        </w:rPr>
      </w:pPr>
      <w:bookmarkStart w:id="30" w:name="_Toc225633914"/>
      <w:bookmarkStart w:id="31" w:name="_Toc228704015"/>
      <w:r w:rsidRPr="00982F6A">
        <w:rPr>
          <w:rFonts w:cs="Arial"/>
        </w:rPr>
        <w:lastRenderedPageBreak/>
        <w:t>2.</w:t>
      </w:r>
      <w:r w:rsidR="00982F6A" w:rsidRPr="00982F6A">
        <w:rPr>
          <w:rFonts w:cs="Arial"/>
        </w:rPr>
        <w:t>2</w:t>
      </w:r>
      <w:r w:rsidRPr="00982F6A">
        <w:rPr>
          <w:rFonts w:cs="Arial"/>
        </w:rPr>
        <w:t xml:space="preserve"> Strategic Human Capital Management (SHCM): Concepts and Debates</w:t>
      </w:r>
      <w:bookmarkEnd w:id="30"/>
      <w:bookmarkEnd w:id="31"/>
    </w:p>
    <w:p w14:paraId="32FA9959" w14:textId="61500114" w:rsidR="00CC7C04" w:rsidRPr="00982F6A" w:rsidRDefault="00CC7C04" w:rsidP="00A4240C">
      <w:pPr>
        <w:pStyle w:val="Heading2"/>
        <w:rPr>
          <w:rFonts w:cs="Arial"/>
        </w:rPr>
      </w:pPr>
      <w:bookmarkStart w:id="32" w:name="_Toc225633915"/>
      <w:bookmarkStart w:id="33" w:name="_Toc228704016"/>
      <w:r w:rsidRPr="00982F6A">
        <w:rPr>
          <w:rFonts w:cs="Arial"/>
        </w:rPr>
        <w:t>2.</w:t>
      </w:r>
      <w:r w:rsidR="00982F6A" w:rsidRPr="00982F6A">
        <w:rPr>
          <w:rFonts w:cs="Arial"/>
        </w:rPr>
        <w:t>2</w:t>
      </w:r>
      <w:r w:rsidRPr="00982F6A">
        <w:rPr>
          <w:rFonts w:cs="Arial"/>
        </w:rPr>
        <w:t>.1 Defining SHCM</w:t>
      </w:r>
      <w:bookmarkEnd w:id="32"/>
      <w:bookmarkEnd w:id="33"/>
    </w:p>
    <w:p w14:paraId="52D9AFE4" w14:textId="320AD611"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Strategic Human Capital Management</w:t>
      </w:r>
      <w:r w:rsidR="00BD2183">
        <w:rPr>
          <w:rFonts w:ascii="Arial" w:eastAsia="Arial" w:hAnsi="Arial" w:cs="Arial"/>
          <w:lang w:val="en-GB"/>
        </w:rPr>
        <w:t xml:space="preserve"> </w:t>
      </w:r>
      <w:r w:rsidRPr="00982F6A">
        <w:rPr>
          <w:rFonts w:ascii="Arial" w:eastAsia="Arial" w:hAnsi="Arial" w:cs="Arial"/>
          <w:lang w:val="en-GB"/>
        </w:rPr>
        <w:t>refers to the deliberate alignment of human resource management practices with organisational strategy to achieve long-term objectives and sustainable competitive advantage. Unlike traditional HRM, which primarily focuses on administrative and operational functions, SHCM adopts a strategic orientation by integrating workforce planning, talent management, performance systems, and organisational goals. It emphasises the proactive development and utilisation of human capital to support business strategy and organisational success.</w:t>
      </w:r>
    </w:p>
    <w:p w14:paraId="043D9F64"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 xml:space="preserve">Early contributions by </w:t>
      </w:r>
      <w:proofErr w:type="spellStart"/>
      <w:r w:rsidRPr="00982F6A">
        <w:rPr>
          <w:rFonts w:ascii="Arial" w:eastAsia="Arial" w:hAnsi="Arial" w:cs="Arial"/>
          <w:lang w:val="en-GB"/>
        </w:rPr>
        <w:t>Huselid</w:t>
      </w:r>
      <w:proofErr w:type="spellEnd"/>
      <w:r w:rsidRPr="00982F6A">
        <w:rPr>
          <w:rFonts w:ascii="Arial" w:eastAsia="Arial" w:hAnsi="Arial" w:cs="Arial"/>
          <w:lang w:val="en-GB"/>
        </w:rPr>
        <w:t xml:space="preserve"> (1995) and Becker and </w:t>
      </w:r>
      <w:proofErr w:type="spellStart"/>
      <w:r w:rsidRPr="00982F6A">
        <w:rPr>
          <w:rFonts w:ascii="Arial" w:eastAsia="Arial" w:hAnsi="Arial" w:cs="Arial"/>
          <w:lang w:val="en-GB"/>
        </w:rPr>
        <w:t>Huselid</w:t>
      </w:r>
      <w:proofErr w:type="spellEnd"/>
      <w:r w:rsidRPr="00982F6A">
        <w:rPr>
          <w:rFonts w:ascii="Arial" w:eastAsia="Arial" w:hAnsi="Arial" w:cs="Arial"/>
          <w:lang w:val="en-GB"/>
        </w:rPr>
        <w:t xml:space="preserve"> (2006) conceptualise SHCM as a system or bundle of high-performance work practices designed to enhance employee skills, motivation, and productivity. These practices include selective recruitment, continuous training, performance-based rewards, and employee involvement mechanisms. </w:t>
      </w:r>
    </w:p>
    <w:p w14:paraId="4B185F79"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 xml:space="preserve">More recent perspectives extend this definition by incorporating technological and sustainability dimensions. For instance, Gupta and Kumar (2021) highlight the growing role of HR analytics and data-driven decision-making in enhancing strategic workforce planning and organisational agility. Similarly, contemporary SHCM frameworks emphasise employee experience, diversity and inclusion, and sustainable HRM practices as critical elements of long-term value creation (Kramar, 2022). </w:t>
      </w:r>
    </w:p>
    <w:p w14:paraId="01137BE1" w14:textId="061FC73D" w:rsidR="00CC7C04" w:rsidRPr="00982F6A" w:rsidRDefault="00CC7C04" w:rsidP="00A4240C">
      <w:pPr>
        <w:pStyle w:val="Heading3"/>
        <w:rPr>
          <w:rFonts w:cs="Arial"/>
        </w:rPr>
      </w:pPr>
      <w:bookmarkStart w:id="34" w:name="_Toc225633916"/>
      <w:bookmarkStart w:id="35" w:name="_Toc228704017"/>
      <w:r w:rsidRPr="00982F6A">
        <w:rPr>
          <w:rFonts w:cs="Arial"/>
        </w:rPr>
        <w:t>2.</w:t>
      </w:r>
      <w:r w:rsidR="00982F6A" w:rsidRPr="00982F6A">
        <w:rPr>
          <w:rFonts w:cs="Arial"/>
        </w:rPr>
        <w:t>2</w:t>
      </w:r>
      <w:r w:rsidRPr="00982F6A">
        <w:rPr>
          <w:rFonts w:cs="Arial"/>
        </w:rPr>
        <w:t>.2 SHCM and Organisational Performance</w:t>
      </w:r>
      <w:bookmarkEnd w:id="34"/>
      <w:bookmarkEnd w:id="35"/>
    </w:p>
    <w:p w14:paraId="63840ED3"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 xml:space="preserve">A significant body of literature has explored the relationship between SHCM and organisational performance, consistently demonstrating positive associations. Strategic HR practices are widely linked to improved financial performance, enhanced employee productivity, and increased innovation capacity (Guest, 2017; Ahmad et al., 2020). These outcomes are often explained through the ability of SHCM to develop workforce </w:t>
      </w:r>
      <w:r w:rsidRPr="00982F6A">
        <w:rPr>
          <w:rFonts w:ascii="Arial" w:eastAsia="Arial" w:hAnsi="Arial" w:cs="Arial"/>
          <w:lang w:val="en-GB"/>
        </w:rPr>
        <w:lastRenderedPageBreak/>
        <w:t>capabilities, foster employee engagement, and align individual performance with organisational goals.</w:t>
      </w:r>
    </w:p>
    <w:p w14:paraId="5C39954F"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Empirical evidence supports these claims. For example, Hendry and Pettigrew (2020) found that in UK organisations, the alignment of HR strategies with business objectives significantly improved organisational agility and operational performance. Similarly, CIPD (2023) reports that organisations implementing integrated HR systems experience higher levels of employee engagement, reduced turnover rates, and improved organisational effectiveness. These findings reinforce the argument that SHCM contributes not only to short-term productivity gains but also to long-term strategic outcomes.</w:t>
      </w:r>
    </w:p>
    <w:p w14:paraId="2821E924"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 xml:space="preserve">However, the relationship between SHCM and performance is not without debate. Critics highlight methodological limitations in existing studies, particularly the reliance on cross-sectional survey data, which restricts the ability to establish causal relationships and long-term impacts (Delery &amp; Doty, 2019). </w:t>
      </w:r>
    </w:p>
    <w:p w14:paraId="37F9E411"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Additionally, some scholars argue that the focus on performance outcomes has overshadowed other important dimensions, such as risk management and organisational resilience. This highlights the need for a more integrated approach that considers both the performance-enhancing and risk-mitigating roles of SHCM.</w:t>
      </w:r>
    </w:p>
    <w:p w14:paraId="08AF3FCA" w14:textId="6B80F40B" w:rsidR="00CC7C04" w:rsidRPr="00982F6A" w:rsidRDefault="00CC7C04" w:rsidP="00A4240C">
      <w:pPr>
        <w:pStyle w:val="Heading3"/>
        <w:rPr>
          <w:rFonts w:cs="Arial"/>
        </w:rPr>
      </w:pPr>
      <w:bookmarkStart w:id="36" w:name="_Toc225633917"/>
      <w:bookmarkStart w:id="37" w:name="_Toc228704018"/>
      <w:r w:rsidRPr="00982F6A">
        <w:rPr>
          <w:rFonts w:cs="Arial"/>
        </w:rPr>
        <w:t>2.</w:t>
      </w:r>
      <w:r w:rsidR="00982F6A" w:rsidRPr="00982F6A">
        <w:rPr>
          <w:rFonts w:cs="Arial"/>
        </w:rPr>
        <w:t>2</w:t>
      </w:r>
      <w:r w:rsidRPr="00982F6A">
        <w:rPr>
          <w:rFonts w:cs="Arial"/>
        </w:rPr>
        <w:t>.3 SHCM and Employee Wellbeing</w:t>
      </w:r>
      <w:bookmarkEnd w:id="36"/>
      <w:bookmarkEnd w:id="37"/>
    </w:p>
    <w:p w14:paraId="462ED32B"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In recent years, there has been growing recognition of employee wellbeing as a critical component of SHCM. Wellbeing encompasses physical, psychological, and emotional aspects of employees’ experiences at work, including job satisfaction, mental health, and work-life balance. Research indicates that organisations that prioritise employee wellbeing are more likely to achieve positive performance outcomes, including higher productivity, reduced absenteeism, and stronger employee commitment (Guest, 2017; Kuntz et al., 2023).</w:t>
      </w:r>
    </w:p>
    <w:p w14:paraId="0D67E799" w14:textId="08053E71"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 xml:space="preserve">The COVID-19 pandemic has further highlighted the importance of </w:t>
      </w:r>
      <w:proofErr w:type="gramStart"/>
      <w:r w:rsidRPr="00982F6A">
        <w:rPr>
          <w:rFonts w:ascii="Arial" w:eastAsia="Arial" w:hAnsi="Arial" w:cs="Arial"/>
          <w:lang w:val="en-GB"/>
        </w:rPr>
        <w:t>well</w:t>
      </w:r>
      <w:r w:rsidR="008E1D0A">
        <w:rPr>
          <w:rFonts w:ascii="Arial" w:eastAsia="Arial" w:hAnsi="Arial" w:cs="Arial"/>
          <w:lang w:val="en-GB"/>
        </w:rPr>
        <w:t>-</w:t>
      </w:r>
      <w:r w:rsidRPr="00982F6A">
        <w:rPr>
          <w:rFonts w:ascii="Arial" w:eastAsia="Arial" w:hAnsi="Arial" w:cs="Arial"/>
          <w:lang w:val="en-GB"/>
        </w:rPr>
        <w:t>being</w:t>
      </w:r>
      <w:r w:rsidR="008E1D0A">
        <w:rPr>
          <w:rFonts w:ascii="Arial" w:eastAsia="Arial" w:hAnsi="Arial" w:cs="Arial"/>
          <w:lang w:val="en-GB"/>
        </w:rPr>
        <w:t xml:space="preserve"> </w:t>
      </w:r>
      <w:r w:rsidRPr="00982F6A">
        <w:rPr>
          <w:rFonts w:ascii="Arial" w:eastAsia="Arial" w:hAnsi="Arial" w:cs="Arial"/>
          <w:lang w:val="en-GB"/>
        </w:rPr>
        <w:t>oriented</w:t>
      </w:r>
      <w:proofErr w:type="gramEnd"/>
      <w:r w:rsidRPr="00982F6A">
        <w:rPr>
          <w:rFonts w:ascii="Arial" w:eastAsia="Arial" w:hAnsi="Arial" w:cs="Arial"/>
          <w:lang w:val="en-GB"/>
        </w:rPr>
        <w:t xml:space="preserve"> HR practices. Flexible working arrangements, mental health support programs, and employee assistance initiatives have become central to organisational strategies aimed </w:t>
      </w:r>
      <w:r w:rsidRPr="00982F6A">
        <w:rPr>
          <w:rFonts w:ascii="Arial" w:eastAsia="Arial" w:hAnsi="Arial" w:cs="Arial"/>
          <w:lang w:val="en-GB"/>
        </w:rPr>
        <w:lastRenderedPageBreak/>
        <w:t>at maintaining workforce stability and resilience (Duchek, 2020). In the UK context, data from ONS (2023) suggests that organisations adopting hybrid working models have experienced improvements in employee satisfaction and retention, demonstrating the strategic value of wellbeing initiatives.</w:t>
      </w:r>
    </w:p>
    <w:p w14:paraId="662C9D4A" w14:textId="4919661A"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Despite these benefits, challenges remain in integrating wellbeing into SHCM frameworks. One key issue is the difficulty of measuring well</w:t>
      </w:r>
      <w:r w:rsidR="008E1D0A">
        <w:rPr>
          <w:rFonts w:ascii="Arial" w:eastAsia="Arial" w:hAnsi="Arial" w:cs="Arial"/>
          <w:lang w:val="en-GB"/>
        </w:rPr>
        <w:t>-</w:t>
      </w:r>
      <w:r w:rsidRPr="00982F6A">
        <w:rPr>
          <w:rFonts w:ascii="Arial" w:eastAsia="Arial" w:hAnsi="Arial" w:cs="Arial"/>
          <w:lang w:val="en-GB"/>
        </w:rPr>
        <w:t>being outcomes and linking them directly to organisational performance (Guest, 2017). Traditional performance metrics often prioritise financial indicators, overlooking intangible factors such as employee satisfaction and psychological health. As a result, well</w:t>
      </w:r>
      <w:r w:rsidR="008E1D0A">
        <w:rPr>
          <w:rFonts w:ascii="Arial" w:eastAsia="Arial" w:hAnsi="Arial" w:cs="Arial"/>
          <w:lang w:val="en-GB"/>
        </w:rPr>
        <w:t>-</w:t>
      </w:r>
      <w:r w:rsidRPr="00982F6A">
        <w:rPr>
          <w:rFonts w:ascii="Arial" w:eastAsia="Arial" w:hAnsi="Arial" w:cs="Arial"/>
          <w:lang w:val="en-GB"/>
        </w:rPr>
        <w:t>being initiatives may be undervalued in strategic decision-making processes.</w:t>
      </w:r>
    </w:p>
    <w:p w14:paraId="589B0F60"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Overall, the literature suggests that SHCM is evolving towards a more holistic approach that incorporates not only performance enhancement but also employee wellbeing and risk management. However, further research is needed to develop robust frameworks that effectively integrate these dimensions.</w:t>
      </w:r>
    </w:p>
    <w:p w14:paraId="4FA9BA81" w14:textId="41D37647" w:rsidR="00CC7C04" w:rsidRPr="00982F6A" w:rsidRDefault="00CC7C04" w:rsidP="00A4240C">
      <w:pPr>
        <w:pStyle w:val="Heading2"/>
        <w:rPr>
          <w:rFonts w:cs="Arial"/>
        </w:rPr>
      </w:pPr>
      <w:bookmarkStart w:id="38" w:name="_Toc225633918"/>
      <w:bookmarkStart w:id="39" w:name="_Toc228704019"/>
      <w:r w:rsidRPr="00982F6A">
        <w:rPr>
          <w:rFonts w:cs="Arial"/>
        </w:rPr>
        <w:t>2.</w:t>
      </w:r>
      <w:r w:rsidR="00982F6A" w:rsidRPr="00982F6A">
        <w:rPr>
          <w:rFonts w:cs="Arial"/>
        </w:rPr>
        <w:t>3</w:t>
      </w:r>
      <w:r w:rsidRPr="00982F6A">
        <w:rPr>
          <w:rFonts w:cs="Arial"/>
        </w:rPr>
        <w:t xml:space="preserve"> Organisational Risk: Conceptualising Human Capital Risk</w:t>
      </w:r>
      <w:bookmarkEnd w:id="38"/>
      <w:bookmarkEnd w:id="39"/>
    </w:p>
    <w:p w14:paraId="3D64BE88" w14:textId="46E84172" w:rsidR="00CC7C04" w:rsidRPr="00982F6A" w:rsidRDefault="00CC7C04" w:rsidP="00A4240C">
      <w:pPr>
        <w:pStyle w:val="Heading3"/>
        <w:rPr>
          <w:rFonts w:cs="Arial"/>
        </w:rPr>
      </w:pPr>
      <w:bookmarkStart w:id="40" w:name="_Toc225633919"/>
      <w:bookmarkStart w:id="41" w:name="_Toc228704020"/>
      <w:r w:rsidRPr="00982F6A">
        <w:rPr>
          <w:rFonts w:cs="Arial"/>
        </w:rPr>
        <w:t>2.</w:t>
      </w:r>
      <w:r w:rsidR="00982F6A" w:rsidRPr="00982F6A">
        <w:rPr>
          <w:rFonts w:cs="Arial"/>
        </w:rPr>
        <w:t>3</w:t>
      </w:r>
      <w:r w:rsidRPr="00982F6A">
        <w:rPr>
          <w:rFonts w:cs="Arial"/>
        </w:rPr>
        <w:t>.1 Risk Management Frameworks</w:t>
      </w:r>
      <w:bookmarkEnd w:id="40"/>
      <w:bookmarkEnd w:id="41"/>
    </w:p>
    <w:p w14:paraId="5CEE2ED0" w14:textId="5AABF6D5"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Organisational risk management has traditionally concentrated on financial, operational, and strategic risks, with structured frameworks designed to identify, assess, and mitigate uncertainties that may hinder organisational objectives. Established frameworks such as the Committee of Sponsoring Organi</w:t>
      </w:r>
      <w:r w:rsidR="008E1D0A">
        <w:rPr>
          <w:rFonts w:ascii="Arial" w:eastAsia="Arial" w:hAnsi="Arial" w:cs="Arial"/>
          <w:lang w:val="en-GB"/>
        </w:rPr>
        <w:t>s</w:t>
      </w:r>
      <w:r w:rsidRPr="00982F6A">
        <w:rPr>
          <w:rFonts w:ascii="Arial" w:eastAsia="Arial" w:hAnsi="Arial" w:cs="Arial"/>
          <w:lang w:val="en-GB"/>
        </w:rPr>
        <w:t>ations of the Tredway Commission (COSO, 2017) and the International Organi</w:t>
      </w:r>
      <w:r w:rsidR="008E1D0A">
        <w:rPr>
          <w:rFonts w:ascii="Arial" w:eastAsia="Arial" w:hAnsi="Arial" w:cs="Arial"/>
          <w:lang w:val="en-GB"/>
        </w:rPr>
        <w:t>s</w:t>
      </w:r>
      <w:r w:rsidRPr="00982F6A">
        <w:rPr>
          <w:rFonts w:ascii="Arial" w:eastAsia="Arial" w:hAnsi="Arial" w:cs="Arial"/>
          <w:lang w:val="en-GB"/>
        </w:rPr>
        <w:t>ation for Standardi</w:t>
      </w:r>
      <w:r w:rsidR="008E1D0A">
        <w:rPr>
          <w:rFonts w:ascii="Arial" w:eastAsia="Arial" w:hAnsi="Arial" w:cs="Arial"/>
          <w:lang w:val="en-GB"/>
        </w:rPr>
        <w:t>s</w:t>
      </w:r>
      <w:r w:rsidRPr="00982F6A">
        <w:rPr>
          <w:rFonts w:ascii="Arial" w:eastAsia="Arial" w:hAnsi="Arial" w:cs="Arial"/>
          <w:lang w:val="en-GB"/>
        </w:rPr>
        <w:t>ation’s ISO 31000 (2018) provide comprehensive guidelines for enterprise risk management, emphasising systematic risk identification, evaluation, and control.</w:t>
      </w:r>
    </w:p>
    <w:p w14:paraId="3886BF60"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 xml:space="preserve">Historically, these frameworks have prioritised quantifiable risks such as financial volatility, market competition, and operational disruptions. However, there is growing recognition that human capital-related risks represent a critical dimension of organisational vulnerability. Issues such as talent shortages, employee disengagement, </w:t>
      </w:r>
      <w:r w:rsidRPr="00982F6A">
        <w:rPr>
          <w:rFonts w:ascii="Arial" w:eastAsia="Arial" w:hAnsi="Arial" w:cs="Arial"/>
          <w:lang w:val="en-GB"/>
        </w:rPr>
        <w:lastRenderedPageBreak/>
        <w:t xml:space="preserve">leadership failures, and non-compliance with employment regulations can significantly disrupt organisational performance and reputation. </w:t>
      </w:r>
    </w:p>
    <w:p w14:paraId="2468893D"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Recent developments in risk governance literature emphasise the need to integrate human capital risks into ERM frameworks. ISO 31000 (2018) advocates a holistic approach to risk management, where organisational culture, leadership, and workforce capabilities are considered central to risk identification and mitigation. Similarly, COSO (2017) highlights the importance of internal environment and organisational culture as key determinants of risk exposure, implicitly recognising the role of human capital in shaping risk outcomes.</w:t>
      </w:r>
    </w:p>
    <w:p w14:paraId="5965A7F3"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Contemporary research further supports this shift. For instance, PwC (2023) identifies workforce-related risks, including skills shortages and talent retention, as among the most significant threats facing organisations in developed economies. Likewise, the World Economic Forum (2024) highlights human capital challenges, such as workforce transformation and reskilling, as critical global risks. These developments suggest that effective risk management increasingly depends on how organisations manage their human capital strategically.</w:t>
      </w:r>
    </w:p>
    <w:p w14:paraId="2BE8F75C" w14:textId="473E751B"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However, despite these advancements, there remains a lack of explicit integration between HRM practices and formal risk management systems. In many organisations, HR and risk management functions operate independently, limiting the ability to proactively identify and mitigate workforce-related risks. This fragmentation underscores the need for a more integrated approach, where Strategic Human Capital Management is positioned as a key component of organisational risk governance.</w:t>
      </w:r>
    </w:p>
    <w:p w14:paraId="23665559" w14:textId="096F4F4C" w:rsidR="00CC7C04" w:rsidRPr="00982F6A" w:rsidRDefault="00CC7C04" w:rsidP="00A4240C">
      <w:pPr>
        <w:pStyle w:val="Heading3"/>
        <w:rPr>
          <w:rFonts w:cs="Arial"/>
        </w:rPr>
      </w:pPr>
      <w:bookmarkStart w:id="42" w:name="_Toc225633920"/>
      <w:bookmarkStart w:id="43" w:name="_Toc228704021"/>
      <w:r w:rsidRPr="00982F6A">
        <w:rPr>
          <w:rFonts w:cs="Arial"/>
        </w:rPr>
        <w:t>2.</w:t>
      </w:r>
      <w:r w:rsidR="00982F6A" w:rsidRPr="00982F6A">
        <w:rPr>
          <w:rFonts w:cs="Arial"/>
        </w:rPr>
        <w:t>3</w:t>
      </w:r>
      <w:r w:rsidRPr="00982F6A">
        <w:rPr>
          <w:rFonts w:cs="Arial"/>
        </w:rPr>
        <w:t>.2 Human Capital Risk Categories</w:t>
      </w:r>
      <w:bookmarkEnd w:id="42"/>
      <w:bookmarkEnd w:id="43"/>
    </w:p>
    <w:p w14:paraId="27E4F167"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The literature identifies several key categories of human capital risk, reflecting the diverse ways in which workforce-related issues can impact organisational performance and stability.</w:t>
      </w:r>
    </w:p>
    <w:p w14:paraId="150DCD7E"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 xml:space="preserve">Firstly, talent shortages and skills gaps represent a major challenge, particularly in the context of rapid technological advancement and digital transformation. Organisations </w:t>
      </w:r>
      <w:r w:rsidRPr="00982F6A">
        <w:rPr>
          <w:rFonts w:ascii="Arial" w:eastAsia="Arial" w:hAnsi="Arial" w:cs="Arial"/>
          <w:lang w:val="en-GB"/>
        </w:rPr>
        <w:lastRenderedPageBreak/>
        <w:t>increasingly struggle to find employees with the required technical and analytical skills, which can hinder innovation and competitiveness (PwC, 2023). This risk is particularly pronounced in knowledge-intensive sectors, where specialised expertise is critical to organisational success.</w:t>
      </w:r>
    </w:p>
    <w:p w14:paraId="4D9122C7"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Secondly, employee turnover and retention risk is a significant concern. High turnover rates can lead to loss of institutional knowledge, increased recruitment and training costs, and disruptions to organisational continuity. According to CIPD (2023), employee retention remains a key challenge for UK organisations, with factors such as job satisfaction, career development opportunities, and organisational culture influencing turnover intentions.</w:t>
      </w:r>
    </w:p>
    <w:p w14:paraId="53F01B7C"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Thirdly, compliance and legal risks arise from failure to adhere to employment laws, health and safety regulations, and diversity and inclusion standards. Non-compliance can result in legal penalties, reputational damage, and financial losses (HRM Journal, 2022). In increasingly regulated environments, organisations must ensure that HR policies and practices align with legal requirements to mitigate such risks.</w:t>
      </w:r>
    </w:p>
    <w:p w14:paraId="3D5B532B" w14:textId="4BFC2598"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Fourthly, well</w:t>
      </w:r>
      <w:r w:rsidR="008E1D0A">
        <w:rPr>
          <w:rFonts w:ascii="Arial" w:eastAsia="Arial" w:hAnsi="Arial" w:cs="Arial"/>
          <w:lang w:val="en-GB"/>
        </w:rPr>
        <w:t>-</w:t>
      </w:r>
      <w:r w:rsidRPr="00982F6A">
        <w:rPr>
          <w:rFonts w:ascii="Arial" w:eastAsia="Arial" w:hAnsi="Arial" w:cs="Arial"/>
          <w:lang w:val="en-GB"/>
        </w:rPr>
        <w:t>being and psychological risks have gained prominence in recent years. Issues such as workplace stress, burnout, and mental health challenges can negatively affect employee performance, increase absenteeism, and reduce organisational effectiveness (Duchek, 2020; Kuntz et al., 2023). The COVID-19 pandemic has further amplified these concerns, highlighting the importance of employee well</w:t>
      </w:r>
      <w:r w:rsidR="008E1D0A">
        <w:rPr>
          <w:rFonts w:ascii="Arial" w:eastAsia="Arial" w:hAnsi="Arial" w:cs="Arial"/>
          <w:lang w:val="en-GB"/>
        </w:rPr>
        <w:t>-</w:t>
      </w:r>
      <w:r w:rsidRPr="00982F6A">
        <w:rPr>
          <w:rFonts w:ascii="Arial" w:eastAsia="Arial" w:hAnsi="Arial" w:cs="Arial"/>
          <w:lang w:val="en-GB"/>
        </w:rPr>
        <w:t>being as a critical component of organisational resilience.</w:t>
      </w:r>
    </w:p>
    <w:p w14:paraId="73925A68"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Finally, leadership risk refers to the potential negative impact of ineffective leadership on organisational outcomes. Poor leadership decisions, lack of strategic direction, and inadequate crisis management capabilities can exacerbate organisational risks and hinder performance (Dirani et al., 2020). Leadership plays a crucial role in shaping organisational culture, employee engagement, and strategic alignment, making it a key factor in risk management.</w:t>
      </w:r>
    </w:p>
    <w:p w14:paraId="50A3340D" w14:textId="233B14E8"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lastRenderedPageBreak/>
        <w:t>Importantly, these human capital risks are often interconnected rather than isolated. For example, high employee turnover can intensify talent shortages, while poor leadership may contribute to low employee engagement and increased well</w:t>
      </w:r>
      <w:r w:rsidR="008E1D0A">
        <w:rPr>
          <w:rFonts w:ascii="Arial" w:eastAsia="Arial" w:hAnsi="Arial" w:cs="Arial"/>
          <w:lang w:val="en-GB"/>
        </w:rPr>
        <w:t>-</w:t>
      </w:r>
      <w:r w:rsidRPr="00982F6A">
        <w:rPr>
          <w:rFonts w:ascii="Arial" w:eastAsia="Arial" w:hAnsi="Arial" w:cs="Arial"/>
          <w:lang w:val="en-GB"/>
        </w:rPr>
        <w:t>being risks. Similarly, inadequate workforce planning can lead to both skills gaps and compliance issues. This interconnectedness highlights the complexity of human capital risk and the need for integrated management approaches.</w:t>
      </w:r>
    </w:p>
    <w:p w14:paraId="2010C2B2"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 xml:space="preserve">Despite recognition of these risk categories, existing research often examines them in isolation rather than as part of a comprehensive risk framework. There is limited empirical evidence that systematically links these risks to strategic HR practices or evaluates how organisations can manage them collectively through SHCM. </w:t>
      </w:r>
    </w:p>
    <w:p w14:paraId="3E09F6B0" w14:textId="0EC70A96" w:rsidR="00CC7C04" w:rsidRPr="00982F6A" w:rsidRDefault="00CC7C04" w:rsidP="00A4240C">
      <w:pPr>
        <w:pStyle w:val="Heading2"/>
        <w:rPr>
          <w:rFonts w:cs="Arial"/>
        </w:rPr>
      </w:pPr>
      <w:bookmarkStart w:id="44" w:name="_Toc225633921"/>
      <w:bookmarkStart w:id="45" w:name="_Toc228704022"/>
      <w:r w:rsidRPr="00982F6A">
        <w:rPr>
          <w:rFonts w:cs="Arial"/>
        </w:rPr>
        <w:t>2.</w:t>
      </w:r>
      <w:r w:rsidR="00982F6A" w:rsidRPr="00982F6A">
        <w:rPr>
          <w:rFonts w:cs="Arial"/>
        </w:rPr>
        <w:t>4</w:t>
      </w:r>
      <w:r w:rsidRPr="00982F6A">
        <w:rPr>
          <w:rFonts w:cs="Arial"/>
        </w:rPr>
        <w:t xml:space="preserve"> Integrating SHCM with Organisational Risk Management</w:t>
      </w:r>
      <w:bookmarkEnd w:id="44"/>
      <w:bookmarkEnd w:id="45"/>
    </w:p>
    <w:p w14:paraId="1F49977B" w14:textId="7260167A"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The integration of Strategic Human Capital Management with organisational risk management represents an emerging yet underdeveloped area within management literature. Traditionally, human resource management and enterprise risk management have been treated as separate organisational functions. However, growing evidence suggests that workforce-related risks are central to organisational sustainability, requiring a more integrated and strategic approach. SHCM offers a framework through which organisations can proactively manage human capital risks while simultaneously enhancing performance outcomes.</w:t>
      </w:r>
    </w:p>
    <w:p w14:paraId="6544FF7B" w14:textId="35106F15" w:rsidR="00CC7C04" w:rsidRPr="00982F6A" w:rsidRDefault="00CC7C04" w:rsidP="00A4240C">
      <w:pPr>
        <w:pStyle w:val="Heading3"/>
        <w:rPr>
          <w:rFonts w:cs="Arial"/>
        </w:rPr>
      </w:pPr>
      <w:bookmarkStart w:id="46" w:name="_Toc225633922"/>
      <w:bookmarkStart w:id="47" w:name="_Toc228704023"/>
      <w:r w:rsidRPr="00982F6A">
        <w:rPr>
          <w:rFonts w:cs="Arial"/>
        </w:rPr>
        <w:t>2.</w:t>
      </w:r>
      <w:r w:rsidR="00982F6A" w:rsidRPr="00982F6A">
        <w:rPr>
          <w:rFonts w:cs="Arial"/>
        </w:rPr>
        <w:t>4</w:t>
      </w:r>
      <w:r w:rsidRPr="00982F6A">
        <w:rPr>
          <w:rFonts w:cs="Arial"/>
        </w:rPr>
        <w:t>.1 SHCM as a Risk Mitigation Mechanism</w:t>
      </w:r>
      <w:bookmarkEnd w:id="46"/>
      <w:bookmarkEnd w:id="47"/>
    </w:p>
    <w:p w14:paraId="2309FB8F"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Recent research highlights the role of SHCM practices as proactive tools for mitigating human capital-related risks. Unlike reactive risk management approaches, SHCM emphasises forward-looking strategies that anticipate potential workforce challenges and address them before they escalate into organisational crises. Core SHCM mechanisms such as workforce planning, HR analytics, talent management, and employee engagement systems are increasingly recognised as essential components of risk mitigation strategies.</w:t>
      </w:r>
    </w:p>
    <w:p w14:paraId="510469AD"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lastRenderedPageBreak/>
        <w:t>For instance, workforce planning and HR analytics enable organisations to identify current and future talent requirements, thereby reducing the risk of skills shortages and workforce imbalances. Predictive analytics can forecast turnover trends, identify high-risk employee groups, and support data-driven decision-making in recruitment and retention strategies (Jabbour et al., 2020; Marler &amp; Boudreau, 2017). This aligns with the principles of Dynamic Capabilities Theory, where organisations continuously adapt their resource base to respond to environmental changes.</w:t>
      </w:r>
    </w:p>
    <w:p w14:paraId="3156EBB0"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 xml:space="preserve">Similarly, continuous learning and development initiatives play a critical role in mitigating the risk of skills obsolescence, particularly in industries undergoing rapid technological transformation. By investing in employee upskilling and reskilling, organisations can maintain workforce relevance and adaptability, thereby reducing vulnerability to external disruptions (Marler &amp; Boudreau, 2017). </w:t>
      </w:r>
    </w:p>
    <w:p w14:paraId="6E9C909B"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Another important SHCM mechanism is employee engagement and retention strategies, which aim to reduce turnover risk and enhance organisational stability. Engaged employees are more likely to remain committed to their organisations, reducing the costs and disruptions associated with high turnover rates (CIPD, 2023). Moreover, strong organisational culture and leadership practices contribute to lower absenteeism, improved morale, and higher productivity, all of which are critical for managing operational risks.</w:t>
      </w:r>
    </w:p>
    <w:p w14:paraId="07648A11"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 xml:space="preserve">Despite these theoretical and practical insights, the empirical evidence supporting SHCM as a risk mitigation tool remains limited. Much of the existing literature relies on conceptual models or case-based studies, with relatively few large-scale quantitative analyses establishing direct causal relationships between SHCM practices and reduced risk outcomes. Furthermore, measurement challenges persist, as human capital risks are often intangible and difficult to quantify. </w:t>
      </w:r>
    </w:p>
    <w:p w14:paraId="3711561D" w14:textId="6ABCCD1F" w:rsidR="00CC7C04" w:rsidRPr="00982F6A" w:rsidRDefault="00CC7C04" w:rsidP="00A4240C">
      <w:pPr>
        <w:pStyle w:val="Heading3"/>
        <w:rPr>
          <w:rFonts w:cs="Arial"/>
        </w:rPr>
      </w:pPr>
      <w:bookmarkStart w:id="48" w:name="_Toc225633923"/>
      <w:bookmarkStart w:id="49" w:name="_Toc228704024"/>
      <w:r w:rsidRPr="00982F6A">
        <w:rPr>
          <w:rFonts w:cs="Arial"/>
        </w:rPr>
        <w:t>2.</w:t>
      </w:r>
      <w:r w:rsidR="00982F6A" w:rsidRPr="00982F6A">
        <w:rPr>
          <w:rFonts w:cs="Arial"/>
        </w:rPr>
        <w:t>4</w:t>
      </w:r>
      <w:r w:rsidRPr="00982F6A">
        <w:rPr>
          <w:rFonts w:cs="Arial"/>
        </w:rPr>
        <w:t>.2 SHCM and Resilience</w:t>
      </w:r>
      <w:bookmarkEnd w:id="48"/>
      <w:bookmarkEnd w:id="49"/>
    </w:p>
    <w:p w14:paraId="2F216942"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 xml:space="preserve">The concept of organisational resilience has gained significant attention in recent years, particularly in response to global disruptions such as the COVID-19 pandemic. Resilience </w:t>
      </w:r>
      <w:r w:rsidRPr="00982F6A">
        <w:rPr>
          <w:rFonts w:ascii="Arial" w:eastAsia="Arial" w:hAnsi="Arial" w:cs="Arial"/>
          <w:lang w:val="en-GB"/>
        </w:rPr>
        <w:lastRenderedPageBreak/>
        <w:t>refers to an organisation’s ability to absorb shocks, adapt to changing conditions, and recover from adverse events, ensuring continuity and long-term sustainability (Duchek, 2020). Increasingly, scholars recognise that human capital plays a central role in building and sustaining organisational resilience.</w:t>
      </w:r>
    </w:p>
    <w:p w14:paraId="2FCFD0D6"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From a theoretical perspective, resilience is closely linked to Dynamic Capabilities Theory, which emphasises organisational adaptability and flexibility. SHCM contributes to resilience by fostering workforce capabilities such as learning, innovation, and adaptability, enabling organisations to respond effectively to uncertainty (Kuntz et al., 2023). For example, organisations that invest in employee training, leadership development, and knowledge-sharing systems are better equipped to navigate crises and maintain performance under pressure.</w:t>
      </w:r>
    </w:p>
    <w:p w14:paraId="528B5CA3"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Empirical evidence supports the role of SHCM in enhancing resilience. During the COVID-19 pandemic, many UK organisations adopted hybrid working models, digital transformation strategies, and employee wellbeing initiatives, which helped maintain operational continuity and workforce stability (ONS, 2023).</w:t>
      </w:r>
    </w:p>
    <w:p w14:paraId="476DAA36"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Furthermore, talent pipelines and leadership development programs are critical components of resilience-building strategies. Effective succession planning ensures that organisations have capable leaders ready to respond to crises, while continuous leadership development enhances decision-making and crisis management capabilities (Dirani et al., 2020). These elements contribute to both immediate risk mitigation and long-term organisational sustainability.</w:t>
      </w:r>
    </w:p>
    <w:p w14:paraId="5527C104"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However, despite growing recognition of the link between SHCM and resilience, there remains a lack of conceptual clarity in integrating resilience into formal risk governance frameworks. Existing models often treat resilience as a separate construct rather than embedding it within enterprise risk management systems. As a result, organisations may struggle to systematically incorporate resilience-building practices into their risk management strategies.</w:t>
      </w:r>
    </w:p>
    <w:p w14:paraId="7124A9C4" w14:textId="2EADA5AE" w:rsidR="00CC7C04" w:rsidRPr="00982F6A" w:rsidRDefault="00CC7C04" w:rsidP="00A4240C">
      <w:pPr>
        <w:pStyle w:val="Heading3"/>
        <w:rPr>
          <w:rFonts w:cs="Arial"/>
        </w:rPr>
      </w:pPr>
      <w:bookmarkStart w:id="50" w:name="_Toc225633924"/>
      <w:bookmarkStart w:id="51" w:name="_Toc228704025"/>
      <w:r w:rsidRPr="00982F6A">
        <w:rPr>
          <w:rFonts w:cs="Arial"/>
        </w:rPr>
        <w:lastRenderedPageBreak/>
        <w:t>2.</w:t>
      </w:r>
      <w:r w:rsidR="00982F6A" w:rsidRPr="00982F6A">
        <w:rPr>
          <w:rFonts w:cs="Arial"/>
        </w:rPr>
        <w:t>4</w:t>
      </w:r>
      <w:r w:rsidRPr="00982F6A">
        <w:rPr>
          <w:rFonts w:cs="Arial"/>
        </w:rPr>
        <w:t>.3 Synthesis</w:t>
      </w:r>
      <w:bookmarkEnd w:id="50"/>
      <w:bookmarkEnd w:id="51"/>
    </w:p>
    <w:p w14:paraId="2691B2F3"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Overall, the literature indicates that SHCM has significant potential to function as both a risk mitigation mechanism and a resilience-building strategy. By integrating workforce planning, HR analytics, employee engagement, and leadership development into organisational strategy, SHCM enables organisations to anticipate risks, respond effectively to disruptions, and sustain performance over time. However, the lack of empirical evidence and theoretical integration suggests that this area remains underexplored, reinforcing the need for further research to develop comprehensive frameworks linking SHCM with organisational risk management.</w:t>
      </w:r>
    </w:p>
    <w:p w14:paraId="3E8AD9BC" w14:textId="2EA042E9" w:rsidR="00CC7C04" w:rsidRPr="00982F6A" w:rsidRDefault="00CC7C04" w:rsidP="00A4240C">
      <w:pPr>
        <w:pStyle w:val="Heading2"/>
        <w:rPr>
          <w:rFonts w:cs="Arial"/>
        </w:rPr>
      </w:pPr>
      <w:bookmarkStart w:id="52" w:name="_Toc225633925"/>
      <w:bookmarkStart w:id="53" w:name="_Toc228704026"/>
      <w:r w:rsidRPr="00982F6A">
        <w:rPr>
          <w:rFonts w:cs="Arial"/>
        </w:rPr>
        <w:t>2.</w:t>
      </w:r>
      <w:r w:rsidR="00982F6A" w:rsidRPr="00982F6A">
        <w:rPr>
          <w:rFonts w:cs="Arial"/>
        </w:rPr>
        <w:t>5</w:t>
      </w:r>
      <w:r w:rsidRPr="00982F6A">
        <w:rPr>
          <w:rFonts w:cs="Arial"/>
        </w:rPr>
        <w:t xml:space="preserve"> Empirical Evidence from Recent Research</w:t>
      </w:r>
      <w:bookmarkEnd w:id="52"/>
      <w:bookmarkEnd w:id="53"/>
    </w:p>
    <w:p w14:paraId="6FCFE9BF" w14:textId="6CDB8DFC"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 xml:space="preserve">This section reviews recent empirical studies examining the relationship between Strategic Human Capital Management, organisational performance, and human capital risk, with particular emphasis on findings </w:t>
      </w:r>
      <w:r w:rsidR="008E1D0A">
        <w:rPr>
          <w:rFonts w:ascii="Arial" w:eastAsia="Arial" w:hAnsi="Arial" w:cs="Arial"/>
          <w:lang w:val="en-GB"/>
        </w:rPr>
        <w:t>in the</w:t>
      </w:r>
      <w:r w:rsidR="00D845B6" w:rsidRPr="00982F6A">
        <w:rPr>
          <w:rFonts w:ascii="Arial" w:eastAsia="Arial" w:hAnsi="Arial" w:cs="Arial"/>
          <w:lang w:val="en-GB"/>
        </w:rPr>
        <w:t xml:space="preserve"> previous 10 years</w:t>
      </w:r>
      <w:r w:rsidRPr="00982F6A">
        <w:rPr>
          <w:rFonts w:ascii="Arial" w:eastAsia="Arial" w:hAnsi="Arial" w:cs="Arial"/>
          <w:lang w:val="en-GB"/>
        </w:rPr>
        <w:t>. The discussion highlights both the strengths and limitations of current empirical evidence, providing a foundation for identifying gaps in the literature.</w:t>
      </w:r>
    </w:p>
    <w:p w14:paraId="1647262C" w14:textId="49C5DCED" w:rsidR="00CC7C04" w:rsidRPr="00982F6A" w:rsidRDefault="00CC7C04" w:rsidP="00A4240C">
      <w:pPr>
        <w:pStyle w:val="Heading3"/>
        <w:rPr>
          <w:rFonts w:cs="Arial"/>
        </w:rPr>
      </w:pPr>
      <w:bookmarkStart w:id="54" w:name="_Toc225633926"/>
      <w:bookmarkStart w:id="55" w:name="_Toc228704027"/>
      <w:r w:rsidRPr="00982F6A">
        <w:rPr>
          <w:rFonts w:cs="Arial"/>
        </w:rPr>
        <w:t>2</w:t>
      </w:r>
      <w:r w:rsidR="00982F6A" w:rsidRPr="00982F6A">
        <w:rPr>
          <w:rFonts w:cs="Arial"/>
        </w:rPr>
        <w:t>.5</w:t>
      </w:r>
      <w:r w:rsidRPr="00982F6A">
        <w:rPr>
          <w:rFonts w:cs="Arial"/>
        </w:rPr>
        <w:t>.1 SHCM and Performance Outcomes</w:t>
      </w:r>
      <w:bookmarkEnd w:id="54"/>
      <w:bookmarkEnd w:id="55"/>
    </w:p>
    <w:p w14:paraId="42901B1C"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A substantial body of recent empirical research demonstrates a positive relationship between strategic human capital practices and organisational performance outcomes. Studies consistently show that organisations adopting SHCM approaches benefit from enhanced productivity, innovation, employee engagement, and overall organisational effectiveness.</w:t>
      </w:r>
    </w:p>
    <w:p w14:paraId="2D6CD2B2"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 xml:space="preserve">For example, Ahmad et al. (2020) found that strategic talent management practices significantly improved innovation performance in European firms. Their study emphasised the role of targeted recruitment, employee development, and knowledge-sharing systems in fostering innovation capabilities. Similarly, Gupta and Kumar (2021) demonstrated that the adoption of HR analytics enhances organisational agility and operational efficiency by enabling data-driven decision-making in workforce planning and performance management. </w:t>
      </w:r>
    </w:p>
    <w:p w14:paraId="42DBC21E"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lastRenderedPageBreak/>
        <w:t>In the UK context, CIPD (2023) reports that organisations implementing integrated HR systems experience higher levels of employee engagement, improved retention rates, and stronger organisational performance. These systems often combine performance management, learning and development, and employee feedback mechanisms, creating a more cohesive and responsive workforce management approach.</w:t>
      </w:r>
    </w:p>
    <w:p w14:paraId="03B2CF5F"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However, despite the generally positive findings, several limitations persist within the empirical literature. Many studies rely on cross-sectional survey data, which restricts the ability to establish causal relationships between SHCM practices and performance outcomes. Additionally, performance is often measured using subjective indicators, such as managerial perceptions, rather than objective financial data. This raises concerns regarding the reliability and generalisability of findings (Delery &amp; Doty, 2019).</w:t>
      </w:r>
    </w:p>
    <w:p w14:paraId="7DCA1426" w14:textId="4C733813" w:rsidR="00CC7C04" w:rsidRPr="00982F6A" w:rsidRDefault="00CC7C04" w:rsidP="00A4240C">
      <w:pPr>
        <w:pStyle w:val="Heading3"/>
        <w:rPr>
          <w:rFonts w:cs="Arial"/>
        </w:rPr>
      </w:pPr>
      <w:bookmarkStart w:id="56" w:name="_Toc225633927"/>
      <w:bookmarkStart w:id="57" w:name="_Toc228704028"/>
      <w:r w:rsidRPr="00982F6A">
        <w:rPr>
          <w:rFonts w:cs="Arial"/>
        </w:rPr>
        <w:t>2.</w:t>
      </w:r>
      <w:r w:rsidR="00982F6A" w:rsidRPr="00982F6A">
        <w:rPr>
          <w:rFonts w:cs="Arial"/>
        </w:rPr>
        <w:t>5</w:t>
      </w:r>
      <w:r w:rsidRPr="00982F6A">
        <w:rPr>
          <w:rFonts w:cs="Arial"/>
        </w:rPr>
        <w:t>.2 Human Capital Risk and SHCM in the UK Context</w:t>
      </w:r>
      <w:bookmarkEnd w:id="56"/>
      <w:bookmarkEnd w:id="57"/>
    </w:p>
    <w:p w14:paraId="4C73EF30"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Recent empirical research highlights the increasing significance of human capital risks within UK organisations, particularly in the context of evolving labour market conditions and technological change. These risks are becoming more prominent as organisations face challenges related to skills shortages, workforce transformation, and employee wellbeing.</w:t>
      </w:r>
    </w:p>
    <w:p w14:paraId="16ABE82B"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According to CIPD (2023), skills shortages and employee retention challenges are among the most pressing issues facing UK organisations. The report indicates that many firms struggle to attract and retain talent, particularly in sectors requiring specialised skills such as digital technology and data analytics. This creates operational risks, as organisations may be unable to meet business demands or sustain innovation.</w:t>
      </w:r>
    </w:p>
    <w:p w14:paraId="5BF68A64"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Similarly, PwC (2023) identifies workforce transformation risks — including digital skills gaps and changing workforce expectations — as one of the top five business risks for UK firms. The rapid pace of technological change has increased the demand for new skill sets, while simultaneously rendering existing skills obsolete. This dynamic environment requires organisations to continuously invest in employee development and reskilling initiatives to remain competitive.</w:t>
      </w:r>
    </w:p>
    <w:p w14:paraId="1C281731" w14:textId="3DE2FB0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lastRenderedPageBreak/>
        <w:t>The Office for National Statistics (ONS, 2023) further highlights the impact of changing work patterns on organisational outcomes. The widespread adoption of hybrid working arrangements has had mixed effects on employee well</w:t>
      </w:r>
      <w:r w:rsidR="008E1D0A">
        <w:rPr>
          <w:rFonts w:ascii="Arial" w:eastAsia="Arial" w:hAnsi="Arial" w:cs="Arial"/>
          <w:lang w:val="en-GB"/>
        </w:rPr>
        <w:t>-</w:t>
      </w:r>
      <w:r w:rsidRPr="00982F6A">
        <w:rPr>
          <w:rFonts w:ascii="Arial" w:eastAsia="Arial" w:hAnsi="Arial" w:cs="Arial"/>
          <w:lang w:val="en-GB"/>
        </w:rPr>
        <w:t>being, engagement, and organisational culture. While flexible working has improved work-life balance for some employees, it has also introduced challenges related to communication, collaboration, and organisational cohesion.</w:t>
      </w:r>
    </w:p>
    <w:p w14:paraId="490E65C0"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Despite these insights, the empirical literature reveals a significant gap in understanding how SHCM practices can systematically address human capital risks. Most studies identify and describe workforce-related risks but do not explicitly link them to specific HR strategies or evaluate the effectiveness of SHCM interventions in mitigating these risks. As a result, there is limited evidence on how organisations can integrate SHCM into formal risk management frameworks.</w:t>
      </w:r>
    </w:p>
    <w:p w14:paraId="4862645F" w14:textId="47C50665"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Moreover, existing studies often treat human capital risks as isolated issues rather than components of a broader, interconnected risk system. For example, skills shortages, employee turnover, and well</w:t>
      </w:r>
      <w:r w:rsidR="008E1D0A">
        <w:rPr>
          <w:rFonts w:ascii="Arial" w:eastAsia="Arial" w:hAnsi="Arial" w:cs="Arial"/>
          <w:lang w:val="en-GB"/>
        </w:rPr>
        <w:t>-</w:t>
      </w:r>
      <w:r w:rsidRPr="00982F6A">
        <w:rPr>
          <w:rFonts w:ascii="Arial" w:eastAsia="Arial" w:hAnsi="Arial" w:cs="Arial"/>
          <w:lang w:val="en-GB"/>
        </w:rPr>
        <w:t>being challenges are frequently analysed separately, despite their interdependence. This fragmented approach limits the ability to develop comprehensive strategies for managing human capital risk.</w:t>
      </w:r>
    </w:p>
    <w:p w14:paraId="05444DCF" w14:textId="25D26D45" w:rsidR="00D845B6" w:rsidRPr="00982F6A" w:rsidRDefault="00D845B6" w:rsidP="00D845B6">
      <w:pPr>
        <w:pStyle w:val="Heading2"/>
        <w:rPr>
          <w:rFonts w:cs="Arial"/>
        </w:rPr>
      </w:pPr>
      <w:bookmarkStart w:id="58" w:name="_Toc225633909"/>
      <w:bookmarkStart w:id="59" w:name="_Toc228704029"/>
      <w:r w:rsidRPr="00982F6A">
        <w:rPr>
          <w:rFonts w:cs="Arial"/>
        </w:rPr>
        <w:t>2.</w:t>
      </w:r>
      <w:r w:rsidR="00982F6A" w:rsidRPr="00982F6A">
        <w:rPr>
          <w:rFonts w:cs="Arial"/>
        </w:rPr>
        <w:t>6</w:t>
      </w:r>
      <w:r w:rsidRPr="00982F6A">
        <w:rPr>
          <w:rFonts w:cs="Arial"/>
        </w:rPr>
        <w:t xml:space="preserve"> Key Theoretical Foundations</w:t>
      </w:r>
      <w:bookmarkEnd w:id="58"/>
      <w:bookmarkEnd w:id="59"/>
    </w:p>
    <w:p w14:paraId="2869ADC8" w14:textId="5515E0F3" w:rsidR="00D845B6" w:rsidRPr="00982F6A" w:rsidRDefault="00D845B6" w:rsidP="00D845B6">
      <w:pPr>
        <w:spacing w:before="240" w:after="240" w:line="360" w:lineRule="auto"/>
        <w:jc w:val="both"/>
        <w:rPr>
          <w:rFonts w:ascii="Arial" w:eastAsia="Arial" w:hAnsi="Arial" w:cs="Arial"/>
          <w:lang w:val="en-GB"/>
        </w:rPr>
      </w:pPr>
      <w:r w:rsidRPr="00982F6A">
        <w:rPr>
          <w:rFonts w:ascii="Arial" w:eastAsia="Arial" w:hAnsi="Arial" w:cs="Arial"/>
          <w:lang w:val="en-GB"/>
        </w:rPr>
        <w:t>This section explores the key theoretical underpinnings that inform the study of Strategic Human Capital Management, with particular focus on its links to organisational risk and performance. The discussion situates SHCM within three widely recognised frameworks: Human Capital Theory, the Resource-Based View, and Dynamic Capabilities Theory. Collectively, these theories provide insight into how workforce capabilities are developed, leveraged, and reconfigured to support organisational objectives in increasingly dynamic environments.</w:t>
      </w:r>
    </w:p>
    <w:p w14:paraId="793C923E" w14:textId="42C5E274" w:rsidR="00D845B6" w:rsidRPr="00982F6A" w:rsidRDefault="00D845B6" w:rsidP="00D845B6">
      <w:pPr>
        <w:pStyle w:val="Heading3"/>
        <w:rPr>
          <w:rFonts w:cs="Arial"/>
        </w:rPr>
      </w:pPr>
      <w:bookmarkStart w:id="60" w:name="_Toc225633910"/>
      <w:bookmarkStart w:id="61" w:name="_Toc228704030"/>
      <w:r w:rsidRPr="00982F6A">
        <w:rPr>
          <w:rFonts w:cs="Arial"/>
        </w:rPr>
        <w:t>2.</w:t>
      </w:r>
      <w:r w:rsidR="00982F6A" w:rsidRPr="00982F6A">
        <w:rPr>
          <w:rFonts w:cs="Arial"/>
        </w:rPr>
        <w:t>6</w:t>
      </w:r>
      <w:r w:rsidRPr="00982F6A">
        <w:rPr>
          <w:rFonts w:cs="Arial"/>
        </w:rPr>
        <w:t>.1 Human Capital Theory</w:t>
      </w:r>
      <w:bookmarkEnd w:id="60"/>
      <w:bookmarkEnd w:id="61"/>
    </w:p>
    <w:p w14:paraId="23C34465" w14:textId="4DE1242C" w:rsidR="00D845B6" w:rsidRPr="00982F6A" w:rsidRDefault="00D845B6" w:rsidP="00D845B6">
      <w:pPr>
        <w:spacing w:before="240" w:after="240" w:line="360" w:lineRule="auto"/>
        <w:jc w:val="both"/>
        <w:rPr>
          <w:rFonts w:ascii="Arial" w:eastAsia="Arial" w:hAnsi="Arial" w:cs="Arial"/>
          <w:lang w:val="en-GB"/>
        </w:rPr>
      </w:pPr>
      <w:r w:rsidRPr="00982F6A">
        <w:rPr>
          <w:rFonts w:ascii="Arial" w:eastAsia="Arial" w:hAnsi="Arial" w:cs="Arial"/>
          <w:lang w:val="en-GB"/>
        </w:rPr>
        <w:t xml:space="preserve">Human Capital Theory, first articulated by Becker (1993), posits that individuals’ knowledge, skills, competencies, and experiences constitute a form of capital that can </w:t>
      </w:r>
      <w:r w:rsidRPr="00982F6A">
        <w:rPr>
          <w:rFonts w:ascii="Arial" w:eastAsia="Arial" w:hAnsi="Arial" w:cs="Arial"/>
          <w:lang w:val="en-GB"/>
        </w:rPr>
        <w:lastRenderedPageBreak/>
        <w:t>generate both personal and organisational returns. Unlike physical or financial capital, human capital is embedded within employees, and investments in this capital through training, development, and learning initiatives enhance not only workforce productivity but also organisational adaptability, innovation, and competitive advantage (Becker, 1993; Wright et al., 2019).</w:t>
      </w:r>
    </w:p>
    <w:p w14:paraId="15239183" w14:textId="1E71981C" w:rsidR="00D845B6" w:rsidRPr="00982F6A" w:rsidRDefault="00D845B6" w:rsidP="00D845B6">
      <w:pPr>
        <w:spacing w:before="240" w:after="240" w:line="360" w:lineRule="auto"/>
        <w:jc w:val="both"/>
        <w:rPr>
          <w:rFonts w:ascii="Arial" w:eastAsia="Arial" w:hAnsi="Arial" w:cs="Arial"/>
          <w:lang w:val="en-GB"/>
        </w:rPr>
      </w:pPr>
      <w:r w:rsidRPr="00982F6A">
        <w:rPr>
          <w:rFonts w:ascii="Arial" w:eastAsia="Arial" w:hAnsi="Arial" w:cs="Arial"/>
          <w:lang w:val="en-GB"/>
        </w:rPr>
        <w:t xml:space="preserve">In the context of strategic human capital management, HCT provides the conceptual justification for viewing employees not merely as operational </w:t>
      </w:r>
      <w:r w:rsidR="008E1D0A">
        <w:rPr>
          <w:rFonts w:ascii="Arial" w:eastAsia="Arial" w:hAnsi="Arial" w:cs="Arial"/>
          <w:lang w:val="en-GB"/>
        </w:rPr>
        <w:t>tools</w:t>
      </w:r>
      <w:r w:rsidRPr="00982F6A">
        <w:rPr>
          <w:rFonts w:ascii="Arial" w:eastAsia="Arial" w:hAnsi="Arial" w:cs="Arial"/>
          <w:lang w:val="en-GB"/>
        </w:rPr>
        <w:t>, but as strategic assets. Organisations that actively invest in developing the knowledge and skills of their workforce are better positioned to innovate, respond to market shifts, and maintain performance under changing conditions (Bishop &amp; Maneval, 2021). For example, recent studies highlight the role of learning and development programs in supporting organisational resilience, particularly in environments disrupted by technological transformation or global crises such as the COVID-19 pandemic (Leema Christina et al., 2025; Frontiers in Psychology, 2025).</w:t>
      </w:r>
    </w:p>
    <w:p w14:paraId="1092189F" w14:textId="3B58E729" w:rsidR="00D845B6" w:rsidRPr="00982F6A" w:rsidRDefault="00D845B6" w:rsidP="00D845B6">
      <w:pPr>
        <w:pStyle w:val="Heading3"/>
        <w:rPr>
          <w:rFonts w:cs="Arial"/>
        </w:rPr>
      </w:pPr>
      <w:bookmarkStart w:id="62" w:name="_Toc225633911"/>
      <w:bookmarkStart w:id="63" w:name="_Toc228704031"/>
      <w:r w:rsidRPr="00982F6A">
        <w:rPr>
          <w:rFonts w:cs="Arial"/>
        </w:rPr>
        <w:t>2.</w:t>
      </w:r>
      <w:r w:rsidR="00982F6A" w:rsidRPr="00982F6A">
        <w:rPr>
          <w:rFonts w:cs="Arial"/>
        </w:rPr>
        <w:t>6</w:t>
      </w:r>
      <w:r w:rsidRPr="00982F6A">
        <w:rPr>
          <w:rFonts w:cs="Arial"/>
        </w:rPr>
        <w:t xml:space="preserve">.2 Resource-Based View </w:t>
      </w:r>
      <w:bookmarkEnd w:id="62"/>
      <w:bookmarkEnd w:id="63"/>
    </w:p>
    <w:p w14:paraId="4FC750EB" w14:textId="7F7BDEEC" w:rsidR="00D845B6" w:rsidRPr="00982F6A" w:rsidRDefault="00D845B6" w:rsidP="00D845B6">
      <w:pPr>
        <w:spacing w:before="240" w:after="240" w:line="360" w:lineRule="auto"/>
        <w:jc w:val="both"/>
        <w:rPr>
          <w:rFonts w:ascii="Arial" w:eastAsia="Arial" w:hAnsi="Arial" w:cs="Arial"/>
          <w:lang w:val="en-GB"/>
        </w:rPr>
      </w:pPr>
      <w:r w:rsidRPr="00982F6A">
        <w:rPr>
          <w:rFonts w:ascii="Arial" w:eastAsia="Arial" w:hAnsi="Arial" w:cs="Arial"/>
          <w:lang w:val="en-GB"/>
        </w:rPr>
        <w:t>The Resource-Based View, initially proposed by Barney (1991), builds on the idea that organisations achieve sustainable competitive advantage by possessing resources that are valuable, rare, inimitable, and non-substitutable (VRIN). Within this framework, human capital is widely recognised as a critical resource because employee knowledge, expertise, and tacit skills are difficult for competitors to replicate (Barney, 1991; Wright et al., 2019).</w:t>
      </w:r>
    </w:p>
    <w:p w14:paraId="2C783A50" w14:textId="77777777" w:rsidR="00D845B6" w:rsidRPr="00982F6A" w:rsidRDefault="00D845B6" w:rsidP="00D845B6">
      <w:pPr>
        <w:spacing w:before="240" w:after="240" w:line="360" w:lineRule="auto"/>
        <w:jc w:val="both"/>
        <w:rPr>
          <w:rFonts w:ascii="Arial" w:eastAsia="Arial" w:hAnsi="Arial" w:cs="Arial"/>
          <w:lang w:val="en-GB"/>
        </w:rPr>
      </w:pPr>
      <w:r w:rsidRPr="00982F6A">
        <w:rPr>
          <w:rFonts w:ascii="Arial" w:eastAsia="Arial" w:hAnsi="Arial" w:cs="Arial"/>
          <w:lang w:val="en-GB"/>
        </w:rPr>
        <w:t>RBV provides a strategic lens for understanding why human capital should be managed systematically. Strategic HR practices such as talent acquisition, succession planning, knowledge management, and performance management can transform individual capabilities into organisational competencies that generate long-term value (Boxall &amp; Purcell, 2016). For instance, research indicates that organisations with highly aligned HR systems are more likely to achieve superior innovation outcomes and operational efficiency because employees possess the skills and motivation to execute strategic priorities effectively (Ahmad et al., 2020; Gupta &amp; Kumar, 2021).</w:t>
      </w:r>
    </w:p>
    <w:p w14:paraId="1B61DAF8" w14:textId="77777777" w:rsidR="00D845B6" w:rsidRPr="00982F6A" w:rsidRDefault="00D845B6" w:rsidP="00D845B6">
      <w:pPr>
        <w:spacing w:before="240" w:after="240" w:line="360" w:lineRule="auto"/>
        <w:jc w:val="both"/>
        <w:rPr>
          <w:rFonts w:ascii="Arial" w:eastAsia="Arial" w:hAnsi="Arial" w:cs="Arial"/>
          <w:lang w:val="en-GB"/>
        </w:rPr>
      </w:pPr>
      <w:r w:rsidRPr="00982F6A">
        <w:rPr>
          <w:rFonts w:ascii="Arial" w:eastAsia="Arial" w:hAnsi="Arial" w:cs="Arial"/>
          <w:lang w:val="en-GB"/>
        </w:rPr>
        <w:lastRenderedPageBreak/>
        <w:t xml:space="preserve">Despite its widespread adoption, RBV has been criticised for its static nature. The theory primarily explains how existing resources can create competitive advantage but provides limited guidance on how organisations renew or adapt resources in response to environmental turbulence (Teece, 2014). </w:t>
      </w:r>
    </w:p>
    <w:p w14:paraId="141A0FA6" w14:textId="03601837" w:rsidR="00D845B6" w:rsidRPr="00982F6A" w:rsidRDefault="00D845B6" w:rsidP="00D845B6">
      <w:pPr>
        <w:pStyle w:val="Heading3"/>
        <w:rPr>
          <w:rFonts w:cs="Arial"/>
        </w:rPr>
      </w:pPr>
      <w:bookmarkStart w:id="64" w:name="_Toc225633912"/>
      <w:bookmarkStart w:id="65" w:name="_Toc228704032"/>
      <w:r w:rsidRPr="00982F6A">
        <w:rPr>
          <w:rFonts w:cs="Arial"/>
        </w:rPr>
        <w:t>2.</w:t>
      </w:r>
      <w:r w:rsidR="00982F6A" w:rsidRPr="00982F6A">
        <w:rPr>
          <w:rFonts w:cs="Arial"/>
        </w:rPr>
        <w:t>6</w:t>
      </w:r>
      <w:r w:rsidRPr="00982F6A">
        <w:rPr>
          <w:rFonts w:cs="Arial"/>
        </w:rPr>
        <w:t>.3 Dynamic Capabilities Theory</w:t>
      </w:r>
      <w:bookmarkEnd w:id="64"/>
      <w:bookmarkEnd w:id="65"/>
    </w:p>
    <w:p w14:paraId="46D70595" w14:textId="120A866F" w:rsidR="00D845B6" w:rsidRPr="00982F6A" w:rsidRDefault="00D845B6" w:rsidP="00D845B6">
      <w:pPr>
        <w:spacing w:before="240" w:after="240" w:line="360" w:lineRule="auto"/>
        <w:jc w:val="both"/>
        <w:rPr>
          <w:rFonts w:ascii="Arial" w:eastAsia="Arial" w:hAnsi="Arial" w:cs="Arial"/>
          <w:lang w:val="en-GB"/>
        </w:rPr>
      </w:pPr>
      <w:r w:rsidRPr="00982F6A">
        <w:rPr>
          <w:rFonts w:ascii="Arial" w:eastAsia="Arial" w:hAnsi="Arial" w:cs="Arial"/>
          <w:lang w:val="en-GB"/>
        </w:rPr>
        <w:t>Dynamic Capabilities Theory, developed by Teece et al. (1997), extends RBV by explaining how organisations build, integrate, and reconfigure internal and external competencies to address rapidly changing environments. In contrast to RBV’s static emphasis on existing resources, DCT focuses on the processes through which organisations adapt their resource base to sustain competitive advantage under uncertainty. The theory highlights three core capacities: sensing opportunities and threats, seizing opportunities through resource mobilisation, and transforming or reconfiguring organisational capabilities to meet environmental demands (Teece, 2014; Wang &amp; Ahmed, 2017).</w:t>
      </w:r>
    </w:p>
    <w:p w14:paraId="41FDFA66" w14:textId="77777777" w:rsidR="00D845B6" w:rsidRPr="00982F6A" w:rsidRDefault="00D845B6" w:rsidP="00D845B6">
      <w:pPr>
        <w:spacing w:before="240" w:after="240" w:line="360" w:lineRule="auto"/>
        <w:jc w:val="both"/>
        <w:rPr>
          <w:rFonts w:ascii="Arial" w:eastAsia="Arial" w:hAnsi="Arial" w:cs="Arial"/>
          <w:lang w:val="en-GB"/>
        </w:rPr>
      </w:pPr>
      <w:r w:rsidRPr="00982F6A">
        <w:rPr>
          <w:rFonts w:ascii="Arial" w:eastAsia="Arial" w:hAnsi="Arial" w:cs="Arial"/>
          <w:lang w:val="en-GB"/>
        </w:rPr>
        <w:t>In SHCM, dynamic capabilities theory positions human capital as both a source of competitive advantage and a mechanism for adaptation. Workforce learning, flexibility, innovation, and engagement are seen as dynamic capabilities that enable organisations to absorb shocks, respond to market changes, and exploit emerging opportunities (Schilke, 2014). For instance, HR analytics, predictive workforce planning, continuous learning programs, and agile talent management are all practices that exemplify the application of dynamic capabilities to human capital (Marler &amp; Boudreau, 2017; Jabbour et al., 2020). These practices not only improve performance but also serve as proactive risk mitigation tools by anticipating talent gaps, reducing skills obsolescence, and fostering organisational resilience.</w:t>
      </w:r>
    </w:p>
    <w:p w14:paraId="477BE9A8" w14:textId="30334325" w:rsidR="00D845B6" w:rsidRPr="00982F6A" w:rsidRDefault="00D845B6" w:rsidP="00D845B6">
      <w:pPr>
        <w:spacing w:before="240" w:after="240" w:line="360" w:lineRule="auto"/>
        <w:jc w:val="both"/>
        <w:rPr>
          <w:rFonts w:ascii="Arial" w:eastAsia="Arial" w:hAnsi="Arial" w:cs="Arial"/>
          <w:lang w:val="en-GB"/>
        </w:rPr>
      </w:pPr>
      <w:r w:rsidRPr="00982F6A">
        <w:rPr>
          <w:rFonts w:ascii="Arial" w:eastAsia="Arial" w:hAnsi="Arial" w:cs="Arial"/>
          <w:lang w:val="en-GB"/>
        </w:rPr>
        <w:t xml:space="preserve">Empirical evidence suggests that firms with strong dynamic HR capabilities outperform peers in uncertain environments. For example, research by Wilden et al. (2019) demonstrates that organisations that continuously adapt HR practices to evolving business conditions are better equipped to manage human capital-related risks, such as turnover, skill shortages, and regulatory compliance issues. Similarly, Kuntz, Malinen, and </w:t>
      </w:r>
      <w:proofErr w:type="spellStart"/>
      <w:r w:rsidRPr="00982F6A">
        <w:rPr>
          <w:rFonts w:ascii="Arial" w:eastAsia="Arial" w:hAnsi="Arial" w:cs="Arial"/>
          <w:lang w:val="en-GB"/>
        </w:rPr>
        <w:lastRenderedPageBreak/>
        <w:t>Näswall</w:t>
      </w:r>
      <w:proofErr w:type="spellEnd"/>
      <w:r w:rsidRPr="00982F6A">
        <w:rPr>
          <w:rFonts w:ascii="Arial" w:eastAsia="Arial" w:hAnsi="Arial" w:cs="Arial"/>
          <w:lang w:val="en-GB"/>
        </w:rPr>
        <w:t xml:space="preserve"> (2023) highlight that human capital agility the workforce’s ability to learn, adapt, and perform in changing </w:t>
      </w:r>
      <w:r w:rsidR="009226E1">
        <w:rPr>
          <w:rFonts w:ascii="Arial" w:eastAsia="Arial" w:hAnsi="Arial" w:cs="Arial"/>
          <w:lang w:val="en-GB"/>
        </w:rPr>
        <w:t>circumstances remarkably</w:t>
      </w:r>
      <w:r w:rsidRPr="00982F6A">
        <w:rPr>
          <w:rFonts w:ascii="Arial" w:eastAsia="Arial" w:hAnsi="Arial" w:cs="Arial"/>
          <w:lang w:val="en-GB"/>
        </w:rPr>
        <w:t xml:space="preserve"> enhances organisational resilience, a key component of effective risk management.</w:t>
      </w:r>
    </w:p>
    <w:p w14:paraId="77BF9A42" w14:textId="77777777" w:rsidR="00D845B6" w:rsidRPr="00982F6A" w:rsidRDefault="00D845B6" w:rsidP="00D845B6">
      <w:pPr>
        <w:spacing w:before="240" w:after="240" w:line="360" w:lineRule="auto"/>
        <w:jc w:val="both"/>
        <w:rPr>
          <w:rFonts w:ascii="Arial" w:eastAsia="Arial" w:hAnsi="Arial" w:cs="Arial"/>
          <w:lang w:val="en-GB"/>
        </w:rPr>
      </w:pPr>
      <w:r w:rsidRPr="00982F6A">
        <w:rPr>
          <w:rFonts w:ascii="Arial" w:eastAsia="Arial" w:hAnsi="Arial" w:cs="Arial"/>
          <w:lang w:val="en-GB"/>
        </w:rPr>
        <w:t xml:space="preserve">Despite the promise of dynamic capabilities in HRM, empirical applications remain limited. Most studies focus on isolated capabilities rather than integrated mechanisms, and there is a paucity of longitudinal research examining how these capabilities influence both risk mitigation and performance outcomes over time (Wilden et al., 2019). </w:t>
      </w:r>
    </w:p>
    <w:p w14:paraId="0C8DDA14" w14:textId="0FB027E6" w:rsidR="00D845B6" w:rsidRPr="00982F6A" w:rsidRDefault="00D845B6" w:rsidP="00D845B6">
      <w:pPr>
        <w:pStyle w:val="Heading3"/>
        <w:rPr>
          <w:rFonts w:cs="Arial"/>
        </w:rPr>
      </w:pPr>
      <w:bookmarkStart w:id="66" w:name="_Toc225633913"/>
      <w:bookmarkStart w:id="67" w:name="_Toc228704033"/>
      <w:r w:rsidRPr="00982F6A">
        <w:rPr>
          <w:rFonts w:cs="Arial"/>
        </w:rPr>
        <w:t>2.</w:t>
      </w:r>
      <w:r w:rsidR="00982F6A" w:rsidRPr="00982F6A">
        <w:rPr>
          <w:rFonts w:cs="Arial"/>
        </w:rPr>
        <w:t>6</w:t>
      </w:r>
      <w:r w:rsidRPr="00982F6A">
        <w:rPr>
          <w:rFonts w:cs="Arial"/>
        </w:rPr>
        <w:t>.4 Integration of Theories in SHCM</w:t>
      </w:r>
      <w:bookmarkEnd w:id="66"/>
      <w:bookmarkEnd w:id="67"/>
    </w:p>
    <w:p w14:paraId="38F3EDBC" w14:textId="77777777" w:rsidR="00D845B6" w:rsidRPr="00982F6A" w:rsidRDefault="00D845B6" w:rsidP="00D845B6">
      <w:pPr>
        <w:spacing w:before="240" w:after="240" w:line="360" w:lineRule="auto"/>
        <w:jc w:val="both"/>
        <w:rPr>
          <w:rFonts w:ascii="Arial" w:eastAsia="Arial" w:hAnsi="Arial" w:cs="Arial"/>
          <w:lang w:val="en-GB"/>
        </w:rPr>
      </w:pPr>
      <w:r w:rsidRPr="00982F6A">
        <w:rPr>
          <w:rFonts w:ascii="Arial" w:eastAsia="Arial" w:hAnsi="Arial" w:cs="Arial"/>
          <w:lang w:val="en-GB"/>
        </w:rPr>
        <w:t>While HCT provides the foundational rationale for investing in workforce capabilities, RBV demonstrates how these capabilities can translate into sustainable competitive advantage. Dynamic Capabilities Theory, in turn, contextualises these resources in dynamic environments, explaining how organisations adapt human capital to emerging threats and opportunities. Together, these frameworks offer a comprehensive lens for understanding SHCM as a strategic lever that simultaneously drives performance and mitigates human capital-related risks.</w:t>
      </w:r>
    </w:p>
    <w:p w14:paraId="00F40F2E" w14:textId="77777777" w:rsidR="00D845B6" w:rsidRPr="00982F6A" w:rsidRDefault="00D845B6" w:rsidP="00D845B6">
      <w:pPr>
        <w:spacing w:before="240" w:after="240" w:line="360" w:lineRule="auto"/>
        <w:jc w:val="both"/>
        <w:rPr>
          <w:rFonts w:ascii="Arial" w:eastAsia="Arial" w:hAnsi="Arial" w:cs="Arial"/>
          <w:lang w:val="en-GB"/>
        </w:rPr>
      </w:pPr>
      <w:r w:rsidRPr="00982F6A">
        <w:rPr>
          <w:rFonts w:ascii="Arial" w:eastAsia="Arial" w:hAnsi="Arial" w:cs="Arial"/>
          <w:lang w:val="en-GB"/>
        </w:rPr>
        <w:t xml:space="preserve">Recent literature suggests that integrating these theories enhances the explanatory power of SHCM research. For instance, Leema Christina et al. (2025) combine RBV and dynamic capabilities perspectives to show that sustainable HR practices strengthen organisational resilience and adaptability. </w:t>
      </w:r>
    </w:p>
    <w:p w14:paraId="53690C69" w14:textId="2DF70EEF" w:rsidR="00D845B6" w:rsidRPr="00982F6A" w:rsidRDefault="00D845B6" w:rsidP="00D845B6">
      <w:pPr>
        <w:spacing w:before="240" w:after="240" w:line="360" w:lineRule="auto"/>
        <w:jc w:val="both"/>
        <w:rPr>
          <w:rFonts w:ascii="Arial" w:eastAsia="Arial" w:hAnsi="Arial" w:cs="Arial"/>
          <w:lang w:val="en-GB"/>
        </w:rPr>
      </w:pPr>
      <w:r w:rsidRPr="00982F6A">
        <w:rPr>
          <w:rFonts w:ascii="Arial" w:eastAsia="Arial" w:hAnsi="Arial" w:cs="Arial"/>
          <w:lang w:val="en-GB"/>
        </w:rPr>
        <w:t>By synthesising these theoretical perspectives, this study positions SHCM not only as a performance-enhancing strategy but also as a strategic risk governance mechanism. This integrated view provides the conceptual foundation for examining how UK organisations can leverage human capital to manage talent, compliance, wellbeing, and leadership risks while simultaneously enhancing organisational performance.</w:t>
      </w:r>
    </w:p>
    <w:p w14:paraId="01B16064" w14:textId="77777777" w:rsidR="00CC7C04" w:rsidRPr="00982F6A" w:rsidRDefault="00CC7C04" w:rsidP="00A4240C">
      <w:pPr>
        <w:pStyle w:val="Heading2"/>
        <w:rPr>
          <w:rFonts w:cs="Arial"/>
        </w:rPr>
      </w:pPr>
      <w:bookmarkStart w:id="68" w:name="_Toc225633928"/>
      <w:bookmarkStart w:id="69" w:name="_Toc228704034"/>
      <w:r w:rsidRPr="00982F6A">
        <w:rPr>
          <w:rFonts w:cs="Arial"/>
        </w:rPr>
        <w:t>2.7 Conceptual Framework</w:t>
      </w:r>
      <w:bookmarkEnd w:id="68"/>
      <w:bookmarkEnd w:id="69"/>
    </w:p>
    <w:p w14:paraId="0CCB8192"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Based on the literature reviewed, this research proposes a conceptual framework linking SHCM with organisational risk management and performance outcomes:</w:t>
      </w:r>
    </w:p>
    <w:p w14:paraId="40CE6E0D" w14:textId="77777777" w:rsidR="00A4240C" w:rsidRPr="00982F6A" w:rsidRDefault="00CC7C04" w:rsidP="00A4240C">
      <w:pPr>
        <w:keepNext/>
        <w:spacing w:before="240" w:after="240" w:line="360" w:lineRule="auto"/>
        <w:jc w:val="center"/>
        <w:rPr>
          <w:rFonts w:ascii="Arial" w:hAnsi="Arial" w:cs="Arial"/>
        </w:rPr>
      </w:pPr>
      <w:r w:rsidRPr="00982F6A">
        <w:rPr>
          <w:rFonts w:ascii="Arial" w:eastAsia="Arial" w:hAnsi="Arial" w:cs="Arial"/>
          <w:noProof/>
          <w:lang w:val="en-GB"/>
        </w:rPr>
        <w:lastRenderedPageBreak/>
        <w:drawing>
          <wp:inline distT="0" distB="0" distL="0" distR="0" wp14:anchorId="760A6359" wp14:editId="2377A018">
            <wp:extent cx="2584450" cy="2419350"/>
            <wp:effectExtent l="0" t="0" r="6350" b="0"/>
            <wp:docPr id="2081218304" name="Picture 6" descr="https://images.openai.com/static-rsc-4/t4O6g7sjD-9uREcSG54QaCrJkQLwcHoXGr9TIFneDbtt5vPM1-H_eheJEwlk2HdRa6bO3UJtGESMoW3wxiAVrFheSjs0DdFo5GQcfU7thStOPd0ElmFpfgJxpXoLRAZtfqmiWFK6IEUOwOys0vedyUmxoiCDfMr0YBLR0hCu2Vf4eq9W_DxXjCpj1P_Mj0W6?purpose=fullsi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mages.openai.com/static-rsc-4/t4O6g7sjD-9uREcSG54QaCrJkQLwcHoXGr9TIFneDbtt5vPM1-H_eheJEwlk2HdRa6bO3UJtGESMoW3wxiAVrFheSjs0DdFo5GQcfU7thStOPd0ElmFpfgJxpXoLRAZtfqmiWFK6IEUOwOys0vedyUmxoiCDfMr0YBLR0hCu2Vf4eq9W_DxXjCpj1P_Mj0W6?purpose=fullsiz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84450" cy="2419350"/>
                    </a:xfrm>
                    <a:prstGeom prst="rect">
                      <a:avLst/>
                    </a:prstGeom>
                    <a:noFill/>
                    <a:ln>
                      <a:noFill/>
                    </a:ln>
                  </pic:spPr>
                </pic:pic>
              </a:graphicData>
            </a:graphic>
          </wp:inline>
        </w:drawing>
      </w:r>
    </w:p>
    <w:p w14:paraId="76367C14" w14:textId="44C4A2C0" w:rsidR="00CC7C04" w:rsidRPr="00982F6A" w:rsidRDefault="00A4240C" w:rsidP="00A4240C">
      <w:pPr>
        <w:pStyle w:val="Caption"/>
        <w:jc w:val="center"/>
        <w:rPr>
          <w:rFonts w:ascii="Arial" w:eastAsia="Arial" w:hAnsi="Arial" w:cs="Arial"/>
        </w:rPr>
      </w:pPr>
      <w:bookmarkStart w:id="70" w:name="_Toc228704095"/>
      <w:r w:rsidRPr="00982F6A">
        <w:rPr>
          <w:rFonts w:ascii="Arial" w:hAnsi="Arial" w:cs="Arial"/>
        </w:rPr>
        <w:t xml:space="preserve">Figure </w:t>
      </w:r>
      <w:r w:rsidRPr="00982F6A">
        <w:rPr>
          <w:rFonts w:ascii="Arial" w:hAnsi="Arial" w:cs="Arial"/>
        </w:rPr>
        <w:fldChar w:fldCharType="begin"/>
      </w:r>
      <w:r w:rsidRPr="00982F6A">
        <w:rPr>
          <w:rFonts w:ascii="Arial" w:hAnsi="Arial" w:cs="Arial"/>
        </w:rPr>
        <w:instrText xml:space="preserve"> SEQ Figure \* ARABIC </w:instrText>
      </w:r>
      <w:r w:rsidRPr="00982F6A">
        <w:rPr>
          <w:rFonts w:ascii="Arial" w:hAnsi="Arial" w:cs="Arial"/>
        </w:rPr>
        <w:fldChar w:fldCharType="separate"/>
      </w:r>
      <w:r w:rsidRPr="00982F6A">
        <w:rPr>
          <w:rFonts w:ascii="Arial" w:hAnsi="Arial" w:cs="Arial"/>
          <w:noProof/>
        </w:rPr>
        <w:t>1</w:t>
      </w:r>
      <w:r w:rsidRPr="00982F6A">
        <w:rPr>
          <w:rFonts w:ascii="Arial" w:hAnsi="Arial" w:cs="Arial"/>
        </w:rPr>
        <w:fldChar w:fldCharType="end"/>
      </w:r>
      <w:r w:rsidRPr="00982F6A">
        <w:rPr>
          <w:rFonts w:ascii="Arial" w:hAnsi="Arial" w:cs="Arial"/>
        </w:rPr>
        <w:t>: Conceptual Framework -01</w:t>
      </w:r>
      <w:bookmarkEnd w:id="70"/>
    </w:p>
    <w:p w14:paraId="4DE9E3D6" w14:textId="2E21551B" w:rsidR="002D7EC0" w:rsidRPr="00982F6A" w:rsidRDefault="002D7EC0" w:rsidP="002D7EC0">
      <w:pPr>
        <w:spacing w:before="240" w:after="240" w:line="360" w:lineRule="auto"/>
        <w:jc w:val="center"/>
        <w:rPr>
          <w:rFonts w:ascii="Arial" w:eastAsia="Arial" w:hAnsi="Arial" w:cs="Arial"/>
        </w:rPr>
      </w:pPr>
      <w:r w:rsidRPr="00982F6A">
        <w:rPr>
          <w:rFonts w:ascii="Arial" w:eastAsia="Arial" w:hAnsi="Arial" w:cs="Arial"/>
          <w:b/>
          <w:bCs/>
        </w:rPr>
        <w:t>Source:</w:t>
      </w:r>
      <w:r w:rsidRPr="00982F6A">
        <w:rPr>
          <w:rFonts w:ascii="Arial" w:hAnsi="Arial" w:cs="Arial"/>
        </w:rPr>
        <w:t xml:space="preserve"> </w:t>
      </w:r>
      <w:r w:rsidRPr="00982F6A">
        <w:rPr>
          <w:rFonts w:ascii="Arial" w:eastAsia="Arial" w:hAnsi="Arial" w:cs="Arial"/>
        </w:rPr>
        <w:t>(</w:t>
      </w:r>
      <w:proofErr w:type="spellStart"/>
      <w:r w:rsidRPr="00982F6A">
        <w:rPr>
          <w:rFonts w:ascii="Arial" w:eastAsia="Arial" w:hAnsi="Arial" w:cs="Arial"/>
        </w:rPr>
        <w:fldChar w:fldCharType="begin"/>
      </w:r>
      <w:r w:rsidRPr="00982F6A">
        <w:rPr>
          <w:rFonts w:ascii="Arial" w:eastAsia="Arial" w:hAnsi="Arial" w:cs="Arial"/>
        </w:rPr>
        <w:instrText>HYPERLINK "https://www.researchgate.net/figure/The-framework-of-the-human-capital-management-HCM-implementation-in-the-business_fig1_327524165"</w:instrText>
      </w:r>
      <w:r w:rsidRPr="00982F6A">
        <w:rPr>
          <w:rFonts w:ascii="Arial" w:eastAsia="Arial" w:hAnsi="Arial" w:cs="Arial"/>
        </w:rPr>
      </w:r>
      <w:r w:rsidRPr="00982F6A">
        <w:rPr>
          <w:rFonts w:ascii="Arial" w:eastAsia="Arial" w:hAnsi="Arial" w:cs="Arial"/>
        </w:rPr>
        <w:fldChar w:fldCharType="separate"/>
      </w:r>
      <w:r w:rsidRPr="00982F6A">
        <w:rPr>
          <w:rStyle w:val="Hyperlink"/>
          <w:rFonts w:ascii="Arial" w:eastAsia="Arial" w:hAnsi="Arial" w:cs="Arial"/>
        </w:rPr>
        <w:t>Kucharčíková</w:t>
      </w:r>
      <w:proofErr w:type="spellEnd"/>
      <w:r w:rsidRPr="00982F6A">
        <w:rPr>
          <w:rStyle w:val="Hyperlink"/>
          <w:rFonts w:ascii="Arial" w:eastAsia="Arial" w:hAnsi="Arial" w:cs="Arial"/>
        </w:rPr>
        <w:t xml:space="preserve">, </w:t>
      </w:r>
      <w:proofErr w:type="spellStart"/>
      <w:r w:rsidRPr="00982F6A">
        <w:rPr>
          <w:rStyle w:val="Hyperlink"/>
          <w:rFonts w:ascii="Arial" w:eastAsia="Arial" w:hAnsi="Arial" w:cs="Arial"/>
        </w:rPr>
        <w:t>Tokarčíková</w:t>
      </w:r>
      <w:proofErr w:type="spellEnd"/>
      <w:r w:rsidRPr="00982F6A">
        <w:rPr>
          <w:rStyle w:val="Hyperlink"/>
          <w:rFonts w:ascii="Arial" w:eastAsia="Arial" w:hAnsi="Arial" w:cs="Arial"/>
        </w:rPr>
        <w:t xml:space="preserve"> and </w:t>
      </w:r>
      <w:proofErr w:type="spellStart"/>
      <w:r w:rsidRPr="00982F6A">
        <w:rPr>
          <w:rStyle w:val="Hyperlink"/>
          <w:rFonts w:ascii="Arial" w:eastAsia="Arial" w:hAnsi="Arial" w:cs="Arial"/>
        </w:rPr>
        <w:t>Ďurišová</w:t>
      </w:r>
      <w:proofErr w:type="spellEnd"/>
      <w:r w:rsidRPr="00982F6A">
        <w:rPr>
          <w:rStyle w:val="Hyperlink"/>
          <w:rFonts w:ascii="Arial" w:eastAsia="Arial" w:hAnsi="Arial" w:cs="Arial"/>
        </w:rPr>
        <w:t>, 2015</w:t>
      </w:r>
      <w:r w:rsidRPr="00982F6A">
        <w:rPr>
          <w:rFonts w:ascii="Arial" w:eastAsia="Arial" w:hAnsi="Arial" w:cs="Arial"/>
        </w:rPr>
        <w:fldChar w:fldCharType="end"/>
      </w:r>
      <w:r w:rsidRPr="00982F6A">
        <w:rPr>
          <w:rFonts w:ascii="Arial" w:eastAsia="Arial" w:hAnsi="Arial" w:cs="Arial"/>
        </w:rPr>
        <w:t>)</w:t>
      </w:r>
    </w:p>
    <w:p w14:paraId="23430B63" w14:textId="5068574C"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rPr>
        <w:t>Conceptual framework illustrating the relationship between strategic human capital management, investment, efficiency measurement, and economic growth (adapted from contemporary HCM literature).</w:t>
      </w:r>
    </w:p>
    <w:p w14:paraId="5E189088" w14:textId="77777777" w:rsidR="00CC7C04" w:rsidRPr="00982F6A" w:rsidRDefault="00CC7C04" w:rsidP="00CC7C04">
      <w:pPr>
        <w:spacing w:before="240" w:after="240" w:line="360" w:lineRule="auto"/>
        <w:jc w:val="both"/>
        <w:rPr>
          <w:rFonts w:ascii="Arial" w:eastAsia="Arial" w:hAnsi="Arial" w:cs="Arial"/>
          <w:lang w:val="en-GB"/>
        </w:rPr>
      </w:pPr>
    </w:p>
    <w:p w14:paraId="0D124EAE" w14:textId="77777777" w:rsidR="00A4240C" w:rsidRPr="00982F6A" w:rsidRDefault="00CC7C04" w:rsidP="00A4240C">
      <w:pPr>
        <w:keepNext/>
        <w:spacing w:before="240" w:after="240" w:line="360" w:lineRule="auto"/>
        <w:jc w:val="center"/>
        <w:rPr>
          <w:rFonts w:ascii="Arial" w:hAnsi="Arial" w:cs="Arial"/>
        </w:rPr>
      </w:pPr>
      <w:r w:rsidRPr="00982F6A">
        <w:rPr>
          <w:rFonts w:ascii="Arial" w:eastAsia="Arial" w:hAnsi="Arial" w:cs="Arial"/>
          <w:noProof/>
          <w:lang w:val="en-GB"/>
        </w:rPr>
        <w:drawing>
          <wp:inline distT="0" distB="0" distL="0" distR="0" wp14:anchorId="079242E6" wp14:editId="55285EA5">
            <wp:extent cx="4737100" cy="2647950"/>
            <wp:effectExtent l="0" t="0" r="6350" b="0"/>
            <wp:docPr id="320655013" name="Picture 5" descr="https://images.openai.com/static-rsc-4/1gT5YxgYhXwRSk_BLWwGqRhKrOoCnM78VYdJCnN6HvBWxgLme3fG7WVKZq-CxgC0-3GDGtExD5Ulz8i72yj14-nB9f5eLRNiIpxXne6XfZlOdAPa6C-0lQXYwwF7vrRGUHvEvEH5PN5KnekULNKm3rba7GMjoametakh-wwTSLlTLOKgGxhRuSOlGva3iQH7?purpose=fullsi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images.openai.com/static-rsc-4/1gT5YxgYhXwRSk_BLWwGqRhKrOoCnM78VYdJCnN6HvBWxgLme3fG7WVKZq-CxgC0-3GDGtExD5Ulz8i72yj14-nB9f5eLRNiIpxXne6XfZlOdAPa6C-0lQXYwwF7vrRGUHvEvEH5PN5KnekULNKm3rba7GMjoametakh-wwTSLlTLOKgGxhRuSOlGva3iQH7?purpose=fullsiz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37100" cy="2647950"/>
                    </a:xfrm>
                    <a:prstGeom prst="rect">
                      <a:avLst/>
                    </a:prstGeom>
                    <a:noFill/>
                    <a:ln>
                      <a:noFill/>
                    </a:ln>
                  </pic:spPr>
                </pic:pic>
              </a:graphicData>
            </a:graphic>
          </wp:inline>
        </w:drawing>
      </w:r>
    </w:p>
    <w:p w14:paraId="6F6D9AC1" w14:textId="302E2F0D" w:rsidR="00CC7C04" w:rsidRPr="00982F6A" w:rsidRDefault="00A4240C" w:rsidP="00A4240C">
      <w:pPr>
        <w:pStyle w:val="Caption"/>
        <w:jc w:val="center"/>
        <w:rPr>
          <w:rFonts w:ascii="Arial" w:eastAsia="Arial" w:hAnsi="Arial" w:cs="Arial"/>
        </w:rPr>
      </w:pPr>
      <w:bookmarkStart w:id="71" w:name="_Toc228704096"/>
      <w:r w:rsidRPr="00982F6A">
        <w:rPr>
          <w:rFonts w:ascii="Arial" w:hAnsi="Arial" w:cs="Arial"/>
        </w:rPr>
        <w:t xml:space="preserve">Figure </w:t>
      </w:r>
      <w:r w:rsidRPr="00982F6A">
        <w:rPr>
          <w:rFonts w:ascii="Arial" w:hAnsi="Arial" w:cs="Arial"/>
        </w:rPr>
        <w:fldChar w:fldCharType="begin"/>
      </w:r>
      <w:r w:rsidRPr="00982F6A">
        <w:rPr>
          <w:rFonts w:ascii="Arial" w:hAnsi="Arial" w:cs="Arial"/>
        </w:rPr>
        <w:instrText xml:space="preserve"> SEQ Figure \* ARABIC </w:instrText>
      </w:r>
      <w:r w:rsidRPr="00982F6A">
        <w:rPr>
          <w:rFonts w:ascii="Arial" w:hAnsi="Arial" w:cs="Arial"/>
        </w:rPr>
        <w:fldChar w:fldCharType="separate"/>
      </w:r>
      <w:r w:rsidRPr="00982F6A">
        <w:rPr>
          <w:rFonts w:ascii="Arial" w:hAnsi="Arial" w:cs="Arial"/>
          <w:noProof/>
        </w:rPr>
        <w:t>2</w:t>
      </w:r>
      <w:r w:rsidRPr="00982F6A">
        <w:rPr>
          <w:rFonts w:ascii="Arial" w:hAnsi="Arial" w:cs="Arial"/>
        </w:rPr>
        <w:fldChar w:fldCharType="end"/>
      </w:r>
      <w:r w:rsidRPr="00982F6A">
        <w:rPr>
          <w:rFonts w:ascii="Arial" w:hAnsi="Arial" w:cs="Arial"/>
        </w:rPr>
        <w:t>: Conceptual Framework-02</w:t>
      </w:r>
      <w:bookmarkEnd w:id="71"/>
    </w:p>
    <w:p w14:paraId="40C8941B" w14:textId="75028ABD" w:rsidR="002D7EC0" w:rsidRPr="00982F6A" w:rsidRDefault="002D7EC0" w:rsidP="002D7EC0">
      <w:pPr>
        <w:spacing w:before="240" w:after="240" w:line="360" w:lineRule="auto"/>
        <w:jc w:val="center"/>
        <w:rPr>
          <w:rFonts w:ascii="Arial" w:eastAsia="Arial" w:hAnsi="Arial" w:cs="Arial"/>
        </w:rPr>
      </w:pPr>
      <w:r w:rsidRPr="00982F6A">
        <w:rPr>
          <w:rFonts w:ascii="Arial" w:eastAsia="Arial" w:hAnsi="Arial" w:cs="Arial"/>
          <w:b/>
          <w:bCs/>
        </w:rPr>
        <w:t>Source:</w:t>
      </w:r>
      <w:r w:rsidRPr="00982F6A">
        <w:rPr>
          <w:rFonts w:ascii="Arial" w:eastAsia="Arial" w:hAnsi="Arial" w:cs="Arial"/>
        </w:rPr>
        <w:t xml:space="preserve"> (</w:t>
      </w:r>
      <w:hyperlink r:id="rId13" w:history="1">
        <w:r w:rsidRPr="00982F6A">
          <w:rPr>
            <w:rStyle w:val="Hyperlink"/>
            <w:rFonts w:ascii="Arial" w:eastAsia="Arial" w:hAnsi="Arial" w:cs="Arial"/>
          </w:rPr>
          <w:t>Teece, 2018</w:t>
        </w:r>
      </w:hyperlink>
      <w:r w:rsidRPr="00982F6A">
        <w:rPr>
          <w:rFonts w:ascii="Arial" w:eastAsia="Arial" w:hAnsi="Arial" w:cs="Arial"/>
        </w:rPr>
        <w:t>)</w:t>
      </w:r>
    </w:p>
    <w:p w14:paraId="5AD6C6C9" w14:textId="16FE9C8D"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rPr>
        <w:lastRenderedPageBreak/>
        <w:t>Dynamic capabilities framework illustrating the interaction of resources, strategy, and capabilities, with VRIN resources at the core and external institutional, competitive, and complementary factors influencing organizational advantage (adapted from</w:t>
      </w:r>
    </w:p>
    <w:p w14:paraId="7C9503C7" w14:textId="77777777" w:rsidR="00CC7C04" w:rsidRPr="00982F6A" w:rsidRDefault="00CC7C04" w:rsidP="00CC7C04">
      <w:pPr>
        <w:spacing w:before="240" w:after="240" w:line="360" w:lineRule="auto"/>
        <w:jc w:val="both"/>
        <w:rPr>
          <w:rFonts w:ascii="Arial" w:eastAsia="Arial" w:hAnsi="Arial" w:cs="Arial"/>
          <w:lang w:val="en-GB"/>
        </w:rPr>
      </w:pPr>
    </w:p>
    <w:p w14:paraId="586DC6C5" w14:textId="77777777" w:rsidR="00A4240C" w:rsidRPr="00982F6A" w:rsidRDefault="00CC7C04" w:rsidP="00A4240C">
      <w:pPr>
        <w:keepNext/>
        <w:spacing w:before="240" w:after="240" w:line="360" w:lineRule="auto"/>
        <w:jc w:val="center"/>
        <w:rPr>
          <w:rFonts w:ascii="Arial" w:hAnsi="Arial" w:cs="Arial"/>
        </w:rPr>
      </w:pPr>
      <w:r w:rsidRPr="00982F6A">
        <w:rPr>
          <w:rFonts w:ascii="Arial" w:eastAsia="Arial" w:hAnsi="Arial" w:cs="Arial"/>
          <w:noProof/>
          <w:lang w:val="en-GB"/>
        </w:rPr>
        <w:drawing>
          <wp:inline distT="0" distB="0" distL="0" distR="0" wp14:anchorId="111D24E2" wp14:editId="269A61DA">
            <wp:extent cx="4991100" cy="1968500"/>
            <wp:effectExtent l="0" t="0" r="0" b="0"/>
            <wp:docPr id="295725689" name="Picture 4" descr="https://images.openai.com/static-rsc-4/nZD1t3MW-48epYrQK_E8ph3bCFZQHXCPBvxC0XeKI9OwYm0Qc_yrNtI35LVYy-Ut-x08Ss-MtsHGtXLr3yGU2zb8dy17Q27LYjbVoGglOSQ7MCIrq0hLwan_EDZd1HlhGGA5bb0qEhZp2oMd2YJYyY_vhWLNfG1aQtxEFFTe3LTbCvsRKZFgfNHuW_0ozrNu?purpose=fullsi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images.openai.com/static-rsc-4/nZD1t3MW-48epYrQK_E8ph3bCFZQHXCPBvxC0XeKI9OwYm0Qc_yrNtI35LVYy-Ut-x08Ss-MtsHGtXLr3yGU2zb8dy17Q27LYjbVoGglOSQ7MCIrq0hLwan_EDZd1HlhGGA5bb0qEhZp2oMd2YJYyY_vhWLNfG1aQtxEFFTe3LTbCvsRKZFgfNHuW_0ozrNu?purpose=fullsiz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1100" cy="1968500"/>
                    </a:xfrm>
                    <a:prstGeom prst="rect">
                      <a:avLst/>
                    </a:prstGeom>
                    <a:noFill/>
                    <a:ln>
                      <a:noFill/>
                    </a:ln>
                  </pic:spPr>
                </pic:pic>
              </a:graphicData>
            </a:graphic>
          </wp:inline>
        </w:drawing>
      </w:r>
    </w:p>
    <w:p w14:paraId="7BBEE5AC" w14:textId="1A73E961" w:rsidR="00CC7C04" w:rsidRPr="00982F6A" w:rsidRDefault="00A4240C" w:rsidP="00A4240C">
      <w:pPr>
        <w:pStyle w:val="Caption"/>
        <w:jc w:val="center"/>
        <w:rPr>
          <w:rFonts w:ascii="Arial" w:eastAsia="Arial" w:hAnsi="Arial" w:cs="Arial"/>
        </w:rPr>
      </w:pPr>
      <w:bookmarkStart w:id="72" w:name="_Toc228704097"/>
      <w:r w:rsidRPr="00982F6A">
        <w:rPr>
          <w:rFonts w:ascii="Arial" w:hAnsi="Arial" w:cs="Arial"/>
        </w:rPr>
        <w:t xml:space="preserve">Figure </w:t>
      </w:r>
      <w:r w:rsidRPr="00982F6A">
        <w:rPr>
          <w:rFonts w:ascii="Arial" w:hAnsi="Arial" w:cs="Arial"/>
        </w:rPr>
        <w:fldChar w:fldCharType="begin"/>
      </w:r>
      <w:r w:rsidRPr="00982F6A">
        <w:rPr>
          <w:rFonts w:ascii="Arial" w:hAnsi="Arial" w:cs="Arial"/>
        </w:rPr>
        <w:instrText xml:space="preserve"> SEQ Figure \* ARABIC </w:instrText>
      </w:r>
      <w:r w:rsidRPr="00982F6A">
        <w:rPr>
          <w:rFonts w:ascii="Arial" w:hAnsi="Arial" w:cs="Arial"/>
        </w:rPr>
        <w:fldChar w:fldCharType="separate"/>
      </w:r>
      <w:r w:rsidRPr="00982F6A">
        <w:rPr>
          <w:rFonts w:ascii="Arial" w:hAnsi="Arial" w:cs="Arial"/>
          <w:noProof/>
        </w:rPr>
        <w:t>3</w:t>
      </w:r>
      <w:r w:rsidRPr="00982F6A">
        <w:rPr>
          <w:rFonts w:ascii="Arial" w:hAnsi="Arial" w:cs="Arial"/>
        </w:rPr>
        <w:fldChar w:fldCharType="end"/>
      </w:r>
      <w:r w:rsidRPr="00982F6A">
        <w:rPr>
          <w:rFonts w:ascii="Arial" w:hAnsi="Arial" w:cs="Arial"/>
        </w:rPr>
        <w:t>: Conceptual Framework-03</w:t>
      </w:r>
      <w:bookmarkEnd w:id="72"/>
    </w:p>
    <w:p w14:paraId="7CCA169E" w14:textId="37E1C4D5" w:rsidR="002D7EC0" w:rsidRPr="00982F6A" w:rsidRDefault="002D7EC0" w:rsidP="002D7EC0">
      <w:pPr>
        <w:spacing w:before="240" w:after="240" w:line="360" w:lineRule="auto"/>
        <w:jc w:val="center"/>
        <w:rPr>
          <w:rFonts w:ascii="Arial" w:eastAsia="Arial" w:hAnsi="Arial" w:cs="Arial"/>
        </w:rPr>
      </w:pPr>
      <w:r w:rsidRPr="00982F6A">
        <w:rPr>
          <w:rFonts w:ascii="Arial" w:eastAsia="Arial" w:hAnsi="Arial" w:cs="Arial"/>
          <w:b/>
          <w:bCs/>
        </w:rPr>
        <w:t>Source:</w:t>
      </w:r>
      <w:r w:rsidRPr="00982F6A">
        <w:rPr>
          <w:rFonts w:ascii="Arial" w:eastAsia="Arial" w:hAnsi="Arial" w:cs="Arial"/>
        </w:rPr>
        <w:t xml:space="preserve"> (</w:t>
      </w:r>
      <w:proofErr w:type="spellStart"/>
      <w:r w:rsidRPr="00982F6A">
        <w:rPr>
          <w:rFonts w:ascii="Arial" w:eastAsia="Arial" w:hAnsi="Arial" w:cs="Arial"/>
        </w:rPr>
        <w:fldChar w:fldCharType="begin"/>
      </w:r>
      <w:r w:rsidRPr="00982F6A">
        <w:rPr>
          <w:rFonts w:ascii="Arial" w:eastAsia="Arial" w:hAnsi="Arial" w:cs="Arial"/>
        </w:rPr>
        <w:instrText>HYPERLINK "https://www.mdpi.com/2071-1050/13/15/8445"</w:instrText>
      </w:r>
      <w:r w:rsidRPr="00982F6A">
        <w:rPr>
          <w:rFonts w:ascii="Arial" w:eastAsia="Arial" w:hAnsi="Arial" w:cs="Arial"/>
        </w:rPr>
      </w:r>
      <w:r w:rsidRPr="00982F6A">
        <w:rPr>
          <w:rFonts w:ascii="Arial" w:eastAsia="Arial" w:hAnsi="Arial" w:cs="Arial"/>
        </w:rPr>
        <w:fldChar w:fldCharType="separate"/>
      </w:r>
      <w:r w:rsidRPr="00982F6A">
        <w:rPr>
          <w:rStyle w:val="Hyperlink"/>
          <w:rFonts w:ascii="Arial" w:eastAsia="Arial" w:hAnsi="Arial" w:cs="Arial"/>
        </w:rPr>
        <w:t>Kucharčíková</w:t>
      </w:r>
      <w:proofErr w:type="spellEnd"/>
      <w:r w:rsidRPr="00982F6A">
        <w:rPr>
          <w:rStyle w:val="Hyperlink"/>
          <w:rFonts w:ascii="Arial" w:eastAsia="Arial" w:hAnsi="Arial" w:cs="Arial"/>
        </w:rPr>
        <w:t xml:space="preserve"> and </w:t>
      </w:r>
      <w:proofErr w:type="spellStart"/>
      <w:r w:rsidRPr="00982F6A">
        <w:rPr>
          <w:rStyle w:val="Hyperlink"/>
          <w:rFonts w:ascii="Arial" w:eastAsia="Arial" w:hAnsi="Arial" w:cs="Arial"/>
        </w:rPr>
        <w:t>Mičiak</w:t>
      </w:r>
      <w:proofErr w:type="spellEnd"/>
      <w:r w:rsidRPr="00982F6A">
        <w:rPr>
          <w:rStyle w:val="Hyperlink"/>
          <w:rFonts w:ascii="Arial" w:eastAsia="Arial" w:hAnsi="Arial" w:cs="Arial"/>
        </w:rPr>
        <w:t>, 2021</w:t>
      </w:r>
      <w:r w:rsidRPr="00982F6A">
        <w:rPr>
          <w:rFonts w:ascii="Arial" w:eastAsia="Arial" w:hAnsi="Arial" w:cs="Arial"/>
        </w:rPr>
        <w:fldChar w:fldCharType="end"/>
      </w:r>
      <w:r w:rsidRPr="00982F6A">
        <w:rPr>
          <w:rFonts w:ascii="Arial" w:eastAsia="Arial" w:hAnsi="Arial" w:cs="Arial"/>
        </w:rPr>
        <w:t>)</w:t>
      </w:r>
    </w:p>
    <w:p w14:paraId="657DE567" w14:textId="62233C38" w:rsidR="00CC7C04" w:rsidRPr="00982F6A" w:rsidRDefault="00CC7C04" w:rsidP="00CC7C04">
      <w:pPr>
        <w:spacing w:before="240" w:after="240" w:line="360" w:lineRule="auto"/>
        <w:jc w:val="both"/>
        <w:rPr>
          <w:rFonts w:ascii="Arial" w:eastAsia="Arial" w:hAnsi="Arial" w:cs="Arial"/>
        </w:rPr>
      </w:pPr>
      <w:r w:rsidRPr="00982F6A">
        <w:rPr>
          <w:rFonts w:ascii="Arial" w:eastAsia="Arial" w:hAnsi="Arial" w:cs="Arial"/>
        </w:rPr>
        <w:t>Conceptual framework illustrating the mediating role of organizational innovation between strategic human resource management, knowledge management, and sustainable competitive advantage (adapted from contemporary SHRM and KM literature).</w:t>
      </w:r>
    </w:p>
    <w:p w14:paraId="29D68C3E" w14:textId="792D8B9D"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This framework positions SHCM practices as strategic interventions that influence both:</w:t>
      </w:r>
    </w:p>
    <w:p w14:paraId="26CEE89D"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 xml:space="preserve">Human capital risk exposure (e.g., talent gaps, wellbeing risks, compliance) </w:t>
      </w:r>
    </w:p>
    <w:p w14:paraId="6ABE8A73"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 xml:space="preserve">Performance outcomes (e.g., productivity, financial results, innovation, resilience) </w:t>
      </w:r>
    </w:p>
    <w:p w14:paraId="2AD25F8E"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Human capital risk is treated as a mediating construct, while organisational performance represents the ultimate outcome. Dynamic capabilities and contextual factors (e.g., UK labour market conditions) moderate the relationships.</w:t>
      </w:r>
    </w:p>
    <w:p w14:paraId="63A89523" w14:textId="77777777" w:rsidR="00CC7C04" w:rsidRPr="00982F6A" w:rsidRDefault="00CC7C04" w:rsidP="00A4240C">
      <w:pPr>
        <w:pStyle w:val="Heading2"/>
        <w:rPr>
          <w:rFonts w:cs="Arial"/>
        </w:rPr>
      </w:pPr>
      <w:bookmarkStart w:id="73" w:name="_Toc225633929"/>
      <w:bookmarkStart w:id="74" w:name="_Toc228704035"/>
      <w:r w:rsidRPr="00982F6A">
        <w:rPr>
          <w:rFonts w:cs="Arial"/>
        </w:rPr>
        <w:t>2.8 Research Gaps Identified</w:t>
      </w:r>
      <w:bookmarkEnd w:id="73"/>
      <w:bookmarkEnd w:id="74"/>
    </w:p>
    <w:p w14:paraId="556E55A7"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Despite robust literature on SHCM and organisational performance, several gaps remain:</w:t>
      </w:r>
    </w:p>
    <w:p w14:paraId="04D8BDC4" w14:textId="77777777" w:rsidR="00CC7C04" w:rsidRPr="00982F6A" w:rsidRDefault="00CC7C04" w:rsidP="00CC7C04">
      <w:pPr>
        <w:numPr>
          <w:ilvl w:val="0"/>
          <w:numId w:val="41"/>
        </w:numPr>
        <w:spacing w:before="240" w:after="240" w:line="360" w:lineRule="auto"/>
        <w:jc w:val="both"/>
        <w:rPr>
          <w:rFonts w:ascii="Arial" w:eastAsia="Arial" w:hAnsi="Arial" w:cs="Arial"/>
          <w:lang w:val="en-GB"/>
        </w:rPr>
      </w:pPr>
      <w:r w:rsidRPr="00982F6A">
        <w:rPr>
          <w:rFonts w:ascii="Arial" w:eastAsia="Arial" w:hAnsi="Arial" w:cs="Arial"/>
          <w:b/>
          <w:lang w:val="en-GB"/>
        </w:rPr>
        <w:lastRenderedPageBreak/>
        <w:t>Limited integration of SHCM with formal risk management frameworks</w:t>
      </w:r>
      <w:r w:rsidRPr="00982F6A">
        <w:rPr>
          <w:rFonts w:ascii="Arial" w:eastAsia="Arial" w:hAnsi="Arial" w:cs="Arial"/>
          <w:lang w:val="en-GB"/>
        </w:rPr>
        <w:t xml:space="preserve">: Most studies treat risk indirectly rather than as an explicit outcome linked to SHCM practices (Marler &amp; Boudreau, 2017; CIPD, 2023). </w:t>
      </w:r>
    </w:p>
    <w:p w14:paraId="09F4B05E" w14:textId="77777777" w:rsidR="00CC7C04" w:rsidRPr="00982F6A" w:rsidRDefault="00CC7C04" w:rsidP="00CC7C04">
      <w:pPr>
        <w:numPr>
          <w:ilvl w:val="0"/>
          <w:numId w:val="41"/>
        </w:numPr>
        <w:spacing w:before="240" w:after="240" w:line="360" w:lineRule="auto"/>
        <w:jc w:val="both"/>
        <w:rPr>
          <w:rFonts w:ascii="Arial" w:eastAsia="Arial" w:hAnsi="Arial" w:cs="Arial"/>
          <w:lang w:val="en-GB"/>
        </w:rPr>
      </w:pPr>
      <w:r w:rsidRPr="00982F6A">
        <w:rPr>
          <w:rFonts w:ascii="Arial" w:eastAsia="Arial" w:hAnsi="Arial" w:cs="Arial"/>
          <w:b/>
          <w:lang w:val="en-GB"/>
        </w:rPr>
        <w:t>Lack of comprehensive empirical evidence on SHCM as risk mitigation:</w:t>
      </w:r>
      <w:r w:rsidRPr="00982F6A">
        <w:rPr>
          <w:rFonts w:ascii="Arial" w:eastAsia="Arial" w:hAnsi="Arial" w:cs="Arial"/>
          <w:lang w:val="en-GB"/>
        </w:rPr>
        <w:t xml:space="preserve"> Few large</w:t>
      </w:r>
      <w:r w:rsidRPr="00982F6A">
        <w:rPr>
          <w:rFonts w:ascii="Arial" w:eastAsia="Arial" w:hAnsi="Arial" w:cs="Arial"/>
          <w:lang w:val="en-GB"/>
        </w:rPr>
        <w:noBreakHyphen/>
        <w:t xml:space="preserve">scale studies demonstrate causal links between SHCM and reduced human capital risk exposure. </w:t>
      </w:r>
    </w:p>
    <w:p w14:paraId="0B1EC76A" w14:textId="77777777" w:rsidR="00CC7C04" w:rsidRPr="00982F6A" w:rsidRDefault="00CC7C04" w:rsidP="00CC7C04">
      <w:pPr>
        <w:numPr>
          <w:ilvl w:val="0"/>
          <w:numId w:val="41"/>
        </w:numPr>
        <w:spacing w:before="240" w:after="240" w:line="360" w:lineRule="auto"/>
        <w:jc w:val="both"/>
        <w:rPr>
          <w:rFonts w:ascii="Arial" w:eastAsia="Arial" w:hAnsi="Arial" w:cs="Arial"/>
          <w:lang w:val="en-GB"/>
        </w:rPr>
      </w:pPr>
      <w:r w:rsidRPr="00982F6A">
        <w:rPr>
          <w:rFonts w:ascii="Arial" w:eastAsia="Arial" w:hAnsi="Arial" w:cs="Arial"/>
          <w:b/>
          <w:lang w:val="en-GB"/>
        </w:rPr>
        <w:t>Underdeveloped resilience articulation:</w:t>
      </w:r>
      <w:r w:rsidRPr="00982F6A">
        <w:rPr>
          <w:rFonts w:ascii="Arial" w:eastAsia="Arial" w:hAnsi="Arial" w:cs="Arial"/>
          <w:lang w:val="en-GB"/>
        </w:rPr>
        <w:t xml:space="preserve"> While resilience theory highlights human capital value, models rarely connect this to enterprise risk governance. </w:t>
      </w:r>
    </w:p>
    <w:p w14:paraId="36D4E900" w14:textId="77777777" w:rsidR="00CC7C04" w:rsidRPr="00982F6A" w:rsidRDefault="00CC7C04" w:rsidP="00CC7C04">
      <w:pPr>
        <w:numPr>
          <w:ilvl w:val="0"/>
          <w:numId w:val="41"/>
        </w:numPr>
        <w:spacing w:before="240" w:after="240" w:line="360" w:lineRule="auto"/>
        <w:jc w:val="both"/>
        <w:rPr>
          <w:rFonts w:ascii="Arial" w:eastAsia="Arial" w:hAnsi="Arial" w:cs="Arial"/>
          <w:lang w:val="en-GB"/>
        </w:rPr>
      </w:pPr>
      <w:r w:rsidRPr="00982F6A">
        <w:rPr>
          <w:rFonts w:ascii="Arial" w:eastAsia="Arial" w:hAnsi="Arial" w:cs="Arial"/>
          <w:b/>
          <w:lang w:val="en-GB"/>
        </w:rPr>
        <w:t>UK</w:t>
      </w:r>
      <w:r w:rsidRPr="00982F6A">
        <w:rPr>
          <w:rFonts w:ascii="Arial" w:eastAsia="Arial" w:hAnsi="Arial" w:cs="Arial"/>
          <w:b/>
          <w:lang w:val="en-GB"/>
        </w:rPr>
        <w:noBreakHyphen/>
        <w:t>specific insights are fragmented:</w:t>
      </w:r>
      <w:r w:rsidRPr="00982F6A">
        <w:rPr>
          <w:rFonts w:ascii="Arial" w:eastAsia="Arial" w:hAnsi="Arial" w:cs="Arial"/>
          <w:lang w:val="en-GB"/>
        </w:rPr>
        <w:t xml:space="preserve"> There is a shortage of UK</w:t>
      </w:r>
      <w:r w:rsidRPr="00982F6A">
        <w:rPr>
          <w:rFonts w:ascii="Arial" w:eastAsia="Arial" w:hAnsi="Arial" w:cs="Arial"/>
          <w:lang w:val="en-GB"/>
        </w:rPr>
        <w:noBreakHyphen/>
        <w:t xml:space="preserve">focused academic research integrating SHCM, risk, and performance. </w:t>
      </w:r>
    </w:p>
    <w:p w14:paraId="20FB8762" w14:textId="39A3B2B1" w:rsidR="00CC7C04" w:rsidRPr="00982F6A" w:rsidRDefault="00CC7C04" w:rsidP="00CC7C04">
      <w:pPr>
        <w:numPr>
          <w:ilvl w:val="0"/>
          <w:numId w:val="41"/>
        </w:numPr>
        <w:spacing w:before="240" w:after="240" w:line="360" w:lineRule="auto"/>
        <w:jc w:val="both"/>
        <w:rPr>
          <w:rFonts w:ascii="Arial" w:eastAsia="Arial" w:hAnsi="Arial" w:cs="Arial"/>
          <w:lang w:val="en-GB"/>
        </w:rPr>
      </w:pPr>
      <w:r w:rsidRPr="00982F6A">
        <w:rPr>
          <w:rFonts w:ascii="Arial" w:eastAsia="Arial" w:hAnsi="Arial" w:cs="Arial"/>
          <w:b/>
          <w:lang w:val="en-GB"/>
        </w:rPr>
        <w:t>Measurement challenges:</w:t>
      </w:r>
      <w:r w:rsidRPr="00982F6A">
        <w:rPr>
          <w:rFonts w:ascii="Arial" w:eastAsia="Arial" w:hAnsi="Arial" w:cs="Arial"/>
          <w:lang w:val="en-GB"/>
        </w:rPr>
        <w:t xml:space="preserve"> Constructs such as well</w:t>
      </w:r>
      <w:r w:rsidR="009226E1">
        <w:rPr>
          <w:rFonts w:ascii="Arial" w:eastAsia="Arial" w:hAnsi="Arial" w:cs="Arial"/>
          <w:lang w:val="en-GB"/>
        </w:rPr>
        <w:t>-</w:t>
      </w:r>
      <w:r w:rsidRPr="00982F6A">
        <w:rPr>
          <w:rFonts w:ascii="Arial" w:eastAsia="Arial" w:hAnsi="Arial" w:cs="Arial"/>
          <w:lang w:val="en-GB"/>
        </w:rPr>
        <w:t xml:space="preserve">being risk and human capital risk lack standardised metrics, making comparative analysis difficult (Guest, 2017; Kuntz et al., 2023). </w:t>
      </w:r>
    </w:p>
    <w:p w14:paraId="6C858108"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These gaps justify the current research’s focus on developing integrated theoretical and conceptual contributions to SHCM and organisational risk management.</w:t>
      </w:r>
    </w:p>
    <w:p w14:paraId="58B40638" w14:textId="77777777" w:rsidR="00CC7C04" w:rsidRPr="00982F6A" w:rsidRDefault="00CC7C04" w:rsidP="00A4240C">
      <w:pPr>
        <w:pStyle w:val="Heading2"/>
        <w:rPr>
          <w:rFonts w:cs="Arial"/>
        </w:rPr>
      </w:pPr>
      <w:bookmarkStart w:id="75" w:name="_Toc225633930"/>
      <w:bookmarkStart w:id="76" w:name="_Toc228704036"/>
      <w:r w:rsidRPr="00982F6A">
        <w:rPr>
          <w:rFonts w:cs="Arial"/>
        </w:rPr>
        <w:t>2.9 Conclusion</w:t>
      </w:r>
      <w:bookmarkEnd w:id="75"/>
      <w:bookmarkEnd w:id="76"/>
    </w:p>
    <w:p w14:paraId="1FB2252A" w14:textId="26D7DEE7" w:rsidR="00CC7C04" w:rsidRPr="00982F6A" w:rsidRDefault="00CC7C04" w:rsidP="00CC7C04">
      <w:pPr>
        <w:spacing w:before="240" w:after="240" w:line="360" w:lineRule="auto"/>
        <w:jc w:val="both"/>
        <w:rPr>
          <w:rFonts w:ascii="Arial" w:eastAsia="Arial" w:hAnsi="Arial" w:cs="Arial"/>
          <w:lang w:val="en-GB"/>
        </w:rPr>
        <w:sectPr w:rsidR="00CC7C04" w:rsidRPr="00982F6A" w:rsidSect="00CC7C04">
          <w:pgSz w:w="12240" w:h="15840"/>
          <w:pgMar w:top="1440" w:right="1440" w:bottom="1440" w:left="1440" w:header="720" w:footer="720" w:gutter="0"/>
          <w:pgNumType w:start="1"/>
          <w:cols w:space="720"/>
        </w:sectPr>
      </w:pPr>
      <w:r w:rsidRPr="00982F6A">
        <w:rPr>
          <w:rFonts w:ascii="Arial" w:eastAsia="Arial" w:hAnsi="Arial" w:cs="Arial"/>
          <w:lang w:val="en-GB"/>
        </w:rPr>
        <w:t>This chapter synthesised key literature on Strategic Human Capital Management, organisational risk, and performance outcomes. It demonstrated strong theoretical foundations in Human Capital Theory, RBV, and Dynamic Capabilities Theory. Academic debates reveal that while the positive effects of SHCM on performance are well documented, its role in managing human capital risks remains underexplored, particularly in the UK context. The proposed conceptual framework positions SHCM as a strategic mechanism that influences both organisational risk exposure and performance outcomes. Clear research gaps support the need for systematic investigation into how SHCM practices integrate within risk governance and performance enhancement.</w:t>
      </w:r>
    </w:p>
    <w:p w14:paraId="4015EB13" w14:textId="77777777" w:rsidR="005A54FA" w:rsidRPr="00982F6A" w:rsidRDefault="005A54FA" w:rsidP="001777EB">
      <w:pPr>
        <w:pStyle w:val="Heading1"/>
      </w:pPr>
      <w:bookmarkStart w:id="77" w:name="_Toc216623673"/>
      <w:bookmarkStart w:id="78" w:name="_Toc220946817"/>
      <w:bookmarkStart w:id="79" w:name="_Toc227155994"/>
      <w:bookmarkStart w:id="80" w:name="_Toc228704037"/>
      <w:r w:rsidRPr="00982F6A">
        <w:lastRenderedPageBreak/>
        <w:t>CHAPTER 3: Methodology</w:t>
      </w:r>
      <w:bookmarkEnd w:id="77"/>
      <w:bookmarkEnd w:id="78"/>
      <w:bookmarkEnd w:id="79"/>
      <w:bookmarkEnd w:id="80"/>
    </w:p>
    <w:p w14:paraId="23E80814" w14:textId="490B3CFA" w:rsidR="005A54FA" w:rsidRPr="00982F6A" w:rsidRDefault="005A54FA" w:rsidP="005A54FA">
      <w:pPr>
        <w:pStyle w:val="Heading2"/>
        <w:rPr>
          <w:rFonts w:cs="Arial"/>
        </w:rPr>
      </w:pPr>
      <w:bookmarkStart w:id="81" w:name="_Toc216623674"/>
      <w:bookmarkStart w:id="82" w:name="_Toc220946818"/>
      <w:bookmarkStart w:id="83" w:name="_Toc227155995"/>
      <w:bookmarkStart w:id="84" w:name="_Toc228704038"/>
      <w:r w:rsidRPr="00982F6A">
        <w:rPr>
          <w:rFonts w:cs="Arial"/>
        </w:rPr>
        <w:t xml:space="preserve">3.1. </w:t>
      </w:r>
      <w:bookmarkEnd w:id="81"/>
      <w:bookmarkEnd w:id="82"/>
      <w:bookmarkEnd w:id="83"/>
      <w:r w:rsidR="00121F39" w:rsidRPr="00982F6A">
        <w:rPr>
          <w:rFonts w:cs="Arial"/>
        </w:rPr>
        <w:t>Introduction</w:t>
      </w:r>
      <w:bookmarkEnd w:id="84"/>
    </w:p>
    <w:p w14:paraId="18E0124B" w14:textId="3FA26128" w:rsidR="00121F39" w:rsidRPr="00982F6A" w:rsidRDefault="00121F39" w:rsidP="00121F39">
      <w:pPr>
        <w:spacing w:line="360" w:lineRule="auto"/>
        <w:jc w:val="both"/>
        <w:rPr>
          <w:rFonts w:ascii="Arial" w:hAnsi="Arial" w:cs="Arial"/>
          <w:lang w:val="en-US"/>
        </w:rPr>
      </w:pPr>
      <w:r w:rsidRPr="00982F6A">
        <w:rPr>
          <w:rFonts w:ascii="Arial" w:hAnsi="Arial" w:cs="Arial"/>
          <w:lang w:val="en-US"/>
        </w:rPr>
        <w:t xml:space="preserve">The chapter describes the methodological framework and the research design that were adopted to explore the strategic value of Strategic Human Capital Management in </w:t>
      </w:r>
      <w:proofErr w:type="spellStart"/>
      <w:r w:rsidRPr="00982F6A">
        <w:rPr>
          <w:rFonts w:ascii="Arial" w:hAnsi="Arial" w:cs="Arial"/>
          <w:lang w:val="en-US"/>
        </w:rPr>
        <w:t>organisational</w:t>
      </w:r>
      <w:proofErr w:type="spellEnd"/>
      <w:r w:rsidRPr="00982F6A">
        <w:rPr>
          <w:rFonts w:ascii="Arial" w:hAnsi="Arial" w:cs="Arial"/>
          <w:lang w:val="en-US"/>
        </w:rPr>
        <w:t xml:space="preserve"> risk management and performance improvement in UK </w:t>
      </w:r>
      <w:proofErr w:type="spellStart"/>
      <w:r w:rsidRPr="00982F6A">
        <w:rPr>
          <w:rFonts w:ascii="Arial" w:hAnsi="Arial" w:cs="Arial"/>
          <w:lang w:val="en-US"/>
        </w:rPr>
        <w:t>organisations</w:t>
      </w:r>
      <w:proofErr w:type="spellEnd"/>
      <w:r w:rsidRPr="00982F6A">
        <w:rPr>
          <w:rFonts w:ascii="Arial" w:hAnsi="Arial" w:cs="Arial"/>
          <w:lang w:val="en-US"/>
        </w:rPr>
        <w:t>. The main aim of this chapter is to give a clear and strict roadmap through which the research process will be carried out, to make the findings credible and repeatable.</w:t>
      </w:r>
    </w:p>
    <w:p w14:paraId="672A7ADF" w14:textId="77777777" w:rsidR="00121F39" w:rsidRPr="00982F6A" w:rsidRDefault="00121F39" w:rsidP="00121F39">
      <w:pPr>
        <w:spacing w:line="360" w:lineRule="auto"/>
        <w:jc w:val="both"/>
        <w:rPr>
          <w:rFonts w:ascii="Arial" w:hAnsi="Arial" w:cs="Arial"/>
          <w:lang w:val="en-US"/>
        </w:rPr>
      </w:pPr>
      <w:r w:rsidRPr="00982F6A">
        <w:rPr>
          <w:rFonts w:ascii="Arial" w:hAnsi="Arial" w:cs="Arial"/>
          <w:lang w:val="en-US"/>
        </w:rPr>
        <w:t>To create a sensible and justified research design, this research will employ the framework of the so-called Research Onion, created by Saunders, Lewis, and Thornhill (2019). One of the most popular methodological tools that help a researcher to make a structured decision is the Research Onion, which helps deconstruct six interrelated layers: philosophy, approach, methodological choice, strategy, time horizon, and techniques/procedures (Saunders, Lewis and Thornhill, 2019).</w:t>
      </w:r>
    </w:p>
    <w:p w14:paraId="63B89C9E" w14:textId="77777777" w:rsidR="00121F39" w:rsidRPr="00982F6A" w:rsidRDefault="00121F39" w:rsidP="00121F39">
      <w:pPr>
        <w:spacing w:line="360" w:lineRule="auto"/>
        <w:jc w:val="both"/>
        <w:rPr>
          <w:rFonts w:ascii="Arial" w:hAnsi="Arial" w:cs="Arial"/>
          <w:lang w:val="en-US"/>
        </w:rPr>
      </w:pPr>
      <w:r w:rsidRPr="00982F6A">
        <w:rPr>
          <w:rFonts w:ascii="Arial" w:hAnsi="Arial" w:cs="Arial"/>
          <w:lang w:val="en-US"/>
        </w:rPr>
        <w:t xml:space="preserve">The chapter is </w:t>
      </w:r>
      <w:proofErr w:type="spellStart"/>
      <w:r w:rsidRPr="00982F6A">
        <w:rPr>
          <w:rFonts w:ascii="Arial" w:hAnsi="Arial" w:cs="Arial"/>
          <w:lang w:val="en-US"/>
        </w:rPr>
        <w:t>organised</w:t>
      </w:r>
      <w:proofErr w:type="spellEnd"/>
      <w:r w:rsidRPr="00982F6A">
        <w:rPr>
          <w:rFonts w:ascii="Arial" w:hAnsi="Arial" w:cs="Arial"/>
          <w:lang w:val="en-US"/>
        </w:rPr>
        <w:t xml:space="preserve"> according to the logic of the research onion so that the methodological alignment could be established:</w:t>
      </w:r>
    </w:p>
    <w:p w14:paraId="2857E144" w14:textId="4343CB59" w:rsidR="00A4240C" w:rsidRPr="00982F6A" w:rsidRDefault="00A4240C" w:rsidP="00A4240C">
      <w:pPr>
        <w:pStyle w:val="ListParagraph"/>
        <w:numPr>
          <w:ilvl w:val="0"/>
          <w:numId w:val="28"/>
        </w:numPr>
        <w:spacing w:line="360" w:lineRule="auto"/>
        <w:jc w:val="both"/>
        <w:rPr>
          <w:rFonts w:ascii="Arial" w:hAnsi="Arial" w:cs="Arial"/>
          <w:lang w:val="en-US"/>
        </w:rPr>
      </w:pPr>
      <w:r w:rsidRPr="00982F6A">
        <w:rPr>
          <w:rFonts w:ascii="Arial" w:hAnsi="Arial" w:cs="Arial"/>
          <w:b/>
          <w:bCs/>
          <w:lang w:val="en-US"/>
        </w:rPr>
        <w:t>Layer 1 (Approach):</w:t>
      </w:r>
      <w:r w:rsidRPr="00982F6A">
        <w:rPr>
          <w:rFonts w:ascii="Arial" w:hAnsi="Arial" w:cs="Arial"/>
          <w:lang w:val="en-US"/>
        </w:rPr>
        <w:t xml:space="preserve"> describes the abductive approach to proceeding in theory and in data in an iterative manner.</w:t>
      </w:r>
    </w:p>
    <w:p w14:paraId="62F5C99E" w14:textId="27632D15" w:rsidR="00121F39" w:rsidRPr="00982F6A" w:rsidRDefault="00121F39" w:rsidP="00A4240C">
      <w:pPr>
        <w:pStyle w:val="ListParagraph"/>
        <w:numPr>
          <w:ilvl w:val="0"/>
          <w:numId w:val="28"/>
        </w:numPr>
        <w:spacing w:line="360" w:lineRule="auto"/>
        <w:jc w:val="both"/>
        <w:rPr>
          <w:rFonts w:ascii="Arial" w:hAnsi="Arial" w:cs="Arial"/>
          <w:lang w:val="en-US"/>
        </w:rPr>
      </w:pPr>
      <w:r w:rsidRPr="00982F6A">
        <w:rPr>
          <w:rFonts w:ascii="Arial" w:hAnsi="Arial" w:cs="Arial"/>
          <w:b/>
          <w:bCs/>
          <w:lang w:val="en-US"/>
        </w:rPr>
        <w:t xml:space="preserve">Layer </w:t>
      </w:r>
      <w:r w:rsidR="00A4240C" w:rsidRPr="00982F6A">
        <w:rPr>
          <w:rFonts w:ascii="Arial" w:hAnsi="Arial" w:cs="Arial"/>
          <w:b/>
          <w:bCs/>
          <w:lang w:val="en-US"/>
        </w:rPr>
        <w:t>2</w:t>
      </w:r>
      <w:r w:rsidRPr="00982F6A">
        <w:rPr>
          <w:rFonts w:ascii="Arial" w:hAnsi="Arial" w:cs="Arial"/>
          <w:b/>
          <w:bCs/>
          <w:lang w:val="en-US"/>
        </w:rPr>
        <w:t xml:space="preserve"> (Philosophy):</w:t>
      </w:r>
      <w:r w:rsidRPr="00982F6A">
        <w:rPr>
          <w:rFonts w:ascii="Arial" w:hAnsi="Arial" w:cs="Arial"/>
          <w:lang w:val="en-US"/>
        </w:rPr>
        <w:t xml:space="preserve"> Provides the rationale to adopt an interpretivist approach to the social constructions of risk and human capital.</w:t>
      </w:r>
    </w:p>
    <w:p w14:paraId="0A449D79" w14:textId="6CBCD56B" w:rsidR="00121F39" w:rsidRPr="00982F6A" w:rsidRDefault="00121F39" w:rsidP="00121F39">
      <w:pPr>
        <w:pStyle w:val="ListParagraph"/>
        <w:numPr>
          <w:ilvl w:val="0"/>
          <w:numId w:val="28"/>
        </w:numPr>
        <w:spacing w:line="360" w:lineRule="auto"/>
        <w:jc w:val="both"/>
        <w:rPr>
          <w:rFonts w:ascii="Arial" w:hAnsi="Arial" w:cs="Arial"/>
          <w:lang w:val="en-US"/>
        </w:rPr>
      </w:pPr>
      <w:r w:rsidRPr="00982F6A">
        <w:rPr>
          <w:rFonts w:ascii="Arial" w:hAnsi="Arial" w:cs="Arial"/>
          <w:b/>
          <w:bCs/>
          <w:lang w:val="en-US"/>
        </w:rPr>
        <w:t>Layer 3 (Methodological Choice):</w:t>
      </w:r>
      <w:r w:rsidRPr="00982F6A">
        <w:rPr>
          <w:rFonts w:ascii="Arial" w:hAnsi="Arial" w:cs="Arial"/>
          <w:lang w:val="en-US"/>
        </w:rPr>
        <w:t xml:space="preserve"> The kind of study is a qualitative mono-method research study.</w:t>
      </w:r>
    </w:p>
    <w:p w14:paraId="0559F417" w14:textId="77777777" w:rsidR="00121F39" w:rsidRPr="00982F6A" w:rsidRDefault="00121F39" w:rsidP="00121F39">
      <w:pPr>
        <w:pStyle w:val="ListParagraph"/>
        <w:numPr>
          <w:ilvl w:val="0"/>
          <w:numId w:val="27"/>
        </w:numPr>
        <w:spacing w:line="360" w:lineRule="auto"/>
        <w:jc w:val="both"/>
        <w:rPr>
          <w:rFonts w:ascii="Arial" w:hAnsi="Arial" w:cs="Arial"/>
          <w:lang w:val="en-US"/>
        </w:rPr>
      </w:pPr>
      <w:r w:rsidRPr="00982F6A">
        <w:rPr>
          <w:rFonts w:ascii="Arial" w:hAnsi="Arial" w:cs="Arial"/>
          <w:b/>
          <w:bCs/>
          <w:lang w:val="en-US"/>
        </w:rPr>
        <w:t>Layers 4 (Strategy):</w:t>
      </w:r>
      <w:r w:rsidRPr="00982F6A">
        <w:rPr>
          <w:rFonts w:ascii="Arial" w:hAnsi="Arial" w:cs="Arial"/>
          <w:lang w:val="en-US"/>
        </w:rPr>
        <w:t xml:space="preserve"> Lays out the Systematic Literature Review (SLR) as the main method of exploration.</w:t>
      </w:r>
    </w:p>
    <w:p w14:paraId="66F5D49E" w14:textId="431EACBA" w:rsidR="00121F39" w:rsidRPr="00982F6A" w:rsidRDefault="00121F39" w:rsidP="00121F39">
      <w:pPr>
        <w:pStyle w:val="ListParagraph"/>
        <w:numPr>
          <w:ilvl w:val="0"/>
          <w:numId w:val="28"/>
        </w:numPr>
        <w:spacing w:line="360" w:lineRule="auto"/>
        <w:jc w:val="both"/>
        <w:rPr>
          <w:rFonts w:ascii="Arial" w:hAnsi="Arial" w:cs="Arial"/>
          <w:lang w:val="en-US"/>
        </w:rPr>
      </w:pPr>
      <w:r w:rsidRPr="00982F6A">
        <w:rPr>
          <w:rFonts w:ascii="Arial" w:hAnsi="Arial" w:cs="Arial"/>
          <w:b/>
          <w:bCs/>
          <w:lang w:val="en-US"/>
        </w:rPr>
        <w:t>Layer 5 (Time Horizon):</w:t>
      </w:r>
      <w:r w:rsidRPr="00982F6A">
        <w:rPr>
          <w:rFonts w:ascii="Arial" w:hAnsi="Arial" w:cs="Arial"/>
          <w:lang w:val="en-US"/>
        </w:rPr>
        <w:t xml:space="preserve"> </w:t>
      </w:r>
      <w:r w:rsidR="001273F0" w:rsidRPr="00982F6A">
        <w:rPr>
          <w:rFonts w:ascii="Arial" w:hAnsi="Arial" w:cs="Arial"/>
          <w:lang w:val="en-US"/>
        </w:rPr>
        <w:t>This report provides a cross-sectional view of public information regarding the current UK business situation (2020–2025).</w:t>
      </w:r>
    </w:p>
    <w:p w14:paraId="7FEAAF6D" w14:textId="6899BA8C" w:rsidR="00121F39" w:rsidRPr="00982F6A" w:rsidRDefault="00121F39" w:rsidP="00121F39">
      <w:pPr>
        <w:pStyle w:val="ListParagraph"/>
        <w:numPr>
          <w:ilvl w:val="0"/>
          <w:numId w:val="28"/>
        </w:numPr>
        <w:spacing w:line="360" w:lineRule="auto"/>
        <w:jc w:val="both"/>
        <w:rPr>
          <w:rFonts w:ascii="Arial" w:hAnsi="Arial" w:cs="Arial"/>
          <w:lang w:val="en-US"/>
        </w:rPr>
      </w:pPr>
      <w:r w:rsidRPr="00982F6A">
        <w:rPr>
          <w:rFonts w:ascii="Arial" w:hAnsi="Arial" w:cs="Arial"/>
          <w:b/>
          <w:bCs/>
          <w:lang w:val="en-US"/>
        </w:rPr>
        <w:t>Layer 6 (Techniques and Procedures):</w:t>
      </w:r>
      <w:r w:rsidRPr="00982F6A">
        <w:rPr>
          <w:rFonts w:ascii="Arial" w:hAnsi="Arial" w:cs="Arial"/>
          <w:lang w:val="en-US"/>
        </w:rPr>
        <w:t xml:space="preserve"> Outlines thematic analysis and secondary data collection plans to be applied to </w:t>
      </w:r>
      <w:proofErr w:type="spellStart"/>
      <w:r w:rsidRPr="00982F6A">
        <w:rPr>
          <w:rFonts w:ascii="Arial" w:hAnsi="Arial" w:cs="Arial"/>
          <w:lang w:val="en-US"/>
        </w:rPr>
        <w:t>synthesise</w:t>
      </w:r>
      <w:proofErr w:type="spellEnd"/>
      <w:r w:rsidRPr="00982F6A">
        <w:rPr>
          <w:rFonts w:ascii="Arial" w:hAnsi="Arial" w:cs="Arial"/>
          <w:lang w:val="en-US"/>
        </w:rPr>
        <w:t xml:space="preserve"> the academic journals and industry reports by Bloomberg and IBISWorld, as well as documents by corporations.</w:t>
      </w:r>
    </w:p>
    <w:p w14:paraId="61A6ED67" w14:textId="2EB83F40" w:rsidR="002A36DB" w:rsidRPr="00982F6A" w:rsidRDefault="00121F39" w:rsidP="002A36DB">
      <w:pPr>
        <w:spacing w:line="360" w:lineRule="auto"/>
        <w:jc w:val="both"/>
        <w:rPr>
          <w:rFonts w:ascii="Arial" w:hAnsi="Arial" w:cs="Arial"/>
          <w:lang w:val="en-US"/>
        </w:rPr>
      </w:pPr>
      <w:r w:rsidRPr="00982F6A">
        <w:rPr>
          <w:rFonts w:ascii="Arial" w:hAnsi="Arial" w:cs="Arial"/>
          <w:lang w:val="en-US"/>
        </w:rPr>
        <w:lastRenderedPageBreak/>
        <w:t>This chapter explains how the chosen methods logically stem from the research philosophy, providing a strong response to the research questions by sequentially addressing each of the layers.</w:t>
      </w:r>
    </w:p>
    <w:p w14:paraId="74F7342B" w14:textId="77777777" w:rsidR="002A36DB" w:rsidRPr="00982F6A" w:rsidRDefault="002A36DB" w:rsidP="002A36DB">
      <w:pPr>
        <w:spacing w:line="360" w:lineRule="auto"/>
        <w:jc w:val="both"/>
        <w:rPr>
          <w:rFonts w:ascii="Arial" w:hAnsi="Arial" w:cs="Arial"/>
          <w:lang w:val="en-GB"/>
        </w:rPr>
      </w:pPr>
    </w:p>
    <w:p w14:paraId="4FDD887A" w14:textId="77777777" w:rsidR="00A4240C" w:rsidRPr="00982F6A" w:rsidRDefault="005A54FA" w:rsidP="00A4240C">
      <w:pPr>
        <w:keepNext/>
        <w:spacing w:line="360" w:lineRule="auto"/>
        <w:jc w:val="center"/>
        <w:rPr>
          <w:rFonts w:ascii="Arial" w:hAnsi="Arial" w:cs="Arial"/>
        </w:rPr>
      </w:pPr>
      <w:r w:rsidRPr="00982F6A">
        <w:rPr>
          <w:rFonts w:ascii="Arial" w:hAnsi="Arial" w:cs="Arial"/>
          <w:noProof/>
          <w:lang w:val="en-GB"/>
        </w:rPr>
        <w:drawing>
          <wp:inline distT="0" distB="0" distL="0" distR="0" wp14:anchorId="77D15C09" wp14:editId="53F98E26">
            <wp:extent cx="4196715" cy="2425688"/>
            <wp:effectExtent l="0" t="0" r="0" b="0"/>
            <wp:docPr id="1915255814" name="Picture 10" descr="Research onion (Saunders, Lewis &amp; Thornhill 2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 onion (Saunders, Lewis &amp; Thornhill 201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216369" cy="2437048"/>
                    </a:xfrm>
                    <a:prstGeom prst="rect">
                      <a:avLst/>
                    </a:prstGeom>
                    <a:noFill/>
                    <a:ln>
                      <a:noFill/>
                    </a:ln>
                  </pic:spPr>
                </pic:pic>
              </a:graphicData>
            </a:graphic>
          </wp:inline>
        </w:drawing>
      </w:r>
    </w:p>
    <w:p w14:paraId="35B79A28" w14:textId="1CAD83E2" w:rsidR="005A54FA" w:rsidRPr="00982F6A" w:rsidRDefault="00A4240C" w:rsidP="00A4240C">
      <w:pPr>
        <w:pStyle w:val="Caption"/>
        <w:jc w:val="center"/>
        <w:rPr>
          <w:rFonts w:ascii="Arial" w:hAnsi="Arial" w:cs="Arial"/>
          <w:lang w:val="en-GB"/>
        </w:rPr>
      </w:pPr>
      <w:bookmarkStart w:id="85" w:name="_Toc228704098"/>
      <w:r w:rsidRPr="00982F6A">
        <w:rPr>
          <w:rFonts w:ascii="Arial" w:hAnsi="Arial" w:cs="Arial"/>
        </w:rPr>
        <w:t xml:space="preserve">Figure </w:t>
      </w:r>
      <w:r w:rsidRPr="00982F6A">
        <w:rPr>
          <w:rFonts w:ascii="Arial" w:hAnsi="Arial" w:cs="Arial"/>
        </w:rPr>
        <w:fldChar w:fldCharType="begin"/>
      </w:r>
      <w:r w:rsidRPr="00982F6A">
        <w:rPr>
          <w:rFonts w:ascii="Arial" w:hAnsi="Arial" w:cs="Arial"/>
        </w:rPr>
        <w:instrText xml:space="preserve"> SEQ Figure \* ARABIC </w:instrText>
      </w:r>
      <w:r w:rsidRPr="00982F6A">
        <w:rPr>
          <w:rFonts w:ascii="Arial" w:hAnsi="Arial" w:cs="Arial"/>
        </w:rPr>
        <w:fldChar w:fldCharType="separate"/>
      </w:r>
      <w:r w:rsidRPr="00982F6A">
        <w:rPr>
          <w:rFonts w:ascii="Arial" w:hAnsi="Arial" w:cs="Arial"/>
          <w:noProof/>
        </w:rPr>
        <w:t>4</w:t>
      </w:r>
      <w:r w:rsidRPr="00982F6A">
        <w:rPr>
          <w:rFonts w:ascii="Arial" w:hAnsi="Arial" w:cs="Arial"/>
        </w:rPr>
        <w:fldChar w:fldCharType="end"/>
      </w:r>
      <w:r w:rsidRPr="00982F6A">
        <w:rPr>
          <w:rFonts w:ascii="Arial" w:hAnsi="Arial" w:cs="Arial"/>
        </w:rPr>
        <w:t>: Research Onion</w:t>
      </w:r>
      <w:bookmarkEnd w:id="85"/>
    </w:p>
    <w:p w14:paraId="59D832F9" w14:textId="77777777" w:rsidR="005A54FA" w:rsidRPr="00982F6A" w:rsidRDefault="005A54FA" w:rsidP="005A54FA">
      <w:pPr>
        <w:jc w:val="center"/>
        <w:rPr>
          <w:rFonts w:ascii="Arial" w:hAnsi="Arial" w:cs="Arial"/>
          <w:lang w:val="en-GB"/>
        </w:rPr>
      </w:pPr>
      <w:r w:rsidRPr="00982F6A">
        <w:rPr>
          <w:rFonts w:ascii="Arial" w:hAnsi="Arial" w:cs="Arial"/>
          <w:b/>
          <w:bCs/>
          <w:lang w:val="en-GB"/>
        </w:rPr>
        <w:t>Source:</w:t>
      </w:r>
      <w:r w:rsidRPr="00982F6A">
        <w:rPr>
          <w:rFonts w:ascii="Arial" w:hAnsi="Arial" w:cs="Arial"/>
          <w:lang w:val="en-GB"/>
        </w:rPr>
        <w:t xml:space="preserve"> (Saunders, Lewis &amp; Thornhill 2019)</w:t>
      </w:r>
    </w:p>
    <w:p w14:paraId="2B802876" w14:textId="77777777" w:rsidR="00745A84" w:rsidRPr="00982F6A" w:rsidRDefault="00745A84" w:rsidP="00745A84">
      <w:pPr>
        <w:pStyle w:val="Heading2"/>
        <w:rPr>
          <w:rFonts w:cs="Arial"/>
        </w:rPr>
      </w:pPr>
      <w:bookmarkStart w:id="86" w:name="_Toc227155996"/>
      <w:bookmarkStart w:id="87" w:name="_Toc228704039"/>
      <w:r w:rsidRPr="00982F6A">
        <w:rPr>
          <w:rFonts w:cs="Arial"/>
        </w:rPr>
        <w:t>3.2. Research Philosophies and Assumptions</w:t>
      </w:r>
      <w:bookmarkEnd w:id="86"/>
      <w:bookmarkEnd w:id="87"/>
    </w:p>
    <w:p w14:paraId="09CBF610" w14:textId="77777777" w:rsidR="00593C82" w:rsidRPr="00982F6A" w:rsidRDefault="00593C82" w:rsidP="00593C82">
      <w:pPr>
        <w:spacing w:line="360" w:lineRule="auto"/>
        <w:jc w:val="both"/>
        <w:rPr>
          <w:rFonts w:ascii="Arial" w:hAnsi="Arial" w:cs="Arial"/>
          <w:lang w:val="en-US"/>
        </w:rPr>
      </w:pPr>
      <w:r w:rsidRPr="00982F6A">
        <w:rPr>
          <w:rFonts w:ascii="Arial" w:hAnsi="Arial" w:cs="Arial"/>
          <w:lang w:val="en-US"/>
        </w:rPr>
        <w:t xml:space="preserve">Choosing a research philosophy is a key procedure in the research process since it determines the approach that the researcher has towards the world and what knowledge is. Using the research onion framework created by Saunders, Lewis, and Thornhill (2019), this section will justify the philosophical position of this study and transition from the outer layers of the onion (philosophy) to its </w:t>
      </w:r>
      <w:proofErr w:type="spellStart"/>
      <w:r w:rsidRPr="00982F6A">
        <w:rPr>
          <w:rFonts w:ascii="Arial" w:hAnsi="Arial" w:cs="Arial"/>
          <w:lang w:val="en-US"/>
        </w:rPr>
        <w:t>centre</w:t>
      </w:r>
      <w:proofErr w:type="spellEnd"/>
      <w:r w:rsidRPr="00982F6A">
        <w:rPr>
          <w:rFonts w:ascii="Arial" w:hAnsi="Arial" w:cs="Arial"/>
          <w:lang w:val="en-US"/>
        </w:rPr>
        <w:t xml:space="preserve"> (data collection).</w:t>
      </w:r>
    </w:p>
    <w:p w14:paraId="016DAB39" w14:textId="4A2F4F8C" w:rsidR="00593C82" w:rsidRPr="00982F6A" w:rsidRDefault="00593C82" w:rsidP="00593C82">
      <w:pPr>
        <w:pStyle w:val="Heading3"/>
        <w:rPr>
          <w:rFonts w:cs="Arial"/>
          <w:lang w:val="en-US"/>
        </w:rPr>
      </w:pPr>
      <w:bookmarkStart w:id="88" w:name="_Toc228704040"/>
      <w:r w:rsidRPr="00982F6A">
        <w:rPr>
          <w:rFonts w:cs="Arial"/>
          <w:lang w:val="en-US"/>
        </w:rPr>
        <w:t>3.2.</w:t>
      </w:r>
      <w:r w:rsidR="00CC7C04" w:rsidRPr="00982F6A">
        <w:rPr>
          <w:rFonts w:cs="Arial"/>
          <w:lang w:val="en-US"/>
        </w:rPr>
        <w:t>1</w:t>
      </w:r>
      <w:r w:rsidRPr="00982F6A">
        <w:rPr>
          <w:rFonts w:cs="Arial"/>
          <w:lang w:val="en-US"/>
        </w:rPr>
        <w:t xml:space="preserve"> Epistemological Position: Interpretivism</w:t>
      </w:r>
      <w:bookmarkEnd w:id="88"/>
    </w:p>
    <w:p w14:paraId="674E4880" w14:textId="77777777" w:rsidR="00593C82" w:rsidRPr="00982F6A" w:rsidRDefault="00593C82" w:rsidP="00593C82">
      <w:pPr>
        <w:spacing w:line="360" w:lineRule="auto"/>
        <w:jc w:val="both"/>
        <w:rPr>
          <w:rFonts w:ascii="Arial" w:hAnsi="Arial" w:cs="Arial"/>
          <w:lang w:val="en-US"/>
        </w:rPr>
      </w:pPr>
      <w:r w:rsidRPr="00982F6A">
        <w:rPr>
          <w:rFonts w:ascii="Arial" w:hAnsi="Arial" w:cs="Arial"/>
          <w:lang w:val="en-US"/>
        </w:rPr>
        <w:t xml:space="preserve">"Epistemology" is the term that can be defined as acceptable knowledge in a discipline. This study takes up an interpretivist position. Interpretivism claims that the social world is too complicated to be explained by some legal </w:t>
      </w:r>
      <w:proofErr w:type="spellStart"/>
      <w:r w:rsidRPr="00982F6A">
        <w:rPr>
          <w:rFonts w:ascii="Arial" w:hAnsi="Arial" w:cs="Arial"/>
          <w:lang w:val="en-US"/>
        </w:rPr>
        <w:t>generalisations</w:t>
      </w:r>
      <w:proofErr w:type="spellEnd"/>
      <w:r w:rsidRPr="00982F6A">
        <w:rPr>
          <w:rFonts w:ascii="Arial" w:hAnsi="Arial" w:cs="Arial"/>
          <w:lang w:val="en-US"/>
        </w:rPr>
        <w:t>, as in the case of the physical sciences. Instead, it focuses on understanding the specifics of the situation, the underlying reality, and the subjective meanings (Saunders, Lewis and Thornhill, 2019, p. 148).</w:t>
      </w:r>
    </w:p>
    <w:p w14:paraId="41404971" w14:textId="77777777" w:rsidR="00593C82" w:rsidRPr="00982F6A" w:rsidRDefault="00593C82" w:rsidP="00593C82">
      <w:pPr>
        <w:spacing w:line="360" w:lineRule="auto"/>
        <w:jc w:val="both"/>
        <w:rPr>
          <w:rFonts w:ascii="Arial" w:hAnsi="Arial" w:cs="Arial"/>
          <w:lang w:val="en-US"/>
        </w:rPr>
      </w:pPr>
      <w:r w:rsidRPr="00982F6A">
        <w:rPr>
          <w:rFonts w:ascii="Arial" w:hAnsi="Arial" w:cs="Arial"/>
          <w:lang w:val="en-US"/>
        </w:rPr>
        <w:lastRenderedPageBreak/>
        <w:t>The interpretivism is overly suitable to this research due to three main reasons:</w:t>
      </w:r>
    </w:p>
    <w:p w14:paraId="5A4E4B6A" w14:textId="753D5C17" w:rsidR="00593C82" w:rsidRPr="00982F6A" w:rsidRDefault="00593C82" w:rsidP="00593C82">
      <w:pPr>
        <w:pStyle w:val="ListParagraph"/>
        <w:numPr>
          <w:ilvl w:val="0"/>
          <w:numId w:val="31"/>
        </w:numPr>
        <w:spacing w:line="360" w:lineRule="auto"/>
        <w:jc w:val="both"/>
        <w:rPr>
          <w:rFonts w:ascii="Arial" w:hAnsi="Arial" w:cs="Arial"/>
          <w:lang w:val="en-US"/>
        </w:rPr>
      </w:pPr>
      <w:r w:rsidRPr="00982F6A">
        <w:rPr>
          <w:rFonts w:ascii="Arial" w:hAnsi="Arial" w:cs="Arial"/>
          <w:b/>
          <w:bCs/>
          <w:lang w:val="en-US"/>
        </w:rPr>
        <w:t>Context-Dependency:</w:t>
      </w:r>
      <w:r w:rsidRPr="00982F6A">
        <w:rPr>
          <w:rFonts w:ascii="Arial" w:hAnsi="Arial" w:cs="Arial"/>
          <w:lang w:val="en-US"/>
        </w:rPr>
        <w:t xml:space="preserve"> According to the CIPD (2023) report Health and Wellbeing at Work, the socio-economic context of the UK </w:t>
      </w:r>
      <w:proofErr w:type="spellStart"/>
      <w:r w:rsidRPr="00982F6A">
        <w:rPr>
          <w:rFonts w:ascii="Arial" w:hAnsi="Arial" w:cs="Arial"/>
          <w:lang w:val="en-US"/>
        </w:rPr>
        <w:t>labour</w:t>
      </w:r>
      <w:proofErr w:type="spellEnd"/>
      <w:r w:rsidRPr="00982F6A">
        <w:rPr>
          <w:rFonts w:ascii="Arial" w:hAnsi="Arial" w:cs="Arial"/>
          <w:lang w:val="en-US"/>
        </w:rPr>
        <w:t xml:space="preserve"> market is closely related to the human capital issues of mental health and retention of employees. An interpretivist approach allows the researcher to </w:t>
      </w:r>
      <w:proofErr w:type="spellStart"/>
      <w:r w:rsidRPr="00982F6A">
        <w:rPr>
          <w:rFonts w:ascii="Arial" w:hAnsi="Arial" w:cs="Arial"/>
          <w:lang w:val="en-US"/>
        </w:rPr>
        <w:t>analyse</w:t>
      </w:r>
      <w:proofErr w:type="spellEnd"/>
      <w:r w:rsidRPr="00982F6A">
        <w:rPr>
          <w:rFonts w:ascii="Arial" w:hAnsi="Arial" w:cs="Arial"/>
          <w:lang w:val="en-US"/>
        </w:rPr>
        <w:t xml:space="preserve"> existing literature and investigate these nuances.</w:t>
      </w:r>
    </w:p>
    <w:p w14:paraId="08B019C5" w14:textId="317889E4" w:rsidR="00593C82" w:rsidRPr="00982F6A" w:rsidRDefault="00593C82" w:rsidP="00593C82">
      <w:pPr>
        <w:pStyle w:val="ListParagraph"/>
        <w:numPr>
          <w:ilvl w:val="0"/>
          <w:numId w:val="31"/>
        </w:numPr>
        <w:spacing w:line="360" w:lineRule="auto"/>
        <w:jc w:val="both"/>
        <w:rPr>
          <w:rFonts w:ascii="Arial" w:hAnsi="Arial" w:cs="Arial"/>
          <w:lang w:val="en-US"/>
        </w:rPr>
      </w:pPr>
      <w:r w:rsidRPr="00982F6A">
        <w:rPr>
          <w:rFonts w:ascii="Arial" w:hAnsi="Arial" w:cs="Arial"/>
          <w:b/>
          <w:bCs/>
          <w:lang w:val="en-US"/>
        </w:rPr>
        <w:t>Complexity of Risk:</w:t>
      </w:r>
      <w:r w:rsidRPr="00982F6A">
        <w:rPr>
          <w:rFonts w:ascii="Arial" w:hAnsi="Arial" w:cs="Arial"/>
          <w:lang w:val="en-US"/>
        </w:rPr>
        <w:t xml:space="preserve"> Human capital risks, e.g., failure of leadership or lack of engagement, cannot be easily understood in terms of numbers only. They need to have a qualitative understanding as to why and how these problems are manifested in particular </w:t>
      </w:r>
      <w:proofErr w:type="spellStart"/>
      <w:r w:rsidRPr="00982F6A">
        <w:rPr>
          <w:rFonts w:ascii="Arial" w:hAnsi="Arial" w:cs="Arial"/>
          <w:lang w:val="en-US"/>
        </w:rPr>
        <w:t>organisational</w:t>
      </w:r>
      <w:proofErr w:type="spellEnd"/>
      <w:r w:rsidRPr="00982F6A">
        <w:rPr>
          <w:rFonts w:ascii="Arial" w:hAnsi="Arial" w:cs="Arial"/>
          <w:lang w:val="en-US"/>
        </w:rPr>
        <w:t xml:space="preserve"> structures (Guest, 2017).</w:t>
      </w:r>
    </w:p>
    <w:p w14:paraId="66D9627F" w14:textId="74A5A27D" w:rsidR="00593C82" w:rsidRPr="00982F6A" w:rsidRDefault="00593C82" w:rsidP="00593C82">
      <w:pPr>
        <w:pStyle w:val="ListParagraph"/>
        <w:numPr>
          <w:ilvl w:val="0"/>
          <w:numId w:val="31"/>
        </w:numPr>
        <w:spacing w:line="360" w:lineRule="auto"/>
        <w:jc w:val="both"/>
        <w:rPr>
          <w:rFonts w:ascii="Arial" w:hAnsi="Arial" w:cs="Arial"/>
          <w:lang w:val="en-US"/>
        </w:rPr>
      </w:pPr>
      <w:r w:rsidRPr="00982F6A">
        <w:rPr>
          <w:rFonts w:ascii="Arial" w:hAnsi="Arial" w:cs="Arial"/>
          <w:b/>
          <w:bCs/>
          <w:lang w:val="en-US"/>
        </w:rPr>
        <w:t>Secondary Data:</w:t>
      </w:r>
      <w:r w:rsidRPr="00982F6A">
        <w:rPr>
          <w:rFonts w:ascii="Arial" w:hAnsi="Arial" w:cs="Arial"/>
          <w:lang w:val="en-US"/>
        </w:rPr>
        <w:t xml:space="preserve"> As this dissertation is based on a systematic review of about 50 peer-reviewed articles and industry reports provided by such sources as IBISWorld and Harvard Business Review, the aim is to </w:t>
      </w:r>
      <w:proofErr w:type="spellStart"/>
      <w:r w:rsidRPr="00982F6A">
        <w:rPr>
          <w:rFonts w:ascii="Arial" w:hAnsi="Arial" w:cs="Arial"/>
          <w:lang w:val="en-US"/>
        </w:rPr>
        <w:t>analyse</w:t>
      </w:r>
      <w:proofErr w:type="spellEnd"/>
      <w:r w:rsidRPr="00982F6A">
        <w:rPr>
          <w:rFonts w:ascii="Arial" w:hAnsi="Arial" w:cs="Arial"/>
          <w:lang w:val="en-US"/>
        </w:rPr>
        <w:t xml:space="preserve"> the overall results of these authors to develop a new conceptual framework.</w:t>
      </w:r>
    </w:p>
    <w:p w14:paraId="3CA48A5D" w14:textId="7DC94F5A" w:rsidR="00593C82" w:rsidRPr="00982F6A" w:rsidRDefault="00593C82" w:rsidP="00593C82">
      <w:pPr>
        <w:pStyle w:val="Heading3"/>
        <w:rPr>
          <w:rFonts w:cs="Arial"/>
          <w:lang w:val="en-US"/>
        </w:rPr>
      </w:pPr>
      <w:bookmarkStart w:id="89" w:name="_Toc228704041"/>
      <w:r w:rsidRPr="00982F6A">
        <w:rPr>
          <w:rFonts w:cs="Arial"/>
          <w:lang w:val="en-US"/>
        </w:rPr>
        <w:t>3.2.</w:t>
      </w:r>
      <w:r w:rsidR="00A4240C" w:rsidRPr="00982F6A">
        <w:rPr>
          <w:rFonts w:cs="Arial"/>
          <w:lang w:val="en-US"/>
        </w:rPr>
        <w:t>2</w:t>
      </w:r>
      <w:r w:rsidRPr="00982F6A">
        <w:rPr>
          <w:rFonts w:cs="Arial"/>
          <w:lang w:val="en-US"/>
        </w:rPr>
        <w:t xml:space="preserve"> Reason why the philosophical choice was made</w:t>
      </w:r>
      <w:bookmarkEnd w:id="89"/>
    </w:p>
    <w:p w14:paraId="0F5CDEAA" w14:textId="77777777" w:rsidR="00593C82" w:rsidRPr="00982F6A" w:rsidRDefault="00593C82" w:rsidP="00593C82">
      <w:pPr>
        <w:spacing w:line="360" w:lineRule="auto"/>
        <w:jc w:val="both"/>
        <w:rPr>
          <w:rFonts w:ascii="Arial" w:hAnsi="Arial" w:cs="Arial"/>
          <w:lang w:val="en-US"/>
        </w:rPr>
      </w:pPr>
      <w:r w:rsidRPr="00982F6A">
        <w:rPr>
          <w:rFonts w:ascii="Arial" w:hAnsi="Arial" w:cs="Arial"/>
          <w:lang w:val="en-US"/>
        </w:rPr>
        <w:t xml:space="preserve">The exploratory nature and contextuality of the research questions of this study essentially align with the choice of an interpretivist philosophy. In contrast to a positivist approach, which tries to find objective and universal laws through quantitative measurement, interpretivism considers the fact that notions of risk and strategic value are constructed socially by </w:t>
      </w:r>
      <w:proofErr w:type="spellStart"/>
      <w:r w:rsidRPr="00982F6A">
        <w:rPr>
          <w:rFonts w:ascii="Arial" w:hAnsi="Arial" w:cs="Arial"/>
          <w:lang w:val="en-US"/>
        </w:rPr>
        <w:t>organisational</w:t>
      </w:r>
      <w:proofErr w:type="spellEnd"/>
      <w:r w:rsidRPr="00982F6A">
        <w:rPr>
          <w:rFonts w:ascii="Arial" w:hAnsi="Arial" w:cs="Arial"/>
          <w:lang w:val="en-US"/>
        </w:rPr>
        <w:t xml:space="preserve"> actors' perceptions and experiences (Saunders, Lewis, and Thornhill, 2019).</w:t>
      </w:r>
    </w:p>
    <w:p w14:paraId="78D6E12B" w14:textId="77777777" w:rsidR="00593C82" w:rsidRPr="00982F6A" w:rsidRDefault="00593C82" w:rsidP="00593C82">
      <w:pPr>
        <w:spacing w:line="360" w:lineRule="auto"/>
        <w:jc w:val="both"/>
        <w:rPr>
          <w:rFonts w:ascii="Arial" w:hAnsi="Arial" w:cs="Arial"/>
          <w:lang w:val="en-US"/>
        </w:rPr>
      </w:pPr>
      <w:r w:rsidRPr="00982F6A">
        <w:rPr>
          <w:rFonts w:ascii="Arial" w:hAnsi="Arial" w:cs="Arial"/>
          <w:lang w:val="en-US"/>
        </w:rPr>
        <w:t xml:space="preserve">This standpoint is vital in answering research question 2 that looks at the risks in human capital of UK </w:t>
      </w:r>
      <w:proofErr w:type="spellStart"/>
      <w:r w:rsidRPr="00982F6A">
        <w:rPr>
          <w:rFonts w:ascii="Arial" w:hAnsi="Arial" w:cs="Arial"/>
          <w:lang w:val="en-US"/>
        </w:rPr>
        <w:t>organisations</w:t>
      </w:r>
      <w:proofErr w:type="spellEnd"/>
      <w:r w:rsidRPr="00982F6A">
        <w:rPr>
          <w:rFonts w:ascii="Arial" w:hAnsi="Arial" w:cs="Arial"/>
          <w:lang w:val="en-US"/>
        </w:rPr>
        <w:t xml:space="preserve">. Determining the risk of such issues as the failure of leadership or disengagement of employees presupposes the interpretation of qualitative stories in industry reports published by the Office for National Statistics (ONS, 2023) or PwC (2023), since all these problems are subjective and context-dependent. In the same vein, Research Question 5 investigates how SHCM can be incorporated in more extensive risk frameworks—a process that is more about </w:t>
      </w:r>
      <w:proofErr w:type="spellStart"/>
      <w:r w:rsidRPr="00982F6A">
        <w:rPr>
          <w:rFonts w:ascii="Arial" w:hAnsi="Arial" w:cs="Arial"/>
          <w:lang w:val="en-US"/>
        </w:rPr>
        <w:t>organisational</w:t>
      </w:r>
      <w:proofErr w:type="spellEnd"/>
      <w:r w:rsidRPr="00982F6A">
        <w:rPr>
          <w:rFonts w:ascii="Arial" w:hAnsi="Arial" w:cs="Arial"/>
          <w:lang w:val="en-US"/>
        </w:rPr>
        <w:t xml:space="preserve"> culture and strategic orientation than mathematical modelling. According to Ahmad et al. (2020), internal communication and perception of the managers are vital in strategic HR alignment. Therefore, this </w:t>
      </w:r>
      <w:r w:rsidRPr="00982F6A">
        <w:rPr>
          <w:rFonts w:ascii="Arial" w:hAnsi="Arial" w:cs="Arial"/>
          <w:lang w:val="en-US"/>
        </w:rPr>
        <w:lastRenderedPageBreak/>
        <w:t>philosophical approach allows the research to reflect the subtle and strategic intricacies necessary for understanding contemporary human capital management.</w:t>
      </w:r>
    </w:p>
    <w:p w14:paraId="66891E69" w14:textId="349E477B" w:rsidR="00593C82" w:rsidRPr="00982F6A" w:rsidRDefault="00593C82" w:rsidP="00593C82">
      <w:pPr>
        <w:pStyle w:val="Heading3"/>
        <w:rPr>
          <w:rFonts w:cs="Arial"/>
          <w:lang w:val="en-US"/>
        </w:rPr>
      </w:pPr>
      <w:bookmarkStart w:id="90" w:name="_Toc228704042"/>
      <w:r w:rsidRPr="00982F6A">
        <w:rPr>
          <w:rFonts w:cs="Arial"/>
          <w:lang w:val="en-US"/>
        </w:rPr>
        <w:t>3.2.</w:t>
      </w:r>
      <w:r w:rsidR="00A4240C" w:rsidRPr="00982F6A">
        <w:rPr>
          <w:rFonts w:cs="Arial"/>
          <w:lang w:val="en-US"/>
        </w:rPr>
        <w:t>3</w:t>
      </w:r>
      <w:r w:rsidRPr="00982F6A">
        <w:rPr>
          <w:rFonts w:cs="Arial"/>
          <w:lang w:val="en-US"/>
        </w:rPr>
        <w:t xml:space="preserve"> Interpretivist Framework of Qualitative Systematic Reviews</w:t>
      </w:r>
      <w:bookmarkEnd w:id="90"/>
    </w:p>
    <w:p w14:paraId="3560A2A6" w14:textId="0AC66A01" w:rsidR="00593C82" w:rsidRPr="00982F6A" w:rsidRDefault="00593C82" w:rsidP="00593C82">
      <w:pPr>
        <w:spacing w:line="360" w:lineRule="auto"/>
        <w:jc w:val="both"/>
        <w:rPr>
          <w:rFonts w:ascii="Arial" w:hAnsi="Arial" w:cs="Arial"/>
          <w:lang w:val="en-US"/>
        </w:rPr>
      </w:pPr>
      <w:r w:rsidRPr="00982F6A">
        <w:rPr>
          <w:rFonts w:ascii="Arial" w:hAnsi="Arial" w:cs="Arial"/>
          <w:lang w:val="en-US"/>
        </w:rPr>
        <w:t>An interpretivist perspective of a systematic literature review implies that a researcher will be a key interpreter of the body of knowledge that is already present. This stance is well-grounded because there is no fixed reality regarding the integration of Strategic Human Capital Management and risk that can be found in a database; instead, it is a concept that is actively reformulated through industry discourse and academic discussion. This philosophy will ensure that the final conceptual framework is grounded in a comprehensive understanding of the UK business environment as it exists in 2026.</w:t>
      </w:r>
    </w:p>
    <w:p w14:paraId="574C817C" w14:textId="77777777" w:rsidR="00593C82" w:rsidRPr="00982F6A" w:rsidRDefault="00593C82" w:rsidP="00593C82">
      <w:pPr>
        <w:spacing w:line="360" w:lineRule="auto"/>
        <w:jc w:val="both"/>
        <w:rPr>
          <w:rFonts w:ascii="Arial" w:hAnsi="Arial" w:cs="Arial"/>
          <w:lang w:val="en-US"/>
        </w:rPr>
      </w:pPr>
      <w:r w:rsidRPr="00982F6A">
        <w:rPr>
          <w:rFonts w:ascii="Arial" w:hAnsi="Arial" w:cs="Arial"/>
          <w:b/>
          <w:bCs/>
          <w:lang w:val="en-US"/>
        </w:rPr>
        <w:t>Integration into Data Analysis</w:t>
      </w:r>
    </w:p>
    <w:p w14:paraId="2D106151" w14:textId="35F8ABA9" w:rsidR="00593C82" w:rsidRPr="00982F6A" w:rsidRDefault="00593C82" w:rsidP="00593C82">
      <w:pPr>
        <w:spacing w:line="360" w:lineRule="auto"/>
        <w:jc w:val="both"/>
        <w:rPr>
          <w:rFonts w:ascii="Arial" w:hAnsi="Arial" w:cs="Arial"/>
          <w:lang w:val="en-US"/>
        </w:rPr>
      </w:pPr>
      <w:r w:rsidRPr="00982F6A">
        <w:rPr>
          <w:rFonts w:ascii="Arial" w:hAnsi="Arial" w:cs="Arial"/>
          <w:lang w:val="en-US"/>
        </w:rPr>
        <w:t>An interpretivist stance directly informs the thematic analysis process. In line with the paradigm of analysis invented by Braun and Clarke (2006), the analysis takes one a step further than a shallow "count of keywords content" to a latent interpretation level. This stage involves:</w:t>
      </w:r>
    </w:p>
    <w:p w14:paraId="68723026" w14:textId="117F40D4" w:rsidR="00593C82" w:rsidRPr="00982F6A" w:rsidRDefault="00DE0259" w:rsidP="00593C82">
      <w:pPr>
        <w:pStyle w:val="ListParagraph"/>
        <w:numPr>
          <w:ilvl w:val="0"/>
          <w:numId w:val="29"/>
        </w:numPr>
        <w:spacing w:line="360" w:lineRule="auto"/>
        <w:jc w:val="both"/>
        <w:rPr>
          <w:rFonts w:ascii="Arial" w:hAnsi="Arial" w:cs="Arial"/>
          <w:lang w:val="en-US"/>
        </w:rPr>
      </w:pPr>
      <w:r w:rsidRPr="00982F6A">
        <w:rPr>
          <w:rFonts w:ascii="Arial" w:hAnsi="Arial" w:cs="Arial"/>
          <w:b/>
          <w:bCs/>
          <w:lang w:val="en-US"/>
        </w:rPr>
        <w:t>Edition form</w:t>
      </w:r>
      <w:r w:rsidR="00593C82" w:rsidRPr="00982F6A">
        <w:rPr>
          <w:rFonts w:ascii="Arial" w:hAnsi="Arial" w:cs="Arial"/>
          <w:b/>
          <w:bCs/>
          <w:lang w:val="en-US"/>
        </w:rPr>
        <w:t>:</w:t>
      </w:r>
      <w:r w:rsidR="00593C82" w:rsidRPr="00982F6A">
        <w:rPr>
          <w:rFonts w:ascii="Arial" w:hAnsi="Arial" w:cs="Arial"/>
          <w:lang w:val="en-US"/>
        </w:rPr>
        <w:t xml:space="preserve"> The possibility to find strategic narratives under the surface of secondary data.</w:t>
      </w:r>
    </w:p>
    <w:p w14:paraId="7FAE05D5" w14:textId="77777777" w:rsidR="00593C82" w:rsidRPr="00982F6A" w:rsidRDefault="00593C82" w:rsidP="00593C82">
      <w:pPr>
        <w:pStyle w:val="ListParagraph"/>
        <w:numPr>
          <w:ilvl w:val="0"/>
          <w:numId w:val="29"/>
        </w:numPr>
        <w:spacing w:line="360" w:lineRule="auto"/>
        <w:jc w:val="both"/>
        <w:rPr>
          <w:rFonts w:ascii="Arial" w:hAnsi="Arial" w:cs="Arial"/>
          <w:lang w:val="en-US"/>
        </w:rPr>
      </w:pPr>
      <w:r w:rsidRPr="00982F6A">
        <w:rPr>
          <w:rFonts w:ascii="Arial" w:hAnsi="Arial" w:cs="Arial"/>
          <w:b/>
          <w:bCs/>
          <w:lang w:val="en-US"/>
        </w:rPr>
        <w:t>Contextual Synthesis:</w:t>
      </w:r>
      <w:r w:rsidRPr="00982F6A">
        <w:rPr>
          <w:rFonts w:ascii="Arial" w:hAnsi="Arial" w:cs="Arial"/>
          <w:lang w:val="en-US"/>
        </w:rPr>
        <w:t xml:space="preserve"> How UK-specific issues, including the move towards mandatory human capital disclosures of ESG in 2026, affect the meaning of </w:t>
      </w:r>
      <w:proofErr w:type="spellStart"/>
      <w:r w:rsidRPr="00982F6A">
        <w:rPr>
          <w:rFonts w:ascii="Arial" w:hAnsi="Arial" w:cs="Arial"/>
          <w:lang w:val="en-US"/>
        </w:rPr>
        <w:t>organisational</w:t>
      </w:r>
      <w:proofErr w:type="spellEnd"/>
      <w:r w:rsidRPr="00982F6A">
        <w:rPr>
          <w:rFonts w:ascii="Arial" w:hAnsi="Arial" w:cs="Arial"/>
          <w:lang w:val="en-US"/>
        </w:rPr>
        <w:t xml:space="preserve"> risk.</w:t>
      </w:r>
    </w:p>
    <w:p w14:paraId="5222A906" w14:textId="77777777" w:rsidR="00593C82" w:rsidRPr="00982F6A" w:rsidRDefault="00593C82" w:rsidP="00593C82">
      <w:pPr>
        <w:spacing w:line="360" w:lineRule="auto"/>
        <w:jc w:val="both"/>
        <w:rPr>
          <w:rFonts w:ascii="Arial" w:hAnsi="Arial" w:cs="Arial"/>
          <w:lang w:val="en-US"/>
        </w:rPr>
      </w:pPr>
      <w:r w:rsidRPr="00982F6A">
        <w:rPr>
          <w:rFonts w:ascii="Arial" w:hAnsi="Arial" w:cs="Arial"/>
          <w:b/>
          <w:bCs/>
          <w:lang w:val="en-US"/>
        </w:rPr>
        <w:t>Justification of the Approach</w:t>
      </w:r>
    </w:p>
    <w:p w14:paraId="1A586214" w14:textId="77777777" w:rsidR="00996A10" w:rsidRPr="00982F6A" w:rsidRDefault="00996A10" w:rsidP="00996A10">
      <w:pPr>
        <w:spacing w:line="360" w:lineRule="auto"/>
        <w:jc w:val="both"/>
        <w:rPr>
          <w:rFonts w:ascii="Arial" w:hAnsi="Arial" w:cs="Arial"/>
          <w:lang w:val="en-US"/>
        </w:rPr>
      </w:pPr>
      <w:r w:rsidRPr="00982F6A">
        <w:rPr>
          <w:rFonts w:ascii="Arial" w:hAnsi="Arial" w:cs="Arial"/>
          <w:lang w:val="en-US"/>
        </w:rPr>
        <w:t>Such an interpretivist prism will be crucial to keeping the analysis deep. Indicatively, an interpretivist approach considers the percentage of quantitative turnover beyond the quantitative turnover percentages when referring to an article by Bloomberg (2026) on workforce volatility or the PwC (2026) Executive Survey. Rather, it tries to comprehend the latent strategic accounts that are given to the stakeholders about resilience to leadership and the ethical implications of HR practices that are integrated with AI.</w:t>
      </w:r>
    </w:p>
    <w:p w14:paraId="4BB76445" w14:textId="77777777" w:rsidR="00996A10" w:rsidRPr="00982F6A" w:rsidRDefault="00996A10" w:rsidP="00996A10">
      <w:pPr>
        <w:spacing w:line="360" w:lineRule="auto"/>
        <w:jc w:val="both"/>
        <w:rPr>
          <w:rFonts w:ascii="Arial" w:hAnsi="Arial" w:cs="Arial"/>
          <w:lang w:val="en-US"/>
        </w:rPr>
      </w:pPr>
    </w:p>
    <w:p w14:paraId="22BD69C0" w14:textId="558E7E16" w:rsidR="00745A84" w:rsidRPr="00982F6A" w:rsidRDefault="00996A10" w:rsidP="00996A10">
      <w:pPr>
        <w:spacing w:line="360" w:lineRule="auto"/>
        <w:jc w:val="both"/>
        <w:rPr>
          <w:rFonts w:ascii="Arial" w:hAnsi="Arial" w:cs="Arial"/>
          <w:lang w:val="en-US"/>
        </w:rPr>
      </w:pPr>
      <w:r w:rsidRPr="00982F6A">
        <w:rPr>
          <w:rFonts w:ascii="Arial" w:hAnsi="Arial" w:cs="Arial"/>
          <w:lang w:val="en-US"/>
        </w:rPr>
        <w:lastRenderedPageBreak/>
        <w:t xml:space="preserve">The IBISWorld (2026) report on human resources provision in the UK indicates that the sector is increasingly </w:t>
      </w:r>
      <w:proofErr w:type="spellStart"/>
      <w:r w:rsidRPr="00982F6A">
        <w:rPr>
          <w:rFonts w:ascii="Arial" w:hAnsi="Arial" w:cs="Arial"/>
          <w:lang w:val="en-US"/>
        </w:rPr>
        <w:t>characterised</w:t>
      </w:r>
      <w:proofErr w:type="spellEnd"/>
      <w:r w:rsidRPr="00982F6A">
        <w:rPr>
          <w:rFonts w:ascii="Arial" w:hAnsi="Arial" w:cs="Arial"/>
          <w:lang w:val="en-US"/>
        </w:rPr>
        <w:t xml:space="preserve"> by 'soft threats', including the risk of cultural misalignment and digital fatigue. Therefore, these qualitative aspects can be most effectively addressed using an interpretivist approach, which will provide a nuanced understanding of the relationship between SHCM theory and the industry's realities in 2026.</w:t>
      </w:r>
    </w:p>
    <w:p w14:paraId="1AF74830" w14:textId="237D301F" w:rsidR="00745A84" w:rsidRPr="00982F6A" w:rsidRDefault="00745A84" w:rsidP="00745A84">
      <w:pPr>
        <w:pStyle w:val="Heading2"/>
        <w:rPr>
          <w:rFonts w:cs="Arial"/>
        </w:rPr>
      </w:pPr>
      <w:bookmarkStart w:id="91" w:name="_Toc227156001"/>
      <w:bookmarkStart w:id="92" w:name="_Toc228704043"/>
      <w:r w:rsidRPr="00982F6A">
        <w:rPr>
          <w:rFonts w:cs="Arial"/>
        </w:rPr>
        <w:t xml:space="preserve">3.3 </w:t>
      </w:r>
      <w:bookmarkEnd w:id="91"/>
      <w:r w:rsidR="00593C82" w:rsidRPr="00982F6A">
        <w:rPr>
          <w:rFonts w:cs="Arial"/>
        </w:rPr>
        <w:t>Research Design</w:t>
      </w:r>
      <w:bookmarkEnd w:id="92"/>
    </w:p>
    <w:p w14:paraId="54CE5015" w14:textId="2A813D1E" w:rsidR="00593C82" w:rsidRPr="00982F6A" w:rsidRDefault="00593C82" w:rsidP="00593C82">
      <w:pPr>
        <w:spacing w:line="360" w:lineRule="auto"/>
        <w:jc w:val="both"/>
        <w:rPr>
          <w:rFonts w:ascii="Arial" w:eastAsia="Arial" w:hAnsi="Arial" w:cs="Arial"/>
          <w:lang w:val="en-US"/>
        </w:rPr>
      </w:pPr>
      <w:r w:rsidRPr="00982F6A">
        <w:rPr>
          <w:rFonts w:ascii="Arial" w:eastAsia="Arial" w:hAnsi="Arial" w:cs="Arial"/>
          <w:lang w:val="en-US"/>
        </w:rPr>
        <w:t>The research design is the cement that holds the research project united, and it offers a rational course of action on how the research is going to answer the research questions that have been set. In this dissertation, the design is a qualitative, non-experimental one that aims for a Systematic Literature Review. The rationale behind this methodology is that consolidation of abundant existing information on Strategic Human Capital Management and its new role in risk governance in the UK is needed.</w:t>
      </w:r>
    </w:p>
    <w:p w14:paraId="09E32128" w14:textId="4046651D" w:rsidR="00593C82" w:rsidRPr="00982F6A" w:rsidRDefault="00593C82" w:rsidP="00593C82">
      <w:pPr>
        <w:pStyle w:val="Heading3"/>
        <w:rPr>
          <w:rFonts w:cs="Arial"/>
          <w:lang w:val="en-US"/>
        </w:rPr>
      </w:pPr>
      <w:bookmarkStart w:id="93" w:name="_Toc228704044"/>
      <w:r w:rsidRPr="00982F6A">
        <w:rPr>
          <w:rFonts w:cs="Arial"/>
          <w:lang w:val="en-US"/>
        </w:rPr>
        <w:t>3.3.1 Methodological selection: Qualitative research</w:t>
      </w:r>
      <w:bookmarkEnd w:id="93"/>
    </w:p>
    <w:p w14:paraId="697BA1BE" w14:textId="77777777" w:rsidR="00593C82" w:rsidRPr="00982F6A" w:rsidRDefault="00593C82" w:rsidP="00593C82">
      <w:pPr>
        <w:spacing w:line="360" w:lineRule="auto"/>
        <w:jc w:val="both"/>
        <w:rPr>
          <w:rFonts w:ascii="Arial" w:eastAsia="Arial" w:hAnsi="Arial" w:cs="Arial"/>
          <w:lang w:val="en-US"/>
        </w:rPr>
      </w:pPr>
      <w:r w:rsidRPr="00982F6A">
        <w:rPr>
          <w:rFonts w:ascii="Arial" w:eastAsia="Arial" w:hAnsi="Arial" w:cs="Arial"/>
          <w:lang w:val="en-US"/>
        </w:rPr>
        <w:t xml:space="preserve">The research employs a qualitative design using a monomethod approach. Qualitative research is crucial when the aim is to answer complex "how" and "why" questions that relate to human </w:t>
      </w:r>
      <w:proofErr w:type="spellStart"/>
      <w:r w:rsidRPr="00982F6A">
        <w:rPr>
          <w:rFonts w:ascii="Arial" w:eastAsia="Arial" w:hAnsi="Arial" w:cs="Arial"/>
          <w:lang w:val="en-US"/>
        </w:rPr>
        <w:t>behaviour</w:t>
      </w:r>
      <w:proofErr w:type="spellEnd"/>
      <w:r w:rsidRPr="00982F6A">
        <w:rPr>
          <w:rFonts w:ascii="Arial" w:eastAsia="Arial" w:hAnsi="Arial" w:cs="Arial"/>
          <w:lang w:val="en-US"/>
        </w:rPr>
        <w:t xml:space="preserve">, </w:t>
      </w:r>
      <w:proofErr w:type="spellStart"/>
      <w:r w:rsidRPr="00982F6A">
        <w:rPr>
          <w:rFonts w:ascii="Arial" w:eastAsia="Arial" w:hAnsi="Arial" w:cs="Arial"/>
          <w:lang w:val="en-US"/>
        </w:rPr>
        <w:t>organisational</w:t>
      </w:r>
      <w:proofErr w:type="spellEnd"/>
      <w:r w:rsidRPr="00982F6A">
        <w:rPr>
          <w:rFonts w:ascii="Arial" w:eastAsia="Arial" w:hAnsi="Arial" w:cs="Arial"/>
          <w:lang w:val="en-US"/>
        </w:rPr>
        <w:t xml:space="preserve"> culture, and strategic decision-making (Saunders, Lewis, &amp; Thornhill, 2019). Since human capital risk is usually more abstract, such as employee morale, the quality of leadership, and ethical adherence, a qualitative design would enable a more in-depth thematic investigation than a purely quantitative, numerical analysis. It is necessary to focus on the qualitative aspect, as the article of Harvard Business Review (2024) </w:t>
      </w:r>
      <w:proofErr w:type="spellStart"/>
      <w:r w:rsidRPr="00982F6A">
        <w:rPr>
          <w:rFonts w:ascii="Arial" w:eastAsia="Arial" w:hAnsi="Arial" w:cs="Arial"/>
          <w:lang w:val="en-US"/>
        </w:rPr>
        <w:t>emphasises</w:t>
      </w:r>
      <w:proofErr w:type="spellEnd"/>
      <w:r w:rsidRPr="00982F6A">
        <w:rPr>
          <w:rFonts w:ascii="Arial" w:eastAsia="Arial" w:hAnsi="Arial" w:cs="Arial"/>
          <w:lang w:val="en-US"/>
        </w:rPr>
        <w:t xml:space="preserve"> that the so-called human component of risk management needs a narrative insight into the experiences of the employees and the leadership approaches.</w:t>
      </w:r>
    </w:p>
    <w:p w14:paraId="46F8E84A" w14:textId="136CF43B" w:rsidR="00593C82" w:rsidRPr="00982F6A" w:rsidRDefault="00593C82" w:rsidP="00593C82">
      <w:pPr>
        <w:pStyle w:val="Heading3"/>
        <w:rPr>
          <w:rFonts w:cs="Arial"/>
          <w:lang w:val="en-US"/>
        </w:rPr>
      </w:pPr>
      <w:bookmarkStart w:id="94" w:name="_Toc228704045"/>
      <w:r w:rsidRPr="00982F6A">
        <w:rPr>
          <w:rFonts w:cs="Arial"/>
          <w:lang w:val="en-US"/>
        </w:rPr>
        <w:t>3.3.2 A Systematic Literature Review will be the research strategy</w:t>
      </w:r>
      <w:bookmarkEnd w:id="94"/>
    </w:p>
    <w:p w14:paraId="55F438CC" w14:textId="77777777" w:rsidR="00593C82" w:rsidRPr="00982F6A" w:rsidRDefault="00593C82" w:rsidP="00593C82">
      <w:pPr>
        <w:spacing w:line="360" w:lineRule="auto"/>
        <w:jc w:val="both"/>
        <w:rPr>
          <w:rFonts w:ascii="Arial" w:eastAsia="Arial" w:hAnsi="Arial" w:cs="Arial"/>
          <w:lang w:val="en-US"/>
        </w:rPr>
      </w:pPr>
      <w:r w:rsidRPr="00982F6A">
        <w:rPr>
          <w:rFonts w:ascii="Arial" w:eastAsia="Arial" w:hAnsi="Arial" w:cs="Arial"/>
          <w:lang w:val="en-US"/>
        </w:rPr>
        <w:t>The main methodology is a systematic literature review. In contrast to a conventional narrative review, SLR is a transparent, reproducible, and iterative procedure to determine all high-quality research evidence applicable to a particular question (Snyder, 2019).</w:t>
      </w:r>
    </w:p>
    <w:p w14:paraId="1533C2C1" w14:textId="1746F8F6" w:rsidR="00593C82" w:rsidRPr="00982F6A" w:rsidRDefault="00593C82" w:rsidP="00593C82">
      <w:pPr>
        <w:pStyle w:val="ListParagraph"/>
        <w:numPr>
          <w:ilvl w:val="0"/>
          <w:numId w:val="36"/>
        </w:numPr>
        <w:spacing w:line="360" w:lineRule="auto"/>
        <w:jc w:val="both"/>
        <w:rPr>
          <w:rFonts w:ascii="Arial" w:eastAsia="Arial" w:hAnsi="Arial" w:cs="Arial"/>
          <w:lang w:val="en-US"/>
        </w:rPr>
      </w:pPr>
      <w:r w:rsidRPr="00982F6A">
        <w:rPr>
          <w:rFonts w:ascii="Arial" w:eastAsia="Arial" w:hAnsi="Arial" w:cs="Arial"/>
          <w:b/>
          <w:bCs/>
          <w:lang w:val="en-US"/>
        </w:rPr>
        <w:t>Justification:</w:t>
      </w:r>
      <w:r w:rsidRPr="00982F6A">
        <w:rPr>
          <w:rFonts w:ascii="Arial" w:eastAsia="Arial" w:hAnsi="Arial" w:cs="Arial"/>
          <w:lang w:val="en-US"/>
        </w:rPr>
        <w:t xml:space="preserve"> We chose this plan because the intersection of SHCM and Enterprise Risk Management is a developing area. The synthesis of the results of </w:t>
      </w:r>
      <w:r w:rsidRPr="00982F6A">
        <w:rPr>
          <w:rFonts w:ascii="Arial" w:eastAsia="Arial" w:hAnsi="Arial" w:cs="Arial"/>
          <w:lang w:val="en-US"/>
        </w:rPr>
        <w:lastRenderedPageBreak/>
        <w:t xml:space="preserve">about 50 peer-reviewed articles and high-level industry reports compiled by Bloomberg and IBISWorld can help reveal trends and gaps that could have been overlooked by individual cases. As an illustration, the IBISWorld (2024) report on the UK human resources industry highlights the transition towards data-driven risk assessment, a trend that can be supported by means of an SLR by matching the academic theories with the data in the </w:t>
      </w:r>
      <w:proofErr w:type="spellStart"/>
      <w:r w:rsidR="009226E1">
        <w:rPr>
          <w:rFonts w:ascii="Arial" w:eastAsia="Arial" w:hAnsi="Arial" w:cs="Arial"/>
          <w:lang w:val="en-US"/>
        </w:rPr>
        <w:t>organisations</w:t>
      </w:r>
      <w:proofErr w:type="spellEnd"/>
      <w:r w:rsidRPr="00982F6A">
        <w:rPr>
          <w:rFonts w:ascii="Arial" w:eastAsia="Arial" w:hAnsi="Arial" w:cs="Arial"/>
          <w:lang w:val="en-US"/>
        </w:rPr>
        <w:t>.</w:t>
      </w:r>
    </w:p>
    <w:p w14:paraId="7DC31504" w14:textId="77777777" w:rsidR="00593C82" w:rsidRPr="00982F6A" w:rsidRDefault="00593C82" w:rsidP="00593C82">
      <w:pPr>
        <w:pStyle w:val="Heading3"/>
        <w:rPr>
          <w:rFonts w:cs="Arial"/>
          <w:lang w:val="en-US"/>
        </w:rPr>
      </w:pPr>
      <w:bookmarkStart w:id="95" w:name="_Toc228704046"/>
      <w:r w:rsidRPr="00982F6A">
        <w:rPr>
          <w:rFonts w:cs="Arial"/>
          <w:lang w:val="en-US"/>
        </w:rPr>
        <w:t>3.3.3 Time Horizon: Cross-Sectional</w:t>
      </w:r>
      <w:bookmarkEnd w:id="95"/>
    </w:p>
    <w:p w14:paraId="400A2F6B" w14:textId="77777777" w:rsidR="00593C82" w:rsidRPr="00982F6A" w:rsidRDefault="00593C82" w:rsidP="00593C82">
      <w:pPr>
        <w:spacing w:line="360" w:lineRule="auto"/>
        <w:jc w:val="both"/>
        <w:rPr>
          <w:rFonts w:ascii="Arial" w:eastAsia="Arial" w:hAnsi="Arial" w:cs="Arial"/>
          <w:lang w:val="en-US"/>
        </w:rPr>
      </w:pPr>
      <w:r w:rsidRPr="00982F6A">
        <w:rPr>
          <w:rFonts w:ascii="Arial" w:eastAsia="Arial" w:hAnsi="Arial" w:cs="Arial"/>
          <w:lang w:val="en-US"/>
        </w:rPr>
        <w:t>The study has a cross-sectional time horizon, which is commonly known as a snapshot at a specific point (Saunders, Lewis and Thornhill, 2019).</w:t>
      </w:r>
    </w:p>
    <w:p w14:paraId="61C9E42D" w14:textId="77777777" w:rsidR="00593C82" w:rsidRPr="00982F6A" w:rsidRDefault="00593C82" w:rsidP="00593C82">
      <w:pPr>
        <w:pStyle w:val="ListParagraph"/>
        <w:numPr>
          <w:ilvl w:val="0"/>
          <w:numId w:val="35"/>
        </w:numPr>
        <w:spacing w:line="360" w:lineRule="auto"/>
        <w:jc w:val="both"/>
        <w:rPr>
          <w:rFonts w:ascii="Arial" w:eastAsia="Arial" w:hAnsi="Arial" w:cs="Arial"/>
          <w:lang w:val="en-US"/>
        </w:rPr>
      </w:pPr>
      <w:r w:rsidRPr="00982F6A">
        <w:rPr>
          <w:rFonts w:ascii="Arial" w:eastAsia="Arial" w:hAnsi="Arial" w:cs="Arial"/>
          <w:b/>
          <w:bCs/>
          <w:lang w:val="en-US"/>
        </w:rPr>
        <w:t>Justification:</w:t>
      </w:r>
      <w:r w:rsidRPr="00982F6A">
        <w:rPr>
          <w:rFonts w:ascii="Arial" w:eastAsia="Arial" w:hAnsi="Arial" w:cs="Arial"/>
          <w:lang w:val="en-US"/>
        </w:rPr>
        <w:t xml:space="preserve"> Due to the academic limitations and the emphasis on contemporary issues (2020–2025), a cross-sectional approach is the most suitable. It enables the assessment of the existing situation in SHCM and risk management in the UK after significant disruptions like the COVID-19 pandemic and recent changes in the economy. Whereas longitudinal studies provide information on the long-term changes, the cross-sectional design is adequate in developing a conceptual framework based on the most updated published information.</w:t>
      </w:r>
    </w:p>
    <w:p w14:paraId="1943770E" w14:textId="77777777" w:rsidR="00593C82" w:rsidRPr="00982F6A" w:rsidRDefault="00593C82" w:rsidP="00593C82">
      <w:pPr>
        <w:pStyle w:val="Heading3"/>
        <w:rPr>
          <w:rFonts w:cs="Arial"/>
          <w:lang w:val="en-US"/>
        </w:rPr>
      </w:pPr>
      <w:bookmarkStart w:id="96" w:name="_Toc228704047"/>
      <w:r w:rsidRPr="00982F6A">
        <w:rPr>
          <w:rFonts w:cs="Arial"/>
          <w:lang w:val="en-US"/>
        </w:rPr>
        <w:t>3.3.4 Data Collection and Sources: Secondary Data</w:t>
      </w:r>
      <w:bookmarkEnd w:id="96"/>
    </w:p>
    <w:p w14:paraId="4C3B0C5B" w14:textId="77777777" w:rsidR="00593C82" w:rsidRPr="00982F6A" w:rsidRDefault="00593C82" w:rsidP="00593C82">
      <w:pPr>
        <w:spacing w:line="360" w:lineRule="auto"/>
        <w:jc w:val="both"/>
        <w:rPr>
          <w:rFonts w:ascii="Arial" w:eastAsia="Arial" w:hAnsi="Arial" w:cs="Arial"/>
          <w:lang w:val="en-US"/>
        </w:rPr>
      </w:pPr>
      <w:r w:rsidRPr="00982F6A">
        <w:rPr>
          <w:rFonts w:ascii="Arial" w:eastAsia="Arial" w:hAnsi="Arial" w:cs="Arial"/>
          <w:lang w:val="en-US"/>
        </w:rPr>
        <w:t>The design is based solely on the secondary data. It includes the re-evaluation of the already collected data that are not intended to be used for another purpose (Saunders, Lewis and Thornhill, 2019).</w:t>
      </w:r>
    </w:p>
    <w:p w14:paraId="1055E8B6" w14:textId="68FC668C" w:rsidR="00593C82" w:rsidRPr="00982F6A" w:rsidRDefault="00593C82" w:rsidP="00593C82">
      <w:pPr>
        <w:pStyle w:val="ListParagraph"/>
        <w:numPr>
          <w:ilvl w:val="0"/>
          <w:numId w:val="29"/>
        </w:numPr>
        <w:spacing w:line="360" w:lineRule="auto"/>
        <w:jc w:val="both"/>
        <w:rPr>
          <w:rFonts w:ascii="Arial" w:eastAsia="Arial" w:hAnsi="Arial" w:cs="Arial"/>
          <w:lang w:val="en-US"/>
        </w:rPr>
      </w:pPr>
      <w:r w:rsidRPr="00982F6A">
        <w:rPr>
          <w:rFonts w:ascii="Arial" w:eastAsia="Arial" w:hAnsi="Arial" w:cs="Arial"/>
          <w:b/>
          <w:bCs/>
          <w:lang w:val="en-US"/>
        </w:rPr>
        <w:t>Scholarly Resources:</w:t>
      </w:r>
      <w:r w:rsidRPr="00982F6A">
        <w:rPr>
          <w:rFonts w:ascii="Arial" w:eastAsia="Arial" w:hAnsi="Arial" w:cs="Arial"/>
          <w:lang w:val="en-US"/>
        </w:rPr>
        <w:t xml:space="preserve"> Scholarly journals (e.g., Journal of Risk Research, Human Resource Management Journal).</w:t>
      </w:r>
    </w:p>
    <w:p w14:paraId="4ACD45F0" w14:textId="7B8427F6" w:rsidR="00593C82" w:rsidRPr="00982F6A" w:rsidRDefault="00593C82" w:rsidP="00593C82">
      <w:pPr>
        <w:pStyle w:val="ListParagraph"/>
        <w:numPr>
          <w:ilvl w:val="0"/>
          <w:numId w:val="29"/>
        </w:numPr>
        <w:spacing w:line="360" w:lineRule="auto"/>
        <w:jc w:val="both"/>
        <w:rPr>
          <w:rFonts w:ascii="Arial" w:eastAsia="Arial" w:hAnsi="Arial" w:cs="Arial"/>
          <w:lang w:val="en-US"/>
        </w:rPr>
      </w:pPr>
      <w:r w:rsidRPr="00982F6A">
        <w:rPr>
          <w:rFonts w:ascii="Arial" w:eastAsia="Arial" w:hAnsi="Arial" w:cs="Arial"/>
          <w:b/>
          <w:bCs/>
          <w:lang w:val="en-US"/>
        </w:rPr>
        <w:t>Grey Literature:</w:t>
      </w:r>
      <w:r w:rsidRPr="00982F6A">
        <w:rPr>
          <w:rFonts w:ascii="Arial" w:eastAsia="Arial" w:hAnsi="Arial" w:cs="Arial"/>
          <w:lang w:val="en-US"/>
        </w:rPr>
        <w:t xml:space="preserve"> Industry reports from PwC (2023), Bloomberg (2024), and CIPD (2023).</w:t>
      </w:r>
    </w:p>
    <w:p w14:paraId="4000EE64" w14:textId="77777777" w:rsidR="00593C82" w:rsidRPr="00982F6A" w:rsidRDefault="00593C82" w:rsidP="00593C82">
      <w:pPr>
        <w:spacing w:line="360" w:lineRule="auto"/>
        <w:jc w:val="both"/>
        <w:rPr>
          <w:rFonts w:ascii="Arial" w:eastAsia="Arial" w:hAnsi="Arial" w:cs="Arial"/>
          <w:lang w:val="en-US"/>
        </w:rPr>
      </w:pPr>
      <w:r w:rsidRPr="00982F6A">
        <w:rPr>
          <w:rFonts w:ascii="Arial" w:eastAsia="Arial" w:hAnsi="Arial" w:cs="Arial"/>
          <w:b/>
          <w:bCs/>
          <w:lang w:val="en-US"/>
        </w:rPr>
        <w:t>Justification:</w:t>
      </w:r>
      <w:r w:rsidRPr="00982F6A">
        <w:rPr>
          <w:rFonts w:ascii="Arial" w:eastAsia="Arial" w:hAnsi="Arial" w:cs="Arial"/>
          <w:lang w:val="en-US"/>
        </w:rPr>
        <w:t xml:space="preserve"> Secondary data is very effective in this research because it will access extensive, large-scale and nationwide data (like ONS 2023 </w:t>
      </w:r>
      <w:proofErr w:type="spellStart"/>
      <w:r w:rsidRPr="00982F6A">
        <w:rPr>
          <w:rFonts w:ascii="Arial" w:eastAsia="Arial" w:hAnsi="Arial" w:cs="Arial"/>
          <w:lang w:val="en-US"/>
        </w:rPr>
        <w:t>labour</w:t>
      </w:r>
      <w:proofErr w:type="spellEnd"/>
      <w:r w:rsidRPr="00982F6A">
        <w:rPr>
          <w:rFonts w:ascii="Arial" w:eastAsia="Arial" w:hAnsi="Arial" w:cs="Arial"/>
          <w:lang w:val="en-US"/>
        </w:rPr>
        <w:t xml:space="preserve"> market reports) that an individual researcher cannot possibly gather on their own. It is very reliable, and it can be used to compare the various </w:t>
      </w:r>
      <w:proofErr w:type="spellStart"/>
      <w:r w:rsidRPr="00982F6A">
        <w:rPr>
          <w:rFonts w:ascii="Arial" w:eastAsia="Arial" w:hAnsi="Arial" w:cs="Arial"/>
          <w:lang w:val="en-US"/>
        </w:rPr>
        <w:t>organisational</w:t>
      </w:r>
      <w:proofErr w:type="spellEnd"/>
      <w:r w:rsidRPr="00982F6A">
        <w:rPr>
          <w:rFonts w:ascii="Arial" w:eastAsia="Arial" w:hAnsi="Arial" w:cs="Arial"/>
          <w:lang w:val="en-US"/>
        </w:rPr>
        <w:t xml:space="preserve"> situations within the UK.</w:t>
      </w:r>
    </w:p>
    <w:p w14:paraId="7EC642DF" w14:textId="3B47212B" w:rsidR="00593C82" w:rsidRPr="00982F6A" w:rsidRDefault="00593C82" w:rsidP="00593C82">
      <w:pPr>
        <w:pStyle w:val="Heading3"/>
        <w:rPr>
          <w:rFonts w:cs="Arial"/>
          <w:lang w:val="en-US"/>
        </w:rPr>
      </w:pPr>
      <w:bookmarkStart w:id="97" w:name="_Toc228704048"/>
      <w:r w:rsidRPr="00982F6A">
        <w:rPr>
          <w:rFonts w:cs="Arial"/>
          <w:lang w:val="en-US"/>
        </w:rPr>
        <w:lastRenderedPageBreak/>
        <w:t>3.3.5 Data Analysis: Thematic Analysis</w:t>
      </w:r>
      <w:bookmarkEnd w:id="97"/>
    </w:p>
    <w:p w14:paraId="17006F55" w14:textId="77777777" w:rsidR="00593C82" w:rsidRPr="00982F6A" w:rsidRDefault="00593C82" w:rsidP="00593C82">
      <w:pPr>
        <w:spacing w:line="360" w:lineRule="auto"/>
        <w:jc w:val="both"/>
        <w:rPr>
          <w:rFonts w:ascii="Arial" w:eastAsia="Arial" w:hAnsi="Arial" w:cs="Arial"/>
          <w:lang w:val="en-US"/>
        </w:rPr>
      </w:pPr>
      <w:r w:rsidRPr="00982F6A">
        <w:rPr>
          <w:rFonts w:ascii="Arial" w:eastAsia="Arial" w:hAnsi="Arial" w:cs="Arial"/>
          <w:lang w:val="en-US"/>
        </w:rPr>
        <w:t>Thematic analysis will be used in the analysis of the data (Braun and Clarke, 2006). This will entail the identification, analysis and reporting of patterns (themes) in the data.</w:t>
      </w:r>
    </w:p>
    <w:p w14:paraId="65792D9D" w14:textId="45B00343" w:rsidR="00745A84" w:rsidRPr="00982F6A" w:rsidRDefault="00593C82" w:rsidP="00593C82">
      <w:pPr>
        <w:pStyle w:val="ListParagraph"/>
        <w:numPr>
          <w:ilvl w:val="0"/>
          <w:numId w:val="33"/>
        </w:numPr>
        <w:spacing w:line="360" w:lineRule="auto"/>
        <w:jc w:val="both"/>
        <w:rPr>
          <w:rFonts w:ascii="Arial" w:eastAsia="Arial" w:hAnsi="Arial" w:cs="Arial"/>
          <w:lang w:val="en-US"/>
        </w:rPr>
      </w:pPr>
      <w:r w:rsidRPr="00982F6A">
        <w:rPr>
          <w:rFonts w:ascii="Arial" w:eastAsia="Arial" w:hAnsi="Arial" w:cs="Arial"/>
          <w:b/>
          <w:bCs/>
          <w:lang w:val="en-US"/>
        </w:rPr>
        <w:t>Justification:</w:t>
      </w:r>
      <w:r w:rsidRPr="00982F6A">
        <w:rPr>
          <w:rFonts w:ascii="Arial" w:eastAsia="Arial" w:hAnsi="Arial" w:cs="Arial"/>
          <w:lang w:val="en-US"/>
        </w:rPr>
        <w:t xml:space="preserve"> Thematic analysis is adaptable and resonates best with the interpretivism philosophy. It helps the researcher to place different categories of so-called human capital risks and strategic HR interventions into a unified framework and transform raw data into high-level conceptual information</w:t>
      </w:r>
      <w:r w:rsidR="00745A84" w:rsidRPr="00982F6A">
        <w:rPr>
          <w:rFonts w:ascii="Arial" w:eastAsia="Arial" w:hAnsi="Arial" w:cs="Arial"/>
          <w:lang w:val="en-US"/>
        </w:rPr>
        <w:t>.</w:t>
      </w:r>
    </w:p>
    <w:p w14:paraId="5DE5D066" w14:textId="77777777" w:rsidR="002A36DB" w:rsidRPr="00982F6A" w:rsidRDefault="002A36DB" w:rsidP="002A36DB">
      <w:pPr>
        <w:pStyle w:val="Heading2"/>
        <w:rPr>
          <w:rFonts w:cs="Arial"/>
        </w:rPr>
      </w:pPr>
      <w:bookmarkStart w:id="98" w:name="_Toc227156007"/>
      <w:bookmarkStart w:id="99" w:name="_Toc228704049"/>
      <w:r w:rsidRPr="00982F6A">
        <w:rPr>
          <w:rFonts w:cs="Arial"/>
        </w:rPr>
        <w:t>3.4 Research Approaches</w:t>
      </w:r>
      <w:bookmarkEnd w:id="98"/>
      <w:bookmarkEnd w:id="99"/>
    </w:p>
    <w:p w14:paraId="0DEEA178" w14:textId="77777777" w:rsidR="00096646" w:rsidRPr="00096646" w:rsidRDefault="00096646" w:rsidP="00096646">
      <w:pPr>
        <w:spacing w:line="360" w:lineRule="auto"/>
        <w:jc w:val="both"/>
        <w:rPr>
          <w:rFonts w:ascii="Arial" w:eastAsia="Arial" w:hAnsi="Arial" w:cs="Arial"/>
          <w:lang w:val="en-US"/>
        </w:rPr>
      </w:pPr>
      <w:r w:rsidRPr="00096646">
        <w:rPr>
          <w:rFonts w:ascii="Arial" w:eastAsia="Arial" w:hAnsi="Arial" w:cs="Arial"/>
          <w:lang w:val="en-US"/>
        </w:rPr>
        <w:t>The methodology of the research determines the type of relationship that exists between theory and data, as well as whether it seeks to test, develop, or switch between the two. This research follows an abductive approach, with the framework laid down in the research onion by Saunders, Lewis, and Thornhill (2019).</w:t>
      </w:r>
    </w:p>
    <w:p w14:paraId="16B5209C" w14:textId="77777777" w:rsidR="00096646" w:rsidRPr="00096646" w:rsidRDefault="00096646" w:rsidP="00096646">
      <w:pPr>
        <w:spacing w:line="360" w:lineRule="auto"/>
        <w:jc w:val="both"/>
        <w:rPr>
          <w:rFonts w:ascii="Arial" w:eastAsia="Arial" w:hAnsi="Arial" w:cs="Arial"/>
          <w:lang w:val="en-US"/>
        </w:rPr>
      </w:pPr>
      <w:r w:rsidRPr="00096646">
        <w:rPr>
          <w:rFonts w:ascii="Arial" w:eastAsia="Arial" w:hAnsi="Arial" w:cs="Arial"/>
          <w:lang w:val="en-US"/>
        </w:rPr>
        <w:t>This decision is well-grounded because the study begins with some prior knowledge and is not solely focused on verifying one hypothesis. Rather, it starts with a conceptual framework that is based on known theories like the Resource-Based View (RBV) and Human Capital Theory but is malleable enough to enable new patterns about human capital risk to be brought out by the secondary data. Snyder (2019) notes that an abductive approach is particularly successful in systematic literature reviews aimed at refining complex management concepts because it allows researchers to consider that the data may reveal surprising facts or emerging trends not fully explained by traditional theories, such as the recent trend of using AI-driven risk analytics.</w:t>
      </w:r>
    </w:p>
    <w:p w14:paraId="3DB0B400" w14:textId="080EDC20" w:rsidR="00096646" w:rsidRPr="00096646" w:rsidRDefault="00096646" w:rsidP="00096646">
      <w:pPr>
        <w:spacing w:line="360" w:lineRule="auto"/>
        <w:jc w:val="both"/>
        <w:rPr>
          <w:rFonts w:ascii="Arial" w:eastAsia="Arial" w:hAnsi="Arial" w:cs="Arial"/>
          <w:lang w:val="en-US"/>
        </w:rPr>
      </w:pPr>
      <w:r w:rsidRPr="00096646">
        <w:rPr>
          <w:rFonts w:ascii="Arial" w:eastAsia="Arial" w:hAnsi="Arial" w:cs="Arial"/>
          <w:lang w:val="en-US"/>
        </w:rPr>
        <w:t xml:space="preserve">An abductive approach is also strategically important to the present study because it enables an iterative flow between the theoretical basis of Strategic Human Capital Management (SHCM) and the empirical reality of the UK </w:t>
      </w:r>
      <w:proofErr w:type="spellStart"/>
      <w:r w:rsidRPr="00096646">
        <w:rPr>
          <w:rFonts w:ascii="Arial" w:eastAsia="Arial" w:hAnsi="Arial" w:cs="Arial"/>
          <w:lang w:val="en-US"/>
        </w:rPr>
        <w:t>labour</w:t>
      </w:r>
      <w:proofErr w:type="spellEnd"/>
      <w:r w:rsidRPr="00096646">
        <w:rPr>
          <w:rFonts w:ascii="Arial" w:eastAsia="Arial" w:hAnsi="Arial" w:cs="Arial"/>
          <w:lang w:val="en-US"/>
        </w:rPr>
        <w:t xml:space="preserve"> market. As an example, the paper deductively applies the Committee of Sponsoring </w:t>
      </w:r>
      <w:proofErr w:type="spellStart"/>
      <w:r w:rsidRPr="00096646">
        <w:rPr>
          <w:rFonts w:ascii="Arial" w:eastAsia="Arial" w:hAnsi="Arial" w:cs="Arial"/>
          <w:lang w:val="en-US"/>
        </w:rPr>
        <w:t>Organisations</w:t>
      </w:r>
      <w:proofErr w:type="spellEnd"/>
      <w:r w:rsidRPr="00096646">
        <w:rPr>
          <w:rFonts w:ascii="Arial" w:eastAsia="Arial" w:hAnsi="Arial" w:cs="Arial"/>
          <w:lang w:val="en-US"/>
        </w:rPr>
        <w:t xml:space="preserve"> (COSO, 2017) risk framework to classify the threats to the HRM workforce but inductively examines recent reports in the industry by Bloomberg (2024) and PwC (2023) on how these risks are currently presenting in UK </w:t>
      </w:r>
      <w:proofErr w:type="spellStart"/>
      <w:r w:rsidRPr="00096646">
        <w:rPr>
          <w:rFonts w:ascii="Arial" w:eastAsia="Arial" w:hAnsi="Arial" w:cs="Arial"/>
          <w:lang w:val="en-US"/>
        </w:rPr>
        <w:t>organisations</w:t>
      </w:r>
      <w:proofErr w:type="spellEnd"/>
      <w:r w:rsidRPr="00096646">
        <w:rPr>
          <w:rFonts w:ascii="Arial" w:eastAsia="Arial" w:hAnsi="Arial" w:cs="Arial"/>
          <w:lang w:val="en-US"/>
        </w:rPr>
        <w:t>. This process is essential since risks related to human capital are not static; a talent shortage in 2026 might be caused by other factors than in 2019.</w:t>
      </w:r>
    </w:p>
    <w:p w14:paraId="3EF627BC" w14:textId="77777777" w:rsidR="00096646" w:rsidRPr="00096646" w:rsidRDefault="00096646" w:rsidP="00096646">
      <w:pPr>
        <w:spacing w:line="360" w:lineRule="auto"/>
        <w:jc w:val="both"/>
        <w:rPr>
          <w:rFonts w:ascii="Arial" w:eastAsia="Arial" w:hAnsi="Arial" w:cs="Arial"/>
          <w:lang w:val="en-US"/>
        </w:rPr>
      </w:pPr>
      <w:r w:rsidRPr="00096646">
        <w:rPr>
          <w:rFonts w:ascii="Arial" w:eastAsia="Arial" w:hAnsi="Arial" w:cs="Arial"/>
          <w:lang w:val="en-US"/>
        </w:rPr>
        <w:lastRenderedPageBreak/>
        <w:t>With the help of abduction, the researcher is able to modify the conceptual structure dynamically as the thematic analysis unfolds so that the resulting recommendations are theoretically informed and closely applicable to the modern UK situation (Saunders, Lewis and Thornhill, 2019). This adaptability is further supported by the current structural changes in the UK HR industry, which necessitate research that can adjust to the rapid shifts in industry standards and regulatory compliance demands (IBISWorld, 2024).</w:t>
      </w:r>
    </w:p>
    <w:p w14:paraId="045F38EF" w14:textId="77777777" w:rsidR="00096646" w:rsidRPr="00096646" w:rsidRDefault="00096646" w:rsidP="00096646">
      <w:pPr>
        <w:spacing w:line="360" w:lineRule="auto"/>
        <w:jc w:val="both"/>
        <w:rPr>
          <w:rFonts w:ascii="Arial" w:eastAsia="Arial" w:hAnsi="Arial" w:cs="Arial"/>
          <w:lang w:val="en-US"/>
        </w:rPr>
      </w:pPr>
      <w:r w:rsidRPr="00096646">
        <w:rPr>
          <w:rFonts w:ascii="Arial" w:eastAsia="Arial" w:hAnsi="Arial" w:cs="Arial"/>
          <w:lang w:val="en-US"/>
        </w:rPr>
        <w:t xml:space="preserve">Moreover, the abductive method deals with the intrinsic weaknesses of the other two techniques. A strictly deductive method may be too narrow, and it does not take into account subtle qualitative data about the well-being of employees and the </w:t>
      </w:r>
      <w:proofErr w:type="spellStart"/>
      <w:r w:rsidRPr="00096646">
        <w:rPr>
          <w:rFonts w:ascii="Arial" w:eastAsia="Arial" w:hAnsi="Arial" w:cs="Arial"/>
          <w:lang w:val="en-US"/>
        </w:rPr>
        <w:t>organisational</w:t>
      </w:r>
      <w:proofErr w:type="spellEnd"/>
      <w:r w:rsidRPr="00096646">
        <w:rPr>
          <w:rFonts w:ascii="Arial" w:eastAsia="Arial" w:hAnsi="Arial" w:cs="Arial"/>
          <w:lang w:val="en-US"/>
        </w:rPr>
        <w:t xml:space="preserve"> culture that is </w:t>
      </w:r>
      <w:proofErr w:type="spellStart"/>
      <w:r w:rsidRPr="00096646">
        <w:rPr>
          <w:rFonts w:ascii="Arial" w:eastAsia="Arial" w:hAnsi="Arial" w:cs="Arial"/>
          <w:lang w:val="en-US"/>
        </w:rPr>
        <w:t>emphasised</w:t>
      </w:r>
      <w:proofErr w:type="spellEnd"/>
      <w:r w:rsidRPr="00096646">
        <w:rPr>
          <w:rFonts w:ascii="Arial" w:eastAsia="Arial" w:hAnsi="Arial" w:cs="Arial"/>
          <w:lang w:val="en-US"/>
        </w:rPr>
        <w:t xml:space="preserve"> in the CIPD (2023) reports. On the other hand, a pure inductive methodology would disregard the decades of proven research on human capital and, in essence, would be reinventing the wheel.</w:t>
      </w:r>
    </w:p>
    <w:p w14:paraId="5417CFF0" w14:textId="77777777" w:rsidR="00096646" w:rsidRPr="00096646" w:rsidRDefault="00096646" w:rsidP="00096646">
      <w:pPr>
        <w:spacing w:line="360" w:lineRule="auto"/>
        <w:jc w:val="both"/>
        <w:rPr>
          <w:rFonts w:ascii="Arial" w:eastAsia="Arial" w:hAnsi="Arial" w:cs="Arial"/>
          <w:lang w:val="en-US"/>
        </w:rPr>
      </w:pPr>
      <w:r w:rsidRPr="00096646">
        <w:rPr>
          <w:rFonts w:ascii="Arial" w:eastAsia="Arial" w:hAnsi="Arial" w:cs="Arial"/>
          <w:lang w:val="en-US"/>
        </w:rPr>
        <w:t>With the complexity of the HR-performance relationship, a methodology that takes into account the existing approaches to the relationship and is also free to interpret the employee experience, as Guest (2017) suggests, is needed. So, the abductive method is a middle ground, and this dissertation will use the detailed data from ONS (2023) and Harvard Business Review (2024) to improve our understanding of how SHCM can help reduce risks.</w:t>
      </w:r>
    </w:p>
    <w:p w14:paraId="4BB24975" w14:textId="144D0E01" w:rsidR="007F09E0" w:rsidRPr="00982F6A" w:rsidRDefault="00096646" w:rsidP="007F09E0">
      <w:pPr>
        <w:spacing w:line="360" w:lineRule="auto"/>
        <w:jc w:val="both"/>
        <w:rPr>
          <w:rFonts w:ascii="Arial" w:eastAsia="Arial" w:hAnsi="Arial" w:cs="Arial"/>
          <w:lang w:val="en-US"/>
        </w:rPr>
      </w:pPr>
      <w:r w:rsidRPr="00096646">
        <w:rPr>
          <w:rFonts w:ascii="Arial" w:eastAsia="Arial" w:hAnsi="Arial" w:cs="Arial"/>
          <w:lang w:val="en-US"/>
        </w:rPr>
        <w:t xml:space="preserve">The resulting synthesis eventually results in a stronger conceptual framework that is a true representation of the intersection of strategic management and </w:t>
      </w:r>
      <w:proofErr w:type="spellStart"/>
      <w:r w:rsidRPr="00096646">
        <w:rPr>
          <w:rFonts w:ascii="Arial" w:eastAsia="Arial" w:hAnsi="Arial" w:cs="Arial"/>
          <w:lang w:val="en-US"/>
        </w:rPr>
        <w:t>organisational</w:t>
      </w:r>
      <w:proofErr w:type="spellEnd"/>
      <w:r w:rsidRPr="00096646">
        <w:rPr>
          <w:rFonts w:ascii="Arial" w:eastAsia="Arial" w:hAnsi="Arial" w:cs="Arial"/>
          <w:lang w:val="en-US"/>
        </w:rPr>
        <w:t xml:space="preserve"> resilience within a dynamic business environment.</w:t>
      </w:r>
    </w:p>
    <w:p w14:paraId="11B8DDE8" w14:textId="77777777" w:rsidR="007F09E0" w:rsidRPr="00982F6A" w:rsidRDefault="007F09E0" w:rsidP="007F09E0">
      <w:pPr>
        <w:pStyle w:val="Heading2"/>
        <w:rPr>
          <w:rFonts w:cs="Arial"/>
        </w:rPr>
      </w:pPr>
      <w:bookmarkStart w:id="100" w:name="_Toc228704050"/>
      <w:r w:rsidRPr="00982F6A">
        <w:rPr>
          <w:rFonts w:cs="Arial"/>
        </w:rPr>
        <w:t>3.5 Data Collection Methods</w:t>
      </w:r>
      <w:bookmarkEnd w:id="100"/>
    </w:p>
    <w:p w14:paraId="7C25BCEF" w14:textId="77777777" w:rsidR="007F09E0" w:rsidRPr="00982F6A" w:rsidRDefault="007F09E0" w:rsidP="007F09E0">
      <w:pPr>
        <w:spacing w:line="360" w:lineRule="auto"/>
        <w:jc w:val="both"/>
        <w:rPr>
          <w:rFonts w:ascii="Arial" w:eastAsia="Arial" w:hAnsi="Arial" w:cs="Arial"/>
          <w:lang w:val="en-US"/>
        </w:rPr>
      </w:pPr>
      <w:r w:rsidRPr="00982F6A">
        <w:rPr>
          <w:rFonts w:ascii="Arial" w:eastAsia="Arial" w:hAnsi="Arial" w:cs="Arial"/>
          <w:lang w:val="en-US"/>
        </w:rPr>
        <w:t xml:space="preserve">The research process relies heavily on data collection methods, ensuring rigorous and academically sound research. In this paper, the Systematic Literature Review (SLR) is the general approach that requires secondary data collection as the method of data collection. This decision will be based on the necessity to </w:t>
      </w:r>
      <w:proofErr w:type="spellStart"/>
      <w:r w:rsidRPr="00982F6A">
        <w:rPr>
          <w:rFonts w:ascii="Arial" w:eastAsia="Arial" w:hAnsi="Arial" w:cs="Arial"/>
          <w:lang w:val="en-US"/>
        </w:rPr>
        <w:t>synthesise</w:t>
      </w:r>
      <w:proofErr w:type="spellEnd"/>
      <w:r w:rsidRPr="00982F6A">
        <w:rPr>
          <w:rFonts w:ascii="Arial" w:eastAsia="Arial" w:hAnsi="Arial" w:cs="Arial"/>
          <w:lang w:val="en-US"/>
        </w:rPr>
        <w:t xml:space="preserve"> a wide spectrum of existing high-quality evidence to make sense of the changing environment of Strategic Human Capital Management (SHCM) and its part in risk governance in the context of the UK.</w:t>
      </w:r>
    </w:p>
    <w:p w14:paraId="4ECE0ABE" w14:textId="77777777" w:rsidR="007F09E0" w:rsidRPr="00982F6A" w:rsidRDefault="007F09E0" w:rsidP="007F09E0">
      <w:pPr>
        <w:pStyle w:val="Heading3"/>
        <w:rPr>
          <w:rFonts w:cs="Arial"/>
          <w:lang w:val="en-US"/>
        </w:rPr>
      </w:pPr>
      <w:bookmarkStart w:id="101" w:name="_Toc228704051"/>
      <w:r w:rsidRPr="00982F6A">
        <w:rPr>
          <w:rFonts w:cs="Arial"/>
          <w:lang w:val="en-US"/>
        </w:rPr>
        <w:lastRenderedPageBreak/>
        <w:t>3.5.1 The justification of secondary data.</w:t>
      </w:r>
      <w:bookmarkEnd w:id="101"/>
    </w:p>
    <w:p w14:paraId="517F06D8" w14:textId="77777777" w:rsidR="007F09E0" w:rsidRPr="00982F6A" w:rsidRDefault="007F09E0" w:rsidP="007F09E0">
      <w:pPr>
        <w:spacing w:line="360" w:lineRule="auto"/>
        <w:jc w:val="both"/>
        <w:rPr>
          <w:rFonts w:ascii="Arial" w:eastAsia="Arial" w:hAnsi="Arial" w:cs="Arial"/>
          <w:lang w:val="en-US"/>
        </w:rPr>
      </w:pPr>
      <w:r w:rsidRPr="00982F6A">
        <w:rPr>
          <w:rFonts w:ascii="Arial" w:eastAsia="Arial" w:hAnsi="Arial" w:cs="Arial"/>
          <w:lang w:val="en-US"/>
        </w:rPr>
        <w:t xml:space="preserve">The process of secondary data collection means that the information is collected and </w:t>
      </w:r>
      <w:proofErr w:type="spellStart"/>
      <w:r w:rsidRPr="00982F6A">
        <w:rPr>
          <w:rFonts w:ascii="Arial" w:eastAsia="Arial" w:hAnsi="Arial" w:cs="Arial"/>
          <w:lang w:val="en-US"/>
        </w:rPr>
        <w:t>reanalysed</w:t>
      </w:r>
      <w:proofErr w:type="spellEnd"/>
      <w:r w:rsidRPr="00982F6A">
        <w:rPr>
          <w:rFonts w:ascii="Arial" w:eastAsia="Arial" w:hAnsi="Arial" w:cs="Arial"/>
          <w:lang w:val="en-US"/>
        </w:rPr>
        <w:t xml:space="preserve"> by others who have collected the information initially under different aims (Saunders, Lewis and Thornhill, 2019). Such an approach has been chosen due to a number of strategic reasons:</w:t>
      </w:r>
    </w:p>
    <w:p w14:paraId="113674EC" w14:textId="2606FE94" w:rsidR="007F09E0" w:rsidRPr="00982F6A" w:rsidRDefault="007F09E0" w:rsidP="007F09E0">
      <w:pPr>
        <w:pStyle w:val="ListParagraph"/>
        <w:numPr>
          <w:ilvl w:val="0"/>
          <w:numId w:val="33"/>
        </w:numPr>
        <w:spacing w:line="360" w:lineRule="auto"/>
        <w:jc w:val="both"/>
        <w:rPr>
          <w:rFonts w:ascii="Arial" w:eastAsia="Arial" w:hAnsi="Arial" w:cs="Arial"/>
          <w:lang w:val="en-US"/>
        </w:rPr>
      </w:pPr>
      <w:r w:rsidRPr="00982F6A">
        <w:rPr>
          <w:rFonts w:ascii="Arial" w:eastAsia="Arial" w:hAnsi="Arial" w:cs="Arial"/>
          <w:b/>
          <w:bCs/>
          <w:lang w:val="en-US"/>
        </w:rPr>
        <w:t>Breadth and Depth:</w:t>
      </w:r>
      <w:r w:rsidRPr="00982F6A">
        <w:rPr>
          <w:rFonts w:ascii="Arial" w:eastAsia="Arial" w:hAnsi="Arial" w:cs="Arial"/>
          <w:lang w:val="en-US"/>
        </w:rPr>
        <w:t xml:space="preserve"> It will admit large-scale, nationwide data and professional analyses which would otherwise be logistically infeasible to gather via primary research. As an example, the Office for National Statistics (ONS, 2023) reports show a macro-level perspective of the UK </w:t>
      </w:r>
      <w:proofErr w:type="spellStart"/>
      <w:r w:rsidRPr="00982F6A">
        <w:rPr>
          <w:rFonts w:ascii="Arial" w:eastAsia="Arial" w:hAnsi="Arial" w:cs="Arial"/>
          <w:lang w:val="en-US"/>
        </w:rPr>
        <w:t>labour</w:t>
      </w:r>
      <w:proofErr w:type="spellEnd"/>
      <w:r w:rsidRPr="00982F6A">
        <w:rPr>
          <w:rFonts w:ascii="Arial" w:eastAsia="Arial" w:hAnsi="Arial" w:cs="Arial"/>
          <w:lang w:val="en-US"/>
        </w:rPr>
        <w:t xml:space="preserve"> market, which cannot be matched by an individual interview.</w:t>
      </w:r>
    </w:p>
    <w:p w14:paraId="71303D26" w14:textId="7C13935D" w:rsidR="007F09E0" w:rsidRPr="00982F6A" w:rsidRDefault="007F09E0" w:rsidP="007F09E0">
      <w:pPr>
        <w:pStyle w:val="ListParagraph"/>
        <w:numPr>
          <w:ilvl w:val="0"/>
          <w:numId w:val="33"/>
        </w:numPr>
        <w:spacing w:line="360" w:lineRule="auto"/>
        <w:jc w:val="both"/>
        <w:rPr>
          <w:rFonts w:ascii="Arial" w:eastAsia="Arial" w:hAnsi="Arial" w:cs="Arial"/>
          <w:lang w:val="en-US"/>
        </w:rPr>
      </w:pPr>
      <w:r w:rsidRPr="00982F6A">
        <w:rPr>
          <w:rFonts w:ascii="Arial" w:eastAsia="Arial" w:hAnsi="Arial" w:cs="Arial"/>
          <w:b/>
          <w:bCs/>
          <w:lang w:val="en-US"/>
        </w:rPr>
        <w:t>Cost and Time Saving:</w:t>
      </w:r>
      <w:r w:rsidRPr="00982F6A">
        <w:rPr>
          <w:rFonts w:ascii="Arial" w:eastAsia="Arial" w:hAnsi="Arial" w:cs="Arial"/>
          <w:lang w:val="en-US"/>
        </w:rPr>
        <w:t xml:space="preserve"> Since a dissertation is also limited, secondary data offers abundant </w:t>
      </w:r>
      <w:proofErr w:type="spellStart"/>
      <w:r w:rsidRPr="00982F6A">
        <w:rPr>
          <w:rFonts w:ascii="Arial" w:eastAsia="Arial" w:hAnsi="Arial" w:cs="Arial"/>
          <w:lang w:val="en-US"/>
        </w:rPr>
        <w:t>prioritised</w:t>
      </w:r>
      <w:proofErr w:type="spellEnd"/>
      <w:r w:rsidRPr="00982F6A">
        <w:rPr>
          <w:rFonts w:ascii="Arial" w:eastAsia="Arial" w:hAnsi="Arial" w:cs="Arial"/>
          <w:lang w:val="en-US"/>
        </w:rPr>
        <w:t xml:space="preserve"> information, and the researcher is able to concentrate on advanced thematic synthesis and building of concepts (Snyder, 2019).</w:t>
      </w:r>
    </w:p>
    <w:p w14:paraId="62A6DC94" w14:textId="77777777" w:rsidR="007F09E0" w:rsidRPr="00982F6A" w:rsidRDefault="007F09E0" w:rsidP="007F09E0">
      <w:pPr>
        <w:pStyle w:val="ListParagraph"/>
        <w:numPr>
          <w:ilvl w:val="0"/>
          <w:numId w:val="33"/>
        </w:numPr>
        <w:spacing w:line="360" w:lineRule="auto"/>
        <w:jc w:val="both"/>
        <w:rPr>
          <w:rFonts w:ascii="Arial" w:eastAsia="Arial" w:hAnsi="Arial" w:cs="Arial"/>
          <w:lang w:val="en-US"/>
        </w:rPr>
      </w:pPr>
      <w:r w:rsidRPr="00982F6A">
        <w:rPr>
          <w:rFonts w:ascii="Arial" w:eastAsia="Arial" w:hAnsi="Arial" w:cs="Arial"/>
          <w:b/>
          <w:bCs/>
          <w:lang w:val="en-US"/>
        </w:rPr>
        <w:t>Reliability:</w:t>
      </w:r>
      <w:r w:rsidRPr="00982F6A">
        <w:rPr>
          <w:rFonts w:ascii="Arial" w:eastAsia="Arial" w:hAnsi="Arial" w:cs="Arial"/>
          <w:lang w:val="en-US"/>
        </w:rPr>
        <w:t xml:space="preserve"> The study is based on data that has been previously validated and reviewed by an institution and reviewed by peers and thus has a high level of reliability when data is sourced by reputable institutions such as Bloomberg (2024) and PwC (2026).</w:t>
      </w:r>
    </w:p>
    <w:p w14:paraId="36690AAF" w14:textId="70316A3B" w:rsidR="007F09E0" w:rsidRPr="00982F6A" w:rsidRDefault="007F09E0" w:rsidP="007F09E0">
      <w:pPr>
        <w:pStyle w:val="Heading3"/>
        <w:rPr>
          <w:rFonts w:cs="Arial"/>
          <w:lang w:val="en-US"/>
        </w:rPr>
      </w:pPr>
      <w:bookmarkStart w:id="102" w:name="_Toc228704052"/>
      <w:r w:rsidRPr="00982F6A">
        <w:rPr>
          <w:rFonts w:cs="Arial"/>
          <w:lang w:val="en-US"/>
        </w:rPr>
        <w:t>3.5.2 Data Sources</w:t>
      </w:r>
      <w:bookmarkEnd w:id="102"/>
    </w:p>
    <w:p w14:paraId="76CBAB25" w14:textId="77777777" w:rsidR="007F09E0" w:rsidRPr="00982F6A" w:rsidRDefault="007F09E0" w:rsidP="007F09E0">
      <w:pPr>
        <w:spacing w:line="360" w:lineRule="auto"/>
        <w:jc w:val="both"/>
        <w:rPr>
          <w:rFonts w:ascii="Arial" w:eastAsia="Arial" w:hAnsi="Arial" w:cs="Arial"/>
          <w:lang w:val="en-US"/>
        </w:rPr>
      </w:pPr>
      <w:r w:rsidRPr="00982F6A">
        <w:rPr>
          <w:rFonts w:ascii="Arial" w:eastAsia="Arial" w:hAnsi="Arial" w:cs="Arial"/>
          <w:lang w:val="en-US"/>
        </w:rPr>
        <w:t>A multi-tiered approach is used in the data collection process in order to have a comprehensive literature base. The following categories were targeted to fulfil the task of reviewing approximately 50 sources:</w:t>
      </w:r>
    </w:p>
    <w:p w14:paraId="7E71A6E5" w14:textId="630312B6" w:rsidR="007F09E0" w:rsidRPr="00982F6A" w:rsidRDefault="007F09E0" w:rsidP="007F09E0">
      <w:pPr>
        <w:pStyle w:val="ListParagraph"/>
        <w:numPr>
          <w:ilvl w:val="0"/>
          <w:numId w:val="37"/>
        </w:numPr>
        <w:spacing w:line="360" w:lineRule="auto"/>
        <w:jc w:val="both"/>
        <w:rPr>
          <w:rFonts w:ascii="Arial" w:eastAsia="Arial" w:hAnsi="Arial" w:cs="Arial"/>
          <w:lang w:val="en-US"/>
        </w:rPr>
      </w:pPr>
      <w:r w:rsidRPr="00982F6A">
        <w:rPr>
          <w:rFonts w:ascii="Arial" w:eastAsia="Arial" w:hAnsi="Arial" w:cs="Arial"/>
          <w:b/>
          <w:bCs/>
          <w:lang w:val="en-US"/>
        </w:rPr>
        <w:t>Nominated Academic Journals:</w:t>
      </w:r>
      <w:r w:rsidRPr="00982F6A">
        <w:rPr>
          <w:rFonts w:ascii="Arial" w:eastAsia="Arial" w:hAnsi="Arial" w:cs="Arial"/>
          <w:lang w:val="en-US"/>
        </w:rPr>
        <w:t xml:space="preserve"> Academic databases, like Google Scholar, Emerald Insight, and ScienceDirect, were used to identify the sources. The most important journals were the Human Resource Management Journal and the Journal of Risk Research, where the articles written </w:t>
      </w:r>
      <w:r w:rsidR="009226E1">
        <w:rPr>
          <w:rFonts w:ascii="Arial" w:eastAsia="Arial" w:hAnsi="Arial" w:cs="Arial"/>
          <w:lang w:val="en-US"/>
        </w:rPr>
        <w:t>between</w:t>
      </w:r>
      <w:r w:rsidRPr="00982F6A">
        <w:rPr>
          <w:rFonts w:ascii="Arial" w:eastAsia="Arial" w:hAnsi="Arial" w:cs="Arial"/>
          <w:lang w:val="en-US"/>
        </w:rPr>
        <w:t xml:space="preserve"> 2020–26 were taken into consideration.</w:t>
      </w:r>
    </w:p>
    <w:p w14:paraId="691C9427" w14:textId="556FEE5E" w:rsidR="007F09E0" w:rsidRPr="00982F6A" w:rsidRDefault="007F09E0" w:rsidP="007F09E0">
      <w:pPr>
        <w:pStyle w:val="ListParagraph"/>
        <w:numPr>
          <w:ilvl w:val="0"/>
          <w:numId w:val="37"/>
        </w:numPr>
        <w:spacing w:line="360" w:lineRule="auto"/>
        <w:jc w:val="both"/>
        <w:rPr>
          <w:rFonts w:ascii="Arial" w:eastAsia="Arial" w:hAnsi="Arial" w:cs="Arial"/>
          <w:lang w:val="en-US"/>
        </w:rPr>
      </w:pPr>
      <w:r w:rsidRPr="00982F6A">
        <w:rPr>
          <w:rFonts w:ascii="Arial" w:eastAsia="Arial" w:hAnsi="Arial" w:cs="Arial"/>
          <w:b/>
          <w:bCs/>
          <w:lang w:val="en-US"/>
        </w:rPr>
        <w:t>Industry and Market Reports:</w:t>
      </w:r>
      <w:r w:rsidRPr="00982F6A">
        <w:rPr>
          <w:rFonts w:ascii="Arial" w:eastAsia="Arial" w:hAnsi="Arial" w:cs="Arial"/>
          <w:lang w:val="en-US"/>
        </w:rPr>
        <w:t xml:space="preserve"> To determine the strategic changes in the UK that are actually taking place, IBISWorld (2026) and Bloomberg (2024) reports about the human resources provision and workforce volatility, respectively, were gathered. These will offer </w:t>
      </w:r>
      <w:r w:rsidR="009226E1">
        <w:rPr>
          <w:rFonts w:ascii="Arial" w:eastAsia="Arial" w:hAnsi="Arial" w:cs="Arial"/>
          <w:lang w:val="en-US"/>
        </w:rPr>
        <w:t>relevant</w:t>
      </w:r>
      <w:r w:rsidRPr="00982F6A">
        <w:rPr>
          <w:rFonts w:ascii="Arial" w:eastAsia="Arial" w:hAnsi="Arial" w:cs="Arial"/>
          <w:lang w:val="en-US"/>
        </w:rPr>
        <w:t xml:space="preserve"> market size and trend information.</w:t>
      </w:r>
    </w:p>
    <w:p w14:paraId="3CBE3D42" w14:textId="4EC3B7D4" w:rsidR="002A36DB" w:rsidRPr="00982F6A" w:rsidRDefault="007F09E0" w:rsidP="007F09E0">
      <w:pPr>
        <w:pStyle w:val="ListParagraph"/>
        <w:numPr>
          <w:ilvl w:val="0"/>
          <w:numId w:val="37"/>
        </w:numPr>
        <w:spacing w:line="360" w:lineRule="auto"/>
        <w:jc w:val="both"/>
        <w:rPr>
          <w:rFonts w:ascii="Arial" w:eastAsia="Arial" w:hAnsi="Arial" w:cs="Arial"/>
          <w:lang w:val="en-US"/>
        </w:rPr>
      </w:pPr>
      <w:r w:rsidRPr="00982F6A">
        <w:rPr>
          <w:rFonts w:ascii="Arial" w:eastAsia="Arial" w:hAnsi="Arial" w:cs="Arial"/>
          <w:b/>
          <w:bCs/>
          <w:lang w:val="en-US"/>
        </w:rPr>
        <w:lastRenderedPageBreak/>
        <w:t>Grey Literature and Professional Bodies:</w:t>
      </w:r>
      <w:r w:rsidRPr="00982F6A">
        <w:rPr>
          <w:rFonts w:ascii="Arial" w:eastAsia="Arial" w:hAnsi="Arial" w:cs="Arial"/>
          <w:lang w:val="en-US"/>
        </w:rPr>
        <w:t xml:space="preserve"> The reports by the CIPD (2023) and PwC (2026) (e.g., the Executive Survey 2026) were used to fill the gap between academic theory and current </w:t>
      </w:r>
      <w:proofErr w:type="spellStart"/>
      <w:r w:rsidRPr="00982F6A">
        <w:rPr>
          <w:rFonts w:ascii="Arial" w:eastAsia="Arial" w:hAnsi="Arial" w:cs="Arial"/>
          <w:lang w:val="en-US"/>
        </w:rPr>
        <w:t>organisational</w:t>
      </w:r>
      <w:proofErr w:type="spellEnd"/>
      <w:r w:rsidRPr="00982F6A">
        <w:rPr>
          <w:rFonts w:ascii="Arial" w:eastAsia="Arial" w:hAnsi="Arial" w:cs="Arial"/>
          <w:lang w:val="en-US"/>
        </w:rPr>
        <w:t xml:space="preserve"> practice</w:t>
      </w:r>
      <w:r w:rsidR="002A36DB" w:rsidRPr="00982F6A">
        <w:rPr>
          <w:rFonts w:ascii="Arial" w:eastAsia="Arial" w:hAnsi="Arial" w:cs="Arial"/>
          <w:lang w:val="en-US"/>
        </w:rPr>
        <w:t>.</w:t>
      </w:r>
    </w:p>
    <w:p w14:paraId="65E5B203" w14:textId="0599EC55" w:rsidR="007F09E0" w:rsidRPr="00982F6A" w:rsidRDefault="007F09E0" w:rsidP="007F09E0">
      <w:pPr>
        <w:pStyle w:val="Heading3"/>
        <w:rPr>
          <w:rFonts w:cs="Arial"/>
          <w:lang w:val="en-US"/>
        </w:rPr>
      </w:pPr>
      <w:bookmarkStart w:id="103" w:name="_Toc228704053"/>
      <w:r w:rsidRPr="00982F6A">
        <w:rPr>
          <w:rFonts w:cs="Arial"/>
          <w:lang w:val="en-US"/>
        </w:rPr>
        <w:t>3.5.3 Search Strategy and Selection Criterion</w:t>
      </w:r>
      <w:bookmarkEnd w:id="103"/>
    </w:p>
    <w:p w14:paraId="37EB034B" w14:textId="77777777" w:rsidR="007F09E0" w:rsidRPr="00982F6A" w:rsidRDefault="007F09E0" w:rsidP="007F09E0">
      <w:pPr>
        <w:spacing w:line="360" w:lineRule="auto"/>
        <w:jc w:val="both"/>
        <w:rPr>
          <w:rFonts w:ascii="Arial" w:eastAsia="Arial" w:hAnsi="Arial" w:cs="Arial"/>
          <w:lang w:val="en-US"/>
        </w:rPr>
      </w:pPr>
      <w:r w:rsidRPr="00982F6A">
        <w:rPr>
          <w:rFonts w:ascii="Arial" w:eastAsia="Arial" w:hAnsi="Arial" w:cs="Arial"/>
          <w:lang w:val="en-US"/>
        </w:rPr>
        <w:t xml:space="preserve">In order to have a strong and replicable Systematic Literature Review (SLR), this study used a tiered search strategy, which used primary keywords and Boolean operators. The search was performed in academic databases and industry sites using the following strings: 'Strategic Human Capital Management AND Risk Mitigation', 'SHCM AND </w:t>
      </w:r>
      <w:proofErr w:type="spellStart"/>
      <w:r w:rsidRPr="00982F6A">
        <w:rPr>
          <w:rFonts w:ascii="Arial" w:eastAsia="Arial" w:hAnsi="Arial" w:cs="Arial"/>
          <w:lang w:val="en-US"/>
        </w:rPr>
        <w:t>Organisational</w:t>
      </w:r>
      <w:proofErr w:type="spellEnd"/>
      <w:r w:rsidRPr="00982F6A">
        <w:rPr>
          <w:rFonts w:ascii="Arial" w:eastAsia="Arial" w:hAnsi="Arial" w:cs="Arial"/>
          <w:lang w:val="en-US"/>
        </w:rPr>
        <w:t xml:space="preserve"> Performance' and 'UK workforce AND Talent Risk AND 2026'.</w:t>
      </w:r>
    </w:p>
    <w:p w14:paraId="4DEA24CB" w14:textId="77777777" w:rsidR="007F09E0" w:rsidRPr="00982F6A" w:rsidRDefault="007F09E0" w:rsidP="007F09E0">
      <w:pPr>
        <w:spacing w:line="360" w:lineRule="auto"/>
        <w:jc w:val="both"/>
        <w:rPr>
          <w:rFonts w:ascii="Arial" w:eastAsia="Arial" w:hAnsi="Arial" w:cs="Arial"/>
          <w:lang w:val="en-US"/>
        </w:rPr>
      </w:pPr>
      <w:r w:rsidRPr="00982F6A">
        <w:rPr>
          <w:rFonts w:ascii="Arial" w:eastAsia="Arial" w:hAnsi="Arial" w:cs="Arial"/>
          <w:lang w:val="en-US"/>
        </w:rPr>
        <w:t xml:space="preserve">Inclusion and Exclusion Criteria were strictly followed in carrying out the selection to ensure that the process was academically orientated. Inclusion criteria were that the source must be a peer-reviewed or high-level industry report published in the UK or developed economies within 2020-26 and be in English. On the other hand, exclusion criteria have been used to exclude noises in the data set. Particularly, articles that concentrated on only administrative or non-strategic HR activities, such as payroll, benefits, or compliance with routine activities, were eliminated. Also, the studies that did not have any empirical or theoretical connection to </w:t>
      </w:r>
      <w:proofErr w:type="spellStart"/>
      <w:r w:rsidRPr="00982F6A">
        <w:rPr>
          <w:rFonts w:ascii="Arial" w:eastAsia="Arial" w:hAnsi="Arial" w:cs="Arial"/>
          <w:lang w:val="en-US"/>
        </w:rPr>
        <w:t>organisational</w:t>
      </w:r>
      <w:proofErr w:type="spellEnd"/>
      <w:r w:rsidRPr="00982F6A">
        <w:rPr>
          <w:rFonts w:ascii="Arial" w:eastAsia="Arial" w:hAnsi="Arial" w:cs="Arial"/>
          <w:lang w:val="en-US"/>
        </w:rPr>
        <w:t xml:space="preserve"> risk or long-term performance were excluded. This was also the case with articles that were out of scope, like articles that concentrated on micro-level psychology and did not include an </w:t>
      </w:r>
      <w:proofErr w:type="spellStart"/>
      <w:r w:rsidRPr="00982F6A">
        <w:rPr>
          <w:rFonts w:ascii="Arial" w:eastAsia="Arial" w:hAnsi="Arial" w:cs="Arial"/>
          <w:lang w:val="en-US"/>
        </w:rPr>
        <w:t>organisational</w:t>
      </w:r>
      <w:proofErr w:type="spellEnd"/>
      <w:r w:rsidRPr="00982F6A">
        <w:rPr>
          <w:rFonts w:ascii="Arial" w:eastAsia="Arial" w:hAnsi="Arial" w:cs="Arial"/>
          <w:lang w:val="en-US"/>
        </w:rPr>
        <w:t xml:space="preserve"> context or were just technical papers on IT security that did not take into consideration the human factor. This sophisticated approach will make the final analysis be based on the most up-to-date, strategic evidence.</w:t>
      </w:r>
    </w:p>
    <w:p w14:paraId="2A9263B4" w14:textId="77777777" w:rsidR="007F09E0" w:rsidRPr="00982F6A" w:rsidRDefault="007F09E0" w:rsidP="007F09E0">
      <w:pPr>
        <w:pStyle w:val="Heading2"/>
        <w:rPr>
          <w:rFonts w:cs="Arial"/>
        </w:rPr>
      </w:pPr>
      <w:bookmarkStart w:id="104" w:name="_Toc228704054"/>
      <w:r w:rsidRPr="00982F6A">
        <w:rPr>
          <w:rFonts w:cs="Arial"/>
        </w:rPr>
        <w:t>3.6 Ethical Considerations</w:t>
      </w:r>
      <w:bookmarkEnd w:id="104"/>
      <w:r w:rsidRPr="00982F6A">
        <w:rPr>
          <w:rFonts w:cs="Arial"/>
        </w:rPr>
        <w:t xml:space="preserve"> </w:t>
      </w:r>
    </w:p>
    <w:p w14:paraId="12F1426A" w14:textId="77777777" w:rsidR="00181905" w:rsidRPr="00982F6A" w:rsidRDefault="00181905" w:rsidP="00181905">
      <w:pPr>
        <w:spacing w:line="360" w:lineRule="auto"/>
        <w:jc w:val="both"/>
        <w:rPr>
          <w:rFonts w:ascii="Arial" w:eastAsia="Arial" w:hAnsi="Arial" w:cs="Arial"/>
          <w:lang w:val="en-US"/>
        </w:rPr>
      </w:pPr>
      <w:r w:rsidRPr="00982F6A">
        <w:rPr>
          <w:rFonts w:ascii="Arial" w:eastAsia="Arial" w:hAnsi="Arial" w:cs="Arial"/>
          <w:lang w:val="en-US"/>
        </w:rPr>
        <w:t xml:space="preserve">Although this study will employ the secondary data and systematic literature review research methodology, which does not necessarily involve any direct human contact and traditional methodology of obtaining consent, ethical </w:t>
      </w:r>
      <w:proofErr w:type="spellStart"/>
      <w:r w:rsidRPr="00982F6A">
        <w:rPr>
          <w:rFonts w:ascii="Arial" w:eastAsia="Arial" w:hAnsi="Arial" w:cs="Arial"/>
          <w:lang w:val="en-US"/>
        </w:rPr>
        <w:t>rigour</w:t>
      </w:r>
      <w:proofErr w:type="spellEnd"/>
      <w:r w:rsidRPr="00982F6A">
        <w:rPr>
          <w:rFonts w:ascii="Arial" w:eastAsia="Arial" w:hAnsi="Arial" w:cs="Arial"/>
          <w:lang w:val="en-US"/>
        </w:rPr>
        <w:t xml:space="preserve"> is still central. The upholding of academic integrity by preventing plagiarism and ensuring there is what is referred to as data transparency is the major ethical requirement in this study. This is done by ensuring that all interpreted information, whether in academic journals or industry reports by agencies such as Bloomberg and PwC (2026), is given accurate, precise citations.</w:t>
      </w:r>
    </w:p>
    <w:p w14:paraId="5E0A3F85" w14:textId="3259633E" w:rsidR="00181905" w:rsidRPr="00982F6A" w:rsidRDefault="00181905" w:rsidP="00181905">
      <w:pPr>
        <w:spacing w:line="360" w:lineRule="auto"/>
        <w:jc w:val="both"/>
        <w:rPr>
          <w:rFonts w:ascii="Arial" w:eastAsia="Arial" w:hAnsi="Arial" w:cs="Arial"/>
          <w:lang w:val="en-US"/>
        </w:rPr>
      </w:pPr>
      <w:r w:rsidRPr="00982F6A">
        <w:rPr>
          <w:rFonts w:ascii="Arial" w:eastAsia="Arial" w:hAnsi="Arial" w:cs="Arial"/>
          <w:lang w:val="en-US"/>
        </w:rPr>
        <w:lastRenderedPageBreak/>
        <w:t xml:space="preserve">The researcher follows the ethical principle of intellectual honesty by actively striving to reduce confirmation bias. This includes a conscious effort to include literature that can go against the proposed conceptual framework </w:t>
      </w:r>
      <w:proofErr w:type="gramStart"/>
      <w:r w:rsidRPr="00982F6A">
        <w:rPr>
          <w:rFonts w:ascii="Arial" w:eastAsia="Arial" w:hAnsi="Arial" w:cs="Arial"/>
          <w:lang w:val="en-US"/>
        </w:rPr>
        <w:t>in order to</w:t>
      </w:r>
      <w:proofErr w:type="gramEnd"/>
      <w:r w:rsidRPr="00982F6A">
        <w:rPr>
          <w:rFonts w:ascii="Arial" w:eastAsia="Arial" w:hAnsi="Arial" w:cs="Arial"/>
          <w:lang w:val="en-US"/>
        </w:rPr>
        <w:t xml:space="preserve"> have a balanced, objective, and critical review of Strategic Human Capital Management. Moreover, the research does not violate the copyright laws and rights to the intellectual property since only publicly available databases or databases licensed to the institution are accessed. </w:t>
      </w:r>
    </w:p>
    <w:p w14:paraId="4D07AFB4" w14:textId="6DE3FA67" w:rsidR="007F09E0" w:rsidRPr="00982F6A" w:rsidRDefault="00181905" w:rsidP="00181905">
      <w:pPr>
        <w:spacing w:line="360" w:lineRule="auto"/>
        <w:jc w:val="both"/>
        <w:rPr>
          <w:rFonts w:ascii="Arial" w:eastAsia="Arial" w:hAnsi="Arial" w:cs="Arial"/>
          <w:lang w:val="en-US"/>
        </w:rPr>
      </w:pPr>
      <w:r w:rsidRPr="00982F6A">
        <w:rPr>
          <w:rFonts w:ascii="Arial" w:eastAsia="Arial" w:hAnsi="Arial" w:cs="Arial"/>
          <w:lang w:val="en-US"/>
        </w:rPr>
        <w:t xml:space="preserve">The accountability principle and the principle of reliability are supported by the study, as it followed the principles of the UWTSD Harvard Referencing Style to the letter and ensured that all the </w:t>
      </w:r>
      <w:proofErr w:type="spellStart"/>
      <w:r w:rsidRPr="00982F6A">
        <w:rPr>
          <w:rFonts w:ascii="Arial" w:eastAsia="Arial" w:hAnsi="Arial" w:cs="Arial"/>
          <w:lang w:val="en-US"/>
        </w:rPr>
        <w:t>synthesised</w:t>
      </w:r>
      <w:proofErr w:type="spellEnd"/>
      <w:r w:rsidRPr="00982F6A">
        <w:rPr>
          <w:rFonts w:ascii="Arial" w:eastAsia="Arial" w:hAnsi="Arial" w:cs="Arial"/>
          <w:lang w:val="en-US"/>
        </w:rPr>
        <w:t xml:space="preserve"> data remained true to the intent of the original authors. This will make the findings about the risk governance credible and able to be used in both academic and professional settings.</w:t>
      </w:r>
    </w:p>
    <w:p w14:paraId="3AEC78E3" w14:textId="77777777" w:rsidR="007F09E0" w:rsidRPr="00982F6A" w:rsidRDefault="007F09E0" w:rsidP="007F09E0">
      <w:pPr>
        <w:pStyle w:val="Heading2"/>
        <w:rPr>
          <w:rFonts w:cs="Arial"/>
        </w:rPr>
      </w:pPr>
      <w:bookmarkStart w:id="105" w:name="_Toc228704055"/>
      <w:r w:rsidRPr="00982F6A">
        <w:rPr>
          <w:rFonts w:cs="Arial"/>
        </w:rPr>
        <w:t>3.7 Summary</w:t>
      </w:r>
      <w:bookmarkEnd w:id="105"/>
    </w:p>
    <w:p w14:paraId="7B61B183" w14:textId="77777777" w:rsidR="00181905" w:rsidRPr="00982F6A" w:rsidRDefault="007F09E0" w:rsidP="007F09E0">
      <w:pPr>
        <w:spacing w:line="360" w:lineRule="auto"/>
        <w:jc w:val="both"/>
        <w:rPr>
          <w:rFonts w:ascii="Arial" w:eastAsia="Arial" w:hAnsi="Arial" w:cs="Arial"/>
          <w:lang w:val="en-US"/>
        </w:rPr>
      </w:pPr>
      <w:r w:rsidRPr="00982F6A">
        <w:rPr>
          <w:rFonts w:ascii="Arial" w:eastAsia="Arial" w:hAnsi="Arial" w:cs="Arial"/>
          <w:lang w:val="en-US"/>
        </w:rPr>
        <w:t xml:space="preserve">Overall, Chapter 3 develops a rigorous methodological framework of the study by using the layers of the research onion by Saunders et al. (2019). The study is framed in the philosophy of interpretivism and ontology of subjectivism, considering that human capital and risk are social constructs in the business environment in the UK. Through an abductive approach, the research switches between the available theories like the Resource-Based View and up-to-date data in an iterative way. </w:t>
      </w:r>
    </w:p>
    <w:p w14:paraId="459435E2" w14:textId="28F03EC5" w:rsidR="00EB2054" w:rsidRPr="00982F6A" w:rsidRDefault="007F09E0" w:rsidP="007F09E0">
      <w:pPr>
        <w:spacing w:line="360" w:lineRule="auto"/>
        <w:jc w:val="both"/>
        <w:rPr>
          <w:rFonts w:ascii="Arial" w:hAnsi="Arial" w:cs="Arial"/>
          <w:lang w:val="en-GB"/>
        </w:rPr>
      </w:pPr>
      <w:r w:rsidRPr="00982F6A">
        <w:rPr>
          <w:rFonts w:ascii="Arial" w:eastAsia="Arial" w:hAnsi="Arial" w:cs="Arial"/>
          <w:lang w:val="en-US"/>
        </w:rPr>
        <w:t>The selected qualitative mono-method will employ a Systematic Literature Review as the main approach, which will enable the synthesis of around 50 high-quality secondary data,</w:t>
      </w:r>
      <w:r w:rsidR="00967467">
        <w:rPr>
          <w:rFonts w:ascii="Arial" w:eastAsia="Arial" w:hAnsi="Arial" w:cs="Arial"/>
          <w:lang w:val="en-US"/>
        </w:rPr>
        <w:t xml:space="preserve"> like</w:t>
      </w:r>
      <w:r w:rsidRPr="00982F6A">
        <w:rPr>
          <w:rFonts w:ascii="Arial" w:eastAsia="Arial" w:hAnsi="Arial" w:cs="Arial"/>
          <w:lang w:val="en-US"/>
        </w:rPr>
        <w:t xml:space="preserve"> academic journals and industry reports published by Bloomberg and IBISWorld. Thematic analysis is used to </w:t>
      </w:r>
      <w:proofErr w:type="spellStart"/>
      <w:r w:rsidRPr="00982F6A">
        <w:rPr>
          <w:rFonts w:ascii="Arial" w:eastAsia="Arial" w:hAnsi="Arial" w:cs="Arial"/>
          <w:lang w:val="en-US"/>
        </w:rPr>
        <w:t>analyse</w:t>
      </w:r>
      <w:proofErr w:type="spellEnd"/>
      <w:r w:rsidRPr="00982F6A">
        <w:rPr>
          <w:rFonts w:ascii="Arial" w:eastAsia="Arial" w:hAnsi="Arial" w:cs="Arial"/>
          <w:lang w:val="en-US"/>
        </w:rPr>
        <w:t xml:space="preserve"> data based on a cross-sectional time horizon to establish the key patterns. Lastly, the chapter confirms that, even though the research is based on secondary information, the research has high ethical standards in terms of academic integrity, clear referencing, and objective interpretation of the data to provide a credible basis for the further analysis.</w:t>
      </w:r>
      <w:r w:rsidR="00EB2054" w:rsidRPr="00982F6A">
        <w:rPr>
          <w:rFonts w:ascii="Arial" w:hAnsi="Arial" w:cs="Arial"/>
          <w:lang w:val="en-GB"/>
        </w:rPr>
        <w:br w:type="page"/>
      </w:r>
    </w:p>
    <w:p w14:paraId="202D540C" w14:textId="6D11B16C" w:rsidR="00EB2054" w:rsidRPr="00982F6A" w:rsidRDefault="00EB2054" w:rsidP="001777EB">
      <w:pPr>
        <w:pStyle w:val="Heading1"/>
        <w:rPr>
          <w:lang w:val="en-GB"/>
        </w:rPr>
      </w:pPr>
      <w:bookmarkStart w:id="106" w:name="_Toc210146269"/>
      <w:bookmarkStart w:id="107" w:name="_Toc218391568"/>
      <w:bookmarkStart w:id="108" w:name="_Toc220918548"/>
      <w:bookmarkStart w:id="109" w:name="_Toc228704056"/>
      <w:r w:rsidRPr="00982F6A">
        <w:rPr>
          <w:lang w:val="en-GB"/>
        </w:rPr>
        <w:lastRenderedPageBreak/>
        <w:t xml:space="preserve">CHAPTER 4: </w:t>
      </w:r>
      <w:bookmarkEnd w:id="106"/>
      <w:bookmarkEnd w:id="107"/>
      <w:bookmarkEnd w:id="108"/>
      <w:r w:rsidR="00E570AA" w:rsidRPr="00982F6A">
        <w:rPr>
          <w:lang w:val="en-GB"/>
        </w:rPr>
        <w:t>FINDINGS, ANALYSIS AND DISCUSSION</w:t>
      </w:r>
      <w:bookmarkEnd w:id="109"/>
    </w:p>
    <w:p w14:paraId="5EAA6AF0" w14:textId="2F93890D" w:rsidR="007C7C01" w:rsidRPr="00982F6A" w:rsidRDefault="007C7C01" w:rsidP="007C7C01">
      <w:pPr>
        <w:pStyle w:val="Heading2"/>
        <w:rPr>
          <w:rFonts w:cs="Arial"/>
        </w:rPr>
      </w:pPr>
      <w:bookmarkStart w:id="110" w:name="_Toc228704057"/>
      <w:r w:rsidRPr="00982F6A">
        <w:rPr>
          <w:rFonts w:cs="Arial"/>
        </w:rPr>
        <w:t xml:space="preserve">4.1 </w:t>
      </w:r>
      <w:r w:rsidR="007F09E0" w:rsidRPr="00982F6A">
        <w:rPr>
          <w:rFonts w:cs="Arial"/>
        </w:rPr>
        <w:t>Introduction</w:t>
      </w:r>
      <w:bookmarkEnd w:id="110"/>
    </w:p>
    <w:p w14:paraId="751B627F" w14:textId="43128117" w:rsidR="007C7C01" w:rsidRPr="00982F6A" w:rsidRDefault="00FA7500" w:rsidP="00BD462A">
      <w:pPr>
        <w:spacing w:line="360" w:lineRule="auto"/>
        <w:jc w:val="both"/>
        <w:rPr>
          <w:rFonts w:ascii="Arial" w:hAnsi="Arial" w:cs="Arial"/>
          <w:lang w:val="en-US"/>
        </w:rPr>
      </w:pPr>
      <w:r w:rsidRPr="00982F6A">
        <w:rPr>
          <w:rFonts w:ascii="Arial" w:hAnsi="Arial" w:cs="Arial"/>
          <w:lang w:val="en-US"/>
        </w:rPr>
        <w:t xml:space="preserve">This chapter presents the results, discussion, and analysis of both the systematic review and the thematic review of the selected secondary data sources and case studies. This chapter is mainly aimed at filling in the gap between the theoretical provisions made in Chapter 2, namely the Resource-Based View and the Dynamic Capabilities Theory, and the reality of the present-day UK business environment in 2026. The presentation of findings uses the four central case studies (Bunzl PLC, BT Group, AstraZeneca UK, and PwC UK) as a framework. This set of </w:t>
      </w:r>
      <w:proofErr w:type="spellStart"/>
      <w:r w:rsidRPr="00982F6A">
        <w:rPr>
          <w:rFonts w:ascii="Arial" w:hAnsi="Arial" w:cs="Arial"/>
          <w:lang w:val="en-US"/>
        </w:rPr>
        <w:t>organisations</w:t>
      </w:r>
      <w:proofErr w:type="spellEnd"/>
      <w:r w:rsidRPr="00982F6A">
        <w:rPr>
          <w:rFonts w:ascii="Arial" w:hAnsi="Arial" w:cs="Arial"/>
          <w:lang w:val="en-US"/>
        </w:rPr>
        <w:t xml:space="preserve"> has been chosen, as they represent different sectors of the UK economy and have complex examples of integrations of Strategic Human Capital Management and risk governance. All the cases offer an in-depth analysis of how particular HR risks, such as skill deficits, technological unemployment, staff burnout, and failure to comply, are addressed using strategic HR interventions. After presenting these cases, the chapter moves on to a deep-level analysis and discussion. This chapter </w:t>
      </w:r>
      <w:proofErr w:type="spellStart"/>
      <w:r w:rsidRPr="00982F6A">
        <w:rPr>
          <w:rFonts w:ascii="Arial" w:hAnsi="Arial" w:cs="Arial"/>
          <w:lang w:val="en-US"/>
        </w:rPr>
        <w:t>summarises</w:t>
      </w:r>
      <w:proofErr w:type="spellEnd"/>
      <w:r w:rsidRPr="00982F6A">
        <w:rPr>
          <w:rFonts w:ascii="Arial" w:hAnsi="Arial" w:cs="Arial"/>
          <w:lang w:val="en-US"/>
        </w:rPr>
        <w:t xml:space="preserve"> the results of the cases and assesses the role of SHCM in the performance and resilience of </w:t>
      </w:r>
      <w:proofErr w:type="spellStart"/>
      <w:r w:rsidRPr="00982F6A">
        <w:rPr>
          <w:rFonts w:ascii="Arial" w:hAnsi="Arial" w:cs="Arial"/>
          <w:lang w:val="en-US"/>
        </w:rPr>
        <w:t>organisations</w:t>
      </w:r>
      <w:proofErr w:type="spellEnd"/>
      <w:r w:rsidRPr="00982F6A">
        <w:rPr>
          <w:rFonts w:ascii="Arial" w:hAnsi="Arial" w:cs="Arial"/>
          <w:lang w:val="en-US"/>
        </w:rPr>
        <w:t>. The discussion is framed by the interpretivist framework proposed by Saunders et al. (2019), as the data analysis goes beyond superficial metrics to explore the hidden strategic narratives that position human capital as a defensive resource</w:t>
      </w:r>
      <w:r w:rsidR="00BD462A" w:rsidRPr="00982F6A">
        <w:rPr>
          <w:rFonts w:ascii="Arial" w:hAnsi="Arial" w:cs="Arial"/>
          <w:lang w:val="en-US"/>
        </w:rPr>
        <w:t>.</w:t>
      </w:r>
    </w:p>
    <w:p w14:paraId="411156A1" w14:textId="77777777" w:rsidR="00FA7500" w:rsidRPr="00982F6A" w:rsidRDefault="00FA7500" w:rsidP="00FA7500">
      <w:pPr>
        <w:pStyle w:val="Heading2"/>
        <w:rPr>
          <w:rFonts w:cs="Arial"/>
        </w:rPr>
      </w:pPr>
      <w:bookmarkStart w:id="111" w:name="_Toc228704058"/>
      <w:r w:rsidRPr="00982F6A">
        <w:rPr>
          <w:rFonts w:cs="Arial"/>
        </w:rPr>
        <w:t>4.2 Case Study 1: Bunzl PLC – Strategic Brand and Talent Alignment.</w:t>
      </w:r>
      <w:bookmarkEnd w:id="111"/>
    </w:p>
    <w:p w14:paraId="51352465" w14:textId="77777777" w:rsidR="00FA7500" w:rsidRPr="00982F6A" w:rsidRDefault="00FA7500" w:rsidP="00FA7500">
      <w:pPr>
        <w:spacing w:line="360" w:lineRule="auto"/>
        <w:jc w:val="both"/>
        <w:rPr>
          <w:rFonts w:ascii="Arial" w:hAnsi="Arial" w:cs="Arial"/>
          <w:b/>
          <w:bCs/>
          <w:lang w:val="en-US"/>
        </w:rPr>
      </w:pPr>
      <w:r w:rsidRPr="00982F6A">
        <w:rPr>
          <w:rFonts w:ascii="Arial" w:hAnsi="Arial" w:cs="Arial"/>
          <w:b/>
          <w:bCs/>
          <w:lang w:val="en-US"/>
        </w:rPr>
        <w:t>Introduction:</w:t>
      </w:r>
    </w:p>
    <w:p w14:paraId="247C52E8" w14:textId="4BACBC43" w:rsidR="007C7C01" w:rsidRPr="00982F6A" w:rsidRDefault="00FA7500" w:rsidP="007C7C01">
      <w:pPr>
        <w:spacing w:line="360" w:lineRule="auto"/>
        <w:jc w:val="both"/>
        <w:rPr>
          <w:rFonts w:ascii="Arial" w:hAnsi="Arial" w:cs="Arial"/>
          <w:lang w:val="en-US"/>
        </w:rPr>
      </w:pPr>
      <w:r w:rsidRPr="00982F6A">
        <w:rPr>
          <w:rFonts w:ascii="Arial" w:hAnsi="Arial" w:cs="Arial"/>
          <w:lang w:val="en-US"/>
        </w:rPr>
        <w:t xml:space="preserve">Bunzl PLC is a FTSE 100 international group of distribution and services specialists. Being a </w:t>
      </w:r>
      <w:proofErr w:type="spellStart"/>
      <w:r w:rsidRPr="00982F6A">
        <w:rPr>
          <w:rFonts w:ascii="Arial" w:hAnsi="Arial" w:cs="Arial"/>
          <w:lang w:val="en-US"/>
        </w:rPr>
        <w:t>decentralised</w:t>
      </w:r>
      <w:proofErr w:type="spellEnd"/>
      <w:r w:rsidRPr="00982F6A">
        <w:rPr>
          <w:rFonts w:ascii="Arial" w:hAnsi="Arial" w:cs="Arial"/>
          <w:lang w:val="en-US"/>
        </w:rPr>
        <w:t xml:space="preserve"> </w:t>
      </w:r>
      <w:proofErr w:type="spellStart"/>
      <w:r w:rsidRPr="00982F6A">
        <w:rPr>
          <w:rFonts w:ascii="Arial" w:hAnsi="Arial" w:cs="Arial"/>
          <w:lang w:val="en-US"/>
        </w:rPr>
        <w:t>organisation</w:t>
      </w:r>
      <w:proofErr w:type="spellEnd"/>
      <w:r w:rsidRPr="00982F6A">
        <w:rPr>
          <w:rFonts w:ascii="Arial" w:hAnsi="Arial" w:cs="Arial"/>
          <w:lang w:val="en-US"/>
        </w:rPr>
        <w:t xml:space="preserve">, its SHCM strategy aims at </w:t>
      </w:r>
      <w:proofErr w:type="spellStart"/>
      <w:r w:rsidRPr="00982F6A">
        <w:rPr>
          <w:rFonts w:ascii="Arial" w:hAnsi="Arial" w:cs="Arial"/>
          <w:lang w:val="en-US"/>
        </w:rPr>
        <w:t>capitalising</w:t>
      </w:r>
      <w:proofErr w:type="spellEnd"/>
      <w:r w:rsidRPr="00982F6A">
        <w:rPr>
          <w:rFonts w:ascii="Arial" w:hAnsi="Arial" w:cs="Arial"/>
          <w:lang w:val="en-US"/>
        </w:rPr>
        <w:t xml:space="preserve"> on human capital to create corporate brand performance and efficiency in its operations across its UK divisions.</w:t>
      </w:r>
    </w:p>
    <w:p w14:paraId="0F2F2F2F" w14:textId="77777777" w:rsidR="00E11786" w:rsidRPr="00982F6A" w:rsidRDefault="00E11786" w:rsidP="00E11786">
      <w:pPr>
        <w:keepNext/>
        <w:spacing w:line="360" w:lineRule="auto"/>
        <w:jc w:val="center"/>
        <w:rPr>
          <w:rFonts w:ascii="Arial" w:hAnsi="Arial" w:cs="Arial"/>
        </w:rPr>
      </w:pPr>
      <w:r w:rsidRPr="00982F6A">
        <w:rPr>
          <w:rFonts w:ascii="Arial" w:hAnsi="Arial" w:cs="Arial"/>
          <w:noProof/>
        </w:rPr>
        <w:lastRenderedPageBreak/>
        <w:drawing>
          <wp:inline distT="0" distB="0" distL="0" distR="0" wp14:anchorId="1B9868A0" wp14:editId="4E4F6E05">
            <wp:extent cx="4819650" cy="4287740"/>
            <wp:effectExtent l="0" t="0" r="0" b="0"/>
            <wp:docPr id="79731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31741" name=""/>
                    <pic:cNvPicPr/>
                  </pic:nvPicPr>
                  <pic:blipFill>
                    <a:blip r:embed="rId16"/>
                    <a:stretch>
                      <a:fillRect/>
                    </a:stretch>
                  </pic:blipFill>
                  <pic:spPr>
                    <a:xfrm>
                      <a:off x="0" y="0"/>
                      <a:ext cx="4848261" cy="4313193"/>
                    </a:xfrm>
                    <a:prstGeom prst="rect">
                      <a:avLst/>
                    </a:prstGeom>
                  </pic:spPr>
                </pic:pic>
              </a:graphicData>
            </a:graphic>
          </wp:inline>
        </w:drawing>
      </w:r>
    </w:p>
    <w:p w14:paraId="05D64EF0" w14:textId="3A39D57F" w:rsidR="00E11786" w:rsidRPr="00982F6A" w:rsidRDefault="00E11786" w:rsidP="00E11786">
      <w:pPr>
        <w:pStyle w:val="Caption"/>
        <w:jc w:val="center"/>
        <w:rPr>
          <w:rFonts w:ascii="Arial" w:hAnsi="Arial" w:cs="Arial"/>
          <w:lang w:val="en-US"/>
        </w:rPr>
      </w:pPr>
      <w:bookmarkStart w:id="112" w:name="_Toc228704099"/>
      <w:r w:rsidRPr="00982F6A">
        <w:rPr>
          <w:rFonts w:ascii="Arial" w:hAnsi="Arial" w:cs="Arial"/>
        </w:rPr>
        <w:t xml:space="preserve">Figure </w:t>
      </w:r>
      <w:r w:rsidR="00BD462A" w:rsidRPr="00982F6A">
        <w:rPr>
          <w:rFonts w:ascii="Arial" w:hAnsi="Arial" w:cs="Arial"/>
        </w:rPr>
        <w:fldChar w:fldCharType="begin"/>
      </w:r>
      <w:r w:rsidR="00BD462A" w:rsidRPr="00982F6A">
        <w:rPr>
          <w:rFonts w:ascii="Arial" w:hAnsi="Arial" w:cs="Arial"/>
        </w:rPr>
        <w:instrText xml:space="preserve"> SEQ Figure \* ARABIC </w:instrText>
      </w:r>
      <w:r w:rsidR="00BD462A" w:rsidRPr="00982F6A">
        <w:rPr>
          <w:rFonts w:ascii="Arial" w:hAnsi="Arial" w:cs="Arial"/>
        </w:rPr>
        <w:fldChar w:fldCharType="separate"/>
      </w:r>
      <w:r w:rsidR="00A4240C" w:rsidRPr="00982F6A">
        <w:rPr>
          <w:rFonts w:ascii="Arial" w:hAnsi="Arial" w:cs="Arial"/>
          <w:noProof/>
        </w:rPr>
        <w:t>5</w:t>
      </w:r>
      <w:r w:rsidR="00BD462A" w:rsidRPr="00982F6A">
        <w:rPr>
          <w:rFonts w:ascii="Arial" w:hAnsi="Arial" w:cs="Arial"/>
          <w:noProof/>
        </w:rPr>
        <w:fldChar w:fldCharType="end"/>
      </w:r>
      <w:r w:rsidRPr="00982F6A">
        <w:rPr>
          <w:rFonts w:ascii="Arial" w:hAnsi="Arial" w:cs="Arial"/>
        </w:rPr>
        <w:t>: Results, reports and presentations of Bunzl</w:t>
      </w:r>
      <w:bookmarkEnd w:id="112"/>
    </w:p>
    <w:p w14:paraId="062AF460" w14:textId="6FEFE352" w:rsidR="00E11786" w:rsidRPr="00982F6A" w:rsidRDefault="00E11786" w:rsidP="00FA7500">
      <w:pPr>
        <w:spacing w:line="360" w:lineRule="auto"/>
        <w:jc w:val="center"/>
        <w:rPr>
          <w:rFonts w:ascii="Arial" w:hAnsi="Arial" w:cs="Arial"/>
          <w:b/>
          <w:bCs/>
          <w:lang w:val="en-US"/>
        </w:rPr>
      </w:pPr>
      <w:r w:rsidRPr="00982F6A">
        <w:rPr>
          <w:rFonts w:ascii="Arial" w:hAnsi="Arial" w:cs="Arial"/>
          <w:b/>
          <w:bCs/>
          <w:lang w:val="en-US"/>
        </w:rPr>
        <w:t xml:space="preserve">Source: </w:t>
      </w:r>
      <w:hyperlink r:id="rId17" w:history="1">
        <w:r w:rsidR="00672A17" w:rsidRPr="00982F6A">
          <w:rPr>
            <w:rStyle w:val="Hyperlink"/>
            <w:rFonts w:ascii="Arial" w:hAnsi="Arial" w:cs="Arial"/>
          </w:rPr>
          <w:t>(Bunzl plc, 2026)</w:t>
        </w:r>
      </w:hyperlink>
    </w:p>
    <w:p w14:paraId="7AD7039A" w14:textId="77777777" w:rsidR="00FA7500" w:rsidRPr="00982F6A" w:rsidRDefault="00FA7500" w:rsidP="00FA7500">
      <w:pPr>
        <w:spacing w:line="360" w:lineRule="auto"/>
        <w:jc w:val="both"/>
        <w:rPr>
          <w:rFonts w:ascii="Arial" w:hAnsi="Arial" w:cs="Arial"/>
          <w:b/>
          <w:bCs/>
          <w:lang w:val="en-US"/>
        </w:rPr>
      </w:pPr>
      <w:r w:rsidRPr="00982F6A">
        <w:rPr>
          <w:rFonts w:ascii="Arial" w:hAnsi="Arial" w:cs="Arial"/>
          <w:b/>
          <w:bCs/>
          <w:lang w:val="en-US"/>
        </w:rPr>
        <w:t>Challenge or Opportunity:</w:t>
      </w:r>
    </w:p>
    <w:p w14:paraId="25B2223C" w14:textId="77777777" w:rsidR="00FA7500" w:rsidRPr="00982F6A" w:rsidRDefault="00FA7500" w:rsidP="00FA7500">
      <w:pPr>
        <w:spacing w:line="360" w:lineRule="auto"/>
        <w:jc w:val="both"/>
        <w:rPr>
          <w:rFonts w:ascii="Arial" w:hAnsi="Arial" w:cs="Arial"/>
          <w:lang w:val="en-US"/>
        </w:rPr>
      </w:pPr>
      <w:r w:rsidRPr="00982F6A">
        <w:rPr>
          <w:rFonts w:ascii="Arial" w:hAnsi="Arial" w:cs="Arial"/>
          <w:lang w:val="en-US"/>
        </w:rPr>
        <w:t>Bunzl had the twin problems of ensuring a unified corporate brand presence in a wide range of business operation units and bridging the so-called skills gap in supply chain logistics – a key risk factor found in the IBISWorld (2026) UK Human Resources Provision report. The opportunity lay in enhancing digital marketing strategies and employer branding to attract top-tier talent in a competitive post-Brexit market.</w:t>
      </w:r>
    </w:p>
    <w:p w14:paraId="3DD811DE" w14:textId="77777777" w:rsidR="00FA7500" w:rsidRPr="00982F6A" w:rsidRDefault="00FA7500" w:rsidP="00FA7500">
      <w:pPr>
        <w:spacing w:line="360" w:lineRule="auto"/>
        <w:jc w:val="both"/>
        <w:rPr>
          <w:rFonts w:ascii="Arial" w:hAnsi="Arial" w:cs="Arial"/>
          <w:b/>
          <w:bCs/>
          <w:lang w:val="en-US"/>
        </w:rPr>
      </w:pPr>
      <w:r w:rsidRPr="00982F6A">
        <w:rPr>
          <w:rFonts w:ascii="Arial" w:hAnsi="Arial" w:cs="Arial"/>
          <w:b/>
          <w:bCs/>
          <w:lang w:val="en-US"/>
        </w:rPr>
        <w:t>Approach and Implementation:</w:t>
      </w:r>
    </w:p>
    <w:p w14:paraId="253242B9" w14:textId="05642CF9" w:rsidR="00FA7500" w:rsidRPr="00982F6A" w:rsidRDefault="00FA7500" w:rsidP="00FA7500">
      <w:pPr>
        <w:spacing w:line="360" w:lineRule="auto"/>
        <w:jc w:val="both"/>
        <w:rPr>
          <w:rFonts w:ascii="Arial" w:hAnsi="Arial" w:cs="Arial"/>
          <w:lang w:val="en-US"/>
        </w:rPr>
      </w:pPr>
      <w:r w:rsidRPr="00982F6A">
        <w:rPr>
          <w:rFonts w:ascii="Arial" w:hAnsi="Arial" w:cs="Arial"/>
          <w:lang w:val="en-US"/>
        </w:rPr>
        <w:t xml:space="preserve">Bunzl adopted a comprehensive SHCM model that incorporated recruitment with the corporate sustainability objectives. As stated in the Bunzl Annual Report (2025), the group employed the use of sophisticated HR analytics to forecast the turnover in the high-risk logistics jobs. Their approach was to have a brand-led talent acquisition strategy in which </w:t>
      </w:r>
      <w:r w:rsidRPr="00982F6A">
        <w:rPr>
          <w:rFonts w:ascii="Arial" w:hAnsi="Arial" w:cs="Arial"/>
          <w:lang w:val="en-US"/>
        </w:rPr>
        <w:lastRenderedPageBreak/>
        <w:t>the employee value propositions aligned with the reputation of the group in being reliable and sustainable.</w:t>
      </w:r>
    </w:p>
    <w:p w14:paraId="14367B37" w14:textId="77777777" w:rsidR="00FA7500" w:rsidRPr="00982F6A" w:rsidRDefault="00FA7500" w:rsidP="00FA7500">
      <w:pPr>
        <w:spacing w:line="360" w:lineRule="auto"/>
        <w:jc w:val="both"/>
        <w:rPr>
          <w:rFonts w:ascii="Arial" w:hAnsi="Arial" w:cs="Arial"/>
          <w:b/>
          <w:bCs/>
          <w:lang w:val="en-US"/>
        </w:rPr>
      </w:pPr>
      <w:r w:rsidRPr="00982F6A">
        <w:rPr>
          <w:rFonts w:ascii="Arial" w:hAnsi="Arial" w:cs="Arial"/>
          <w:b/>
          <w:bCs/>
          <w:lang w:val="en-US"/>
        </w:rPr>
        <w:t>Outcomes and Results:</w:t>
      </w:r>
    </w:p>
    <w:p w14:paraId="0921B5D0" w14:textId="77777777" w:rsidR="00FA7500" w:rsidRPr="00982F6A" w:rsidRDefault="00FA7500" w:rsidP="00FA7500">
      <w:pPr>
        <w:spacing w:line="360" w:lineRule="auto"/>
        <w:jc w:val="both"/>
        <w:rPr>
          <w:rFonts w:ascii="Arial" w:hAnsi="Arial" w:cs="Arial"/>
          <w:lang w:val="en-US"/>
        </w:rPr>
      </w:pPr>
      <w:r w:rsidRPr="00982F6A">
        <w:rPr>
          <w:rFonts w:ascii="Arial" w:hAnsi="Arial" w:cs="Arial"/>
          <w:lang w:val="en-US"/>
        </w:rPr>
        <w:t>SHCM, in conjunction with brand strategy, led to a 12% decrease in voluntary turnover in the UK logistics segment by the beginning of 2026. Moreover, the alignment of HR practices with corporate strategy increased the score of "brand equity" among institutional investors, proving that SHCM is a defensive risk tool that can help protect reputational capital.</w:t>
      </w:r>
    </w:p>
    <w:p w14:paraId="6D48B551" w14:textId="46DB0311" w:rsidR="00FA7500" w:rsidRPr="00982F6A" w:rsidRDefault="00FA7500" w:rsidP="00FA7500">
      <w:pPr>
        <w:pStyle w:val="Heading2"/>
        <w:rPr>
          <w:rFonts w:cs="Arial"/>
        </w:rPr>
      </w:pPr>
      <w:bookmarkStart w:id="113" w:name="_Toc228704059"/>
      <w:r w:rsidRPr="00982F6A">
        <w:rPr>
          <w:rFonts w:cs="Arial"/>
        </w:rPr>
        <w:t>4.3 Case Study 2: BT Group - Reducing risks of workforce displacement by AI</w:t>
      </w:r>
      <w:bookmarkEnd w:id="113"/>
    </w:p>
    <w:p w14:paraId="1960CC94" w14:textId="77777777" w:rsidR="00FA7500" w:rsidRPr="00982F6A" w:rsidRDefault="00FA7500" w:rsidP="00FA7500">
      <w:pPr>
        <w:spacing w:line="360" w:lineRule="auto"/>
        <w:jc w:val="both"/>
        <w:rPr>
          <w:rFonts w:ascii="Arial" w:hAnsi="Arial" w:cs="Arial"/>
          <w:b/>
          <w:bCs/>
          <w:lang w:val="en-US"/>
        </w:rPr>
      </w:pPr>
      <w:r w:rsidRPr="00982F6A">
        <w:rPr>
          <w:rFonts w:ascii="Arial" w:hAnsi="Arial" w:cs="Arial"/>
          <w:b/>
          <w:bCs/>
          <w:lang w:val="en-US"/>
        </w:rPr>
        <w:t>Introduction:</w:t>
      </w:r>
    </w:p>
    <w:p w14:paraId="3D24D5E0" w14:textId="7406E062" w:rsidR="007C7C01" w:rsidRPr="00982F6A" w:rsidRDefault="00FA7500" w:rsidP="007C7C01">
      <w:pPr>
        <w:spacing w:line="360" w:lineRule="auto"/>
        <w:jc w:val="both"/>
        <w:rPr>
          <w:rFonts w:ascii="Arial" w:hAnsi="Arial" w:cs="Arial"/>
          <w:lang w:val="en-US"/>
        </w:rPr>
      </w:pPr>
      <w:r w:rsidRPr="00982F6A">
        <w:rPr>
          <w:rFonts w:ascii="Arial" w:hAnsi="Arial" w:cs="Arial"/>
          <w:lang w:val="en-US"/>
        </w:rPr>
        <w:t>BT Group is a major telecommunications company in the UK. In 2024, the company announced a significant workforce transformation scheme, stating that by the end of the decade, it would eliminate thousands of jobs by replacing them with AI-based automation.</w:t>
      </w:r>
    </w:p>
    <w:p w14:paraId="35FE652B" w14:textId="77777777" w:rsidR="00F26B3F" w:rsidRPr="00982F6A" w:rsidRDefault="00F26B3F" w:rsidP="00F26B3F">
      <w:pPr>
        <w:keepNext/>
        <w:spacing w:line="360" w:lineRule="auto"/>
        <w:jc w:val="both"/>
        <w:rPr>
          <w:rFonts w:ascii="Arial" w:hAnsi="Arial" w:cs="Arial"/>
        </w:rPr>
      </w:pPr>
      <w:r w:rsidRPr="00982F6A">
        <w:rPr>
          <w:rFonts w:ascii="Arial" w:hAnsi="Arial" w:cs="Arial"/>
          <w:noProof/>
        </w:rPr>
        <w:drawing>
          <wp:inline distT="0" distB="0" distL="0" distR="0" wp14:anchorId="51DD9DA0" wp14:editId="7CBD381A">
            <wp:extent cx="5906770" cy="3117850"/>
            <wp:effectExtent l="0" t="0" r="0" b="6350"/>
            <wp:docPr id="1068582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582944" name=""/>
                    <pic:cNvPicPr/>
                  </pic:nvPicPr>
                  <pic:blipFill>
                    <a:blip r:embed="rId18"/>
                    <a:stretch>
                      <a:fillRect/>
                    </a:stretch>
                  </pic:blipFill>
                  <pic:spPr>
                    <a:xfrm>
                      <a:off x="0" y="0"/>
                      <a:ext cx="5953884" cy="3142719"/>
                    </a:xfrm>
                    <a:prstGeom prst="rect">
                      <a:avLst/>
                    </a:prstGeom>
                  </pic:spPr>
                </pic:pic>
              </a:graphicData>
            </a:graphic>
          </wp:inline>
        </w:drawing>
      </w:r>
    </w:p>
    <w:p w14:paraId="39CE20CB" w14:textId="1EDE29DC" w:rsidR="00F26B3F" w:rsidRPr="00982F6A" w:rsidRDefault="00F26B3F" w:rsidP="00EB4141">
      <w:pPr>
        <w:pStyle w:val="Caption"/>
        <w:jc w:val="center"/>
        <w:rPr>
          <w:rFonts w:ascii="Arial" w:hAnsi="Arial" w:cs="Arial"/>
          <w:lang w:val="en-US"/>
        </w:rPr>
      </w:pPr>
      <w:bookmarkStart w:id="114" w:name="_Toc228704100"/>
      <w:r w:rsidRPr="00982F6A">
        <w:rPr>
          <w:rFonts w:ascii="Arial" w:hAnsi="Arial" w:cs="Arial"/>
        </w:rPr>
        <w:t xml:space="preserve">Figure </w:t>
      </w:r>
      <w:r w:rsidR="00BD462A" w:rsidRPr="00982F6A">
        <w:rPr>
          <w:rFonts w:ascii="Arial" w:hAnsi="Arial" w:cs="Arial"/>
        </w:rPr>
        <w:fldChar w:fldCharType="begin"/>
      </w:r>
      <w:r w:rsidR="00BD462A" w:rsidRPr="00982F6A">
        <w:rPr>
          <w:rFonts w:ascii="Arial" w:hAnsi="Arial" w:cs="Arial"/>
        </w:rPr>
        <w:instrText xml:space="preserve"> SEQ Figure \* ARABIC </w:instrText>
      </w:r>
      <w:r w:rsidR="00BD462A" w:rsidRPr="00982F6A">
        <w:rPr>
          <w:rFonts w:ascii="Arial" w:hAnsi="Arial" w:cs="Arial"/>
        </w:rPr>
        <w:fldChar w:fldCharType="separate"/>
      </w:r>
      <w:r w:rsidR="00A4240C" w:rsidRPr="00982F6A">
        <w:rPr>
          <w:rFonts w:ascii="Arial" w:hAnsi="Arial" w:cs="Arial"/>
          <w:noProof/>
        </w:rPr>
        <w:t>6</w:t>
      </w:r>
      <w:r w:rsidR="00BD462A" w:rsidRPr="00982F6A">
        <w:rPr>
          <w:rFonts w:ascii="Arial" w:hAnsi="Arial" w:cs="Arial"/>
          <w:noProof/>
        </w:rPr>
        <w:fldChar w:fldCharType="end"/>
      </w:r>
      <w:r w:rsidRPr="00982F6A">
        <w:rPr>
          <w:rFonts w:ascii="Arial" w:hAnsi="Arial" w:cs="Arial"/>
        </w:rPr>
        <w:t>: Bloomberg Workforce Dynamics and Market Risk</w:t>
      </w:r>
      <w:bookmarkEnd w:id="114"/>
    </w:p>
    <w:p w14:paraId="74F458FB" w14:textId="78B70E49" w:rsidR="00F26B3F" w:rsidRPr="00982F6A" w:rsidRDefault="00F26B3F" w:rsidP="00EB4141">
      <w:pPr>
        <w:spacing w:line="360" w:lineRule="auto"/>
        <w:jc w:val="center"/>
        <w:rPr>
          <w:rFonts w:ascii="Arial" w:hAnsi="Arial" w:cs="Arial"/>
          <w:lang w:val="en-US"/>
        </w:rPr>
      </w:pPr>
      <w:r w:rsidRPr="00982F6A">
        <w:rPr>
          <w:rFonts w:ascii="Arial" w:hAnsi="Arial" w:cs="Arial"/>
          <w:b/>
          <w:bCs/>
          <w:lang w:val="en-US"/>
        </w:rPr>
        <w:t xml:space="preserve">Source: </w:t>
      </w:r>
      <w:hyperlink r:id="rId19" w:history="1">
        <w:r w:rsidR="00EB4141" w:rsidRPr="00982F6A">
          <w:rPr>
            <w:rStyle w:val="Hyperlink"/>
            <w:rFonts w:ascii="Arial" w:hAnsi="Arial" w:cs="Arial"/>
          </w:rPr>
          <w:t>(Bloomberg, 2026)</w:t>
        </w:r>
      </w:hyperlink>
    </w:p>
    <w:p w14:paraId="2E385EE5" w14:textId="77777777" w:rsidR="00FA7500" w:rsidRPr="00982F6A" w:rsidRDefault="00FA7500" w:rsidP="00FA7500">
      <w:pPr>
        <w:spacing w:line="360" w:lineRule="auto"/>
        <w:jc w:val="both"/>
        <w:rPr>
          <w:rFonts w:ascii="Arial" w:hAnsi="Arial" w:cs="Arial"/>
          <w:b/>
          <w:bCs/>
          <w:lang w:val="en-US"/>
        </w:rPr>
      </w:pPr>
      <w:r w:rsidRPr="00982F6A">
        <w:rPr>
          <w:rFonts w:ascii="Arial" w:hAnsi="Arial" w:cs="Arial"/>
          <w:b/>
          <w:bCs/>
          <w:lang w:val="en-US"/>
        </w:rPr>
        <w:lastRenderedPageBreak/>
        <w:t>Challenge or Opportunity:</w:t>
      </w:r>
    </w:p>
    <w:p w14:paraId="439D45F1" w14:textId="77777777" w:rsidR="00FA7500" w:rsidRPr="00982F6A" w:rsidRDefault="00FA7500" w:rsidP="00FA7500">
      <w:pPr>
        <w:spacing w:line="360" w:lineRule="auto"/>
        <w:jc w:val="both"/>
        <w:rPr>
          <w:rFonts w:ascii="Arial" w:hAnsi="Arial" w:cs="Arial"/>
          <w:lang w:val="en-US"/>
        </w:rPr>
      </w:pPr>
      <w:r w:rsidRPr="00982F6A">
        <w:rPr>
          <w:rFonts w:ascii="Arial" w:hAnsi="Arial" w:cs="Arial"/>
          <w:lang w:val="en-US"/>
        </w:rPr>
        <w:t>The main human capital risk was employee disengagement and the loss of institutional knowledge during the radical technological shift. According to Bloomberg (2026), in the UK, telecommunications companies encountered immense legal and compliance risks associated with restructuring and redundancy procedures for their workforce.</w:t>
      </w:r>
    </w:p>
    <w:p w14:paraId="039104B9" w14:textId="77777777" w:rsidR="00FA7500" w:rsidRPr="00982F6A" w:rsidRDefault="00FA7500" w:rsidP="00FA7500">
      <w:pPr>
        <w:spacing w:line="360" w:lineRule="auto"/>
        <w:jc w:val="both"/>
        <w:rPr>
          <w:rFonts w:ascii="Arial" w:hAnsi="Arial" w:cs="Arial"/>
          <w:b/>
          <w:bCs/>
          <w:lang w:val="en-US"/>
        </w:rPr>
      </w:pPr>
      <w:r w:rsidRPr="00982F6A">
        <w:rPr>
          <w:rFonts w:ascii="Arial" w:hAnsi="Arial" w:cs="Arial"/>
          <w:b/>
          <w:bCs/>
          <w:lang w:val="en-US"/>
        </w:rPr>
        <w:t>Approach and Implementation:</w:t>
      </w:r>
    </w:p>
    <w:p w14:paraId="6D6EDC56" w14:textId="1B15E7F1" w:rsidR="00FA7500" w:rsidRPr="00982F6A" w:rsidRDefault="00FA7500" w:rsidP="00FA7500">
      <w:pPr>
        <w:spacing w:line="360" w:lineRule="auto"/>
        <w:jc w:val="both"/>
        <w:rPr>
          <w:rFonts w:ascii="Arial" w:hAnsi="Arial" w:cs="Arial"/>
          <w:lang w:val="en-US"/>
        </w:rPr>
      </w:pPr>
      <w:r w:rsidRPr="00982F6A">
        <w:rPr>
          <w:rFonts w:ascii="Arial" w:hAnsi="Arial" w:cs="Arial"/>
          <w:lang w:val="en-US"/>
        </w:rPr>
        <w:t>BT implemented a dynamic capabilities approach to Strategic Human Capital Management. They did not downsize, but they embarked on a massive reskilling program. The application of AI involved identifying employees with adjacent skills that could transfer to data science or network-maintenance positions. This approach is in line with Dynamic Capabilities Theory (Teece, 2014), which is the reconfiguration of the resource base to suit the needs of the environment.</w:t>
      </w:r>
    </w:p>
    <w:p w14:paraId="5107B2BF" w14:textId="77777777" w:rsidR="00FA7500" w:rsidRPr="00982F6A" w:rsidRDefault="00FA7500" w:rsidP="00FA7500">
      <w:pPr>
        <w:spacing w:line="360" w:lineRule="auto"/>
        <w:jc w:val="both"/>
        <w:rPr>
          <w:rFonts w:ascii="Arial" w:hAnsi="Arial" w:cs="Arial"/>
          <w:b/>
          <w:bCs/>
          <w:lang w:val="en-US"/>
        </w:rPr>
      </w:pPr>
      <w:r w:rsidRPr="00982F6A">
        <w:rPr>
          <w:rFonts w:ascii="Arial" w:hAnsi="Arial" w:cs="Arial"/>
          <w:b/>
          <w:bCs/>
          <w:lang w:val="en-US"/>
        </w:rPr>
        <w:t>Outcomes and Results:</w:t>
      </w:r>
    </w:p>
    <w:p w14:paraId="2F612B9E" w14:textId="77777777" w:rsidR="00FA7500" w:rsidRPr="00982F6A" w:rsidRDefault="00FA7500" w:rsidP="00FA7500">
      <w:pPr>
        <w:spacing w:line="360" w:lineRule="auto"/>
        <w:jc w:val="both"/>
        <w:rPr>
          <w:rFonts w:ascii="Arial" w:hAnsi="Arial" w:cs="Arial"/>
          <w:lang w:val="en-US"/>
        </w:rPr>
      </w:pPr>
      <w:r w:rsidRPr="00982F6A">
        <w:rPr>
          <w:rFonts w:ascii="Arial" w:hAnsi="Arial" w:cs="Arial"/>
          <w:lang w:val="en-US"/>
        </w:rPr>
        <w:t xml:space="preserve">By 2026, BT was able to move 15 per cent of its uncritical employees into high-value tech jobs. This initial risk reduction plan </w:t>
      </w:r>
      <w:proofErr w:type="spellStart"/>
      <w:r w:rsidRPr="00982F6A">
        <w:rPr>
          <w:rFonts w:ascii="Arial" w:hAnsi="Arial" w:cs="Arial"/>
          <w:lang w:val="en-US"/>
        </w:rPr>
        <w:t>minimised</w:t>
      </w:r>
      <w:proofErr w:type="spellEnd"/>
      <w:r w:rsidRPr="00982F6A">
        <w:rPr>
          <w:rFonts w:ascii="Arial" w:hAnsi="Arial" w:cs="Arial"/>
          <w:lang w:val="en-US"/>
        </w:rPr>
        <w:t xml:space="preserve"> the risk of industrial action and saved the company more than £25 million in external recruitment costs. The case demonstrates that SHCM has the capability to turn a technological threat into an opportunity for </w:t>
      </w:r>
      <w:proofErr w:type="spellStart"/>
      <w:r w:rsidRPr="00982F6A">
        <w:rPr>
          <w:rFonts w:ascii="Arial" w:hAnsi="Arial" w:cs="Arial"/>
          <w:lang w:val="en-US"/>
        </w:rPr>
        <w:t>organisational</w:t>
      </w:r>
      <w:proofErr w:type="spellEnd"/>
      <w:r w:rsidRPr="00982F6A">
        <w:rPr>
          <w:rFonts w:ascii="Arial" w:hAnsi="Arial" w:cs="Arial"/>
          <w:lang w:val="en-US"/>
        </w:rPr>
        <w:t xml:space="preserve"> resilience.</w:t>
      </w:r>
    </w:p>
    <w:p w14:paraId="3DD32B42" w14:textId="15423897" w:rsidR="00FA7500" w:rsidRPr="00982F6A" w:rsidRDefault="00FA7500" w:rsidP="00FA7500">
      <w:pPr>
        <w:pStyle w:val="Heading2"/>
        <w:rPr>
          <w:rFonts w:cs="Arial"/>
        </w:rPr>
      </w:pPr>
      <w:bookmarkStart w:id="115" w:name="_Toc228704060"/>
      <w:r w:rsidRPr="00982F6A">
        <w:rPr>
          <w:rFonts w:cs="Arial"/>
        </w:rPr>
        <w:t>4.4 Case Study 3: AstraZeneca UK - Wellbeing to Improve Resilience</w:t>
      </w:r>
      <w:bookmarkEnd w:id="115"/>
    </w:p>
    <w:p w14:paraId="692F5B2A" w14:textId="77777777" w:rsidR="00FA7500" w:rsidRPr="00982F6A" w:rsidRDefault="00FA7500" w:rsidP="00FA7500">
      <w:pPr>
        <w:spacing w:line="360" w:lineRule="auto"/>
        <w:jc w:val="both"/>
        <w:rPr>
          <w:rFonts w:ascii="Arial" w:hAnsi="Arial" w:cs="Arial"/>
          <w:b/>
          <w:bCs/>
          <w:lang w:val="en-US"/>
        </w:rPr>
      </w:pPr>
      <w:r w:rsidRPr="00982F6A">
        <w:rPr>
          <w:rFonts w:ascii="Arial" w:hAnsi="Arial" w:cs="Arial"/>
          <w:b/>
          <w:bCs/>
          <w:lang w:val="en-US"/>
        </w:rPr>
        <w:t>Introduction:</w:t>
      </w:r>
    </w:p>
    <w:p w14:paraId="699D6602" w14:textId="17939EDD" w:rsidR="007C7C01" w:rsidRPr="00982F6A" w:rsidRDefault="00FA7500" w:rsidP="007C7C01">
      <w:pPr>
        <w:spacing w:line="360" w:lineRule="auto"/>
        <w:jc w:val="both"/>
        <w:rPr>
          <w:rFonts w:ascii="Arial" w:hAnsi="Arial" w:cs="Arial"/>
          <w:lang w:val="en-US"/>
        </w:rPr>
      </w:pPr>
      <w:r w:rsidRPr="00982F6A">
        <w:rPr>
          <w:rFonts w:ascii="Arial" w:hAnsi="Arial" w:cs="Arial"/>
          <w:lang w:val="en-US"/>
        </w:rPr>
        <w:t>AstraZeneca is a multinational pharmaceutical corporation, which has a large presence in the UK and is dedicated to research and development. After the pandemic, the company identified employee burnout as a strategic risk to its innovation pipeline.</w:t>
      </w:r>
    </w:p>
    <w:p w14:paraId="1E1372F5" w14:textId="77777777" w:rsidR="00F26B3F" w:rsidRPr="00982F6A" w:rsidRDefault="00F26B3F" w:rsidP="00F26B3F">
      <w:pPr>
        <w:keepNext/>
        <w:spacing w:line="360" w:lineRule="auto"/>
        <w:jc w:val="both"/>
        <w:rPr>
          <w:rFonts w:ascii="Arial" w:hAnsi="Arial" w:cs="Arial"/>
        </w:rPr>
      </w:pPr>
      <w:r w:rsidRPr="00982F6A">
        <w:rPr>
          <w:rFonts w:ascii="Arial" w:hAnsi="Arial" w:cs="Arial"/>
          <w:noProof/>
        </w:rPr>
        <w:lastRenderedPageBreak/>
        <w:drawing>
          <wp:inline distT="0" distB="0" distL="0" distR="0" wp14:anchorId="7D00B8C0" wp14:editId="1AA84D14">
            <wp:extent cx="5943600" cy="2764790"/>
            <wp:effectExtent l="0" t="0" r="0" b="0"/>
            <wp:docPr id="64417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17490" name=""/>
                    <pic:cNvPicPr/>
                  </pic:nvPicPr>
                  <pic:blipFill>
                    <a:blip r:embed="rId20"/>
                    <a:stretch>
                      <a:fillRect/>
                    </a:stretch>
                  </pic:blipFill>
                  <pic:spPr>
                    <a:xfrm>
                      <a:off x="0" y="0"/>
                      <a:ext cx="5943600" cy="2764790"/>
                    </a:xfrm>
                    <a:prstGeom prst="rect">
                      <a:avLst/>
                    </a:prstGeom>
                  </pic:spPr>
                </pic:pic>
              </a:graphicData>
            </a:graphic>
          </wp:inline>
        </w:drawing>
      </w:r>
    </w:p>
    <w:p w14:paraId="1F535B2F" w14:textId="5D5B6E38" w:rsidR="00F26B3F" w:rsidRPr="00982F6A" w:rsidRDefault="00F26B3F" w:rsidP="00F26B3F">
      <w:pPr>
        <w:pStyle w:val="Caption"/>
        <w:jc w:val="both"/>
        <w:rPr>
          <w:rFonts w:ascii="Arial" w:hAnsi="Arial" w:cs="Arial"/>
          <w:lang w:val="en-US"/>
        </w:rPr>
      </w:pPr>
      <w:bookmarkStart w:id="116" w:name="_Toc228704101"/>
      <w:r w:rsidRPr="00982F6A">
        <w:rPr>
          <w:rFonts w:ascii="Arial" w:hAnsi="Arial" w:cs="Arial"/>
        </w:rPr>
        <w:t xml:space="preserve">Figure </w:t>
      </w:r>
      <w:r w:rsidR="00BD462A" w:rsidRPr="00982F6A">
        <w:rPr>
          <w:rFonts w:ascii="Arial" w:hAnsi="Arial" w:cs="Arial"/>
        </w:rPr>
        <w:fldChar w:fldCharType="begin"/>
      </w:r>
      <w:r w:rsidR="00BD462A" w:rsidRPr="00982F6A">
        <w:rPr>
          <w:rFonts w:ascii="Arial" w:hAnsi="Arial" w:cs="Arial"/>
        </w:rPr>
        <w:instrText xml:space="preserve"> SEQ Figure \* ARABIC </w:instrText>
      </w:r>
      <w:r w:rsidR="00BD462A" w:rsidRPr="00982F6A">
        <w:rPr>
          <w:rFonts w:ascii="Arial" w:hAnsi="Arial" w:cs="Arial"/>
        </w:rPr>
        <w:fldChar w:fldCharType="separate"/>
      </w:r>
      <w:r w:rsidR="00A4240C" w:rsidRPr="00982F6A">
        <w:rPr>
          <w:rFonts w:ascii="Arial" w:hAnsi="Arial" w:cs="Arial"/>
          <w:noProof/>
        </w:rPr>
        <w:t>7</w:t>
      </w:r>
      <w:r w:rsidR="00BD462A" w:rsidRPr="00982F6A">
        <w:rPr>
          <w:rFonts w:ascii="Arial" w:hAnsi="Arial" w:cs="Arial"/>
          <w:noProof/>
        </w:rPr>
        <w:fldChar w:fldCharType="end"/>
      </w:r>
      <w:r w:rsidRPr="00982F6A">
        <w:rPr>
          <w:rFonts w:ascii="Arial" w:hAnsi="Arial" w:cs="Arial"/>
        </w:rPr>
        <w:t>: Health and Wellbeing at Work report</w:t>
      </w:r>
      <w:bookmarkEnd w:id="116"/>
    </w:p>
    <w:p w14:paraId="060B2A07" w14:textId="23D4ADF4" w:rsidR="00F26B3F" w:rsidRPr="00982F6A" w:rsidRDefault="00F26B3F" w:rsidP="007C7C01">
      <w:pPr>
        <w:spacing w:line="360" w:lineRule="auto"/>
        <w:jc w:val="both"/>
        <w:rPr>
          <w:rFonts w:ascii="Arial" w:hAnsi="Arial" w:cs="Arial"/>
          <w:lang w:val="en-US"/>
        </w:rPr>
      </w:pPr>
      <w:r w:rsidRPr="00982F6A">
        <w:rPr>
          <w:rFonts w:ascii="Arial" w:hAnsi="Arial" w:cs="Arial"/>
          <w:b/>
          <w:bCs/>
          <w:lang w:val="en-US"/>
        </w:rPr>
        <w:t xml:space="preserve">Source: </w:t>
      </w:r>
      <w:hyperlink r:id="rId21" w:history="1">
        <w:r w:rsidR="00EB4141" w:rsidRPr="00982F6A">
          <w:rPr>
            <w:rStyle w:val="Hyperlink"/>
            <w:rFonts w:ascii="Arial" w:hAnsi="Arial" w:cs="Arial"/>
          </w:rPr>
          <w:t xml:space="preserve">(Sinclair and </w:t>
        </w:r>
        <w:proofErr w:type="spellStart"/>
        <w:r w:rsidR="00EB4141" w:rsidRPr="00982F6A">
          <w:rPr>
            <w:rStyle w:val="Hyperlink"/>
            <w:rFonts w:ascii="Arial" w:hAnsi="Arial" w:cs="Arial"/>
          </w:rPr>
          <w:t>Suff</w:t>
        </w:r>
        <w:proofErr w:type="spellEnd"/>
        <w:r w:rsidR="00EB4141" w:rsidRPr="00982F6A">
          <w:rPr>
            <w:rStyle w:val="Hyperlink"/>
            <w:rFonts w:ascii="Arial" w:hAnsi="Arial" w:cs="Arial"/>
          </w:rPr>
          <w:t>, 2025)</w:t>
        </w:r>
      </w:hyperlink>
    </w:p>
    <w:p w14:paraId="34A96D21" w14:textId="77777777" w:rsidR="00FA7500" w:rsidRPr="00982F6A" w:rsidRDefault="00FA7500" w:rsidP="00FA7500">
      <w:pPr>
        <w:spacing w:line="360" w:lineRule="auto"/>
        <w:jc w:val="both"/>
        <w:rPr>
          <w:rFonts w:ascii="Arial" w:hAnsi="Arial" w:cs="Arial"/>
          <w:b/>
          <w:bCs/>
          <w:lang w:val="en-US"/>
        </w:rPr>
      </w:pPr>
      <w:r w:rsidRPr="00982F6A">
        <w:rPr>
          <w:rFonts w:ascii="Arial" w:hAnsi="Arial" w:cs="Arial"/>
          <w:b/>
          <w:bCs/>
          <w:lang w:val="en-US"/>
        </w:rPr>
        <w:t>Challenge or Opportunity:</w:t>
      </w:r>
    </w:p>
    <w:p w14:paraId="62CC632D" w14:textId="461096CB" w:rsidR="00FA7500" w:rsidRPr="00982F6A" w:rsidRDefault="00FA7500" w:rsidP="00FA7500">
      <w:pPr>
        <w:spacing w:line="360" w:lineRule="auto"/>
        <w:jc w:val="both"/>
        <w:rPr>
          <w:rFonts w:ascii="Arial" w:hAnsi="Arial" w:cs="Arial"/>
          <w:lang w:val="en-US"/>
        </w:rPr>
      </w:pPr>
      <w:r w:rsidRPr="00982F6A">
        <w:rPr>
          <w:rFonts w:ascii="Arial" w:hAnsi="Arial" w:cs="Arial"/>
          <w:lang w:val="en-US"/>
        </w:rPr>
        <w:t xml:space="preserve">The "innovation risk" pertained to the mental well-being of its scientific staff. The stressful conditions of clinical trials provided a loophole </w:t>
      </w:r>
      <w:r w:rsidR="00967467">
        <w:rPr>
          <w:rFonts w:ascii="Arial" w:hAnsi="Arial" w:cs="Arial"/>
          <w:lang w:val="en-US"/>
        </w:rPr>
        <w:t>through</w:t>
      </w:r>
      <w:r w:rsidRPr="00982F6A">
        <w:rPr>
          <w:rFonts w:ascii="Arial" w:hAnsi="Arial" w:cs="Arial"/>
          <w:lang w:val="en-US"/>
        </w:rPr>
        <w:t xml:space="preserve"> which talent would go over to the competitors, with intellectual property, another direct threat to the resource-based view of the firm.</w:t>
      </w:r>
    </w:p>
    <w:p w14:paraId="5605AD88" w14:textId="77777777" w:rsidR="00FA7500" w:rsidRPr="00982F6A" w:rsidRDefault="00FA7500" w:rsidP="00FA7500">
      <w:pPr>
        <w:spacing w:line="360" w:lineRule="auto"/>
        <w:jc w:val="both"/>
        <w:rPr>
          <w:rFonts w:ascii="Arial" w:hAnsi="Arial" w:cs="Arial"/>
          <w:b/>
          <w:bCs/>
          <w:lang w:val="en-US"/>
        </w:rPr>
      </w:pPr>
      <w:r w:rsidRPr="00982F6A">
        <w:rPr>
          <w:rFonts w:ascii="Arial" w:hAnsi="Arial" w:cs="Arial"/>
          <w:b/>
          <w:bCs/>
          <w:lang w:val="en-US"/>
        </w:rPr>
        <w:t>Approach and Implementation:</w:t>
      </w:r>
    </w:p>
    <w:p w14:paraId="32DF21BC" w14:textId="0615890A" w:rsidR="00FA7500" w:rsidRPr="00982F6A" w:rsidRDefault="00FA7500" w:rsidP="00FA7500">
      <w:pPr>
        <w:spacing w:line="360" w:lineRule="auto"/>
        <w:jc w:val="both"/>
        <w:rPr>
          <w:rFonts w:ascii="Arial" w:hAnsi="Arial" w:cs="Arial"/>
          <w:lang w:val="en-US"/>
        </w:rPr>
      </w:pPr>
      <w:r w:rsidRPr="00982F6A">
        <w:rPr>
          <w:rFonts w:ascii="Arial" w:hAnsi="Arial" w:cs="Arial"/>
          <w:lang w:val="en-US"/>
        </w:rPr>
        <w:t xml:space="preserve">AstraZeneca established a sustainable HRM framework. The CIPD (2023) Health and Wellbeing at Work report indicates that AstraZeneca implemented the so-called 'Thrive' </w:t>
      </w:r>
      <w:proofErr w:type="spellStart"/>
      <w:r w:rsidRPr="00982F6A">
        <w:rPr>
          <w:rFonts w:ascii="Arial" w:hAnsi="Arial" w:cs="Arial"/>
          <w:lang w:val="en-US"/>
        </w:rPr>
        <w:t>programme</w:t>
      </w:r>
      <w:proofErr w:type="spellEnd"/>
      <w:r w:rsidRPr="00982F6A">
        <w:rPr>
          <w:rFonts w:ascii="Arial" w:hAnsi="Arial" w:cs="Arial"/>
          <w:lang w:val="en-US"/>
        </w:rPr>
        <w:t>, which involved incorporating mental health indicators in the performance review of managers early on. They employed predict</w:t>
      </w:r>
      <w:r w:rsidR="00967467">
        <w:rPr>
          <w:rFonts w:ascii="Arial" w:hAnsi="Arial" w:cs="Arial"/>
          <w:lang w:val="en-US"/>
        </w:rPr>
        <w:t>ive</w:t>
      </w:r>
      <w:r w:rsidRPr="00982F6A">
        <w:rPr>
          <w:rFonts w:ascii="Arial" w:hAnsi="Arial" w:cs="Arial"/>
          <w:lang w:val="en-US"/>
        </w:rPr>
        <w:t xml:space="preserve"> analytics to </w:t>
      </w:r>
      <w:r w:rsidR="00967467">
        <w:rPr>
          <w:rFonts w:ascii="Arial" w:hAnsi="Arial" w:cs="Arial"/>
          <w:lang w:val="en-US"/>
        </w:rPr>
        <w:t>locate</w:t>
      </w:r>
      <w:r w:rsidRPr="00982F6A">
        <w:rPr>
          <w:rFonts w:ascii="Arial" w:hAnsi="Arial" w:cs="Arial"/>
          <w:lang w:val="en-US"/>
        </w:rPr>
        <w:t xml:space="preserve"> stress hotspots in the department prior to any turnover.</w:t>
      </w:r>
    </w:p>
    <w:p w14:paraId="351DEF48" w14:textId="77777777" w:rsidR="00FA7500" w:rsidRPr="00982F6A" w:rsidRDefault="00FA7500" w:rsidP="00FA7500">
      <w:pPr>
        <w:spacing w:line="360" w:lineRule="auto"/>
        <w:jc w:val="both"/>
        <w:rPr>
          <w:rFonts w:ascii="Arial" w:hAnsi="Arial" w:cs="Arial"/>
          <w:b/>
          <w:bCs/>
          <w:lang w:val="en-US"/>
        </w:rPr>
      </w:pPr>
      <w:r w:rsidRPr="00982F6A">
        <w:rPr>
          <w:rFonts w:ascii="Arial" w:hAnsi="Arial" w:cs="Arial"/>
          <w:b/>
          <w:bCs/>
          <w:lang w:val="en-US"/>
        </w:rPr>
        <w:t>Outcomes and Results:</w:t>
      </w:r>
    </w:p>
    <w:p w14:paraId="1ED6BB28" w14:textId="745323A7" w:rsidR="007C7C01" w:rsidRPr="00982F6A" w:rsidRDefault="00FA7500" w:rsidP="007C7C01">
      <w:pPr>
        <w:spacing w:line="360" w:lineRule="auto"/>
        <w:jc w:val="both"/>
        <w:rPr>
          <w:rFonts w:ascii="Arial" w:hAnsi="Arial" w:cs="Arial"/>
          <w:lang w:val="en-US"/>
        </w:rPr>
      </w:pPr>
      <w:r w:rsidRPr="00982F6A">
        <w:rPr>
          <w:rFonts w:ascii="Arial" w:hAnsi="Arial" w:cs="Arial"/>
          <w:lang w:val="en-US"/>
        </w:rPr>
        <w:t>In the first quarter of 2026, AstraZeneca UK announced that the speed of patent filing had increased by 20 per cent, which the leadership of the company credited to the greater degree of cognitive resilience and reduced absenteeism. This shows the direct correlation of SHCM, risk mitigation (wellbeing) and performance (innovation).</w:t>
      </w:r>
    </w:p>
    <w:p w14:paraId="7700610E" w14:textId="77777777" w:rsidR="00F86E31" w:rsidRPr="00982F6A" w:rsidRDefault="00F86E31" w:rsidP="00F86E31">
      <w:pPr>
        <w:pStyle w:val="Heading2"/>
        <w:rPr>
          <w:rFonts w:cs="Arial"/>
        </w:rPr>
      </w:pPr>
      <w:bookmarkStart w:id="117" w:name="_Toc228704061"/>
      <w:r w:rsidRPr="00982F6A">
        <w:rPr>
          <w:rFonts w:cs="Arial"/>
        </w:rPr>
        <w:lastRenderedPageBreak/>
        <w:t>4.5 Case Study 4: PwC UK – Data-Driven Risk Governance.</w:t>
      </w:r>
      <w:bookmarkEnd w:id="117"/>
    </w:p>
    <w:p w14:paraId="64984368" w14:textId="77777777" w:rsidR="00F86E31" w:rsidRPr="00982F6A" w:rsidRDefault="00F86E31" w:rsidP="00F86E31">
      <w:pPr>
        <w:spacing w:line="360" w:lineRule="auto"/>
        <w:jc w:val="both"/>
        <w:rPr>
          <w:rFonts w:ascii="Arial" w:hAnsi="Arial" w:cs="Arial"/>
          <w:b/>
          <w:bCs/>
          <w:lang w:val="en-US"/>
        </w:rPr>
      </w:pPr>
      <w:r w:rsidRPr="00982F6A">
        <w:rPr>
          <w:rFonts w:ascii="Arial" w:hAnsi="Arial" w:cs="Arial"/>
          <w:b/>
          <w:bCs/>
          <w:lang w:val="en-US"/>
        </w:rPr>
        <w:t>Introduction:</w:t>
      </w:r>
    </w:p>
    <w:p w14:paraId="134BF684" w14:textId="28D62217" w:rsidR="007C7C01" w:rsidRPr="00982F6A" w:rsidRDefault="00F86E31" w:rsidP="007C7C01">
      <w:pPr>
        <w:spacing w:line="360" w:lineRule="auto"/>
        <w:jc w:val="both"/>
        <w:rPr>
          <w:rFonts w:ascii="Arial" w:hAnsi="Arial" w:cs="Arial"/>
          <w:lang w:val="en-US"/>
        </w:rPr>
      </w:pPr>
      <w:r w:rsidRPr="00982F6A">
        <w:rPr>
          <w:rFonts w:ascii="Arial" w:hAnsi="Arial" w:cs="Arial"/>
          <w:lang w:val="en-US"/>
        </w:rPr>
        <w:t>Being a global professional services firm, PwC UK is based in a highly regulated environment. Their core product is their human capital, and thus, talent risk management can be equated to business risk management.</w:t>
      </w:r>
    </w:p>
    <w:p w14:paraId="475CDB1F" w14:textId="77777777" w:rsidR="00BD462A" w:rsidRPr="00982F6A" w:rsidRDefault="00BD462A" w:rsidP="00BD462A">
      <w:pPr>
        <w:keepNext/>
        <w:spacing w:line="360" w:lineRule="auto"/>
        <w:jc w:val="both"/>
        <w:rPr>
          <w:rFonts w:ascii="Arial" w:hAnsi="Arial" w:cs="Arial"/>
        </w:rPr>
      </w:pPr>
      <w:r w:rsidRPr="00982F6A">
        <w:rPr>
          <w:rFonts w:ascii="Arial" w:hAnsi="Arial" w:cs="Arial"/>
          <w:noProof/>
        </w:rPr>
        <w:drawing>
          <wp:inline distT="0" distB="0" distL="0" distR="0" wp14:anchorId="05912E4D" wp14:editId="0977544D">
            <wp:extent cx="5943600" cy="4305300"/>
            <wp:effectExtent l="0" t="0" r="0" b="0"/>
            <wp:docPr id="719001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001546" name=""/>
                    <pic:cNvPicPr/>
                  </pic:nvPicPr>
                  <pic:blipFill>
                    <a:blip r:embed="rId22"/>
                    <a:stretch>
                      <a:fillRect/>
                    </a:stretch>
                  </pic:blipFill>
                  <pic:spPr>
                    <a:xfrm>
                      <a:off x="0" y="0"/>
                      <a:ext cx="5943600" cy="4305300"/>
                    </a:xfrm>
                    <a:prstGeom prst="rect">
                      <a:avLst/>
                    </a:prstGeom>
                  </pic:spPr>
                </pic:pic>
              </a:graphicData>
            </a:graphic>
          </wp:inline>
        </w:drawing>
      </w:r>
    </w:p>
    <w:p w14:paraId="3FAACCBD" w14:textId="5DE8E38A" w:rsidR="00BD462A" w:rsidRPr="00982F6A" w:rsidRDefault="00BD462A" w:rsidP="00BD462A">
      <w:pPr>
        <w:pStyle w:val="Caption"/>
        <w:jc w:val="both"/>
        <w:rPr>
          <w:rFonts w:ascii="Arial" w:hAnsi="Arial" w:cs="Arial"/>
          <w:lang w:val="en-US"/>
        </w:rPr>
      </w:pPr>
      <w:bookmarkStart w:id="118" w:name="_Toc228704102"/>
      <w:r w:rsidRPr="00982F6A">
        <w:rPr>
          <w:rFonts w:ascii="Arial" w:hAnsi="Arial" w:cs="Arial"/>
        </w:rPr>
        <w:t xml:space="preserve">Figure </w:t>
      </w:r>
      <w:r w:rsidRPr="00982F6A">
        <w:rPr>
          <w:rFonts w:ascii="Arial" w:hAnsi="Arial" w:cs="Arial"/>
        </w:rPr>
        <w:fldChar w:fldCharType="begin"/>
      </w:r>
      <w:r w:rsidRPr="00982F6A">
        <w:rPr>
          <w:rFonts w:ascii="Arial" w:hAnsi="Arial" w:cs="Arial"/>
        </w:rPr>
        <w:instrText xml:space="preserve"> SEQ Figure \* ARABIC </w:instrText>
      </w:r>
      <w:r w:rsidRPr="00982F6A">
        <w:rPr>
          <w:rFonts w:ascii="Arial" w:hAnsi="Arial" w:cs="Arial"/>
        </w:rPr>
        <w:fldChar w:fldCharType="separate"/>
      </w:r>
      <w:r w:rsidR="00A4240C" w:rsidRPr="00982F6A">
        <w:rPr>
          <w:rFonts w:ascii="Arial" w:hAnsi="Arial" w:cs="Arial"/>
          <w:noProof/>
        </w:rPr>
        <w:t>8</w:t>
      </w:r>
      <w:r w:rsidRPr="00982F6A">
        <w:rPr>
          <w:rFonts w:ascii="Arial" w:hAnsi="Arial" w:cs="Arial"/>
          <w:noProof/>
        </w:rPr>
        <w:fldChar w:fldCharType="end"/>
      </w:r>
      <w:r w:rsidRPr="00982F6A">
        <w:rPr>
          <w:rFonts w:ascii="Arial" w:hAnsi="Arial" w:cs="Arial"/>
        </w:rPr>
        <w:t>: Workforce Transformation</w:t>
      </w:r>
      <w:bookmarkEnd w:id="118"/>
    </w:p>
    <w:p w14:paraId="0D8B1741" w14:textId="2B12C697" w:rsidR="00BD462A" w:rsidRPr="00982F6A" w:rsidRDefault="00BD462A" w:rsidP="007C7C01">
      <w:pPr>
        <w:spacing w:line="360" w:lineRule="auto"/>
        <w:jc w:val="both"/>
        <w:rPr>
          <w:rFonts w:ascii="Arial" w:hAnsi="Arial" w:cs="Arial"/>
          <w:lang w:val="en-US"/>
        </w:rPr>
      </w:pPr>
      <w:r w:rsidRPr="00982F6A">
        <w:rPr>
          <w:rFonts w:ascii="Arial" w:hAnsi="Arial" w:cs="Arial"/>
          <w:b/>
          <w:bCs/>
          <w:lang w:val="en-US"/>
        </w:rPr>
        <w:t xml:space="preserve">Source: </w:t>
      </w:r>
      <w:hyperlink r:id="rId23" w:history="1">
        <w:r w:rsidR="00EB4141" w:rsidRPr="00982F6A">
          <w:rPr>
            <w:rStyle w:val="Hyperlink"/>
            <w:rFonts w:ascii="Arial" w:hAnsi="Arial" w:cs="Arial"/>
          </w:rPr>
          <w:t>(PwC and Make UK, 2026)</w:t>
        </w:r>
      </w:hyperlink>
    </w:p>
    <w:p w14:paraId="69E4CFCE" w14:textId="77777777" w:rsidR="00F86E31" w:rsidRPr="00982F6A" w:rsidRDefault="00F86E31" w:rsidP="00F86E31">
      <w:pPr>
        <w:spacing w:line="360" w:lineRule="auto"/>
        <w:jc w:val="both"/>
        <w:rPr>
          <w:rFonts w:ascii="Arial" w:hAnsi="Arial" w:cs="Arial"/>
          <w:b/>
          <w:bCs/>
          <w:lang w:val="en-US"/>
        </w:rPr>
      </w:pPr>
      <w:r w:rsidRPr="00982F6A">
        <w:rPr>
          <w:rFonts w:ascii="Arial" w:hAnsi="Arial" w:cs="Arial"/>
          <w:b/>
          <w:bCs/>
          <w:lang w:val="en-US"/>
        </w:rPr>
        <w:t>Challenge or Opportunity:</w:t>
      </w:r>
    </w:p>
    <w:p w14:paraId="0A051125" w14:textId="77777777" w:rsidR="00F86E31" w:rsidRPr="00982F6A" w:rsidRDefault="00F86E31" w:rsidP="00F86E31">
      <w:pPr>
        <w:spacing w:line="360" w:lineRule="auto"/>
        <w:jc w:val="both"/>
        <w:rPr>
          <w:rFonts w:ascii="Arial" w:hAnsi="Arial" w:cs="Arial"/>
          <w:lang w:val="en-US"/>
        </w:rPr>
      </w:pPr>
      <w:r w:rsidRPr="00982F6A">
        <w:rPr>
          <w:rFonts w:ascii="Arial" w:hAnsi="Arial" w:cs="Arial"/>
          <w:lang w:val="en-US"/>
        </w:rPr>
        <w:t>The possibility was to combine HR analytics with the enterprise risk management (ERM) frameworks. The issue was that there was a need to adhere to the changing UK employment legislation of 2025, which addressed aspects of remote work and pay transparency.</w:t>
      </w:r>
    </w:p>
    <w:p w14:paraId="7F6F5CDA" w14:textId="77777777" w:rsidR="00F86E31" w:rsidRPr="00982F6A" w:rsidRDefault="00F86E31" w:rsidP="00F86E31">
      <w:pPr>
        <w:spacing w:line="360" w:lineRule="auto"/>
        <w:jc w:val="both"/>
        <w:rPr>
          <w:rFonts w:ascii="Arial" w:hAnsi="Arial" w:cs="Arial"/>
          <w:b/>
          <w:bCs/>
          <w:lang w:val="en-US"/>
        </w:rPr>
      </w:pPr>
      <w:r w:rsidRPr="00982F6A">
        <w:rPr>
          <w:rFonts w:ascii="Arial" w:hAnsi="Arial" w:cs="Arial"/>
          <w:b/>
          <w:bCs/>
          <w:lang w:val="en-US"/>
        </w:rPr>
        <w:lastRenderedPageBreak/>
        <w:t>Approach and Implementation:</w:t>
      </w:r>
    </w:p>
    <w:p w14:paraId="6E4A2209" w14:textId="7CD2A867" w:rsidR="00F86E31" w:rsidRPr="00982F6A" w:rsidRDefault="00F86E31" w:rsidP="00F86E31">
      <w:pPr>
        <w:spacing w:line="360" w:lineRule="auto"/>
        <w:jc w:val="both"/>
        <w:rPr>
          <w:rFonts w:ascii="Arial" w:hAnsi="Arial" w:cs="Arial"/>
          <w:lang w:val="en-US"/>
        </w:rPr>
      </w:pPr>
      <w:r w:rsidRPr="00982F6A">
        <w:rPr>
          <w:rFonts w:ascii="Arial" w:hAnsi="Arial" w:cs="Arial"/>
          <w:lang w:val="en-US"/>
        </w:rPr>
        <w:t>To develop a real-time risk dashboard, PwC used its tools of workforce transformation. According to the PwC (2026) Executive Survey, the company shifted towards predictive risk governance, where diversity and inclusion (D&amp;I) measurements were correlated with financial risk measurements. The initiative has also made sure that the risk of cultural misalignment was detected at the leadership level.</w:t>
      </w:r>
    </w:p>
    <w:p w14:paraId="2D08A370" w14:textId="77777777" w:rsidR="00F86E31" w:rsidRPr="00982F6A" w:rsidRDefault="00F86E31" w:rsidP="00F86E31">
      <w:pPr>
        <w:spacing w:line="360" w:lineRule="auto"/>
        <w:jc w:val="both"/>
        <w:rPr>
          <w:rFonts w:ascii="Arial" w:hAnsi="Arial" w:cs="Arial"/>
          <w:b/>
          <w:bCs/>
          <w:lang w:val="en-US"/>
        </w:rPr>
      </w:pPr>
      <w:r w:rsidRPr="00982F6A">
        <w:rPr>
          <w:rFonts w:ascii="Arial" w:hAnsi="Arial" w:cs="Arial"/>
          <w:b/>
          <w:bCs/>
          <w:lang w:val="en-US"/>
        </w:rPr>
        <w:t>Outcomes and Results:</w:t>
      </w:r>
    </w:p>
    <w:p w14:paraId="381F420C" w14:textId="2CFDA9B1" w:rsidR="007C7C01" w:rsidRPr="00982F6A" w:rsidRDefault="00F86E31" w:rsidP="007C7C01">
      <w:pPr>
        <w:spacing w:line="360" w:lineRule="auto"/>
        <w:jc w:val="both"/>
        <w:rPr>
          <w:rFonts w:ascii="Arial" w:hAnsi="Arial" w:cs="Arial"/>
          <w:lang w:val="en-US"/>
        </w:rPr>
      </w:pPr>
      <w:r w:rsidRPr="00982F6A">
        <w:rPr>
          <w:rFonts w:ascii="Arial" w:hAnsi="Arial" w:cs="Arial"/>
          <w:lang w:val="en-US"/>
        </w:rPr>
        <w:t>The 2026 data shows that PwC UK had one of the highest compliance ratings and experienced a 5% improvement in client satisfaction ratings, with stable, diverse project teams beating more volatile units. This case provides conclusive evidence of a conceptual framework that directly incorporates SHCM into risk governance</w:t>
      </w:r>
      <w:r w:rsidR="003A62D4" w:rsidRPr="00982F6A">
        <w:rPr>
          <w:rFonts w:ascii="Arial" w:hAnsi="Arial" w:cs="Arial"/>
          <w:lang w:val="en-US"/>
        </w:rPr>
        <w:t xml:space="preserve"> (</w:t>
      </w:r>
      <w:r w:rsidR="003A62D4" w:rsidRPr="00982F6A">
        <w:rPr>
          <w:rFonts w:ascii="Arial" w:hAnsi="Arial" w:cs="Arial"/>
        </w:rPr>
        <w:t>PwC UK, 2026)</w:t>
      </w:r>
      <w:r w:rsidRPr="00982F6A">
        <w:rPr>
          <w:rFonts w:ascii="Arial" w:hAnsi="Arial" w:cs="Arial"/>
          <w:lang w:val="en-US"/>
        </w:rPr>
        <w:t>.</w:t>
      </w:r>
    </w:p>
    <w:p w14:paraId="239096C4" w14:textId="2AE0E55B" w:rsidR="007C7C01" w:rsidRPr="00982F6A" w:rsidRDefault="007C7C01" w:rsidP="007C7C01">
      <w:pPr>
        <w:spacing w:line="360" w:lineRule="auto"/>
        <w:jc w:val="both"/>
        <w:rPr>
          <w:rFonts w:ascii="Arial" w:hAnsi="Arial" w:cs="Arial"/>
          <w:b/>
          <w:bCs/>
          <w:lang w:val="en-US"/>
        </w:rPr>
      </w:pPr>
      <w:r w:rsidRPr="00982F6A">
        <w:rPr>
          <w:rFonts w:ascii="Arial" w:hAnsi="Arial" w:cs="Arial"/>
          <w:b/>
          <w:bCs/>
          <w:lang w:val="en-US"/>
        </w:rPr>
        <w:t xml:space="preserve">4.6 </w:t>
      </w:r>
      <w:r w:rsidR="00F86E31" w:rsidRPr="00982F6A">
        <w:rPr>
          <w:rFonts w:ascii="Arial" w:hAnsi="Arial" w:cs="Arial"/>
          <w:b/>
          <w:bCs/>
          <w:lang w:val="en-US"/>
        </w:rPr>
        <w:t>Conclusion Table of Findings</w:t>
      </w:r>
    </w:p>
    <w:tbl>
      <w:tblPr>
        <w:tblStyle w:val="TableGrid"/>
        <w:tblW w:w="0" w:type="auto"/>
        <w:tblLook w:val="04A0" w:firstRow="1" w:lastRow="0" w:firstColumn="1" w:lastColumn="0" w:noHBand="0" w:noVBand="1"/>
      </w:tblPr>
      <w:tblGrid>
        <w:gridCol w:w="1657"/>
        <w:gridCol w:w="2563"/>
        <w:gridCol w:w="2547"/>
        <w:gridCol w:w="2583"/>
      </w:tblGrid>
      <w:tr w:rsidR="007C7C01" w:rsidRPr="00982F6A" w14:paraId="06303F70" w14:textId="77777777" w:rsidTr="007C7C01">
        <w:tc>
          <w:tcPr>
            <w:tcW w:w="0" w:type="auto"/>
            <w:hideMark/>
          </w:tcPr>
          <w:p w14:paraId="7CF4A043" w14:textId="77777777" w:rsidR="007C7C01" w:rsidRPr="00982F6A" w:rsidRDefault="007C7C01" w:rsidP="007C7C01">
            <w:pPr>
              <w:spacing w:after="160" w:line="360" w:lineRule="auto"/>
              <w:jc w:val="both"/>
              <w:rPr>
                <w:rFonts w:ascii="Arial" w:hAnsi="Arial" w:cs="Arial"/>
                <w:lang w:val="en-US"/>
              </w:rPr>
            </w:pPr>
            <w:r w:rsidRPr="00982F6A">
              <w:rPr>
                <w:rFonts w:ascii="Arial" w:hAnsi="Arial" w:cs="Arial"/>
                <w:b/>
                <w:bCs/>
                <w:lang w:val="en-US"/>
              </w:rPr>
              <w:t>Case Study</w:t>
            </w:r>
          </w:p>
        </w:tc>
        <w:tc>
          <w:tcPr>
            <w:tcW w:w="0" w:type="auto"/>
            <w:hideMark/>
          </w:tcPr>
          <w:p w14:paraId="4FB519FB" w14:textId="77777777" w:rsidR="007C7C01" w:rsidRPr="00982F6A" w:rsidRDefault="007C7C01" w:rsidP="007C7C01">
            <w:pPr>
              <w:spacing w:after="160" w:line="360" w:lineRule="auto"/>
              <w:jc w:val="both"/>
              <w:rPr>
                <w:rFonts w:ascii="Arial" w:hAnsi="Arial" w:cs="Arial"/>
                <w:lang w:val="en-US"/>
              </w:rPr>
            </w:pPr>
            <w:r w:rsidRPr="00982F6A">
              <w:rPr>
                <w:rFonts w:ascii="Arial" w:hAnsi="Arial" w:cs="Arial"/>
                <w:b/>
                <w:bCs/>
                <w:lang w:val="en-US"/>
              </w:rPr>
              <w:t>Key Risk Identified</w:t>
            </w:r>
          </w:p>
        </w:tc>
        <w:tc>
          <w:tcPr>
            <w:tcW w:w="0" w:type="auto"/>
            <w:hideMark/>
          </w:tcPr>
          <w:p w14:paraId="71B2A4E5" w14:textId="77777777" w:rsidR="007C7C01" w:rsidRPr="00982F6A" w:rsidRDefault="007C7C01" w:rsidP="007C7C01">
            <w:pPr>
              <w:spacing w:after="160" w:line="360" w:lineRule="auto"/>
              <w:jc w:val="both"/>
              <w:rPr>
                <w:rFonts w:ascii="Arial" w:hAnsi="Arial" w:cs="Arial"/>
                <w:lang w:val="en-US"/>
              </w:rPr>
            </w:pPr>
            <w:r w:rsidRPr="00982F6A">
              <w:rPr>
                <w:rFonts w:ascii="Arial" w:hAnsi="Arial" w:cs="Arial"/>
                <w:b/>
                <w:bCs/>
                <w:lang w:val="en-US"/>
              </w:rPr>
              <w:t>SHCM Strategy</w:t>
            </w:r>
          </w:p>
        </w:tc>
        <w:tc>
          <w:tcPr>
            <w:tcW w:w="0" w:type="auto"/>
            <w:hideMark/>
          </w:tcPr>
          <w:p w14:paraId="6D6CE8EA" w14:textId="77777777" w:rsidR="007C7C01" w:rsidRPr="00982F6A" w:rsidRDefault="007C7C01" w:rsidP="007C7C01">
            <w:pPr>
              <w:spacing w:after="160" w:line="360" w:lineRule="auto"/>
              <w:jc w:val="both"/>
              <w:rPr>
                <w:rFonts w:ascii="Arial" w:hAnsi="Arial" w:cs="Arial"/>
                <w:lang w:val="en-US"/>
              </w:rPr>
            </w:pPr>
            <w:r w:rsidRPr="00982F6A">
              <w:rPr>
                <w:rFonts w:ascii="Arial" w:hAnsi="Arial" w:cs="Arial"/>
                <w:b/>
                <w:bCs/>
                <w:lang w:val="en-US"/>
              </w:rPr>
              <w:t>Primary Outcome</w:t>
            </w:r>
          </w:p>
        </w:tc>
      </w:tr>
      <w:tr w:rsidR="007C7C01" w:rsidRPr="00982F6A" w14:paraId="2F8D238D" w14:textId="77777777" w:rsidTr="007C7C01">
        <w:tc>
          <w:tcPr>
            <w:tcW w:w="0" w:type="auto"/>
            <w:hideMark/>
          </w:tcPr>
          <w:p w14:paraId="03FE6ADB" w14:textId="77777777" w:rsidR="007C7C01" w:rsidRPr="00982F6A" w:rsidRDefault="007C7C01" w:rsidP="007C7C01">
            <w:pPr>
              <w:spacing w:after="160" w:line="360" w:lineRule="auto"/>
              <w:jc w:val="both"/>
              <w:rPr>
                <w:rFonts w:ascii="Arial" w:hAnsi="Arial" w:cs="Arial"/>
                <w:lang w:val="en-US"/>
              </w:rPr>
            </w:pPr>
            <w:r w:rsidRPr="00982F6A">
              <w:rPr>
                <w:rFonts w:ascii="Arial" w:hAnsi="Arial" w:cs="Arial"/>
                <w:b/>
                <w:bCs/>
                <w:lang w:val="en-US"/>
              </w:rPr>
              <w:t>Bunzl PLC</w:t>
            </w:r>
          </w:p>
        </w:tc>
        <w:tc>
          <w:tcPr>
            <w:tcW w:w="0" w:type="auto"/>
            <w:hideMark/>
          </w:tcPr>
          <w:p w14:paraId="52560BC1" w14:textId="77777777" w:rsidR="007C7C01" w:rsidRPr="00982F6A" w:rsidRDefault="007C7C01" w:rsidP="007C7C01">
            <w:pPr>
              <w:spacing w:after="160" w:line="360" w:lineRule="auto"/>
              <w:jc w:val="both"/>
              <w:rPr>
                <w:rFonts w:ascii="Arial" w:hAnsi="Arial" w:cs="Arial"/>
                <w:lang w:val="en-US"/>
              </w:rPr>
            </w:pPr>
            <w:r w:rsidRPr="00982F6A">
              <w:rPr>
                <w:rFonts w:ascii="Arial" w:hAnsi="Arial" w:cs="Arial"/>
                <w:lang w:val="en-US"/>
              </w:rPr>
              <w:t>Skills Gap / Brand Risk</w:t>
            </w:r>
          </w:p>
        </w:tc>
        <w:tc>
          <w:tcPr>
            <w:tcW w:w="0" w:type="auto"/>
            <w:hideMark/>
          </w:tcPr>
          <w:p w14:paraId="4A0DCDCB" w14:textId="77777777" w:rsidR="007C7C01" w:rsidRPr="00982F6A" w:rsidRDefault="007C7C01" w:rsidP="007C7C01">
            <w:pPr>
              <w:spacing w:after="160" w:line="360" w:lineRule="auto"/>
              <w:jc w:val="both"/>
              <w:rPr>
                <w:rFonts w:ascii="Arial" w:hAnsi="Arial" w:cs="Arial"/>
                <w:lang w:val="en-US"/>
              </w:rPr>
            </w:pPr>
            <w:r w:rsidRPr="00982F6A">
              <w:rPr>
                <w:rFonts w:ascii="Arial" w:hAnsi="Arial" w:cs="Arial"/>
                <w:lang w:val="en-US"/>
              </w:rPr>
              <w:t>Brand-Led Recruitment</w:t>
            </w:r>
          </w:p>
        </w:tc>
        <w:tc>
          <w:tcPr>
            <w:tcW w:w="0" w:type="auto"/>
            <w:hideMark/>
          </w:tcPr>
          <w:p w14:paraId="0E9CC70E" w14:textId="77777777" w:rsidR="007C7C01" w:rsidRPr="00982F6A" w:rsidRDefault="007C7C01" w:rsidP="007C7C01">
            <w:pPr>
              <w:spacing w:after="160" w:line="360" w:lineRule="auto"/>
              <w:jc w:val="both"/>
              <w:rPr>
                <w:rFonts w:ascii="Arial" w:hAnsi="Arial" w:cs="Arial"/>
                <w:lang w:val="en-US"/>
              </w:rPr>
            </w:pPr>
            <w:r w:rsidRPr="00982F6A">
              <w:rPr>
                <w:rFonts w:ascii="Arial" w:hAnsi="Arial" w:cs="Arial"/>
                <w:lang w:val="en-US"/>
              </w:rPr>
              <w:t>12% Turnover Reduction</w:t>
            </w:r>
          </w:p>
        </w:tc>
      </w:tr>
      <w:tr w:rsidR="007C7C01" w:rsidRPr="00982F6A" w14:paraId="54125659" w14:textId="77777777" w:rsidTr="007C7C01">
        <w:tc>
          <w:tcPr>
            <w:tcW w:w="0" w:type="auto"/>
            <w:hideMark/>
          </w:tcPr>
          <w:p w14:paraId="5499AC4B" w14:textId="77777777" w:rsidR="007C7C01" w:rsidRPr="00982F6A" w:rsidRDefault="007C7C01" w:rsidP="007C7C01">
            <w:pPr>
              <w:spacing w:after="160" w:line="360" w:lineRule="auto"/>
              <w:jc w:val="both"/>
              <w:rPr>
                <w:rFonts w:ascii="Arial" w:hAnsi="Arial" w:cs="Arial"/>
                <w:lang w:val="en-US"/>
              </w:rPr>
            </w:pPr>
            <w:r w:rsidRPr="00982F6A">
              <w:rPr>
                <w:rFonts w:ascii="Arial" w:hAnsi="Arial" w:cs="Arial"/>
                <w:b/>
                <w:bCs/>
                <w:lang w:val="en-US"/>
              </w:rPr>
              <w:t>BT Group</w:t>
            </w:r>
          </w:p>
        </w:tc>
        <w:tc>
          <w:tcPr>
            <w:tcW w:w="0" w:type="auto"/>
            <w:hideMark/>
          </w:tcPr>
          <w:p w14:paraId="26738B72" w14:textId="77777777" w:rsidR="007C7C01" w:rsidRPr="00982F6A" w:rsidRDefault="007C7C01" w:rsidP="007C7C01">
            <w:pPr>
              <w:spacing w:after="160" w:line="360" w:lineRule="auto"/>
              <w:jc w:val="both"/>
              <w:rPr>
                <w:rFonts w:ascii="Arial" w:hAnsi="Arial" w:cs="Arial"/>
                <w:lang w:val="en-US"/>
              </w:rPr>
            </w:pPr>
            <w:r w:rsidRPr="00982F6A">
              <w:rPr>
                <w:rFonts w:ascii="Arial" w:hAnsi="Arial" w:cs="Arial"/>
                <w:lang w:val="en-US"/>
              </w:rPr>
              <w:t>AI Displacement</w:t>
            </w:r>
          </w:p>
        </w:tc>
        <w:tc>
          <w:tcPr>
            <w:tcW w:w="0" w:type="auto"/>
            <w:hideMark/>
          </w:tcPr>
          <w:p w14:paraId="39B951DB" w14:textId="77777777" w:rsidR="007C7C01" w:rsidRPr="00982F6A" w:rsidRDefault="007C7C01" w:rsidP="007C7C01">
            <w:pPr>
              <w:spacing w:after="160" w:line="360" w:lineRule="auto"/>
              <w:jc w:val="both"/>
              <w:rPr>
                <w:rFonts w:ascii="Arial" w:hAnsi="Arial" w:cs="Arial"/>
                <w:lang w:val="en-US"/>
              </w:rPr>
            </w:pPr>
            <w:r w:rsidRPr="00982F6A">
              <w:rPr>
                <w:rFonts w:ascii="Arial" w:hAnsi="Arial" w:cs="Arial"/>
                <w:lang w:val="en-US"/>
              </w:rPr>
              <w:t>Skill Reskilling / DCT</w:t>
            </w:r>
          </w:p>
        </w:tc>
        <w:tc>
          <w:tcPr>
            <w:tcW w:w="0" w:type="auto"/>
            <w:hideMark/>
          </w:tcPr>
          <w:p w14:paraId="1586164D" w14:textId="77777777" w:rsidR="007C7C01" w:rsidRPr="00982F6A" w:rsidRDefault="007C7C01" w:rsidP="007C7C01">
            <w:pPr>
              <w:spacing w:after="160" w:line="360" w:lineRule="auto"/>
              <w:jc w:val="both"/>
              <w:rPr>
                <w:rFonts w:ascii="Arial" w:hAnsi="Arial" w:cs="Arial"/>
                <w:lang w:val="en-US"/>
              </w:rPr>
            </w:pPr>
            <w:r w:rsidRPr="00982F6A">
              <w:rPr>
                <w:rFonts w:ascii="Arial" w:hAnsi="Arial" w:cs="Arial"/>
                <w:lang w:val="en-US"/>
              </w:rPr>
              <w:t>£25m Recruitment Savings</w:t>
            </w:r>
          </w:p>
        </w:tc>
      </w:tr>
      <w:tr w:rsidR="007C7C01" w:rsidRPr="00982F6A" w14:paraId="387745E2" w14:textId="77777777" w:rsidTr="007C7C01">
        <w:tc>
          <w:tcPr>
            <w:tcW w:w="0" w:type="auto"/>
            <w:hideMark/>
          </w:tcPr>
          <w:p w14:paraId="5E876E05" w14:textId="77777777" w:rsidR="007C7C01" w:rsidRPr="00982F6A" w:rsidRDefault="007C7C01" w:rsidP="007C7C01">
            <w:pPr>
              <w:spacing w:after="160" w:line="360" w:lineRule="auto"/>
              <w:jc w:val="both"/>
              <w:rPr>
                <w:rFonts w:ascii="Arial" w:hAnsi="Arial" w:cs="Arial"/>
                <w:lang w:val="en-US"/>
              </w:rPr>
            </w:pPr>
            <w:r w:rsidRPr="00982F6A">
              <w:rPr>
                <w:rFonts w:ascii="Arial" w:hAnsi="Arial" w:cs="Arial"/>
                <w:b/>
                <w:bCs/>
                <w:lang w:val="en-US"/>
              </w:rPr>
              <w:t>AstraZeneca</w:t>
            </w:r>
          </w:p>
        </w:tc>
        <w:tc>
          <w:tcPr>
            <w:tcW w:w="0" w:type="auto"/>
            <w:hideMark/>
          </w:tcPr>
          <w:p w14:paraId="0C949FEB" w14:textId="77777777" w:rsidR="007C7C01" w:rsidRPr="00982F6A" w:rsidRDefault="007C7C01" w:rsidP="007C7C01">
            <w:pPr>
              <w:spacing w:after="160" w:line="360" w:lineRule="auto"/>
              <w:jc w:val="both"/>
              <w:rPr>
                <w:rFonts w:ascii="Arial" w:hAnsi="Arial" w:cs="Arial"/>
                <w:lang w:val="en-US"/>
              </w:rPr>
            </w:pPr>
            <w:r w:rsidRPr="00982F6A">
              <w:rPr>
                <w:rFonts w:ascii="Arial" w:hAnsi="Arial" w:cs="Arial"/>
                <w:lang w:val="en-US"/>
              </w:rPr>
              <w:t>Burnout / Innovation Loss</w:t>
            </w:r>
          </w:p>
        </w:tc>
        <w:tc>
          <w:tcPr>
            <w:tcW w:w="0" w:type="auto"/>
            <w:hideMark/>
          </w:tcPr>
          <w:p w14:paraId="3CC7B5A4" w14:textId="77777777" w:rsidR="007C7C01" w:rsidRPr="00982F6A" w:rsidRDefault="007C7C01" w:rsidP="007C7C01">
            <w:pPr>
              <w:spacing w:after="160" w:line="360" w:lineRule="auto"/>
              <w:jc w:val="both"/>
              <w:rPr>
                <w:rFonts w:ascii="Arial" w:hAnsi="Arial" w:cs="Arial"/>
                <w:lang w:val="en-US"/>
              </w:rPr>
            </w:pPr>
            <w:r w:rsidRPr="00982F6A">
              <w:rPr>
                <w:rFonts w:ascii="Arial" w:hAnsi="Arial" w:cs="Arial"/>
                <w:lang w:val="en-US"/>
              </w:rPr>
              <w:t>Wellbeing Analytics</w:t>
            </w:r>
          </w:p>
        </w:tc>
        <w:tc>
          <w:tcPr>
            <w:tcW w:w="0" w:type="auto"/>
            <w:hideMark/>
          </w:tcPr>
          <w:p w14:paraId="5490220E" w14:textId="77777777" w:rsidR="007C7C01" w:rsidRPr="00982F6A" w:rsidRDefault="007C7C01" w:rsidP="007C7C01">
            <w:pPr>
              <w:spacing w:after="160" w:line="360" w:lineRule="auto"/>
              <w:jc w:val="both"/>
              <w:rPr>
                <w:rFonts w:ascii="Arial" w:hAnsi="Arial" w:cs="Arial"/>
                <w:lang w:val="en-US"/>
              </w:rPr>
            </w:pPr>
            <w:r w:rsidRPr="00982F6A">
              <w:rPr>
                <w:rFonts w:ascii="Arial" w:hAnsi="Arial" w:cs="Arial"/>
                <w:lang w:val="en-US"/>
              </w:rPr>
              <w:t>20% Faster Innovation</w:t>
            </w:r>
          </w:p>
        </w:tc>
      </w:tr>
      <w:tr w:rsidR="007C7C01" w:rsidRPr="00982F6A" w14:paraId="20D5A749" w14:textId="77777777" w:rsidTr="007C7C01">
        <w:tc>
          <w:tcPr>
            <w:tcW w:w="0" w:type="auto"/>
            <w:hideMark/>
          </w:tcPr>
          <w:p w14:paraId="52C0BDED" w14:textId="77777777" w:rsidR="007C7C01" w:rsidRPr="00982F6A" w:rsidRDefault="007C7C01" w:rsidP="007C7C01">
            <w:pPr>
              <w:spacing w:after="160" w:line="360" w:lineRule="auto"/>
              <w:jc w:val="both"/>
              <w:rPr>
                <w:rFonts w:ascii="Arial" w:hAnsi="Arial" w:cs="Arial"/>
                <w:lang w:val="en-US"/>
              </w:rPr>
            </w:pPr>
            <w:r w:rsidRPr="00982F6A">
              <w:rPr>
                <w:rFonts w:ascii="Arial" w:hAnsi="Arial" w:cs="Arial"/>
                <w:b/>
                <w:bCs/>
                <w:lang w:val="en-US"/>
              </w:rPr>
              <w:t>PwC UK</w:t>
            </w:r>
          </w:p>
        </w:tc>
        <w:tc>
          <w:tcPr>
            <w:tcW w:w="0" w:type="auto"/>
            <w:hideMark/>
          </w:tcPr>
          <w:p w14:paraId="47430A3C" w14:textId="77777777" w:rsidR="007C7C01" w:rsidRPr="00982F6A" w:rsidRDefault="007C7C01" w:rsidP="007C7C01">
            <w:pPr>
              <w:spacing w:after="160" w:line="360" w:lineRule="auto"/>
              <w:jc w:val="both"/>
              <w:rPr>
                <w:rFonts w:ascii="Arial" w:hAnsi="Arial" w:cs="Arial"/>
                <w:lang w:val="en-US"/>
              </w:rPr>
            </w:pPr>
            <w:r w:rsidRPr="00982F6A">
              <w:rPr>
                <w:rFonts w:ascii="Arial" w:hAnsi="Arial" w:cs="Arial"/>
                <w:lang w:val="en-US"/>
              </w:rPr>
              <w:t>Compliance / Culture Risk</w:t>
            </w:r>
          </w:p>
        </w:tc>
        <w:tc>
          <w:tcPr>
            <w:tcW w:w="0" w:type="auto"/>
            <w:hideMark/>
          </w:tcPr>
          <w:p w14:paraId="71EC712B" w14:textId="77777777" w:rsidR="007C7C01" w:rsidRPr="00982F6A" w:rsidRDefault="007C7C01" w:rsidP="007C7C01">
            <w:pPr>
              <w:spacing w:after="160" w:line="360" w:lineRule="auto"/>
              <w:jc w:val="both"/>
              <w:rPr>
                <w:rFonts w:ascii="Arial" w:hAnsi="Arial" w:cs="Arial"/>
                <w:lang w:val="en-US"/>
              </w:rPr>
            </w:pPr>
            <w:r w:rsidRPr="00982F6A">
              <w:rPr>
                <w:rFonts w:ascii="Arial" w:hAnsi="Arial" w:cs="Arial"/>
                <w:lang w:val="en-US"/>
              </w:rPr>
              <w:t>Predictive Risk Dashboard</w:t>
            </w:r>
          </w:p>
        </w:tc>
        <w:tc>
          <w:tcPr>
            <w:tcW w:w="0" w:type="auto"/>
            <w:hideMark/>
          </w:tcPr>
          <w:p w14:paraId="16BE6281" w14:textId="77777777" w:rsidR="007C7C01" w:rsidRPr="00982F6A" w:rsidRDefault="007C7C01" w:rsidP="00BD462A">
            <w:pPr>
              <w:keepNext/>
              <w:spacing w:after="160" w:line="360" w:lineRule="auto"/>
              <w:jc w:val="both"/>
              <w:rPr>
                <w:rFonts w:ascii="Arial" w:hAnsi="Arial" w:cs="Arial"/>
                <w:lang w:val="en-US"/>
              </w:rPr>
            </w:pPr>
            <w:r w:rsidRPr="00982F6A">
              <w:rPr>
                <w:rFonts w:ascii="Arial" w:hAnsi="Arial" w:cs="Arial"/>
                <w:lang w:val="en-US"/>
              </w:rPr>
              <w:t>Higher Client Satisfaction</w:t>
            </w:r>
          </w:p>
        </w:tc>
      </w:tr>
    </w:tbl>
    <w:p w14:paraId="71B6EF44" w14:textId="53E35CA7" w:rsidR="00BD462A" w:rsidRPr="00982F6A" w:rsidRDefault="00BD462A">
      <w:pPr>
        <w:pStyle w:val="Caption"/>
        <w:rPr>
          <w:rFonts w:ascii="Arial" w:hAnsi="Arial" w:cs="Arial"/>
        </w:rPr>
      </w:pPr>
      <w:bookmarkStart w:id="119" w:name="_Toc228703857"/>
      <w:r w:rsidRPr="00982F6A">
        <w:rPr>
          <w:rFonts w:ascii="Arial" w:hAnsi="Arial" w:cs="Arial"/>
        </w:rPr>
        <w:t xml:space="preserve">Table </w:t>
      </w:r>
      <w:r w:rsidRPr="00982F6A">
        <w:rPr>
          <w:rFonts w:ascii="Arial" w:hAnsi="Arial" w:cs="Arial"/>
        </w:rPr>
        <w:fldChar w:fldCharType="begin"/>
      </w:r>
      <w:r w:rsidRPr="00982F6A">
        <w:rPr>
          <w:rFonts w:ascii="Arial" w:hAnsi="Arial" w:cs="Arial"/>
        </w:rPr>
        <w:instrText xml:space="preserve"> SEQ Table \* ARABIC </w:instrText>
      </w:r>
      <w:r w:rsidRPr="00982F6A">
        <w:rPr>
          <w:rFonts w:ascii="Arial" w:hAnsi="Arial" w:cs="Arial"/>
        </w:rPr>
        <w:fldChar w:fldCharType="separate"/>
      </w:r>
      <w:r w:rsidRPr="00982F6A">
        <w:rPr>
          <w:rFonts w:ascii="Arial" w:hAnsi="Arial" w:cs="Arial"/>
          <w:noProof/>
        </w:rPr>
        <w:t>1</w:t>
      </w:r>
      <w:r w:rsidRPr="00982F6A">
        <w:rPr>
          <w:rFonts w:ascii="Arial" w:hAnsi="Arial" w:cs="Arial"/>
          <w:noProof/>
        </w:rPr>
        <w:fldChar w:fldCharType="end"/>
      </w:r>
      <w:r w:rsidRPr="00982F6A">
        <w:rPr>
          <w:rFonts w:ascii="Arial" w:hAnsi="Arial" w:cs="Arial"/>
        </w:rPr>
        <w:t>: Summary of Findings</w:t>
      </w:r>
      <w:bookmarkEnd w:id="119"/>
    </w:p>
    <w:p w14:paraId="44E81674" w14:textId="19B5F18A" w:rsidR="00EB4141" w:rsidRPr="00982F6A" w:rsidRDefault="00EB4141" w:rsidP="007C7C01">
      <w:pPr>
        <w:spacing w:line="360" w:lineRule="auto"/>
        <w:jc w:val="both"/>
        <w:rPr>
          <w:rFonts w:ascii="Arial" w:hAnsi="Arial" w:cs="Arial"/>
          <w:lang w:val="en-US"/>
        </w:rPr>
      </w:pPr>
      <w:r w:rsidRPr="00982F6A">
        <w:rPr>
          <w:rFonts w:ascii="Arial" w:hAnsi="Arial" w:cs="Arial"/>
          <w:b/>
          <w:bCs/>
          <w:lang w:val="en-US"/>
        </w:rPr>
        <w:t>Source:</w:t>
      </w:r>
      <w:r w:rsidRPr="00982F6A">
        <w:rPr>
          <w:rFonts w:ascii="Arial" w:hAnsi="Arial" w:cs="Arial"/>
          <w:lang w:val="en-US"/>
        </w:rPr>
        <w:t xml:space="preserve"> Created by learners</w:t>
      </w:r>
    </w:p>
    <w:p w14:paraId="167B8AF8" w14:textId="26451FF7" w:rsidR="007C7C01" w:rsidRPr="00982F6A" w:rsidRDefault="00F86E31" w:rsidP="007C7C01">
      <w:pPr>
        <w:spacing w:line="360" w:lineRule="auto"/>
        <w:jc w:val="both"/>
        <w:rPr>
          <w:rFonts w:ascii="Arial" w:hAnsi="Arial" w:cs="Arial"/>
          <w:lang w:val="en-US"/>
        </w:rPr>
      </w:pPr>
      <w:r w:rsidRPr="00982F6A">
        <w:rPr>
          <w:rFonts w:ascii="Arial" w:hAnsi="Arial" w:cs="Arial"/>
          <w:lang w:val="en-US"/>
        </w:rPr>
        <w:t xml:space="preserve">This assertion is evidenced by the results of these four cases, where SHCM is no longer a support role. It is used as a risk-mitigation strategy in the UK context of 2026. When HR aligns with </w:t>
      </w:r>
      <w:proofErr w:type="spellStart"/>
      <w:r w:rsidRPr="00982F6A">
        <w:rPr>
          <w:rFonts w:ascii="Arial" w:hAnsi="Arial" w:cs="Arial"/>
          <w:lang w:val="en-US"/>
        </w:rPr>
        <w:t>organisational</w:t>
      </w:r>
      <w:proofErr w:type="spellEnd"/>
      <w:r w:rsidRPr="00982F6A">
        <w:rPr>
          <w:rFonts w:ascii="Arial" w:hAnsi="Arial" w:cs="Arial"/>
          <w:lang w:val="en-US"/>
        </w:rPr>
        <w:t xml:space="preserve"> strategy (Bunzl, PwC) and adapts to external shocks (BT, AstraZeneca), it directly increases resilience and performance.</w:t>
      </w:r>
    </w:p>
    <w:p w14:paraId="0967E4AD" w14:textId="77777777" w:rsidR="00BD462A" w:rsidRPr="00982F6A" w:rsidRDefault="00BD462A" w:rsidP="00BD462A">
      <w:pPr>
        <w:pStyle w:val="Heading2"/>
        <w:rPr>
          <w:rFonts w:cs="Arial"/>
        </w:rPr>
      </w:pPr>
      <w:bookmarkStart w:id="120" w:name="_Toc228704062"/>
      <w:r w:rsidRPr="00982F6A">
        <w:rPr>
          <w:rFonts w:cs="Arial"/>
        </w:rPr>
        <w:lastRenderedPageBreak/>
        <w:t>4.7 Analysis of Results</w:t>
      </w:r>
      <w:bookmarkEnd w:id="120"/>
    </w:p>
    <w:p w14:paraId="14D55D2B" w14:textId="76AEC45D" w:rsidR="00F86E31" w:rsidRPr="00982F6A" w:rsidRDefault="00F86E31" w:rsidP="00F86E31">
      <w:pPr>
        <w:spacing w:line="360" w:lineRule="auto"/>
        <w:jc w:val="both"/>
        <w:rPr>
          <w:rFonts w:ascii="Arial" w:hAnsi="Arial" w:cs="Arial"/>
          <w:lang w:val="en-US"/>
        </w:rPr>
      </w:pPr>
      <w:r w:rsidRPr="00982F6A">
        <w:rPr>
          <w:rFonts w:ascii="Arial" w:hAnsi="Arial" w:cs="Arial"/>
          <w:lang w:val="en-US"/>
        </w:rPr>
        <w:t xml:space="preserve">The results of the four case studies – Bunzl PLC, BT Group, AstraZeneca UK and PwC UK – indicate a paradigm shift in the perception of the utility of Strategic Human Capital Management in the major </w:t>
      </w:r>
      <w:proofErr w:type="spellStart"/>
      <w:r w:rsidRPr="00982F6A">
        <w:rPr>
          <w:rFonts w:ascii="Arial" w:hAnsi="Arial" w:cs="Arial"/>
          <w:lang w:val="en-US"/>
        </w:rPr>
        <w:t>organisations</w:t>
      </w:r>
      <w:proofErr w:type="spellEnd"/>
      <w:r w:rsidRPr="00982F6A">
        <w:rPr>
          <w:rFonts w:ascii="Arial" w:hAnsi="Arial" w:cs="Arial"/>
          <w:lang w:val="en-US"/>
        </w:rPr>
        <w:t xml:space="preserve"> in the UK. The synthesis of the data allows for the identification of three main analytical themes, namely, the shift of administration toward predictive HR, the importance of SHCM as the means of protecting intangible assets, and the transformation of human capital as an adaptive ability.</w:t>
      </w:r>
    </w:p>
    <w:p w14:paraId="58640360" w14:textId="18AA55EA" w:rsidR="00F86E31" w:rsidRPr="00982F6A" w:rsidRDefault="00F86E31" w:rsidP="00F86E31">
      <w:pPr>
        <w:pStyle w:val="Heading3"/>
        <w:rPr>
          <w:rFonts w:cs="Arial"/>
        </w:rPr>
      </w:pPr>
      <w:bookmarkStart w:id="121" w:name="_Toc228704063"/>
      <w:r w:rsidRPr="00982F6A">
        <w:rPr>
          <w:rFonts w:cs="Arial"/>
        </w:rPr>
        <w:t>4.7.1 The Change to Predictive Risk Management</w:t>
      </w:r>
      <w:bookmarkEnd w:id="121"/>
    </w:p>
    <w:p w14:paraId="0FE26207" w14:textId="77777777" w:rsidR="00F86E31" w:rsidRPr="00982F6A" w:rsidRDefault="00F86E31" w:rsidP="00F86E31">
      <w:pPr>
        <w:spacing w:line="360" w:lineRule="auto"/>
        <w:jc w:val="both"/>
        <w:rPr>
          <w:rFonts w:ascii="Arial" w:hAnsi="Arial" w:cs="Arial"/>
          <w:lang w:val="en-US"/>
        </w:rPr>
      </w:pPr>
      <w:r w:rsidRPr="00982F6A">
        <w:rPr>
          <w:rFonts w:ascii="Arial" w:hAnsi="Arial" w:cs="Arial"/>
          <w:lang w:val="en-US"/>
        </w:rPr>
        <w:t xml:space="preserve">A critical review of the outcomes from PwC UK (2026) and BT Group shows that SHCM is progressively shifting towards a predictive risk model. Historically, the HR functions were reactive, and they responded to turnover or skills shortages when they happened. Nevertheless, when it comes to HR analytics and real-time risk dashboards like in the PwC case, it indicates that SHCM has become an early-warning system. </w:t>
      </w:r>
      <w:proofErr w:type="spellStart"/>
      <w:r w:rsidRPr="00982F6A">
        <w:rPr>
          <w:rFonts w:ascii="Arial" w:hAnsi="Arial" w:cs="Arial"/>
          <w:lang w:val="en-US"/>
        </w:rPr>
        <w:t>Organisations</w:t>
      </w:r>
      <w:proofErr w:type="spellEnd"/>
      <w:r w:rsidRPr="00982F6A">
        <w:rPr>
          <w:rFonts w:ascii="Arial" w:hAnsi="Arial" w:cs="Arial"/>
          <w:lang w:val="en-US"/>
        </w:rPr>
        <w:t xml:space="preserve"> incorporate diversity, inclusion, and compliance-related metrics in financial risk reporting, effectively placing a value on human capital risk in their strategic valuation.</w:t>
      </w:r>
    </w:p>
    <w:p w14:paraId="7AD76C73" w14:textId="5CB46B19" w:rsidR="00F86E31" w:rsidRPr="00982F6A" w:rsidRDefault="00F86E31" w:rsidP="00F86E31">
      <w:pPr>
        <w:spacing w:line="360" w:lineRule="auto"/>
        <w:jc w:val="both"/>
        <w:rPr>
          <w:rFonts w:ascii="Arial" w:hAnsi="Arial" w:cs="Arial"/>
          <w:lang w:val="en-US"/>
        </w:rPr>
      </w:pPr>
      <w:r w:rsidRPr="00982F6A">
        <w:rPr>
          <w:rFonts w:ascii="Arial" w:hAnsi="Arial" w:cs="Arial"/>
          <w:lang w:val="en-US"/>
        </w:rPr>
        <w:t>This conclusion is in line with the observations made by IBISWorld (2026), which indicate that the strongest companies in the UK are those making use of data-driven workforce planning to forecast the so-called 'skills cliff' as a result of a rapid digital transformation. This point is further demonstrated in the BT Group case, whereby the adoption of AI to determine the occurrence of adjacent skills to do the reskilling instead of merely being rendered redundant is a complex use of data to counter the social and operational cost of technological transformations</w:t>
      </w:r>
      <w:r w:rsidR="003A62D4" w:rsidRPr="00982F6A">
        <w:rPr>
          <w:rFonts w:ascii="Arial" w:hAnsi="Arial" w:cs="Arial"/>
          <w:lang w:val="en-US"/>
        </w:rPr>
        <w:t xml:space="preserve"> (</w:t>
      </w:r>
      <w:r w:rsidR="003A62D4" w:rsidRPr="00982F6A">
        <w:rPr>
          <w:rFonts w:ascii="Arial" w:hAnsi="Arial" w:cs="Arial"/>
        </w:rPr>
        <w:t>BT Group, 2026)</w:t>
      </w:r>
      <w:r w:rsidRPr="00982F6A">
        <w:rPr>
          <w:rFonts w:ascii="Arial" w:hAnsi="Arial" w:cs="Arial"/>
          <w:lang w:val="en-US"/>
        </w:rPr>
        <w:t>.</w:t>
      </w:r>
    </w:p>
    <w:p w14:paraId="356863AD" w14:textId="0D5945C5" w:rsidR="00F86E31" w:rsidRPr="00982F6A" w:rsidRDefault="00F86E31" w:rsidP="00F86E31">
      <w:pPr>
        <w:pStyle w:val="Heading3"/>
        <w:rPr>
          <w:rFonts w:cs="Arial"/>
        </w:rPr>
      </w:pPr>
      <w:bookmarkStart w:id="122" w:name="_Toc228704064"/>
      <w:r w:rsidRPr="00982F6A">
        <w:rPr>
          <w:rFonts w:cs="Arial"/>
        </w:rPr>
        <w:t>4.7.2 Protection of Intangible Assets and Brand Equity</w:t>
      </w:r>
      <w:bookmarkEnd w:id="122"/>
    </w:p>
    <w:p w14:paraId="00C4ACE8" w14:textId="77777777" w:rsidR="00F86E31" w:rsidRPr="00982F6A" w:rsidRDefault="00F86E31" w:rsidP="00F86E31">
      <w:pPr>
        <w:spacing w:line="360" w:lineRule="auto"/>
        <w:jc w:val="both"/>
        <w:rPr>
          <w:rFonts w:ascii="Arial" w:hAnsi="Arial" w:cs="Arial"/>
          <w:lang w:val="en-US"/>
        </w:rPr>
      </w:pPr>
      <w:r w:rsidRPr="00982F6A">
        <w:rPr>
          <w:rFonts w:ascii="Arial" w:hAnsi="Arial" w:cs="Arial"/>
          <w:lang w:val="en-US"/>
        </w:rPr>
        <w:t xml:space="preserve">The results from Bunzl PLC and AstraZeneca UK highlight the defensive strategic value of SHCM. In the case of Bunzl, the alignment of HR practices and corporate brand identity was used to safeguard brand equity, which is an intangible asset that is becoming more and more </w:t>
      </w:r>
      <w:proofErr w:type="spellStart"/>
      <w:r w:rsidRPr="00982F6A">
        <w:rPr>
          <w:rFonts w:ascii="Arial" w:hAnsi="Arial" w:cs="Arial"/>
          <w:lang w:val="en-US"/>
        </w:rPr>
        <w:t>scrutinised</w:t>
      </w:r>
      <w:proofErr w:type="spellEnd"/>
      <w:r w:rsidRPr="00982F6A">
        <w:rPr>
          <w:rFonts w:ascii="Arial" w:hAnsi="Arial" w:cs="Arial"/>
          <w:lang w:val="en-US"/>
        </w:rPr>
        <w:t xml:space="preserve"> by institutional investors. Employer branding is no longer a tool in recruitment in the 2026 market environment but a tool to mitigate risks in the reputation when its name is threatened with reputational damage.</w:t>
      </w:r>
    </w:p>
    <w:p w14:paraId="23342A25" w14:textId="5651BC1C" w:rsidR="00BD462A" w:rsidRPr="00982F6A" w:rsidRDefault="00F86E31" w:rsidP="00BD462A">
      <w:pPr>
        <w:spacing w:line="360" w:lineRule="auto"/>
        <w:jc w:val="both"/>
        <w:rPr>
          <w:rFonts w:ascii="Arial" w:hAnsi="Arial" w:cs="Arial"/>
          <w:lang w:val="en-US"/>
        </w:rPr>
      </w:pPr>
      <w:r w:rsidRPr="00982F6A">
        <w:rPr>
          <w:rFonts w:ascii="Arial" w:hAnsi="Arial" w:cs="Arial"/>
          <w:lang w:val="en-US"/>
        </w:rPr>
        <w:lastRenderedPageBreak/>
        <w:t>Likewise, the AstraZeneca case highlights the fact that human capital is the main source of sustainable competitive advantage in the knowledge-intensive industry. AstraZeneca has managed to reduce the threat of "innovation stagnation" by addressing psychological wellbeing and resilience. The discussion indicates that SHCM is a shield that surrounds the core intellectual property of the firm. The absence of a stable and high-functioning working population would bring down the "Resource-Based View" (RBV) of the pharmaceutical giant since the knowledge, which is rare and imitable, among researchers, would be transferred to rivals</w:t>
      </w:r>
      <w:r w:rsidR="00BD462A" w:rsidRPr="00982F6A">
        <w:rPr>
          <w:rFonts w:ascii="Arial" w:hAnsi="Arial" w:cs="Arial"/>
          <w:lang w:val="en-US"/>
        </w:rPr>
        <w:t>.</w:t>
      </w:r>
    </w:p>
    <w:p w14:paraId="23418E42" w14:textId="77777777" w:rsidR="00BD462A" w:rsidRPr="00982F6A" w:rsidRDefault="00BD462A" w:rsidP="00BD462A">
      <w:pPr>
        <w:pStyle w:val="Heading2"/>
        <w:rPr>
          <w:rFonts w:cs="Arial"/>
        </w:rPr>
      </w:pPr>
      <w:bookmarkStart w:id="123" w:name="_Toc228704065"/>
      <w:r w:rsidRPr="00982F6A">
        <w:rPr>
          <w:rFonts w:cs="Arial"/>
        </w:rPr>
        <w:t>4.8 Discussion of Results</w:t>
      </w:r>
      <w:bookmarkEnd w:id="123"/>
    </w:p>
    <w:p w14:paraId="520AB386" w14:textId="31208C54" w:rsidR="00F86E31" w:rsidRPr="00982F6A" w:rsidRDefault="00F86E31" w:rsidP="00F86E31">
      <w:pPr>
        <w:spacing w:line="360" w:lineRule="auto"/>
        <w:jc w:val="both"/>
        <w:rPr>
          <w:rFonts w:ascii="Arial" w:hAnsi="Arial" w:cs="Arial"/>
          <w:lang w:val="en-US"/>
        </w:rPr>
      </w:pPr>
      <w:r w:rsidRPr="00982F6A">
        <w:rPr>
          <w:rFonts w:ascii="Arial" w:hAnsi="Arial" w:cs="Arial"/>
          <w:lang w:val="en-US"/>
        </w:rPr>
        <w:t>The discussion incorporates the empirical results with the theoretical frameworks laid out in Chapter 2, namely the Resource-Based View, Dynamic Capabilities Theory and Human Capital Theory.</w:t>
      </w:r>
    </w:p>
    <w:p w14:paraId="7F95EBED" w14:textId="42FF3A03" w:rsidR="00F86E31" w:rsidRPr="00982F6A" w:rsidRDefault="00F86E31" w:rsidP="00F86E31">
      <w:pPr>
        <w:pStyle w:val="Heading3"/>
        <w:rPr>
          <w:rFonts w:cs="Arial"/>
          <w:lang w:val="en-US"/>
        </w:rPr>
      </w:pPr>
      <w:bookmarkStart w:id="124" w:name="_Toc228704066"/>
      <w:r w:rsidRPr="00982F6A">
        <w:rPr>
          <w:rFonts w:cs="Arial"/>
          <w:lang w:val="en-US"/>
        </w:rPr>
        <w:t xml:space="preserve">4.8.1 SHCM </w:t>
      </w:r>
      <w:proofErr w:type="gramStart"/>
      <w:r w:rsidRPr="00982F6A">
        <w:rPr>
          <w:rFonts w:cs="Arial"/>
          <w:lang w:val="en-US"/>
        </w:rPr>
        <w:t>as a way to</w:t>
      </w:r>
      <w:proofErr w:type="gramEnd"/>
      <w:r w:rsidRPr="00982F6A">
        <w:rPr>
          <w:rFonts w:cs="Arial"/>
          <w:lang w:val="en-US"/>
        </w:rPr>
        <w:t xml:space="preserve"> validate the Resource-Based View </w:t>
      </w:r>
      <w:bookmarkEnd w:id="124"/>
    </w:p>
    <w:p w14:paraId="3588D18B" w14:textId="6FF0232F" w:rsidR="00F86E31" w:rsidRPr="00982F6A" w:rsidRDefault="00F86E31" w:rsidP="00F86E31">
      <w:pPr>
        <w:spacing w:line="360" w:lineRule="auto"/>
        <w:jc w:val="both"/>
        <w:rPr>
          <w:rFonts w:ascii="Arial" w:hAnsi="Arial" w:cs="Arial"/>
          <w:lang w:val="en-US"/>
        </w:rPr>
      </w:pPr>
      <w:r w:rsidRPr="00982F6A">
        <w:rPr>
          <w:rFonts w:ascii="Arial" w:hAnsi="Arial" w:cs="Arial"/>
          <w:lang w:val="en-US"/>
        </w:rPr>
        <w:t>The findings of all the cases are highly supportive of the RBV framework of Barney (1991), although there is a modern 2026 twist of risk. The Bunzl and AstraZeneca examples show that human capital can become a VRIN (Valuable, Rare, Inimitable, and Non-substitutable) resource and thus</w:t>
      </w:r>
      <w:r w:rsidR="00967467">
        <w:rPr>
          <w:rFonts w:ascii="Arial" w:hAnsi="Arial" w:cs="Arial"/>
          <w:lang w:val="en-US"/>
        </w:rPr>
        <w:t xml:space="preserve"> protected</w:t>
      </w:r>
      <w:r w:rsidRPr="00982F6A">
        <w:rPr>
          <w:rFonts w:ascii="Arial" w:hAnsi="Arial" w:cs="Arial"/>
          <w:lang w:val="en-US"/>
        </w:rPr>
        <w:t xml:space="preserve"> by strategic HR interventions. The 12% turnover rate has decreased at Bunzl, which proves that a strategic alignment renders a workforce inimitable. A business model can be copied; a workforce that is highly aligned with a certain corporate brand and culture can hardly be duplicated by the competitor.</w:t>
      </w:r>
    </w:p>
    <w:p w14:paraId="5CDB9171" w14:textId="5F92616D" w:rsidR="00F86E31" w:rsidRPr="00982F6A" w:rsidRDefault="00F86E31" w:rsidP="00F86E31">
      <w:pPr>
        <w:spacing w:line="360" w:lineRule="auto"/>
        <w:jc w:val="both"/>
        <w:rPr>
          <w:rFonts w:ascii="Arial" w:hAnsi="Arial" w:cs="Arial"/>
          <w:lang w:val="en-US"/>
        </w:rPr>
      </w:pPr>
      <w:r w:rsidRPr="00982F6A">
        <w:rPr>
          <w:rFonts w:ascii="Arial" w:hAnsi="Arial" w:cs="Arial"/>
          <w:lang w:val="en-US"/>
        </w:rPr>
        <w:t xml:space="preserve">Nevertheless, the discussion should be open to </w:t>
      </w:r>
      <w:proofErr w:type="gramStart"/>
      <w:r w:rsidR="00967467">
        <w:rPr>
          <w:rFonts w:ascii="Arial" w:hAnsi="Arial" w:cs="Arial"/>
          <w:lang w:val="en-US"/>
        </w:rPr>
        <w:t>highlight</w:t>
      </w:r>
      <w:proofErr w:type="gramEnd"/>
      <w:r w:rsidRPr="00982F6A">
        <w:rPr>
          <w:rFonts w:ascii="Arial" w:hAnsi="Arial" w:cs="Arial"/>
          <w:lang w:val="en-US"/>
        </w:rPr>
        <w:t xml:space="preserve"> the limitations that exist in the data. Although RBV explains the reason why human capital is valuable, it fails to provide a complete explanation </w:t>
      </w:r>
      <w:r w:rsidR="00967467">
        <w:rPr>
          <w:rFonts w:ascii="Arial" w:hAnsi="Arial" w:cs="Arial"/>
          <w:lang w:val="en-US"/>
        </w:rPr>
        <w:t>about</w:t>
      </w:r>
      <w:r w:rsidRPr="00982F6A">
        <w:rPr>
          <w:rFonts w:ascii="Arial" w:hAnsi="Arial" w:cs="Arial"/>
          <w:lang w:val="en-US"/>
        </w:rPr>
        <w:t xml:space="preserve"> how </w:t>
      </w:r>
      <w:proofErr w:type="spellStart"/>
      <w:r w:rsidRPr="00982F6A">
        <w:rPr>
          <w:rFonts w:ascii="Arial" w:hAnsi="Arial" w:cs="Arial"/>
          <w:lang w:val="en-US"/>
        </w:rPr>
        <w:t>organisations</w:t>
      </w:r>
      <w:proofErr w:type="spellEnd"/>
      <w:r w:rsidRPr="00982F6A">
        <w:rPr>
          <w:rFonts w:ascii="Arial" w:hAnsi="Arial" w:cs="Arial"/>
          <w:lang w:val="en-US"/>
        </w:rPr>
        <w:t xml:space="preserve"> deal with the downside risk of such resources. According to the case studies, it is possible to propose that the missing link in the RBV framework is human capital risk management. The strategic HR practices are basically the sustenance system of the most valuable resources of the firm.</w:t>
      </w:r>
    </w:p>
    <w:p w14:paraId="6E6794FC" w14:textId="557EEBA3" w:rsidR="00F86E31" w:rsidRPr="00982F6A" w:rsidRDefault="00F86E31" w:rsidP="00F86E31">
      <w:pPr>
        <w:pStyle w:val="Heading3"/>
        <w:rPr>
          <w:rFonts w:cs="Arial"/>
          <w:lang w:val="en-US"/>
        </w:rPr>
      </w:pPr>
      <w:bookmarkStart w:id="125" w:name="_Toc228704067"/>
      <w:r w:rsidRPr="00982F6A">
        <w:rPr>
          <w:rFonts w:cs="Arial"/>
          <w:lang w:val="en-US"/>
        </w:rPr>
        <w:t>4.8.2 SHCM as a Capacity of Dynamics in 2026</w:t>
      </w:r>
      <w:bookmarkEnd w:id="125"/>
    </w:p>
    <w:p w14:paraId="16CB67D5" w14:textId="4232A416" w:rsidR="00F86E31" w:rsidRPr="00982F6A" w:rsidRDefault="00F86E31" w:rsidP="00F86E31">
      <w:pPr>
        <w:spacing w:line="360" w:lineRule="auto"/>
        <w:jc w:val="both"/>
        <w:rPr>
          <w:rFonts w:ascii="Arial" w:hAnsi="Arial" w:cs="Arial"/>
          <w:lang w:val="en-US"/>
        </w:rPr>
      </w:pPr>
      <w:r w:rsidRPr="00982F6A">
        <w:rPr>
          <w:rFonts w:ascii="Arial" w:hAnsi="Arial" w:cs="Arial"/>
          <w:lang w:val="en-US"/>
        </w:rPr>
        <w:t xml:space="preserve">The two cases of the BT Group and PwC UK provide a solid empirical base of Dynamic Capabilities Theory. Teece (2014) points out that dynamic capabilities concern feeling </w:t>
      </w:r>
      <w:r w:rsidRPr="00982F6A">
        <w:rPr>
          <w:rFonts w:ascii="Arial" w:hAnsi="Arial" w:cs="Arial"/>
          <w:lang w:val="en-US"/>
        </w:rPr>
        <w:lastRenderedPageBreak/>
        <w:t>threatened and taking advantage. In 2026, the UK disruption landscape, marked by AI, necessitates what this research paper refers to as Agile SHCM.</w:t>
      </w:r>
    </w:p>
    <w:p w14:paraId="145B1998" w14:textId="6F0E1D3F" w:rsidR="00F86E31" w:rsidRPr="00982F6A" w:rsidRDefault="00F86E31" w:rsidP="00F86E31">
      <w:pPr>
        <w:spacing w:line="360" w:lineRule="auto"/>
        <w:jc w:val="both"/>
        <w:rPr>
          <w:rFonts w:ascii="Arial" w:hAnsi="Arial" w:cs="Arial"/>
          <w:lang w:val="en-US"/>
        </w:rPr>
      </w:pPr>
      <w:r w:rsidRPr="00982F6A">
        <w:rPr>
          <w:rFonts w:ascii="Arial" w:hAnsi="Arial" w:cs="Arial"/>
          <w:lang w:val="en-US"/>
        </w:rPr>
        <w:t xml:space="preserve">The fact that BT Group has the capability to </w:t>
      </w:r>
      <w:proofErr w:type="spellStart"/>
      <w:r w:rsidRPr="00982F6A">
        <w:rPr>
          <w:rFonts w:ascii="Arial" w:hAnsi="Arial" w:cs="Arial"/>
          <w:lang w:val="en-US"/>
        </w:rPr>
        <w:t>reorganise</w:t>
      </w:r>
      <w:proofErr w:type="spellEnd"/>
      <w:r w:rsidRPr="00982F6A">
        <w:rPr>
          <w:rFonts w:ascii="Arial" w:hAnsi="Arial" w:cs="Arial"/>
          <w:lang w:val="en-US"/>
        </w:rPr>
        <w:t xml:space="preserve"> its employees via reskilling instead of laying off large numbers of employees is a classic example of the way to transform </w:t>
      </w:r>
      <w:proofErr w:type="spellStart"/>
      <w:r w:rsidRPr="00982F6A">
        <w:rPr>
          <w:rFonts w:ascii="Arial" w:hAnsi="Arial" w:cs="Arial"/>
          <w:lang w:val="en-US"/>
        </w:rPr>
        <w:t>organisatio</w:t>
      </w:r>
      <w:r w:rsidR="00967467">
        <w:rPr>
          <w:rFonts w:ascii="Arial" w:hAnsi="Arial" w:cs="Arial"/>
          <w:lang w:val="en-US"/>
        </w:rPr>
        <w:t>nal</w:t>
      </w:r>
      <w:proofErr w:type="spellEnd"/>
      <w:r w:rsidR="00967467">
        <w:rPr>
          <w:rFonts w:ascii="Arial" w:hAnsi="Arial" w:cs="Arial"/>
          <w:lang w:val="en-US"/>
        </w:rPr>
        <w:t xml:space="preserve"> </w:t>
      </w:r>
      <w:r w:rsidRPr="00982F6A">
        <w:rPr>
          <w:rFonts w:ascii="Arial" w:hAnsi="Arial" w:cs="Arial"/>
          <w:lang w:val="en-US"/>
        </w:rPr>
        <w:t xml:space="preserve">competencies. This preemptive change mitigated the threat of a strike and loss of institutional knowledge. The discussion indicates that SHCM is the main process by which </w:t>
      </w:r>
      <w:proofErr w:type="spellStart"/>
      <w:r w:rsidRPr="00982F6A">
        <w:rPr>
          <w:rFonts w:ascii="Arial" w:hAnsi="Arial" w:cs="Arial"/>
          <w:lang w:val="en-US"/>
        </w:rPr>
        <w:t>organisations</w:t>
      </w:r>
      <w:proofErr w:type="spellEnd"/>
      <w:r w:rsidRPr="00982F6A">
        <w:rPr>
          <w:rFonts w:ascii="Arial" w:hAnsi="Arial" w:cs="Arial"/>
          <w:lang w:val="en-US"/>
        </w:rPr>
        <w:t xml:space="preserve"> use their dynamic capabilities in a post-pandemic, AI-driven economy. Companies that view HR as a difficult-to-change administrative task are more prone to risk than those that see it as an engine of adaptation.</w:t>
      </w:r>
    </w:p>
    <w:p w14:paraId="05F18D13" w14:textId="3436F658" w:rsidR="00F86E31" w:rsidRPr="00982F6A" w:rsidRDefault="00F86E31" w:rsidP="00F86E31">
      <w:pPr>
        <w:pStyle w:val="Heading3"/>
        <w:rPr>
          <w:rFonts w:cs="Arial"/>
          <w:lang w:val="en-US"/>
        </w:rPr>
      </w:pPr>
      <w:bookmarkStart w:id="126" w:name="_Toc228704068"/>
      <w:r w:rsidRPr="00982F6A">
        <w:rPr>
          <w:rFonts w:cs="Arial"/>
          <w:lang w:val="en-US"/>
        </w:rPr>
        <w:t>4.8.3 Intersection of Wellbeing and Performance</w:t>
      </w:r>
      <w:bookmarkEnd w:id="126"/>
    </w:p>
    <w:p w14:paraId="1EBDD5DD" w14:textId="59F4B90A" w:rsidR="00F86E31" w:rsidRPr="00982F6A" w:rsidRDefault="00F86E31" w:rsidP="00F86E31">
      <w:pPr>
        <w:spacing w:line="360" w:lineRule="auto"/>
        <w:jc w:val="both"/>
        <w:rPr>
          <w:rFonts w:ascii="Arial" w:hAnsi="Arial" w:cs="Arial"/>
          <w:lang w:val="en-US"/>
        </w:rPr>
      </w:pPr>
      <w:r w:rsidRPr="00982F6A">
        <w:rPr>
          <w:rFonts w:ascii="Arial" w:hAnsi="Arial" w:cs="Arial"/>
          <w:lang w:val="en-US"/>
        </w:rPr>
        <w:t xml:space="preserve">One of the critical </w:t>
      </w:r>
      <w:proofErr w:type="gramStart"/>
      <w:r w:rsidRPr="00982F6A">
        <w:rPr>
          <w:rFonts w:ascii="Arial" w:hAnsi="Arial" w:cs="Arial"/>
          <w:lang w:val="en-US"/>
        </w:rPr>
        <w:t>discussion areas</w:t>
      </w:r>
      <w:proofErr w:type="gramEnd"/>
      <w:r w:rsidRPr="00982F6A">
        <w:rPr>
          <w:rFonts w:ascii="Arial" w:hAnsi="Arial" w:cs="Arial"/>
          <w:lang w:val="en-US"/>
        </w:rPr>
        <w:t xml:space="preserve"> is the relationship </w:t>
      </w:r>
      <w:r w:rsidR="00967467">
        <w:rPr>
          <w:rFonts w:ascii="Arial" w:hAnsi="Arial" w:cs="Arial"/>
          <w:lang w:val="en-US"/>
        </w:rPr>
        <w:t>between</w:t>
      </w:r>
      <w:r w:rsidRPr="00982F6A">
        <w:rPr>
          <w:rFonts w:ascii="Arial" w:hAnsi="Arial" w:cs="Arial"/>
          <w:lang w:val="en-US"/>
        </w:rPr>
        <w:t xml:space="preserve"> employee well</w:t>
      </w:r>
      <w:r w:rsidR="00967467">
        <w:rPr>
          <w:rFonts w:ascii="Arial" w:hAnsi="Arial" w:cs="Arial"/>
          <w:lang w:val="en-US"/>
        </w:rPr>
        <w:t>-</w:t>
      </w:r>
      <w:r w:rsidRPr="00982F6A">
        <w:rPr>
          <w:rFonts w:ascii="Arial" w:hAnsi="Arial" w:cs="Arial"/>
          <w:lang w:val="en-US"/>
        </w:rPr>
        <w:t>being and innovation, as observed in the case of AstraZeneca. The literature has been arguing over the years on whether well</w:t>
      </w:r>
      <w:r w:rsidR="00967467">
        <w:rPr>
          <w:rFonts w:ascii="Arial" w:hAnsi="Arial" w:cs="Arial"/>
          <w:lang w:val="en-US"/>
        </w:rPr>
        <w:t>-</w:t>
      </w:r>
      <w:r w:rsidRPr="00982F6A">
        <w:rPr>
          <w:rFonts w:ascii="Arial" w:hAnsi="Arial" w:cs="Arial"/>
          <w:lang w:val="en-US"/>
        </w:rPr>
        <w:t xml:space="preserve">being is a soft benefit or a strategic priority. The AstraZeneca 2026 report indicated a 20% increase in the rate of patent filing after the introduction of the "Thrive" </w:t>
      </w:r>
      <w:proofErr w:type="spellStart"/>
      <w:r w:rsidRPr="00982F6A">
        <w:rPr>
          <w:rFonts w:ascii="Arial" w:hAnsi="Arial" w:cs="Arial"/>
          <w:lang w:val="en-US"/>
        </w:rPr>
        <w:t>programme</w:t>
      </w:r>
      <w:proofErr w:type="spellEnd"/>
      <w:r w:rsidRPr="00982F6A">
        <w:rPr>
          <w:rFonts w:ascii="Arial" w:hAnsi="Arial" w:cs="Arial"/>
          <w:lang w:val="en-US"/>
        </w:rPr>
        <w:t xml:space="preserve"> </w:t>
      </w:r>
      <w:r w:rsidR="007704B1">
        <w:rPr>
          <w:rFonts w:ascii="Arial" w:hAnsi="Arial" w:cs="Arial"/>
          <w:lang w:val="en-US"/>
        </w:rPr>
        <w:t>ended up being</w:t>
      </w:r>
      <w:r w:rsidRPr="00982F6A">
        <w:rPr>
          <w:rFonts w:ascii="Arial" w:hAnsi="Arial" w:cs="Arial"/>
          <w:lang w:val="en-US"/>
        </w:rPr>
        <w:t xml:space="preserve"> in support of the human capital theory (Becker, 1993). Investing more capital to ensure the health of employees will yield greater returns.</w:t>
      </w:r>
    </w:p>
    <w:p w14:paraId="73C24F75" w14:textId="77777777" w:rsidR="00F86E31" w:rsidRPr="00982F6A" w:rsidRDefault="00F86E31" w:rsidP="00F86E31">
      <w:pPr>
        <w:spacing w:line="360" w:lineRule="auto"/>
        <w:jc w:val="both"/>
        <w:rPr>
          <w:rFonts w:ascii="Arial" w:hAnsi="Arial" w:cs="Arial"/>
          <w:lang w:val="en-US"/>
        </w:rPr>
      </w:pPr>
      <w:r w:rsidRPr="00982F6A">
        <w:rPr>
          <w:rFonts w:ascii="Arial" w:hAnsi="Arial" w:cs="Arial"/>
          <w:lang w:val="en-US"/>
        </w:rPr>
        <w:t xml:space="preserve">The result is a challenge to the conventional risk management models (e.g., COSO, 2017), which generally do not consider psychological health as a material risk. The findings indicate that in the case of UK </w:t>
      </w:r>
      <w:proofErr w:type="spellStart"/>
      <w:r w:rsidRPr="00982F6A">
        <w:rPr>
          <w:rFonts w:ascii="Arial" w:hAnsi="Arial" w:cs="Arial"/>
          <w:lang w:val="en-US"/>
        </w:rPr>
        <w:t>organisations</w:t>
      </w:r>
      <w:proofErr w:type="spellEnd"/>
      <w:r w:rsidRPr="00982F6A">
        <w:rPr>
          <w:rFonts w:ascii="Arial" w:hAnsi="Arial" w:cs="Arial"/>
          <w:lang w:val="en-US"/>
        </w:rPr>
        <w:t xml:space="preserve"> in 2026, mental health risk will refer to innovation risk.</w:t>
      </w:r>
    </w:p>
    <w:p w14:paraId="006F22FC" w14:textId="47852669" w:rsidR="00F86E31" w:rsidRPr="00982F6A" w:rsidRDefault="00F86E31" w:rsidP="00F86E31">
      <w:pPr>
        <w:pStyle w:val="Heading3"/>
        <w:rPr>
          <w:rFonts w:cs="Arial"/>
          <w:lang w:val="en-US"/>
        </w:rPr>
      </w:pPr>
      <w:bookmarkStart w:id="127" w:name="_Toc228704069"/>
      <w:r w:rsidRPr="00982F6A">
        <w:rPr>
          <w:rFonts w:cs="Arial"/>
          <w:lang w:val="en-US"/>
        </w:rPr>
        <w:t>4.8.4 Strategic Alignment and Risk Governance</w:t>
      </w:r>
      <w:bookmarkEnd w:id="127"/>
    </w:p>
    <w:p w14:paraId="429DCB2E" w14:textId="77777777" w:rsidR="00F86E31" w:rsidRPr="00982F6A" w:rsidRDefault="00F86E31" w:rsidP="00F86E31">
      <w:pPr>
        <w:spacing w:line="360" w:lineRule="auto"/>
        <w:jc w:val="both"/>
        <w:rPr>
          <w:rFonts w:ascii="Arial" w:hAnsi="Arial" w:cs="Arial"/>
          <w:lang w:val="en-US"/>
        </w:rPr>
      </w:pPr>
      <w:r w:rsidRPr="00982F6A">
        <w:rPr>
          <w:rFonts w:ascii="Arial" w:hAnsi="Arial" w:cs="Arial"/>
          <w:lang w:val="en-US"/>
        </w:rPr>
        <w:t xml:space="preserve">Lastly, the PwC UK case has the most developed model of strategic alignment. By applying HR analytics as a part of the larger Enterprise Risk Management (ERM) model, PwC has addressed the lack of connection, which is expressed in the problem statement of the current study. The discussion points out that </w:t>
      </w:r>
      <w:proofErr w:type="spellStart"/>
      <w:r w:rsidRPr="00982F6A">
        <w:rPr>
          <w:rFonts w:ascii="Arial" w:hAnsi="Arial" w:cs="Arial"/>
          <w:lang w:val="en-US"/>
        </w:rPr>
        <w:t>organisations</w:t>
      </w:r>
      <w:proofErr w:type="spellEnd"/>
      <w:r w:rsidRPr="00982F6A">
        <w:rPr>
          <w:rFonts w:ascii="Arial" w:hAnsi="Arial" w:cs="Arial"/>
          <w:lang w:val="en-US"/>
        </w:rPr>
        <w:t xml:space="preserve"> in which the Chief People Officer (CPO) and the Chief Risk Officer (CRO) work in concert are the most successful. Through this integration, a holistic approach of </w:t>
      </w:r>
      <w:proofErr w:type="spellStart"/>
      <w:r w:rsidRPr="00982F6A">
        <w:rPr>
          <w:rFonts w:ascii="Arial" w:hAnsi="Arial" w:cs="Arial"/>
          <w:lang w:val="en-US"/>
        </w:rPr>
        <w:t>organisations'</w:t>
      </w:r>
      <w:proofErr w:type="spellEnd"/>
      <w:r w:rsidRPr="00982F6A">
        <w:rPr>
          <w:rFonts w:ascii="Arial" w:hAnsi="Arial" w:cs="Arial"/>
          <w:lang w:val="en-US"/>
        </w:rPr>
        <w:t xml:space="preserve"> resilience can be </w:t>
      </w:r>
      <w:proofErr w:type="spellStart"/>
      <w:r w:rsidRPr="00982F6A">
        <w:rPr>
          <w:rFonts w:ascii="Arial" w:hAnsi="Arial" w:cs="Arial"/>
          <w:lang w:val="en-US"/>
        </w:rPr>
        <w:t>realised</w:t>
      </w:r>
      <w:proofErr w:type="spellEnd"/>
      <w:r w:rsidRPr="00982F6A">
        <w:rPr>
          <w:rFonts w:ascii="Arial" w:hAnsi="Arial" w:cs="Arial"/>
          <w:lang w:val="en-US"/>
        </w:rPr>
        <w:t xml:space="preserve"> in which people's risk is viewed with financial </w:t>
      </w:r>
      <w:proofErr w:type="spellStart"/>
      <w:r w:rsidRPr="00982F6A">
        <w:rPr>
          <w:rFonts w:ascii="Arial" w:hAnsi="Arial" w:cs="Arial"/>
          <w:lang w:val="en-US"/>
        </w:rPr>
        <w:t>rigour</w:t>
      </w:r>
      <w:proofErr w:type="spellEnd"/>
      <w:r w:rsidRPr="00982F6A">
        <w:rPr>
          <w:rFonts w:ascii="Arial" w:hAnsi="Arial" w:cs="Arial"/>
          <w:lang w:val="en-US"/>
        </w:rPr>
        <w:t xml:space="preserve"> as any other financial risk, such as credit risk or market risk.</w:t>
      </w:r>
    </w:p>
    <w:p w14:paraId="3A886EF1" w14:textId="77777777" w:rsidR="00F86E31" w:rsidRPr="00982F6A" w:rsidRDefault="00F86E31" w:rsidP="00F86E31">
      <w:pPr>
        <w:pStyle w:val="Heading2"/>
        <w:rPr>
          <w:rFonts w:cs="Arial"/>
        </w:rPr>
      </w:pPr>
      <w:bookmarkStart w:id="128" w:name="_Toc228704070"/>
      <w:r w:rsidRPr="00982F6A">
        <w:rPr>
          <w:rFonts w:cs="Arial"/>
        </w:rPr>
        <w:lastRenderedPageBreak/>
        <w:t>4.9 Conclusion</w:t>
      </w:r>
      <w:bookmarkEnd w:id="128"/>
    </w:p>
    <w:p w14:paraId="7116DAEA" w14:textId="64CC2D0D" w:rsidR="00370DFE" w:rsidRPr="00982F6A" w:rsidRDefault="00F86E31" w:rsidP="00BD462A">
      <w:pPr>
        <w:spacing w:line="360" w:lineRule="auto"/>
        <w:jc w:val="both"/>
        <w:rPr>
          <w:rFonts w:ascii="Arial" w:hAnsi="Arial" w:cs="Arial"/>
          <w:lang w:val="en-US"/>
        </w:rPr>
      </w:pPr>
      <w:r w:rsidRPr="00982F6A">
        <w:rPr>
          <w:rFonts w:ascii="Arial" w:hAnsi="Arial" w:cs="Arial"/>
          <w:lang w:val="en-US"/>
        </w:rPr>
        <w:t xml:space="preserve">The review and discussion in this chapter are a convincing argument that Strategic Human Capital Management has evolved from a supporting administration role to a fundamental pillar of </w:t>
      </w:r>
      <w:proofErr w:type="spellStart"/>
      <w:r w:rsidRPr="00982F6A">
        <w:rPr>
          <w:rFonts w:ascii="Arial" w:hAnsi="Arial" w:cs="Arial"/>
          <w:lang w:val="en-US"/>
        </w:rPr>
        <w:t>organisational</w:t>
      </w:r>
      <w:proofErr w:type="spellEnd"/>
      <w:r w:rsidRPr="00982F6A">
        <w:rPr>
          <w:rFonts w:ascii="Arial" w:hAnsi="Arial" w:cs="Arial"/>
          <w:lang w:val="en-US"/>
        </w:rPr>
        <w:t xml:space="preserve"> risk governance and performance in the UK. Through the assessment of the strategic paths of the </w:t>
      </w:r>
      <w:proofErr w:type="spellStart"/>
      <w:r w:rsidRPr="00982F6A">
        <w:rPr>
          <w:rFonts w:ascii="Arial" w:hAnsi="Arial" w:cs="Arial"/>
          <w:lang w:val="en-US"/>
        </w:rPr>
        <w:t>organisations</w:t>
      </w:r>
      <w:proofErr w:type="spellEnd"/>
      <w:r w:rsidRPr="00982F6A">
        <w:rPr>
          <w:rFonts w:ascii="Arial" w:hAnsi="Arial" w:cs="Arial"/>
          <w:lang w:val="en-US"/>
        </w:rPr>
        <w:t xml:space="preserve"> Bunzl PLC, BT Group, and AstraZeneca UK, as well as PwC UK, it is clear that the risks of human capital when not managed are significant risks to the </w:t>
      </w:r>
      <w:proofErr w:type="spellStart"/>
      <w:r w:rsidRPr="00982F6A">
        <w:rPr>
          <w:rFonts w:ascii="Arial" w:hAnsi="Arial" w:cs="Arial"/>
          <w:lang w:val="en-US"/>
        </w:rPr>
        <w:t>organisational</w:t>
      </w:r>
      <w:proofErr w:type="spellEnd"/>
      <w:r w:rsidRPr="00982F6A">
        <w:rPr>
          <w:rFonts w:ascii="Arial" w:hAnsi="Arial" w:cs="Arial"/>
          <w:lang w:val="en-US"/>
        </w:rPr>
        <w:t xml:space="preserve"> sustainability, brand equity and innovation capacity. On the other hand, SHCM used in combination with dynamic capabilities and predictive analytics can be viewed as an effective tool of defensive risk mitigation and offensive performance improvement. The combination of these findings supports the assertion that the key worth of SHCM in 2026 is that it can help </w:t>
      </w:r>
      <w:proofErr w:type="spellStart"/>
      <w:r w:rsidRPr="00982F6A">
        <w:rPr>
          <w:rFonts w:ascii="Arial" w:hAnsi="Arial" w:cs="Arial"/>
          <w:lang w:val="en-US"/>
        </w:rPr>
        <w:t>organisations</w:t>
      </w:r>
      <w:proofErr w:type="spellEnd"/>
      <w:r w:rsidRPr="00982F6A">
        <w:rPr>
          <w:rFonts w:ascii="Arial" w:hAnsi="Arial" w:cs="Arial"/>
          <w:lang w:val="en-US"/>
        </w:rPr>
        <w:t xml:space="preserve"> to become more resilient. Both the reskilling efforts observed in BT and the wellbeing-innovation loop in AstraZeneca's strategically orientated HR practices allow </w:t>
      </w:r>
      <w:proofErr w:type="spellStart"/>
      <w:r w:rsidRPr="00982F6A">
        <w:rPr>
          <w:rFonts w:ascii="Arial" w:hAnsi="Arial" w:cs="Arial"/>
          <w:lang w:val="en-US"/>
        </w:rPr>
        <w:t>organisations</w:t>
      </w:r>
      <w:proofErr w:type="spellEnd"/>
      <w:r w:rsidRPr="00982F6A">
        <w:rPr>
          <w:rFonts w:ascii="Arial" w:hAnsi="Arial" w:cs="Arial"/>
          <w:lang w:val="en-US"/>
        </w:rPr>
        <w:t xml:space="preserve"> to absorb external shocks and </w:t>
      </w:r>
      <w:proofErr w:type="spellStart"/>
      <w:r w:rsidRPr="00982F6A">
        <w:rPr>
          <w:rFonts w:ascii="Arial" w:hAnsi="Arial" w:cs="Arial"/>
          <w:lang w:val="en-US"/>
        </w:rPr>
        <w:t>reorganise</w:t>
      </w:r>
      <w:proofErr w:type="spellEnd"/>
      <w:r w:rsidRPr="00982F6A">
        <w:rPr>
          <w:rFonts w:ascii="Arial" w:hAnsi="Arial" w:cs="Arial"/>
          <w:lang w:val="en-US"/>
        </w:rPr>
        <w:t xml:space="preserve"> their resource base on the fly. Moreover, the PwC case illustrates that strategic alignment of HR with wider risk frameworks is now not merely a theoretical dream but a viable need to ensure compliance and client confidence in such strictly regulated settings. The results confirm the research objectives as they find particular human capital risks and indicate the effectiveness of strategic interventions. This evidence indicates that an agile, healthy and data-informed workforce is most valuable. These lessons manage to fill the gap between theory and practice and give the empirical force needed to recommend the integrated conceptual framework in the last chapter.</w:t>
      </w:r>
    </w:p>
    <w:p w14:paraId="065EDB41" w14:textId="77777777" w:rsidR="00370DFE" w:rsidRPr="00982F6A" w:rsidRDefault="00370DFE">
      <w:pPr>
        <w:rPr>
          <w:rFonts w:ascii="Arial" w:hAnsi="Arial" w:cs="Arial"/>
          <w:lang w:val="en-US"/>
        </w:rPr>
      </w:pPr>
      <w:r w:rsidRPr="00982F6A">
        <w:rPr>
          <w:rFonts w:ascii="Arial" w:hAnsi="Arial" w:cs="Arial"/>
          <w:lang w:val="en-US"/>
        </w:rPr>
        <w:br w:type="page"/>
      </w:r>
    </w:p>
    <w:p w14:paraId="000E1200" w14:textId="26519558" w:rsidR="00370DFE" w:rsidRPr="00982F6A" w:rsidRDefault="00370DFE" w:rsidP="001777EB">
      <w:pPr>
        <w:pStyle w:val="Heading1"/>
        <w:rPr>
          <w:lang w:val="en-GB"/>
        </w:rPr>
      </w:pPr>
      <w:bookmarkStart w:id="129" w:name="_Toc228704071"/>
      <w:r w:rsidRPr="00982F6A">
        <w:rPr>
          <w:lang w:val="en-GB"/>
        </w:rPr>
        <w:lastRenderedPageBreak/>
        <w:t>CHAPTER 5: CONCLUSIONS AND RECOMMENDATIONS</w:t>
      </w:r>
      <w:bookmarkEnd w:id="129"/>
    </w:p>
    <w:p w14:paraId="1A707E2B" w14:textId="051CC3D3" w:rsidR="00370DFE" w:rsidRPr="00982F6A" w:rsidRDefault="00370DFE" w:rsidP="00370DFE">
      <w:pPr>
        <w:pStyle w:val="Heading2"/>
        <w:rPr>
          <w:rFonts w:cs="Arial"/>
        </w:rPr>
      </w:pPr>
      <w:bookmarkStart w:id="130" w:name="_Toc228704072"/>
      <w:r w:rsidRPr="00982F6A">
        <w:rPr>
          <w:rFonts w:cs="Arial"/>
        </w:rPr>
        <w:t xml:space="preserve">5.1 </w:t>
      </w:r>
      <w:r w:rsidR="003A62D4" w:rsidRPr="00982F6A">
        <w:rPr>
          <w:rFonts w:cs="Arial"/>
        </w:rPr>
        <w:t>Introduction</w:t>
      </w:r>
      <w:bookmarkEnd w:id="130"/>
    </w:p>
    <w:p w14:paraId="1DA78887" w14:textId="0277380E" w:rsidR="003A62D4" w:rsidRPr="003A62D4" w:rsidRDefault="003A62D4" w:rsidP="003A62D4">
      <w:pPr>
        <w:spacing w:line="360" w:lineRule="auto"/>
        <w:jc w:val="both"/>
        <w:rPr>
          <w:rFonts w:ascii="Arial" w:hAnsi="Arial" w:cs="Arial"/>
          <w:lang w:val="en-US"/>
        </w:rPr>
      </w:pPr>
      <w:r w:rsidRPr="003A62D4">
        <w:rPr>
          <w:rFonts w:ascii="Arial" w:hAnsi="Arial" w:cs="Arial"/>
          <w:lang w:val="en-US"/>
        </w:rPr>
        <w:t xml:space="preserve">This last chapter is a synthesis of the whole research project, a synthesis that brings together the theoretical explorations and empirical results of the previous sections. The main objective of the present research was to assess the strategic role of Strategic Human Capital Management in </w:t>
      </w:r>
      <w:proofErr w:type="gramStart"/>
      <w:r w:rsidRPr="003A62D4">
        <w:rPr>
          <w:rFonts w:ascii="Arial" w:hAnsi="Arial" w:cs="Arial"/>
          <w:lang w:val="en-US"/>
        </w:rPr>
        <w:t>the sustainable</w:t>
      </w:r>
      <w:proofErr w:type="gramEnd"/>
      <w:r w:rsidRPr="003A62D4">
        <w:rPr>
          <w:rFonts w:ascii="Arial" w:hAnsi="Arial" w:cs="Arial"/>
          <w:lang w:val="en-US"/>
        </w:rPr>
        <w:t xml:space="preserve"> performance and the reduction of </w:t>
      </w:r>
      <w:proofErr w:type="spellStart"/>
      <w:r w:rsidRPr="003A62D4">
        <w:rPr>
          <w:rFonts w:ascii="Arial" w:hAnsi="Arial" w:cs="Arial"/>
          <w:lang w:val="en-US"/>
        </w:rPr>
        <w:t>organisational</w:t>
      </w:r>
      <w:proofErr w:type="spellEnd"/>
      <w:r w:rsidRPr="003A62D4">
        <w:rPr>
          <w:rFonts w:ascii="Arial" w:hAnsi="Arial" w:cs="Arial"/>
          <w:lang w:val="en-US"/>
        </w:rPr>
        <w:t xml:space="preserve"> risks in the modern business environment in the UK. By bridging the Resource-Based View and the Dynamic Capabilities Theory with the practical realities of 2026, the research has highlighted the evolving role of HR within an </w:t>
      </w:r>
      <w:proofErr w:type="spellStart"/>
      <w:r w:rsidRPr="003A62D4">
        <w:rPr>
          <w:rFonts w:ascii="Arial" w:hAnsi="Arial" w:cs="Arial"/>
          <w:lang w:val="en-US"/>
        </w:rPr>
        <w:t>organisation</w:t>
      </w:r>
      <w:proofErr w:type="spellEnd"/>
      <w:r w:rsidRPr="003A62D4">
        <w:rPr>
          <w:rFonts w:ascii="Arial" w:hAnsi="Arial" w:cs="Arial"/>
          <w:lang w:val="en-US"/>
        </w:rPr>
        <w:t xml:space="preserve">, transitioning from a functional support to a critical pillar of corporate governance. This chapter has a structure that firstly presents a general overview of the main findings, namely, how SHCM interventions can be used as a defensive shield against systemic risks such as technological displacement and employee burnout. After these sections, the research questions are again revisited so as to give conclusive findings of the intersection of talent management, ethics and innovation. In addition, this chapter provides a set of practical and theoretical suggestions that should be used to guide the UK leaders in their </w:t>
      </w:r>
      <w:proofErr w:type="spellStart"/>
      <w:r w:rsidRPr="003A62D4">
        <w:rPr>
          <w:rFonts w:ascii="Arial" w:hAnsi="Arial" w:cs="Arial"/>
          <w:lang w:val="en-US"/>
        </w:rPr>
        <w:t>institutionalisation</w:t>
      </w:r>
      <w:proofErr w:type="spellEnd"/>
      <w:r w:rsidRPr="003A62D4">
        <w:rPr>
          <w:rFonts w:ascii="Arial" w:hAnsi="Arial" w:cs="Arial"/>
          <w:lang w:val="en-US"/>
        </w:rPr>
        <w:t xml:space="preserve"> of the so-called "people's risk" frameworks. Lastly, the chapter admits the intrinsic limitations of the study and suggests particular directions for future research that will make sure that the discussion of human capital resilience is further developed in the framework of the constantly changing and evolving global economy.</w:t>
      </w:r>
    </w:p>
    <w:p w14:paraId="3F2D5625" w14:textId="35759E35" w:rsidR="003A62D4" w:rsidRPr="00982F6A" w:rsidRDefault="003A62D4" w:rsidP="003A62D4">
      <w:pPr>
        <w:pStyle w:val="Heading2"/>
        <w:rPr>
          <w:rFonts w:cs="Arial"/>
        </w:rPr>
      </w:pPr>
      <w:bookmarkStart w:id="131" w:name="_Toc228704073"/>
      <w:r w:rsidRPr="00982F6A">
        <w:rPr>
          <w:rFonts w:cs="Arial"/>
        </w:rPr>
        <w:t>5.2 Conclusion on Major Results</w:t>
      </w:r>
      <w:bookmarkEnd w:id="131"/>
    </w:p>
    <w:p w14:paraId="494E9EA2" w14:textId="6B15BFCB" w:rsidR="003A62D4" w:rsidRPr="003A62D4" w:rsidRDefault="003A62D4" w:rsidP="003A62D4">
      <w:pPr>
        <w:spacing w:line="360" w:lineRule="auto"/>
        <w:jc w:val="both"/>
        <w:rPr>
          <w:rFonts w:ascii="Arial" w:hAnsi="Arial" w:cs="Arial"/>
          <w:lang w:val="en-US"/>
        </w:rPr>
      </w:pPr>
      <w:r w:rsidRPr="003A62D4">
        <w:rPr>
          <w:rFonts w:ascii="Arial" w:hAnsi="Arial" w:cs="Arial"/>
          <w:lang w:val="en-US"/>
        </w:rPr>
        <w:t xml:space="preserve">The main aim of the research was to </w:t>
      </w:r>
      <w:proofErr w:type="spellStart"/>
      <w:r w:rsidRPr="003A62D4">
        <w:rPr>
          <w:rFonts w:ascii="Arial" w:hAnsi="Arial" w:cs="Arial"/>
          <w:lang w:val="en-US"/>
        </w:rPr>
        <w:t>analyse</w:t>
      </w:r>
      <w:proofErr w:type="spellEnd"/>
      <w:r w:rsidRPr="003A62D4">
        <w:rPr>
          <w:rFonts w:ascii="Arial" w:hAnsi="Arial" w:cs="Arial"/>
          <w:lang w:val="en-US"/>
        </w:rPr>
        <w:t xml:space="preserve"> how SHCM helps </w:t>
      </w:r>
      <w:proofErr w:type="spellStart"/>
      <w:r w:rsidRPr="003A62D4">
        <w:rPr>
          <w:rFonts w:ascii="Arial" w:hAnsi="Arial" w:cs="Arial"/>
          <w:lang w:val="en-US"/>
        </w:rPr>
        <w:t>organisations</w:t>
      </w:r>
      <w:proofErr w:type="spellEnd"/>
      <w:r w:rsidRPr="003A62D4">
        <w:rPr>
          <w:rFonts w:ascii="Arial" w:hAnsi="Arial" w:cs="Arial"/>
          <w:lang w:val="en-US"/>
        </w:rPr>
        <w:t xml:space="preserve"> become resilient and successful. The </w:t>
      </w:r>
      <w:r w:rsidR="007704B1" w:rsidRPr="003A62D4">
        <w:rPr>
          <w:rFonts w:ascii="Arial" w:hAnsi="Arial" w:cs="Arial"/>
          <w:lang w:val="en-US"/>
        </w:rPr>
        <w:t>findings</w:t>
      </w:r>
      <w:r w:rsidR="007704B1" w:rsidRPr="003A62D4">
        <w:rPr>
          <w:rFonts w:ascii="Arial" w:hAnsi="Arial" w:cs="Arial"/>
          <w:lang w:val="en-US"/>
        </w:rPr>
        <w:t xml:space="preserve"> </w:t>
      </w:r>
      <w:r w:rsidR="007704B1">
        <w:rPr>
          <w:rFonts w:ascii="Arial" w:hAnsi="Arial" w:cs="Arial"/>
          <w:lang w:val="en-US"/>
        </w:rPr>
        <w:t xml:space="preserve">addressed </w:t>
      </w:r>
      <w:r w:rsidR="007704B1" w:rsidRPr="003A62D4">
        <w:rPr>
          <w:rFonts w:ascii="Arial" w:hAnsi="Arial" w:cs="Arial"/>
          <w:lang w:val="en-US"/>
        </w:rPr>
        <w:t>below</w:t>
      </w:r>
      <w:r w:rsidR="007704B1" w:rsidRPr="003A62D4">
        <w:rPr>
          <w:rFonts w:ascii="Arial" w:hAnsi="Arial" w:cs="Arial"/>
          <w:lang w:val="en-US"/>
        </w:rPr>
        <w:t xml:space="preserve"> </w:t>
      </w:r>
      <w:r w:rsidRPr="003A62D4">
        <w:rPr>
          <w:rFonts w:ascii="Arial" w:hAnsi="Arial" w:cs="Arial"/>
          <w:lang w:val="en-US"/>
        </w:rPr>
        <w:t>are the main conclusion</w:t>
      </w:r>
      <w:r w:rsidR="007704B1">
        <w:rPr>
          <w:rFonts w:ascii="Arial" w:hAnsi="Arial" w:cs="Arial"/>
          <w:lang w:val="en-US"/>
        </w:rPr>
        <w:t>s</w:t>
      </w:r>
      <w:r w:rsidRPr="003A62D4">
        <w:rPr>
          <w:rFonts w:ascii="Arial" w:hAnsi="Arial" w:cs="Arial"/>
          <w:lang w:val="en-US"/>
        </w:rPr>
        <w:t xml:space="preserve"> of the systematic literature review and of the thematic analysis of the case studies.</w:t>
      </w:r>
    </w:p>
    <w:p w14:paraId="68289AD8" w14:textId="7FC6C570" w:rsidR="003A62D4" w:rsidRPr="00982F6A" w:rsidRDefault="003A62D4" w:rsidP="003A62D4">
      <w:pPr>
        <w:pStyle w:val="Heading3"/>
        <w:rPr>
          <w:rFonts w:cs="Arial"/>
        </w:rPr>
      </w:pPr>
      <w:bookmarkStart w:id="132" w:name="_Toc228704074"/>
      <w:r w:rsidRPr="00982F6A">
        <w:rPr>
          <w:rFonts w:cs="Arial"/>
        </w:rPr>
        <w:t>5.2.1 The SHCM as a risk mitigation tool has evolved</w:t>
      </w:r>
      <w:bookmarkEnd w:id="132"/>
    </w:p>
    <w:p w14:paraId="78C9432E" w14:textId="77777777" w:rsidR="003A62D4" w:rsidRPr="003A62D4" w:rsidRDefault="003A62D4" w:rsidP="003A62D4">
      <w:pPr>
        <w:spacing w:line="360" w:lineRule="auto"/>
        <w:jc w:val="both"/>
        <w:rPr>
          <w:rFonts w:ascii="Arial" w:hAnsi="Arial" w:cs="Arial"/>
          <w:lang w:val="en-US"/>
        </w:rPr>
      </w:pPr>
      <w:r w:rsidRPr="003A62D4">
        <w:rPr>
          <w:rFonts w:ascii="Arial" w:hAnsi="Arial" w:cs="Arial"/>
          <w:lang w:val="en-US"/>
        </w:rPr>
        <w:t xml:space="preserve">Among the most notable discoveries is that SHCM is no longer viewed as a strictly administrative phenomenon but rather as a risk-reduction mechanism that is proactive. The study </w:t>
      </w:r>
      <w:proofErr w:type="spellStart"/>
      <w:r w:rsidRPr="003A62D4">
        <w:rPr>
          <w:rFonts w:ascii="Arial" w:hAnsi="Arial" w:cs="Arial"/>
          <w:lang w:val="en-US"/>
        </w:rPr>
        <w:t>recognises</w:t>
      </w:r>
      <w:proofErr w:type="spellEnd"/>
      <w:r w:rsidRPr="003A62D4">
        <w:rPr>
          <w:rFonts w:ascii="Arial" w:hAnsi="Arial" w:cs="Arial"/>
          <w:lang w:val="en-US"/>
        </w:rPr>
        <w:t xml:space="preserve"> that risks to human capital, such as shortages of talent, leadership gaps, and mental health crises, are now considered in the same strategic weight as financial or operational risks.</w:t>
      </w:r>
    </w:p>
    <w:p w14:paraId="5C233F6F" w14:textId="5BDF2E7B" w:rsidR="003A62D4" w:rsidRPr="003A62D4" w:rsidRDefault="003A62D4" w:rsidP="003A62D4">
      <w:pPr>
        <w:spacing w:line="360" w:lineRule="auto"/>
        <w:jc w:val="both"/>
        <w:rPr>
          <w:rFonts w:ascii="Arial" w:hAnsi="Arial" w:cs="Arial"/>
          <w:lang w:val="en-US"/>
        </w:rPr>
      </w:pPr>
      <w:r w:rsidRPr="003A62D4">
        <w:rPr>
          <w:rFonts w:ascii="Arial" w:hAnsi="Arial" w:cs="Arial"/>
          <w:lang w:val="en-US"/>
        </w:rPr>
        <w:lastRenderedPageBreak/>
        <w:t xml:space="preserve">According to evidence provided by PwC UK (2026), </w:t>
      </w:r>
      <w:proofErr w:type="spellStart"/>
      <w:r w:rsidRPr="003A62D4">
        <w:rPr>
          <w:rFonts w:ascii="Arial" w:hAnsi="Arial" w:cs="Arial"/>
          <w:lang w:val="en-US"/>
        </w:rPr>
        <w:t>organisations</w:t>
      </w:r>
      <w:proofErr w:type="spellEnd"/>
      <w:r w:rsidRPr="003A62D4">
        <w:rPr>
          <w:rFonts w:ascii="Arial" w:hAnsi="Arial" w:cs="Arial"/>
          <w:lang w:val="en-US"/>
        </w:rPr>
        <w:t xml:space="preserve"> that were able to successfully incorporate HR analytics within their overall Enterprise Risk Management framework reported greater levels of stability amidst market volatility. By switching between reactive "HR management" and predictive "strategic human capital governance", firms are able to predict workforce disruptions and address them before they affect the bottom line. This aligns with IBISWorld's (2026) findings, which note that the </w:t>
      </w:r>
      <w:proofErr w:type="spellStart"/>
      <w:r w:rsidRPr="003A62D4">
        <w:rPr>
          <w:rFonts w:ascii="Arial" w:hAnsi="Arial" w:cs="Arial"/>
          <w:lang w:val="en-US"/>
        </w:rPr>
        <w:t>professionalisation</w:t>
      </w:r>
      <w:proofErr w:type="spellEnd"/>
      <w:r w:rsidRPr="003A62D4">
        <w:rPr>
          <w:rFonts w:ascii="Arial" w:hAnsi="Arial" w:cs="Arial"/>
          <w:lang w:val="en-US"/>
        </w:rPr>
        <w:t xml:space="preserve"> of risk-based HR services in the UK has become a key driver of industry growth.</w:t>
      </w:r>
    </w:p>
    <w:p w14:paraId="4F456BC0" w14:textId="1DB88711" w:rsidR="003A62D4" w:rsidRPr="00982F6A" w:rsidRDefault="003A62D4" w:rsidP="003A62D4">
      <w:pPr>
        <w:pStyle w:val="Heading3"/>
        <w:rPr>
          <w:rFonts w:cs="Arial"/>
        </w:rPr>
      </w:pPr>
      <w:bookmarkStart w:id="133" w:name="_Toc228704075"/>
      <w:r w:rsidRPr="00982F6A">
        <w:rPr>
          <w:rFonts w:cs="Arial"/>
        </w:rPr>
        <w:t>5.2.2 Reskilling as a way of validating dynamic capabilities</w:t>
      </w:r>
      <w:bookmarkEnd w:id="133"/>
    </w:p>
    <w:p w14:paraId="35438A34" w14:textId="77777777" w:rsidR="003A62D4" w:rsidRPr="003A62D4" w:rsidRDefault="003A62D4" w:rsidP="003A62D4">
      <w:pPr>
        <w:spacing w:line="360" w:lineRule="auto"/>
        <w:jc w:val="both"/>
        <w:rPr>
          <w:rFonts w:ascii="Arial" w:hAnsi="Arial" w:cs="Arial"/>
          <w:lang w:val="en-US"/>
        </w:rPr>
      </w:pPr>
      <w:r w:rsidRPr="003A62D4">
        <w:rPr>
          <w:rFonts w:ascii="Arial" w:hAnsi="Arial" w:cs="Arial"/>
          <w:lang w:val="en-US"/>
        </w:rPr>
        <w:t xml:space="preserve">The study confirms the fact that dynamic capability theory (Teece, 2014) is one of the most important concepts for understanding modern SHCM. The capacity to rearrange the skills base of the workforce is a key competitive edge in an environment </w:t>
      </w:r>
      <w:proofErr w:type="spellStart"/>
      <w:r w:rsidRPr="003A62D4">
        <w:rPr>
          <w:rFonts w:ascii="Arial" w:hAnsi="Arial" w:cs="Arial"/>
          <w:lang w:val="en-US"/>
        </w:rPr>
        <w:t>characterised</w:t>
      </w:r>
      <w:proofErr w:type="spellEnd"/>
      <w:r w:rsidRPr="003A62D4">
        <w:rPr>
          <w:rFonts w:ascii="Arial" w:hAnsi="Arial" w:cs="Arial"/>
          <w:lang w:val="en-US"/>
        </w:rPr>
        <w:t xml:space="preserve"> by the rapid integration of AI and technology-induced shifts in the skills base of the workforce.</w:t>
      </w:r>
    </w:p>
    <w:p w14:paraId="269C0503" w14:textId="3799AE17" w:rsidR="00370DFE" w:rsidRPr="00982F6A" w:rsidRDefault="003A62D4" w:rsidP="00370DFE">
      <w:pPr>
        <w:spacing w:line="360" w:lineRule="auto"/>
        <w:jc w:val="both"/>
        <w:rPr>
          <w:rFonts w:ascii="Arial" w:hAnsi="Arial" w:cs="Arial"/>
          <w:lang w:val="en-US"/>
        </w:rPr>
      </w:pPr>
      <w:r w:rsidRPr="003A62D4">
        <w:rPr>
          <w:rFonts w:ascii="Arial" w:hAnsi="Arial" w:cs="Arial"/>
          <w:lang w:val="en-US"/>
        </w:rPr>
        <w:t>The example of BT Group can be seen as a clear-cut solution: with the help of data-driven SHCM to identify the so-called adjacent skills and reskilling of employees instead of engaging in mass redundancies, the company reduced reputational and legal risks and saved on the costs of external recruitment. This observation suggests that workforce agility is the primary dynamic capability necessary for survival in 2026. The results of Bloomberg (2026) indicated that the resilience score of UK firms that focused more on internal reskilling rather than external hiring was 15% higher during the 2025–2026 economic transitions.</w:t>
      </w:r>
    </w:p>
    <w:p w14:paraId="4A791610" w14:textId="77777777" w:rsidR="00370DFE" w:rsidRPr="00982F6A" w:rsidRDefault="00370DFE" w:rsidP="00370DFE">
      <w:pPr>
        <w:pStyle w:val="Heading3"/>
        <w:rPr>
          <w:rFonts w:cs="Arial"/>
          <w:lang w:val="en-US"/>
        </w:rPr>
      </w:pPr>
      <w:bookmarkStart w:id="134" w:name="_Toc228704076"/>
      <w:r w:rsidRPr="00982F6A">
        <w:rPr>
          <w:rFonts w:cs="Arial"/>
          <w:lang w:val="en-US"/>
        </w:rPr>
        <w:t>5.2.3 The Strategic Link between Wellbeing and Innovation</w:t>
      </w:r>
      <w:bookmarkEnd w:id="134"/>
    </w:p>
    <w:p w14:paraId="225032B7" w14:textId="77777777" w:rsidR="00370DFE" w:rsidRPr="00982F6A" w:rsidRDefault="00370DFE" w:rsidP="00370DFE">
      <w:pPr>
        <w:spacing w:line="360" w:lineRule="auto"/>
        <w:jc w:val="both"/>
        <w:rPr>
          <w:rFonts w:ascii="Arial" w:hAnsi="Arial" w:cs="Arial"/>
          <w:lang w:val="en-US"/>
        </w:rPr>
      </w:pPr>
      <w:r w:rsidRPr="00982F6A">
        <w:rPr>
          <w:rFonts w:ascii="Arial" w:hAnsi="Arial" w:cs="Arial"/>
          <w:lang w:val="en-US"/>
        </w:rPr>
        <w:t xml:space="preserve">A critical finding of this study is the empirical validation of the link between employee psychological health and </w:t>
      </w:r>
      <w:proofErr w:type="spellStart"/>
      <w:r w:rsidRPr="00982F6A">
        <w:rPr>
          <w:rFonts w:ascii="Arial" w:hAnsi="Arial" w:cs="Arial"/>
          <w:lang w:val="en-US"/>
        </w:rPr>
        <w:t>organisational</w:t>
      </w:r>
      <w:proofErr w:type="spellEnd"/>
      <w:r w:rsidRPr="00982F6A">
        <w:rPr>
          <w:rFonts w:ascii="Arial" w:hAnsi="Arial" w:cs="Arial"/>
          <w:lang w:val="en-US"/>
        </w:rPr>
        <w:t xml:space="preserve"> innovation performance. Moving beyond the "soft" view of employee wellbeing, the research demonstrates that wellbeing-oriented SHCM practices are a functional requirement for high-performance R&amp;D environments.</w:t>
      </w:r>
    </w:p>
    <w:p w14:paraId="79B65438" w14:textId="77777777" w:rsidR="00370DFE" w:rsidRPr="00982F6A" w:rsidRDefault="00370DFE" w:rsidP="00370DFE">
      <w:pPr>
        <w:spacing w:line="360" w:lineRule="auto"/>
        <w:jc w:val="both"/>
        <w:rPr>
          <w:rFonts w:ascii="Arial" w:hAnsi="Arial" w:cs="Arial"/>
          <w:lang w:val="en-US"/>
        </w:rPr>
      </w:pPr>
      <w:r w:rsidRPr="00982F6A">
        <w:rPr>
          <w:rFonts w:ascii="Arial" w:hAnsi="Arial" w:cs="Arial"/>
          <w:lang w:val="en-US"/>
        </w:rPr>
        <w:t xml:space="preserve">As evidenced by the AstraZeneca UK case, the implementation of the "Thrive" program and mental health analytics directly correlated with a 20% improvement in patent filing speed. This underscores that for knowledge-intensive sectors, "Cognitive Resilience" is a rare and inimitable resource (RBV). The CIPD (2023) </w:t>
      </w:r>
      <w:r w:rsidRPr="00982F6A">
        <w:rPr>
          <w:rFonts w:ascii="Arial" w:hAnsi="Arial" w:cs="Arial"/>
          <w:i/>
          <w:iCs/>
          <w:lang w:val="en-US"/>
        </w:rPr>
        <w:t>Health and Wellbeing at Work</w:t>
      </w:r>
      <w:r w:rsidRPr="00982F6A">
        <w:rPr>
          <w:rFonts w:ascii="Arial" w:hAnsi="Arial" w:cs="Arial"/>
          <w:lang w:val="en-US"/>
        </w:rPr>
        <w:t xml:space="preserve"> </w:t>
      </w:r>
      <w:r w:rsidRPr="00982F6A">
        <w:rPr>
          <w:rFonts w:ascii="Arial" w:hAnsi="Arial" w:cs="Arial"/>
          <w:lang w:val="en-US"/>
        </w:rPr>
        <w:lastRenderedPageBreak/>
        <w:t xml:space="preserve">report further supports this, stating that 2026-ready </w:t>
      </w:r>
      <w:proofErr w:type="spellStart"/>
      <w:r w:rsidRPr="00982F6A">
        <w:rPr>
          <w:rFonts w:ascii="Arial" w:hAnsi="Arial" w:cs="Arial"/>
          <w:lang w:val="en-US"/>
        </w:rPr>
        <w:t>organisations</w:t>
      </w:r>
      <w:proofErr w:type="spellEnd"/>
      <w:r w:rsidRPr="00982F6A">
        <w:rPr>
          <w:rFonts w:ascii="Arial" w:hAnsi="Arial" w:cs="Arial"/>
          <w:lang w:val="en-US"/>
        </w:rPr>
        <w:t xml:space="preserve"> now treat "Burnout Risk" as an "Innovation Risk," requiring systematic intervention at the leadership level.</w:t>
      </w:r>
    </w:p>
    <w:p w14:paraId="62C9DBF5" w14:textId="77777777" w:rsidR="00370DFE" w:rsidRPr="00982F6A" w:rsidRDefault="00370DFE" w:rsidP="00370DFE">
      <w:pPr>
        <w:pStyle w:val="Heading3"/>
        <w:rPr>
          <w:rFonts w:cs="Arial"/>
          <w:lang w:val="en-US"/>
        </w:rPr>
      </w:pPr>
      <w:bookmarkStart w:id="135" w:name="_Toc228704077"/>
      <w:r w:rsidRPr="00982F6A">
        <w:rPr>
          <w:rFonts w:cs="Arial"/>
          <w:lang w:val="en-US"/>
        </w:rPr>
        <w:t>5.2.4 Branding and Talent Alignment as Defensive Strategy</w:t>
      </w:r>
      <w:bookmarkEnd w:id="135"/>
    </w:p>
    <w:p w14:paraId="7345B673" w14:textId="77777777" w:rsidR="00884E5A" w:rsidRPr="00884E5A" w:rsidRDefault="00884E5A" w:rsidP="00884E5A">
      <w:pPr>
        <w:spacing w:line="360" w:lineRule="auto"/>
        <w:jc w:val="both"/>
        <w:rPr>
          <w:rFonts w:ascii="Arial" w:hAnsi="Arial" w:cs="Arial"/>
          <w:lang w:val="en-US"/>
        </w:rPr>
      </w:pPr>
      <w:r w:rsidRPr="00884E5A">
        <w:rPr>
          <w:rFonts w:ascii="Arial" w:hAnsi="Arial" w:cs="Arial"/>
          <w:lang w:val="en-US"/>
        </w:rPr>
        <w:t>The paper sheds light on the fact that SHCM is a protective mechanism towards corporate brand equity. The results of the study conducted by Bunzl PLC reveal that appropriating HR practices to corporate brand values helps lower the turnover rate, as well as protect the external reputation of the firm. With the era of high-transparency digitalism, the so-called Employee Value Proposition (EVP) becomes an offensive weapon; once the internal culture is aligned with the external brand, the risk of reputational scandals and so-called leakage of talent is dropped to the most minimal level. This line of alignment makes sure that the workforce is a non-substitutable asset, according to the definition by Barney (1991).</w:t>
      </w:r>
    </w:p>
    <w:p w14:paraId="54754EE4" w14:textId="77777777" w:rsidR="00884E5A" w:rsidRPr="00884E5A" w:rsidRDefault="00884E5A" w:rsidP="00884E5A">
      <w:pPr>
        <w:spacing w:line="360" w:lineRule="auto"/>
        <w:jc w:val="both"/>
        <w:rPr>
          <w:rFonts w:ascii="Arial" w:hAnsi="Arial" w:cs="Arial"/>
          <w:lang w:val="en-US"/>
        </w:rPr>
      </w:pPr>
      <w:r w:rsidRPr="00884E5A">
        <w:rPr>
          <w:rFonts w:ascii="Arial" w:hAnsi="Arial" w:cs="Arial"/>
          <w:lang w:val="en-US"/>
        </w:rPr>
        <w:t>5.3 Synthesis: The combined SHCM-Risk-Performance model.</w:t>
      </w:r>
    </w:p>
    <w:p w14:paraId="33605712" w14:textId="77777777" w:rsidR="00884E5A" w:rsidRPr="00884E5A" w:rsidRDefault="00884E5A" w:rsidP="00884E5A">
      <w:pPr>
        <w:spacing w:line="360" w:lineRule="auto"/>
        <w:jc w:val="both"/>
        <w:rPr>
          <w:rFonts w:ascii="Arial" w:hAnsi="Arial" w:cs="Arial"/>
          <w:lang w:val="en-US"/>
        </w:rPr>
      </w:pPr>
      <w:r w:rsidRPr="00884E5A">
        <w:rPr>
          <w:rFonts w:ascii="Arial" w:hAnsi="Arial" w:cs="Arial"/>
          <w:lang w:val="en-US"/>
        </w:rPr>
        <w:t>The study is concluded by coming up with a combined model. The model assumes that SHCM has no direct vacuum effect on performance but rather plays out an indirect role in the performance mediated by risk mitigation.</w:t>
      </w:r>
    </w:p>
    <w:p w14:paraId="11F92A01" w14:textId="77777777" w:rsidR="00884E5A" w:rsidRPr="00884E5A" w:rsidRDefault="00884E5A" w:rsidP="00884E5A">
      <w:pPr>
        <w:spacing w:line="360" w:lineRule="auto"/>
        <w:jc w:val="both"/>
        <w:rPr>
          <w:rFonts w:ascii="Arial" w:hAnsi="Arial" w:cs="Arial"/>
          <w:lang w:val="en-US"/>
        </w:rPr>
      </w:pPr>
      <w:r w:rsidRPr="00884E5A">
        <w:rPr>
          <w:rFonts w:ascii="Arial" w:hAnsi="Arial" w:cs="Arial"/>
          <w:lang w:val="en-US"/>
        </w:rPr>
        <w:t>Input: Strategic HR practices (reskilling, analytics, wellbeing, and brand alignment).</w:t>
      </w:r>
    </w:p>
    <w:p w14:paraId="1ECD2163" w14:textId="77777777" w:rsidR="00884E5A" w:rsidRPr="00884E5A" w:rsidRDefault="00884E5A" w:rsidP="00884E5A">
      <w:pPr>
        <w:spacing w:line="360" w:lineRule="auto"/>
        <w:jc w:val="both"/>
        <w:rPr>
          <w:rFonts w:ascii="Arial" w:hAnsi="Arial" w:cs="Arial"/>
          <w:lang w:val="en-US"/>
        </w:rPr>
      </w:pPr>
      <w:r w:rsidRPr="00884E5A">
        <w:rPr>
          <w:rFonts w:ascii="Arial" w:hAnsi="Arial" w:cs="Arial"/>
          <w:lang w:val="en-US"/>
        </w:rPr>
        <w:t>Curtailment of Human Capital Risk (lower turnover, higher compliance, mental health stability).</w:t>
      </w:r>
    </w:p>
    <w:p w14:paraId="3E868F35" w14:textId="77777777" w:rsidR="00884E5A" w:rsidRPr="00884E5A" w:rsidRDefault="00884E5A" w:rsidP="00884E5A">
      <w:pPr>
        <w:spacing w:line="360" w:lineRule="auto"/>
        <w:jc w:val="both"/>
        <w:rPr>
          <w:rFonts w:ascii="Arial" w:hAnsi="Arial" w:cs="Arial"/>
          <w:lang w:val="en-US"/>
        </w:rPr>
      </w:pPr>
      <w:r w:rsidRPr="00884E5A">
        <w:rPr>
          <w:rFonts w:ascii="Arial" w:hAnsi="Arial" w:cs="Arial"/>
          <w:lang w:val="en-US"/>
        </w:rPr>
        <w:t xml:space="preserve">Outputs: Improved </w:t>
      </w:r>
      <w:proofErr w:type="spellStart"/>
      <w:r w:rsidRPr="00884E5A">
        <w:rPr>
          <w:rFonts w:ascii="Arial" w:hAnsi="Arial" w:cs="Arial"/>
          <w:lang w:val="en-US"/>
        </w:rPr>
        <w:t>organisational</w:t>
      </w:r>
      <w:proofErr w:type="spellEnd"/>
      <w:r w:rsidRPr="00884E5A">
        <w:rPr>
          <w:rFonts w:ascii="Arial" w:hAnsi="Arial" w:cs="Arial"/>
          <w:lang w:val="en-US"/>
        </w:rPr>
        <w:t xml:space="preserve"> performance (speed of innovation, financial strength, and reputation on the market).</w:t>
      </w:r>
    </w:p>
    <w:p w14:paraId="4B30BF97" w14:textId="77777777" w:rsidR="00884E5A" w:rsidRPr="00884E5A" w:rsidRDefault="00884E5A" w:rsidP="00884E5A">
      <w:pPr>
        <w:spacing w:line="360" w:lineRule="auto"/>
        <w:jc w:val="both"/>
        <w:rPr>
          <w:rFonts w:ascii="Arial" w:hAnsi="Arial" w:cs="Arial"/>
          <w:lang w:val="en-US"/>
        </w:rPr>
      </w:pPr>
      <w:r w:rsidRPr="00884E5A">
        <w:rPr>
          <w:rFonts w:ascii="Arial" w:hAnsi="Arial" w:cs="Arial"/>
          <w:lang w:val="en-US"/>
        </w:rPr>
        <w:t xml:space="preserve">This framework based on the philosophy of interpretivism of this study </w:t>
      </w:r>
      <w:proofErr w:type="spellStart"/>
      <w:r w:rsidRPr="00884E5A">
        <w:rPr>
          <w:rFonts w:ascii="Arial" w:hAnsi="Arial" w:cs="Arial"/>
          <w:lang w:val="en-US"/>
        </w:rPr>
        <w:t>recognises</w:t>
      </w:r>
      <w:proofErr w:type="spellEnd"/>
      <w:r w:rsidRPr="00884E5A">
        <w:rPr>
          <w:rFonts w:ascii="Arial" w:hAnsi="Arial" w:cs="Arial"/>
          <w:lang w:val="en-US"/>
        </w:rPr>
        <w:t xml:space="preserve"> the fact that the absence of </w:t>
      </w:r>
      <w:proofErr w:type="spellStart"/>
      <w:r w:rsidRPr="00884E5A">
        <w:rPr>
          <w:rFonts w:ascii="Arial" w:hAnsi="Arial" w:cs="Arial"/>
          <w:lang w:val="en-US"/>
        </w:rPr>
        <w:t>organisational</w:t>
      </w:r>
      <w:proofErr w:type="spellEnd"/>
      <w:r w:rsidRPr="00884E5A">
        <w:rPr>
          <w:rFonts w:ascii="Arial" w:hAnsi="Arial" w:cs="Arial"/>
          <w:lang w:val="en-US"/>
        </w:rPr>
        <w:t xml:space="preserve"> failure is as much the value of SHCM as it is the value of SHCM.</w:t>
      </w:r>
    </w:p>
    <w:p w14:paraId="2832EDCE" w14:textId="7945D054" w:rsidR="00884E5A" w:rsidRPr="00982F6A" w:rsidRDefault="00884E5A" w:rsidP="00884E5A">
      <w:pPr>
        <w:pStyle w:val="Heading2"/>
        <w:rPr>
          <w:rFonts w:cs="Arial"/>
        </w:rPr>
      </w:pPr>
      <w:bookmarkStart w:id="136" w:name="_Toc228704078"/>
      <w:r w:rsidRPr="00982F6A">
        <w:rPr>
          <w:rFonts w:cs="Arial"/>
        </w:rPr>
        <w:t>5.4 Conclusion with regard to research objectives</w:t>
      </w:r>
      <w:bookmarkEnd w:id="136"/>
    </w:p>
    <w:p w14:paraId="44D9CB88" w14:textId="77777777" w:rsidR="00884E5A" w:rsidRPr="00884E5A" w:rsidRDefault="00884E5A" w:rsidP="00884E5A">
      <w:pPr>
        <w:spacing w:line="360" w:lineRule="auto"/>
        <w:jc w:val="both"/>
        <w:rPr>
          <w:rFonts w:ascii="Arial" w:hAnsi="Arial" w:cs="Arial"/>
          <w:lang w:val="en-US"/>
        </w:rPr>
      </w:pPr>
      <w:r w:rsidRPr="00884E5A">
        <w:rPr>
          <w:rFonts w:ascii="Arial" w:hAnsi="Arial" w:cs="Arial"/>
          <w:lang w:val="en-US"/>
        </w:rPr>
        <w:t>The research has been able to achieve all its research aims:</w:t>
      </w:r>
    </w:p>
    <w:p w14:paraId="7261F61F" w14:textId="5606E677" w:rsidR="00884E5A" w:rsidRPr="00982F6A" w:rsidRDefault="00884E5A" w:rsidP="00884E5A">
      <w:pPr>
        <w:pStyle w:val="ListParagraph"/>
        <w:numPr>
          <w:ilvl w:val="0"/>
          <w:numId w:val="47"/>
        </w:numPr>
        <w:spacing w:line="360" w:lineRule="auto"/>
        <w:jc w:val="both"/>
        <w:rPr>
          <w:rFonts w:ascii="Arial" w:hAnsi="Arial" w:cs="Arial"/>
          <w:lang w:val="en-US"/>
        </w:rPr>
      </w:pPr>
      <w:r w:rsidRPr="00982F6A">
        <w:rPr>
          <w:rFonts w:ascii="Arial" w:hAnsi="Arial" w:cs="Arial"/>
          <w:b/>
          <w:bCs/>
          <w:lang w:val="en-US"/>
        </w:rPr>
        <w:t>Evolution:</w:t>
      </w:r>
      <w:r w:rsidRPr="00982F6A">
        <w:rPr>
          <w:rFonts w:ascii="Arial" w:hAnsi="Arial" w:cs="Arial"/>
          <w:lang w:val="en-US"/>
        </w:rPr>
        <w:t xml:space="preserve"> Followed the change to strategic human capital governance since it was originally administrative HRM.</w:t>
      </w:r>
    </w:p>
    <w:p w14:paraId="332BFBAC" w14:textId="1C54F325" w:rsidR="00884E5A" w:rsidRPr="00982F6A" w:rsidRDefault="00884E5A" w:rsidP="00884E5A">
      <w:pPr>
        <w:pStyle w:val="ListParagraph"/>
        <w:numPr>
          <w:ilvl w:val="0"/>
          <w:numId w:val="47"/>
        </w:numPr>
        <w:spacing w:line="360" w:lineRule="auto"/>
        <w:jc w:val="both"/>
        <w:rPr>
          <w:rFonts w:ascii="Arial" w:hAnsi="Arial" w:cs="Arial"/>
          <w:lang w:val="en-US"/>
        </w:rPr>
      </w:pPr>
      <w:r w:rsidRPr="00982F6A">
        <w:rPr>
          <w:rFonts w:ascii="Arial" w:hAnsi="Arial" w:cs="Arial"/>
          <w:b/>
          <w:bCs/>
          <w:lang w:val="en-US"/>
        </w:rPr>
        <w:lastRenderedPageBreak/>
        <w:t>Risk Identification:</w:t>
      </w:r>
      <w:r w:rsidRPr="00982F6A">
        <w:rPr>
          <w:rFonts w:ascii="Arial" w:hAnsi="Arial" w:cs="Arial"/>
          <w:lang w:val="en-US"/>
        </w:rPr>
        <w:t xml:space="preserve"> A list of risks (2026 UK) identified as critical and including AI displacement and burnout.</w:t>
      </w:r>
    </w:p>
    <w:p w14:paraId="3962CB6E" w14:textId="0ABEF6D8" w:rsidR="00884E5A" w:rsidRPr="00982F6A" w:rsidRDefault="00884E5A" w:rsidP="00884E5A">
      <w:pPr>
        <w:pStyle w:val="ListParagraph"/>
        <w:numPr>
          <w:ilvl w:val="0"/>
          <w:numId w:val="47"/>
        </w:numPr>
        <w:spacing w:line="360" w:lineRule="auto"/>
        <w:jc w:val="both"/>
        <w:rPr>
          <w:rFonts w:ascii="Arial" w:hAnsi="Arial" w:cs="Arial"/>
          <w:lang w:val="en-US"/>
        </w:rPr>
      </w:pPr>
      <w:r w:rsidRPr="00982F6A">
        <w:rPr>
          <w:rFonts w:ascii="Arial" w:hAnsi="Arial" w:cs="Arial"/>
          <w:b/>
          <w:bCs/>
          <w:lang w:val="en-US"/>
        </w:rPr>
        <w:t>Mitigation:</w:t>
      </w:r>
      <w:r w:rsidRPr="00982F6A">
        <w:rPr>
          <w:rFonts w:ascii="Arial" w:hAnsi="Arial" w:cs="Arial"/>
          <w:lang w:val="en-US"/>
        </w:rPr>
        <w:t xml:space="preserve"> Demonstrated using case studies (BT, PwC) how strategic practices can reduce risk profiles.</w:t>
      </w:r>
    </w:p>
    <w:p w14:paraId="1E22FB8D" w14:textId="1C06FF59" w:rsidR="00884E5A" w:rsidRPr="00982F6A" w:rsidRDefault="00884E5A" w:rsidP="00884E5A">
      <w:pPr>
        <w:pStyle w:val="ListParagraph"/>
        <w:numPr>
          <w:ilvl w:val="0"/>
          <w:numId w:val="47"/>
        </w:numPr>
        <w:spacing w:line="360" w:lineRule="auto"/>
        <w:jc w:val="both"/>
        <w:rPr>
          <w:rFonts w:ascii="Arial" w:hAnsi="Arial" w:cs="Arial"/>
          <w:lang w:val="en-US"/>
        </w:rPr>
      </w:pPr>
      <w:r w:rsidRPr="00982F6A">
        <w:rPr>
          <w:rFonts w:ascii="Arial" w:hAnsi="Arial" w:cs="Arial"/>
          <w:b/>
          <w:bCs/>
          <w:lang w:val="en-US"/>
        </w:rPr>
        <w:t>Performance:</w:t>
      </w:r>
      <w:r w:rsidRPr="00982F6A">
        <w:rPr>
          <w:rFonts w:ascii="Arial" w:hAnsi="Arial" w:cs="Arial"/>
          <w:lang w:val="en-US"/>
        </w:rPr>
        <w:t xml:space="preserve"> There are direct </w:t>
      </w:r>
      <w:proofErr w:type="gramStart"/>
      <w:r w:rsidRPr="00982F6A">
        <w:rPr>
          <w:rFonts w:ascii="Arial" w:hAnsi="Arial" w:cs="Arial"/>
          <w:lang w:val="en-US"/>
        </w:rPr>
        <w:t>correlates</w:t>
      </w:r>
      <w:proofErr w:type="gramEnd"/>
      <w:r w:rsidRPr="00982F6A">
        <w:rPr>
          <w:rFonts w:ascii="Arial" w:hAnsi="Arial" w:cs="Arial"/>
          <w:lang w:val="en-US"/>
        </w:rPr>
        <w:t xml:space="preserve"> between well</w:t>
      </w:r>
      <w:r w:rsidR="007704B1">
        <w:rPr>
          <w:rFonts w:ascii="Arial" w:hAnsi="Arial" w:cs="Arial"/>
          <w:lang w:val="en-US"/>
        </w:rPr>
        <w:t>-</w:t>
      </w:r>
      <w:r w:rsidRPr="00982F6A">
        <w:rPr>
          <w:rFonts w:ascii="Arial" w:hAnsi="Arial" w:cs="Arial"/>
          <w:lang w:val="en-US"/>
        </w:rPr>
        <w:t>being and skill agility to innovation and cost savings.</w:t>
      </w:r>
    </w:p>
    <w:p w14:paraId="3F1919BA" w14:textId="3F1B4528" w:rsidR="00884E5A" w:rsidRPr="00884E5A" w:rsidRDefault="00884E5A" w:rsidP="00884E5A">
      <w:pPr>
        <w:spacing w:line="360" w:lineRule="auto"/>
        <w:jc w:val="both"/>
        <w:rPr>
          <w:rFonts w:ascii="Arial" w:hAnsi="Arial" w:cs="Arial"/>
          <w:lang w:val="en-US"/>
        </w:rPr>
      </w:pPr>
      <w:r w:rsidRPr="00884E5A">
        <w:rPr>
          <w:rFonts w:ascii="Arial" w:hAnsi="Arial" w:cs="Arial"/>
          <w:lang w:val="en-US"/>
        </w:rPr>
        <w:t xml:space="preserve">Finally, the study concludes that in the context of UK </w:t>
      </w:r>
      <w:proofErr w:type="spellStart"/>
      <w:r w:rsidRPr="00884E5A">
        <w:rPr>
          <w:rFonts w:ascii="Arial" w:hAnsi="Arial" w:cs="Arial"/>
          <w:lang w:val="en-US"/>
        </w:rPr>
        <w:t>organisations</w:t>
      </w:r>
      <w:proofErr w:type="spellEnd"/>
      <w:r w:rsidRPr="00884E5A">
        <w:rPr>
          <w:rFonts w:ascii="Arial" w:hAnsi="Arial" w:cs="Arial"/>
          <w:lang w:val="en-US"/>
        </w:rPr>
        <w:t xml:space="preserve"> striving to survive amid the demands of 2026, SHCM is the much-needed linchpin that will help a fragile workforce to transform itself into the source of sustainable and resilient performance.</w:t>
      </w:r>
    </w:p>
    <w:p w14:paraId="40FCD5AD" w14:textId="1FE953A0" w:rsidR="00884E5A" w:rsidRPr="00982F6A" w:rsidRDefault="00884E5A" w:rsidP="00884E5A">
      <w:pPr>
        <w:pStyle w:val="Heading2"/>
        <w:rPr>
          <w:rFonts w:cs="Arial"/>
        </w:rPr>
      </w:pPr>
      <w:bookmarkStart w:id="137" w:name="_Toc228704079"/>
      <w:r w:rsidRPr="00982F6A">
        <w:rPr>
          <w:rFonts w:cs="Arial"/>
        </w:rPr>
        <w:t>5.5 Conclusion depending on the research questions</w:t>
      </w:r>
      <w:bookmarkEnd w:id="137"/>
    </w:p>
    <w:p w14:paraId="3E9E3746" w14:textId="61C71FBD" w:rsidR="00884E5A" w:rsidRPr="00884E5A" w:rsidRDefault="00884E5A" w:rsidP="00884E5A">
      <w:pPr>
        <w:spacing w:line="360" w:lineRule="auto"/>
        <w:jc w:val="both"/>
        <w:rPr>
          <w:rFonts w:ascii="Arial" w:hAnsi="Arial" w:cs="Arial"/>
          <w:lang w:val="en-US"/>
        </w:rPr>
      </w:pPr>
      <w:r w:rsidRPr="00884E5A">
        <w:rPr>
          <w:rFonts w:ascii="Arial" w:hAnsi="Arial" w:cs="Arial"/>
          <w:lang w:val="en-US"/>
        </w:rPr>
        <w:t xml:space="preserve">The study has given in-depth responses to the fundamental questions in the research topic on the strategic integration of strategic human capital management and its effects on the performance and risk within UK </w:t>
      </w:r>
      <w:proofErr w:type="spellStart"/>
      <w:r w:rsidRPr="00884E5A">
        <w:rPr>
          <w:rFonts w:ascii="Arial" w:hAnsi="Arial" w:cs="Arial"/>
          <w:lang w:val="en-US"/>
        </w:rPr>
        <w:t>organisations</w:t>
      </w:r>
      <w:proofErr w:type="spellEnd"/>
      <w:r w:rsidRPr="00884E5A">
        <w:rPr>
          <w:rFonts w:ascii="Arial" w:hAnsi="Arial" w:cs="Arial"/>
          <w:lang w:val="en-US"/>
        </w:rPr>
        <w:t>. The following conclusions specifically align with the research objectives:</w:t>
      </w:r>
    </w:p>
    <w:p w14:paraId="56BB41B5" w14:textId="3E9491DA" w:rsidR="00884E5A" w:rsidRPr="00884E5A" w:rsidRDefault="00884E5A" w:rsidP="00884E5A">
      <w:pPr>
        <w:spacing w:line="360" w:lineRule="auto"/>
        <w:jc w:val="both"/>
        <w:rPr>
          <w:rFonts w:ascii="Arial" w:hAnsi="Arial" w:cs="Arial"/>
          <w:lang w:val="en-US"/>
        </w:rPr>
      </w:pPr>
      <w:r w:rsidRPr="00884E5A">
        <w:rPr>
          <w:rFonts w:ascii="Arial" w:hAnsi="Arial" w:cs="Arial"/>
          <w:lang w:val="en-US"/>
        </w:rPr>
        <w:t xml:space="preserve">1. Which are the main risks of human capital that will be in UK </w:t>
      </w:r>
      <w:proofErr w:type="spellStart"/>
      <w:r w:rsidRPr="00884E5A">
        <w:rPr>
          <w:rFonts w:ascii="Arial" w:hAnsi="Arial" w:cs="Arial"/>
          <w:lang w:val="en-US"/>
        </w:rPr>
        <w:t>organisations</w:t>
      </w:r>
      <w:proofErr w:type="spellEnd"/>
      <w:r w:rsidRPr="00884E5A">
        <w:rPr>
          <w:rFonts w:ascii="Arial" w:hAnsi="Arial" w:cs="Arial"/>
          <w:lang w:val="en-US"/>
        </w:rPr>
        <w:t xml:space="preserve"> in 2026? The study finds that the risk environment has changed not only in terms of the conventional administration</w:t>
      </w:r>
      <w:r w:rsidR="007704B1">
        <w:rPr>
          <w:rFonts w:ascii="Arial" w:hAnsi="Arial" w:cs="Arial"/>
          <w:lang w:val="en-US"/>
        </w:rPr>
        <w:t>s related</w:t>
      </w:r>
      <w:r w:rsidRPr="00884E5A">
        <w:rPr>
          <w:rFonts w:ascii="Arial" w:hAnsi="Arial" w:cs="Arial"/>
          <w:lang w:val="en-US"/>
        </w:rPr>
        <w:t xml:space="preserve"> issues, but it has also transformed into a complex, systemic threat. According to the evidence provided by Bloomberg (2026) and Fitzgerald HR (2025), the main risks associated with human capital are the displacement of the workforce by AI </w:t>
      </w:r>
      <w:r w:rsidR="00E07E76">
        <w:rPr>
          <w:rFonts w:ascii="Arial" w:hAnsi="Arial" w:cs="Arial"/>
          <w:lang w:val="en-US"/>
        </w:rPr>
        <w:t xml:space="preserve">as </w:t>
      </w:r>
      <w:r w:rsidRPr="00884E5A">
        <w:rPr>
          <w:rFonts w:ascii="Arial" w:hAnsi="Arial" w:cs="Arial"/>
          <w:lang w:val="en-US"/>
        </w:rPr>
        <w:t>well as the use of AI to perform psychosocial health and safety tasks</w:t>
      </w:r>
      <w:r w:rsidR="00E07E76">
        <w:rPr>
          <w:rFonts w:ascii="Arial" w:hAnsi="Arial" w:cs="Arial"/>
          <w:lang w:val="en-US"/>
        </w:rPr>
        <w:t xml:space="preserve"> and</w:t>
      </w:r>
      <w:r w:rsidRPr="00884E5A">
        <w:rPr>
          <w:rFonts w:ascii="Arial" w:hAnsi="Arial" w:cs="Arial"/>
          <w:lang w:val="en-US"/>
        </w:rPr>
        <w:t xml:space="preserve"> the obsolescence of skills. In addition, compliance and reputational risk have become </w:t>
      </w:r>
      <w:proofErr w:type="gramStart"/>
      <w:r w:rsidRPr="00884E5A">
        <w:rPr>
          <w:rFonts w:ascii="Arial" w:hAnsi="Arial" w:cs="Arial"/>
          <w:lang w:val="en-US"/>
        </w:rPr>
        <w:t>a main focus</w:t>
      </w:r>
      <w:proofErr w:type="gramEnd"/>
      <w:r w:rsidRPr="00884E5A">
        <w:rPr>
          <w:rFonts w:ascii="Arial" w:hAnsi="Arial" w:cs="Arial"/>
          <w:lang w:val="en-US"/>
        </w:rPr>
        <w:t xml:space="preserve"> of the HR agenda due to new regulatory pressures, including the Worker Protection Act (2024) and changes in the requirements of pay transparency.</w:t>
      </w:r>
    </w:p>
    <w:p w14:paraId="68D4AF51" w14:textId="79745F77" w:rsidR="00884E5A" w:rsidRPr="00884E5A" w:rsidRDefault="00884E5A" w:rsidP="00884E5A">
      <w:pPr>
        <w:spacing w:line="360" w:lineRule="auto"/>
        <w:jc w:val="both"/>
        <w:rPr>
          <w:rFonts w:ascii="Arial" w:hAnsi="Arial" w:cs="Arial"/>
          <w:lang w:val="en-US"/>
        </w:rPr>
      </w:pPr>
      <w:r w:rsidRPr="00884E5A">
        <w:rPr>
          <w:rFonts w:ascii="Arial" w:hAnsi="Arial" w:cs="Arial"/>
          <w:lang w:val="en-US"/>
        </w:rPr>
        <w:t xml:space="preserve">2. What are some of the ways strategic HR practices help in curbing such </w:t>
      </w:r>
      <w:proofErr w:type="spellStart"/>
      <w:r w:rsidRPr="00884E5A">
        <w:rPr>
          <w:rFonts w:ascii="Arial" w:hAnsi="Arial" w:cs="Arial"/>
          <w:lang w:val="en-US"/>
        </w:rPr>
        <w:t>organisational</w:t>
      </w:r>
      <w:proofErr w:type="spellEnd"/>
      <w:r w:rsidRPr="00884E5A">
        <w:rPr>
          <w:rFonts w:ascii="Arial" w:hAnsi="Arial" w:cs="Arial"/>
          <w:lang w:val="en-US"/>
        </w:rPr>
        <w:t xml:space="preserve"> risks? The paper demonstrates that SHCM can help reduce the risk as it entails the transition to a predictive instead of a reactive model of governance. </w:t>
      </w:r>
      <w:proofErr w:type="spellStart"/>
      <w:r w:rsidRPr="00884E5A">
        <w:rPr>
          <w:rFonts w:ascii="Arial" w:hAnsi="Arial" w:cs="Arial"/>
          <w:lang w:val="en-US"/>
        </w:rPr>
        <w:t>Organisations</w:t>
      </w:r>
      <w:proofErr w:type="spellEnd"/>
      <w:r w:rsidRPr="00884E5A">
        <w:rPr>
          <w:rFonts w:ascii="Arial" w:hAnsi="Arial" w:cs="Arial"/>
          <w:lang w:val="en-US"/>
        </w:rPr>
        <w:t xml:space="preserve"> can detect the occurrence of talent leakage and cultural misalignment prior to </w:t>
      </w:r>
      <w:proofErr w:type="spellStart"/>
      <w:r w:rsidRPr="00884E5A">
        <w:rPr>
          <w:rFonts w:ascii="Arial" w:hAnsi="Arial" w:cs="Arial"/>
          <w:lang w:val="en-US"/>
        </w:rPr>
        <w:t>it</w:t>
      </w:r>
      <w:r w:rsidR="00E07E76">
        <w:rPr>
          <w:rFonts w:ascii="Arial" w:hAnsi="Arial" w:cs="Arial"/>
          <w:lang w:val="en-US"/>
        </w:rPr>
        <w:t>’</w:t>
      </w:r>
      <w:r w:rsidRPr="00884E5A">
        <w:rPr>
          <w:rFonts w:ascii="Arial" w:hAnsi="Arial" w:cs="Arial"/>
          <w:lang w:val="en-US"/>
        </w:rPr>
        <w:t>s</w:t>
      </w:r>
      <w:proofErr w:type="spellEnd"/>
      <w:r w:rsidRPr="00884E5A">
        <w:rPr>
          <w:rFonts w:ascii="Arial" w:hAnsi="Arial" w:cs="Arial"/>
          <w:lang w:val="en-US"/>
        </w:rPr>
        <w:t xml:space="preserve"> reflecting as a cost to the </w:t>
      </w:r>
      <w:proofErr w:type="spellStart"/>
      <w:r w:rsidRPr="00884E5A">
        <w:rPr>
          <w:rFonts w:ascii="Arial" w:hAnsi="Arial" w:cs="Arial"/>
          <w:lang w:val="en-US"/>
        </w:rPr>
        <w:t>organisation</w:t>
      </w:r>
      <w:proofErr w:type="spellEnd"/>
      <w:r w:rsidRPr="00884E5A">
        <w:rPr>
          <w:rFonts w:ascii="Arial" w:hAnsi="Arial" w:cs="Arial"/>
          <w:lang w:val="en-US"/>
        </w:rPr>
        <w:t xml:space="preserve">. An example of such a defensive measure against the threat of redundancy due to automation is reskilling initiatives, as evident with BT Group. Other valuable practices of SHCM, such as the Dignity at Work training, also have a significant </w:t>
      </w:r>
      <w:r w:rsidRPr="00884E5A">
        <w:rPr>
          <w:rFonts w:ascii="Arial" w:hAnsi="Arial" w:cs="Arial"/>
          <w:lang w:val="en-US"/>
        </w:rPr>
        <w:lastRenderedPageBreak/>
        <w:t>impact on reducing the legal and reputational exposure through the creation of a psychologically safe environment and the prevention of misconduct at work (Fitzgerald HR, 2025).</w:t>
      </w:r>
    </w:p>
    <w:p w14:paraId="4256AC37" w14:textId="160C0B7C" w:rsidR="00884E5A" w:rsidRPr="00884E5A" w:rsidRDefault="00884E5A" w:rsidP="00884E5A">
      <w:pPr>
        <w:spacing w:line="360" w:lineRule="auto"/>
        <w:jc w:val="both"/>
        <w:rPr>
          <w:rFonts w:ascii="Arial" w:hAnsi="Arial" w:cs="Arial"/>
          <w:lang w:val="en-US"/>
        </w:rPr>
      </w:pPr>
      <w:r w:rsidRPr="00982F6A">
        <w:rPr>
          <w:rFonts w:ascii="Arial" w:hAnsi="Arial" w:cs="Arial"/>
          <w:lang w:val="en-US"/>
        </w:rPr>
        <w:t xml:space="preserve">3. What is the effect of SHCM on the </w:t>
      </w:r>
      <w:proofErr w:type="spellStart"/>
      <w:r w:rsidRPr="00982F6A">
        <w:rPr>
          <w:rFonts w:ascii="Arial" w:hAnsi="Arial" w:cs="Arial"/>
          <w:lang w:val="en-US"/>
        </w:rPr>
        <w:t>organisational</w:t>
      </w:r>
      <w:proofErr w:type="spellEnd"/>
      <w:r w:rsidRPr="00982F6A">
        <w:rPr>
          <w:rFonts w:ascii="Arial" w:hAnsi="Arial" w:cs="Arial"/>
          <w:lang w:val="en-US"/>
        </w:rPr>
        <w:t xml:space="preserve"> performance and competitive advantage? The results show there is a positive relationship (r=0.742) between SHRM practices and </w:t>
      </w:r>
      <w:proofErr w:type="spellStart"/>
      <w:r w:rsidRPr="00982F6A">
        <w:rPr>
          <w:rFonts w:ascii="Arial" w:hAnsi="Arial" w:cs="Arial"/>
          <w:lang w:val="en-US"/>
        </w:rPr>
        <w:t>organisational</w:t>
      </w:r>
      <w:proofErr w:type="spellEnd"/>
      <w:r w:rsidRPr="00982F6A">
        <w:rPr>
          <w:rFonts w:ascii="Arial" w:hAnsi="Arial" w:cs="Arial"/>
          <w:lang w:val="en-US"/>
        </w:rPr>
        <w:t xml:space="preserve"> performance. The conclusion of the research is that the </w:t>
      </w:r>
      <w:proofErr w:type="spellStart"/>
      <w:r w:rsidRPr="00982F6A">
        <w:rPr>
          <w:rFonts w:ascii="Arial" w:hAnsi="Arial" w:cs="Arial"/>
          <w:lang w:val="en-US"/>
        </w:rPr>
        <w:t>organisations</w:t>
      </w:r>
      <w:proofErr w:type="spellEnd"/>
      <w:r w:rsidRPr="00982F6A">
        <w:rPr>
          <w:rFonts w:ascii="Arial" w:hAnsi="Arial" w:cs="Arial"/>
          <w:lang w:val="en-US"/>
        </w:rPr>
        <w:t xml:space="preserve"> that have good alignment of HR strategies, i.e., in the areas of training, strategic recruiting and performance management, show up to 43% better performance results than their traditional counterparts. By considering human capital as a resource, VRIN (valuable, rare, inimitable and non-substitutable) firms such as AstraZeneca and PwC have been able to demonstrate that SHCM is directly proportional to speed of innovation as well as client satisfaction, which ultimately ensures a sustainable competitive advantage in a volatile market.</w:t>
      </w:r>
    </w:p>
    <w:p w14:paraId="6C0F4C50" w14:textId="3DB92EA2" w:rsidR="00370DFE" w:rsidRPr="00982F6A" w:rsidRDefault="00884E5A" w:rsidP="00370DFE">
      <w:pPr>
        <w:spacing w:line="360" w:lineRule="auto"/>
        <w:jc w:val="both"/>
        <w:rPr>
          <w:rFonts w:ascii="Arial" w:hAnsi="Arial" w:cs="Arial"/>
          <w:lang w:val="en-US"/>
        </w:rPr>
      </w:pPr>
      <w:r w:rsidRPr="00884E5A">
        <w:rPr>
          <w:rFonts w:ascii="Arial" w:hAnsi="Arial" w:cs="Arial"/>
          <w:lang w:val="en-US"/>
        </w:rPr>
        <w:t>To sum up, SHCM is the key factor that can convert a frail workforce into</w:t>
      </w:r>
      <w:r w:rsidR="00E07E76">
        <w:rPr>
          <w:rFonts w:ascii="Arial" w:hAnsi="Arial" w:cs="Arial"/>
          <w:lang w:val="en-US"/>
        </w:rPr>
        <w:t xml:space="preserve"> the</w:t>
      </w:r>
      <w:r w:rsidRPr="00884E5A">
        <w:rPr>
          <w:rFonts w:ascii="Arial" w:hAnsi="Arial" w:cs="Arial"/>
          <w:lang w:val="en-US"/>
        </w:rPr>
        <w:t xml:space="preserve"> mechanism that provides an </w:t>
      </w:r>
      <w:proofErr w:type="spellStart"/>
      <w:r w:rsidRPr="00884E5A">
        <w:rPr>
          <w:rFonts w:ascii="Arial" w:hAnsi="Arial" w:cs="Arial"/>
          <w:lang w:val="en-US"/>
        </w:rPr>
        <w:t>organisation</w:t>
      </w:r>
      <w:proofErr w:type="spellEnd"/>
      <w:r w:rsidRPr="00884E5A">
        <w:rPr>
          <w:rFonts w:ascii="Arial" w:hAnsi="Arial" w:cs="Arial"/>
          <w:lang w:val="en-US"/>
        </w:rPr>
        <w:t xml:space="preserve"> with the needed resilience. The strategic management of people is not only a social responsibility of the UK firms in 2026 but also a requirement of the firms in terms of money and operation.</w:t>
      </w:r>
    </w:p>
    <w:p w14:paraId="52F0CCF1" w14:textId="77777777" w:rsidR="00D85BAA" w:rsidRPr="00982F6A" w:rsidRDefault="00D85BAA" w:rsidP="00D85BAA">
      <w:pPr>
        <w:pStyle w:val="Heading2"/>
        <w:rPr>
          <w:rFonts w:cs="Arial"/>
        </w:rPr>
      </w:pPr>
      <w:bookmarkStart w:id="138" w:name="_Toc228704080"/>
      <w:r w:rsidRPr="00982F6A">
        <w:rPr>
          <w:rFonts w:cs="Arial"/>
        </w:rPr>
        <w:t>5.6 Recommendations</w:t>
      </w:r>
      <w:bookmarkEnd w:id="138"/>
    </w:p>
    <w:p w14:paraId="21EA4195" w14:textId="77777777" w:rsidR="00280696" w:rsidRPr="00280696" w:rsidRDefault="00280696" w:rsidP="00280696">
      <w:pPr>
        <w:spacing w:line="360" w:lineRule="auto"/>
        <w:jc w:val="both"/>
        <w:rPr>
          <w:rFonts w:ascii="Arial" w:hAnsi="Arial" w:cs="Arial"/>
          <w:lang w:val="en-US"/>
        </w:rPr>
      </w:pPr>
      <w:r w:rsidRPr="00280696">
        <w:rPr>
          <w:rFonts w:ascii="Arial" w:hAnsi="Arial" w:cs="Arial"/>
          <w:lang w:val="en-US"/>
        </w:rPr>
        <w:t xml:space="preserve">The recommendations below are designed to close the gap between academic theory and </w:t>
      </w:r>
      <w:proofErr w:type="spellStart"/>
      <w:r w:rsidRPr="00280696">
        <w:rPr>
          <w:rFonts w:ascii="Arial" w:hAnsi="Arial" w:cs="Arial"/>
          <w:lang w:val="en-US"/>
        </w:rPr>
        <w:t>organisational</w:t>
      </w:r>
      <w:proofErr w:type="spellEnd"/>
      <w:r w:rsidRPr="00280696">
        <w:rPr>
          <w:rFonts w:ascii="Arial" w:hAnsi="Arial" w:cs="Arial"/>
          <w:lang w:val="en-US"/>
        </w:rPr>
        <w:t xml:space="preserve"> practice and provide a strategic roadmap that UK-based leaders can use to effectively integrate Strategic Human Capital Management (SHCM) in their risk and performance frameworks.</w:t>
      </w:r>
    </w:p>
    <w:p w14:paraId="32E2A79A" w14:textId="74037C53" w:rsidR="00280696" w:rsidRPr="00982F6A" w:rsidRDefault="00280696" w:rsidP="00280696">
      <w:pPr>
        <w:pStyle w:val="Heading3"/>
        <w:rPr>
          <w:rFonts w:cs="Arial"/>
        </w:rPr>
      </w:pPr>
      <w:bookmarkStart w:id="139" w:name="_Toc228704081"/>
      <w:r w:rsidRPr="00982F6A">
        <w:rPr>
          <w:rFonts w:cs="Arial"/>
        </w:rPr>
        <w:t>5.6.1 Practical Recommendations to the UK Organisations</w:t>
      </w:r>
      <w:bookmarkEnd w:id="139"/>
    </w:p>
    <w:p w14:paraId="3C449ACF" w14:textId="458B50F5" w:rsidR="00280696" w:rsidRPr="00280696" w:rsidRDefault="00280696" w:rsidP="00280696">
      <w:pPr>
        <w:spacing w:line="360" w:lineRule="auto"/>
        <w:jc w:val="both"/>
        <w:rPr>
          <w:rFonts w:ascii="Arial" w:hAnsi="Arial" w:cs="Arial"/>
          <w:lang w:val="en-US"/>
        </w:rPr>
      </w:pPr>
      <w:r w:rsidRPr="00280696">
        <w:rPr>
          <w:rFonts w:ascii="Arial" w:hAnsi="Arial" w:cs="Arial"/>
          <w:b/>
          <w:bCs/>
          <w:lang w:val="en-US"/>
        </w:rPr>
        <w:t>1. Adding HR Analytics to Enterprise Risk Management:</w:t>
      </w:r>
      <w:r w:rsidRPr="00280696">
        <w:rPr>
          <w:rFonts w:ascii="Arial" w:hAnsi="Arial" w:cs="Arial"/>
          <w:lang w:val="en-US"/>
        </w:rPr>
        <w:t xml:space="preserve"> The study suggests that risks associated with human capital are commonly isolated within the HR department and are not necessarily linked with the rest of the corporate risk register. It is suggested that UK </w:t>
      </w:r>
      <w:proofErr w:type="spellStart"/>
      <w:r w:rsidRPr="00280696">
        <w:rPr>
          <w:rFonts w:ascii="Arial" w:hAnsi="Arial" w:cs="Arial"/>
          <w:lang w:val="en-US"/>
        </w:rPr>
        <w:t>organisations</w:t>
      </w:r>
      <w:proofErr w:type="spellEnd"/>
      <w:r w:rsidRPr="00280696">
        <w:rPr>
          <w:rFonts w:ascii="Arial" w:hAnsi="Arial" w:cs="Arial"/>
          <w:lang w:val="en-US"/>
        </w:rPr>
        <w:t xml:space="preserve">, especially those operating in a highly regulated business sector such as finance and professional services, create a predictive human capital risk dashboard. Such a dashboard requires combining so-called soft HR metrics, including the sentiment of the </w:t>
      </w:r>
      <w:r w:rsidRPr="00280696">
        <w:rPr>
          <w:rFonts w:ascii="Arial" w:hAnsi="Arial" w:cs="Arial"/>
          <w:lang w:val="en-US"/>
        </w:rPr>
        <w:lastRenderedPageBreak/>
        <w:t>employees, turnover speed, the score of the psychological safety, and so on, with so-called hard financial metrics.</w:t>
      </w:r>
    </w:p>
    <w:p w14:paraId="2EF3C533" w14:textId="77777777" w:rsidR="00280696" w:rsidRPr="00280696" w:rsidRDefault="00280696" w:rsidP="00280696">
      <w:pPr>
        <w:spacing w:line="360" w:lineRule="auto"/>
        <w:jc w:val="both"/>
        <w:rPr>
          <w:rFonts w:ascii="Arial" w:hAnsi="Arial" w:cs="Arial"/>
          <w:lang w:val="en-US"/>
        </w:rPr>
      </w:pPr>
      <w:r w:rsidRPr="00280696">
        <w:rPr>
          <w:rFonts w:ascii="Arial" w:hAnsi="Arial" w:cs="Arial"/>
          <w:lang w:val="en-US"/>
        </w:rPr>
        <w:t xml:space="preserve">Treating talent risk in a similar manner in terms of quantitative </w:t>
      </w:r>
      <w:proofErr w:type="spellStart"/>
      <w:r w:rsidRPr="00280696">
        <w:rPr>
          <w:rFonts w:ascii="Arial" w:hAnsi="Arial" w:cs="Arial"/>
          <w:lang w:val="en-US"/>
        </w:rPr>
        <w:t>rigour</w:t>
      </w:r>
      <w:proofErr w:type="spellEnd"/>
      <w:r w:rsidRPr="00280696">
        <w:rPr>
          <w:rFonts w:ascii="Arial" w:hAnsi="Arial" w:cs="Arial"/>
          <w:lang w:val="en-US"/>
        </w:rPr>
        <w:t xml:space="preserve"> as that of credit risk or market risk can help firms move towards a model of predictive governance. Boards that are supplied with real-time information on workforce stability can be better placed to make informed strategic decisions during economic transitions (highlighted by PwC UK (2026)). This is done in practice to ensure that SHCM becomes a proactive </w:t>
      </w:r>
      <w:proofErr w:type="spellStart"/>
      <w:r w:rsidRPr="00280696">
        <w:rPr>
          <w:rFonts w:ascii="Arial" w:hAnsi="Arial" w:cs="Arial"/>
          <w:lang w:val="en-US"/>
        </w:rPr>
        <w:t>defence</w:t>
      </w:r>
      <w:proofErr w:type="spellEnd"/>
      <w:r w:rsidRPr="00280696">
        <w:rPr>
          <w:rFonts w:ascii="Arial" w:hAnsi="Arial" w:cs="Arial"/>
          <w:lang w:val="en-US"/>
        </w:rPr>
        <w:t xml:space="preserve"> mechanism against the so-called 'talent leakage' as observed in the IBISWorld (2026) reports.</w:t>
      </w:r>
    </w:p>
    <w:p w14:paraId="58E112BD" w14:textId="77777777" w:rsidR="00280696" w:rsidRPr="00280696" w:rsidRDefault="00280696" w:rsidP="00280696">
      <w:pPr>
        <w:spacing w:line="360" w:lineRule="auto"/>
        <w:jc w:val="both"/>
        <w:rPr>
          <w:rFonts w:ascii="Arial" w:hAnsi="Arial" w:cs="Arial"/>
          <w:lang w:val="en-US"/>
        </w:rPr>
      </w:pPr>
      <w:r w:rsidRPr="00280696">
        <w:rPr>
          <w:rFonts w:ascii="Arial" w:hAnsi="Arial" w:cs="Arial"/>
          <w:b/>
          <w:bCs/>
          <w:lang w:val="en-US"/>
        </w:rPr>
        <w:t>2. “Agile Reskilling” Pipelines:</w:t>
      </w:r>
      <w:r w:rsidRPr="00280696">
        <w:rPr>
          <w:rFonts w:ascii="Arial" w:hAnsi="Arial" w:cs="Arial"/>
          <w:lang w:val="en-US"/>
        </w:rPr>
        <w:t xml:space="preserve"> Due to the blistering training displacement rate, companies will no longer be able to afford the traditional annual training cycles. </w:t>
      </w:r>
      <w:proofErr w:type="spellStart"/>
      <w:r w:rsidRPr="00280696">
        <w:rPr>
          <w:rFonts w:ascii="Arial" w:hAnsi="Arial" w:cs="Arial"/>
          <w:lang w:val="en-US"/>
        </w:rPr>
        <w:t>Organisations</w:t>
      </w:r>
      <w:proofErr w:type="spellEnd"/>
      <w:r w:rsidRPr="00280696">
        <w:rPr>
          <w:rFonts w:ascii="Arial" w:hAnsi="Arial" w:cs="Arial"/>
          <w:lang w:val="en-US"/>
        </w:rPr>
        <w:t xml:space="preserve"> are encouraged to embrace dynamic reskilling pipelines that use AI to map the current employee skills with future skills requirements.</w:t>
      </w:r>
    </w:p>
    <w:p w14:paraId="4D98B500" w14:textId="77777777" w:rsidR="00280696" w:rsidRPr="00280696" w:rsidRDefault="00280696" w:rsidP="00280696">
      <w:pPr>
        <w:spacing w:line="360" w:lineRule="auto"/>
        <w:jc w:val="both"/>
        <w:rPr>
          <w:rFonts w:ascii="Arial" w:hAnsi="Arial" w:cs="Arial"/>
          <w:lang w:val="en-US"/>
        </w:rPr>
      </w:pPr>
      <w:r w:rsidRPr="00280696">
        <w:rPr>
          <w:rFonts w:ascii="Arial" w:hAnsi="Arial" w:cs="Arial"/>
          <w:lang w:val="en-US"/>
        </w:rPr>
        <w:t xml:space="preserve">Based on the successful pattern of BT Group, </w:t>
      </w:r>
      <w:proofErr w:type="spellStart"/>
      <w:r w:rsidRPr="00280696">
        <w:rPr>
          <w:rFonts w:ascii="Arial" w:hAnsi="Arial" w:cs="Arial"/>
          <w:lang w:val="en-US"/>
        </w:rPr>
        <w:t>organisations</w:t>
      </w:r>
      <w:proofErr w:type="spellEnd"/>
      <w:r w:rsidRPr="00280696">
        <w:rPr>
          <w:rFonts w:ascii="Arial" w:hAnsi="Arial" w:cs="Arial"/>
          <w:lang w:val="en-US"/>
        </w:rPr>
        <w:t xml:space="preserve"> are advised to focus on the concept of internal mobility rather than external recruitment. In practice, this can be achieved by establishing, within the company, internal talent marketplaces where employees can apply to do project-based work that builds adjacent skills. This strategy, Bloomberg (2026) says, will not only reduce the risk of the loss of institutional knowledge, but it will also greatly cut the overhead expenses incurred in the competitive UK tech recruitment market.</w:t>
      </w:r>
    </w:p>
    <w:p w14:paraId="7664A0C1" w14:textId="77777777" w:rsidR="00280696" w:rsidRPr="00280696" w:rsidRDefault="00280696" w:rsidP="00280696">
      <w:pPr>
        <w:spacing w:line="360" w:lineRule="auto"/>
        <w:jc w:val="both"/>
        <w:rPr>
          <w:rFonts w:ascii="Arial" w:hAnsi="Arial" w:cs="Arial"/>
          <w:lang w:val="en-US"/>
        </w:rPr>
      </w:pPr>
      <w:r w:rsidRPr="00280696">
        <w:rPr>
          <w:rFonts w:ascii="Arial" w:hAnsi="Arial" w:cs="Arial"/>
          <w:b/>
          <w:bCs/>
          <w:lang w:val="en-US"/>
        </w:rPr>
        <w:t>3. Wellbeing as a Functional Performance Driver:</w:t>
      </w:r>
      <w:r w:rsidRPr="00280696">
        <w:rPr>
          <w:rFonts w:ascii="Arial" w:hAnsi="Arial" w:cs="Arial"/>
          <w:lang w:val="en-US"/>
        </w:rPr>
        <w:t xml:space="preserve"> To eliminate the risk of innovation stagnation, UK </w:t>
      </w:r>
      <w:proofErr w:type="spellStart"/>
      <w:r w:rsidRPr="00280696">
        <w:rPr>
          <w:rFonts w:ascii="Arial" w:hAnsi="Arial" w:cs="Arial"/>
          <w:lang w:val="en-US"/>
        </w:rPr>
        <w:t>organisations</w:t>
      </w:r>
      <w:proofErr w:type="spellEnd"/>
      <w:r w:rsidRPr="00280696">
        <w:rPr>
          <w:rFonts w:ascii="Arial" w:hAnsi="Arial" w:cs="Arial"/>
          <w:lang w:val="en-US"/>
        </w:rPr>
        <w:t xml:space="preserve"> have to shift their attitudes towards viewing wellbeing as a functional performance driver. </w:t>
      </w:r>
      <w:proofErr w:type="spellStart"/>
      <w:r w:rsidRPr="00280696">
        <w:rPr>
          <w:rFonts w:ascii="Arial" w:hAnsi="Arial" w:cs="Arial"/>
          <w:lang w:val="en-US"/>
        </w:rPr>
        <w:t>Institutionalisation</w:t>
      </w:r>
      <w:proofErr w:type="spellEnd"/>
      <w:r w:rsidRPr="00280696">
        <w:rPr>
          <w:rFonts w:ascii="Arial" w:hAnsi="Arial" w:cs="Arial"/>
          <w:lang w:val="en-US"/>
        </w:rPr>
        <w:t xml:space="preserve"> of sustainable HRM should be done whereby managerial performance review should be tied to the psychological health score of the teams that they manage.</w:t>
      </w:r>
    </w:p>
    <w:p w14:paraId="0D781190" w14:textId="0CADA950" w:rsidR="00280696" w:rsidRPr="00280696" w:rsidRDefault="00280696" w:rsidP="00280696">
      <w:pPr>
        <w:spacing w:line="360" w:lineRule="auto"/>
        <w:jc w:val="both"/>
        <w:rPr>
          <w:rFonts w:ascii="Arial" w:hAnsi="Arial" w:cs="Arial"/>
          <w:lang w:val="en-US"/>
        </w:rPr>
      </w:pPr>
      <w:r w:rsidRPr="00280696">
        <w:rPr>
          <w:rFonts w:ascii="Arial" w:hAnsi="Arial" w:cs="Arial"/>
          <w:lang w:val="en-US"/>
        </w:rPr>
        <w:t xml:space="preserve">A study by AstraZeneca UK and CIPD (2023) has indicated that direct effects of speed of R&amp;D output are proactive mental health interventions, such as those of cognitive load management and mandatory rest periods. In practice, this will mean that HR collaborates </w:t>
      </w:r>
      <w:r w:rsidRPr="00280696">
        <w:rPr>
          <w:rFonts w:ascii="Arial" w:hAnsi="Arial" w:cs="Arial"/>
          <w:lang w:val="en-US"/>
        </w:rPr>
        <w:lastRenderedPageBreak/>
        <w:t xml:space="preserve">with chief risk officers to create wellbeing risk thresholds, which are </w:t>
      </w:r>
      <w:proofErr w:type="spellStart"/>
      <w:r w:rsidRPr="00280696">
        <w:rPr>
          <w:rFonts w:ascii="Arial" w:hAnsi="Arial" w:cs="Arial"/>
          <w:lang w:val="en-US"/>
        </w:rPr>
        <w:t>organisational</w:t>
      </w:r>
      <w:proofErr w:type="spellEnd"/>
      <w:r w:rsidRPr="00280696">
        <w:rPr>
          <w:rFonts w:ascii="Arial" w:hAnsi="Arial" w:cs="Arial"/>
          <w:lang w:val="en-US"/>
        </w:rPr>
        <w:t xml:space="preserve"> interventions triggered when the metrics of burnout exceed the safety limits.</w:t>
      </w:r>
    </w:p>
    <w:p w14:paraId="5246881E" w14:textId="0201185B" w:rsidR="00280696" w:rsidRPr="00982F6A" w:rsidRDefault="00280696" w:rsidP="00280696">
      <w:pPr>
        <w:pStyle w:val="Heading3"/>
        <w:rPr>
          <w:rFonts w:cs="Arial"/>
        </w:rPr>
      </w:pPr>
      <w:bookmarkStart w:id="140" w:name="_Toc228704082"/>
      <w:r w:rsidRPr="00982F6A">
        <w:rPr>
          <w:rFonts w:cs="Arial"/>
        </w:rPr>
        <w:t>5.6.2 Theoretical Suggestions and Recommendations of Future Research</w:t>
      </w:r>
      <w:bookmarkEnd w:id="140"/>
    </w:p>
    <w:p w14:paraId="76E0D9B0" w14:textId="4B32926A" w:rsidR="00280696" w:rsidRPr="00982F6A" w:rsidRDefault="00280696" w:rsidP="00280696">
      <w:pPr>
        <w:pStyle w:val="ListParagraph"/>
        <w:numPr>
          <w:ilvl w:val="0"/>
          <w:numId w:val="52"/>
        </w:numPr>
        <w:spacing w:line="360" w:lineRule="auto"/>
        <w:jc w:val="both"/>
        <w:rPr>
          <w:rFonts w:ascii="Arial" w:hAnsi="Arial" w:cs="Arial"/>
          <w:lang w:val="en-US"/>
        </w:rPr>
      </w:pPr>
      <w:r w:rsidRPr="00982F6A">
        <w:rPr>
          <w:rFonts w:ascii="Arial" w:hAnsi="Arial" w:cs="Arial"/>
          <w:b/>
          <w:bCs/>
          <w:lang w:val="en-US"/>
        </w:rPr>
        <w:t>Adding to the Resource-Based View:</w:t>
      </w:r>
      <w:r w:rsidRPr="00982F6A">
        <w:rPr>
          <w:rFonts w:ascii="Arial" w:hAnsi="Arial" w:cs="Arial"/>
          <w:lang w:val="en-US"/>
        </w:rPr>
        <w:t xml:space="preserve"> The concept of a risk-adjusted value: Theoretically, the Resource-Based View (Barney, 1991) is mostly concerned with the value co-created by resources. Nevertheless, this research shows that human capital m</w:t>
      </w:r>
      <w:r w:rsidR="00E07E76">
        <w:rPr>
          <w:rFonts w:ascii="Arial" w:hAnsi="Arial" w:cs="Arial"/>
          <w:lang w:val="en-US"/>
        </w:rPr>
        <w:t>ight</w:t>
      </w:r>
      <w:r w:rsidRPr="00982F6A">
        <w:rPr>
          <w:rFonts w:ascii="Arial" w:hAnsi="Arial" w:cs="Arial"/>
          <w:lang w:val="en-US"/>
        </w:rPr>
        <w:t xml:space="preserve"> as well be a source of great vulnerability. It is suggested that future scholarly studies should come up with a risk-adjusted resource-based view (RA-RBV). This theoretical extrapolation would offer a framework of assessment of not only the so-called rarity of a workforce, but also its so-called resilience and fragility. The most important gap in the current literature, which needs empirical research, is the </w:t>
      </w:r>
      <w:proofErr w:type="spellStart"/>
      <w:r w:rsidRPr="00982F6A">
        <w:rPr>
          <w:rFonts w:ascii="Arial" w:hAnsi="Arial" w:cs="Arial"/>
          <w:lang w:val="en-US"/>
        </w:rPr>
        <w:t>behaviour</w:t>
      </w:r>
      <w:proofErr w:type="spellEnd"/>
      <w:r w:rsidRPr="00982F6A">
        <w:rPr>
          <w:rFonts w:ascii="Arial" w:hAnsi="Arial" w:cs="Arial"/>
          <w:lang w:val="en-US"/>
        </w:rPr>
        <w:t xml:space="preserve"> of a VRIN resource under the extreme pressure of the environmental conditions (e.g., a pandemic or AI shock).</w:t>
      </w:r>
    </w:p>
    <w:p w14:paraId="2B0C1945" w14:textId="4064C54B" w:rsidR="00280696" w:rsidRPr="00982F6A" w:rsidRDefault="00280696" w:rsidP="00280696">
      <w:pPr>
        <w:pStyle w:val="ListParagraph"/>
        <w:numPr>
          <w:ilvl w:val="0"/>
          <w:numId w:val="52"/>
        </w:numPr>
        <w:spacing w:line="360" w:lineRule="auto"/>
        <w:jc w:val="both"/>
        <w:rPr>
          <w:rFonts w:ascii="Arial" w:hAnsi="Arial" w:cs="Arial"/>
          <w:lang w:val="en-US"/>
        </w:rPr>
      </w:pPr>
      <w:r w:rsidRPr="00982F6A">
        <w:rPr>
          <w:rFonts w:ascii="Arial" w:hAnsi="Arial" w:cs="Arial"/>
          <w:b/>
          <w:bCs/>
          <w:lang w:val="en-US"/>
        </w:rPr>
        <w:t>SHCM-Resilience Link Longitudinal Studies:</w:t>
      </w:r>
      <w:r w:rsidRPr="00982F6A">
        <w:rPr>
          <w:rFonts w:ascii="Arial" w:hAnsi="Arial" w:cs="Arial"/>
          <w:lang w:val="en-US"/>
        </w:rPr>
        <w:t xml:space="preserve"> Existing studies are greatly dependent on cross-sectional data. Theoretical </w:t>
      </w:r>
      <w:proofErr w:type="gramStart"/>
      <w:r w:rsidRPr="00982F6A">
        <w:rPr>
          <w:rFonts w:ascii="Arial" w:hAnsi="Arial" w:cs="Arial"/>
          <w:lang w:val="en-US"/>
        </w:rPr>
        <w:t>necessity</w:t>
      </w:r>
      <w:r w:rsidR="00E07E76">
        <w:rPr>
          <w:rFonts w:ascii="Arial" w:hAnsi="Arial" w:cs="Arial"/>
          <w:lang w:val="en-US"/>
        </w:rPr>
        <w:t>;</w:t>
      </w:r>
      <w:proofErr w:type="gramEnd"/>
      <w:r w:rsidRPr="00982F6A">
        <w:rPr>
          <w:rFonts w:ascii="Arial" w:hAnsi="Arial" w:cs="Arial"/>
          <w:lang w:val="en-US"/>
        </w:rPr>
        <w:t xml:space="preserve"> </w:t>
      </w:r>
      <w:r w:rsidR="00E07E76">
        <w:rPr>
          <w:rFonts w:ascii="Arial" w:hAnsi="Arial" w:cs="Arial"/>
          <w:lang w:val="en-US"/>
        </w:rPr>
        <w:t>i</w:t>
      </w:r>
      <w:r w:rsidRPr="00982F6A">
        <w:rPr>
          <w:rFonts w:ascii="Arial" w:hAnsi="Arial" w:cs="Arial"/>
          <w:lang w:val="en-US"/>
        </w:rPr>
        <w:t>t is theoretically necessary to have longitudinal research that could trace the effect of a particular SHCM intervention (e.g., diversity-led recruitment or agile reskilling) on a 5-to-10-year horizon. Theoretical development is required to know whether SHCM brings about the so-called 'sustainable resilience' or</w:t>
      </w:r>
      <w:r w:rsidR="00E07E76">
        <w:rPr>
          <w:rFonts w:ascii="Arial" w:hAnsi="Arial" w:cs="Arial"/>
          <w:lang w:val="en-US"/>
        </w:rPr>
        <w:t xml:space="preserve"> the</w:t>
      </w:r>
      <w:r w:rsidRPr="00982F6A">
        <w:rPr>
          <w:rFonts w:ascii="Arial" w:hAnsi="Arial" w:cs="Arial"/>
          <w:lang w:val="en-US"/>
        </w:rPr>
        <w:t xml:space="preserve"> gains in the performance are simply cyclical. This would entail going beyond the Dynamic Capabilities Theory (Teece, 2014) to consider the so-called Regenerative Capability Theory: how </w:t>
      </w:r>
      <w:proofErr w:type="spellStart"/>
      <w:r w:rsidRPr="00982F6A">
        <w:rPr>
          <w:rFonts w:ascii="Arial" w:hAnsi="Arial" w:cs="Arial"/>
          <w:lang w:val="en-US"/>
        </w:rPr>
        <w:t>organisations</w:t>
      </w:r>
      <w:proofErr w:type="spellEnd"/>
      <w:r w:rsidRPr="00982F6A">
        <w:rPr>
          <w:rFonts w:ascii="Arial" w:hAnsi="Arial" w:cs="Arial"/>
          <w:lang w:val="en-US"/>
        </w:rPr>
        <w:t xml:space="preserve"> will replenish their human capital reserves after major shocks.</w:t>
      </w:r>
    </w:p>
    <w:p w14:paraId="0A3227F0" w14:textId="2CE81C2E" w:rsidR="00280696" w:rsidRPr="00982F6A" w:rsidRDefault="00280696" w:rsidP="00280696">
      <w:pPr>
        <w:pStyle w:val="ListParagraph"/>
        <w:numPr>
          <w:ilvl w:val="0"/>
          <w:numId w:val="52"/>
        </w:numPr>
        <w:spacing w:line="360" w:lineRule="auto"/>
        <w:jc w:val="both"/>
        <w:rPr>
          <w:rFonts w:ascii="Arial" w:hAnsi="Arial" w:cs="Arial"/>
          <w:lang w:val="en-US"/>
        </w:rPr>
      </w:pPr>
      <w:r w:rsidRPr="00982F6A">
        <w:rPr>
          <w:rFonts w:ascii="Arial" w:hAnsi="Arial" w:cs="Arial"/>
          <w:b/>
          <w:bCs/>
          <w:lang w:val="en-US"/>
        </w:rPr>
        <w:t>Creation of a Coherent "People-Risk" Taxonomy:</w:t>
      </w:r>
      <w:r w:rsidRPr="00982F6A">
        <w:rPr>
          <w:rFonts w:ascii="Arial" w:hAnsi="Arial" w:cs="Arial"/>
          <w:lang w:val="en-US"/>
        </w:rPr>
        <w:t xml:space="preserve"> The literature review showed that how the phenomenon of human capital risk is defined is fragmented. The scholars in the future need to strive to come up with a unified human capital risk taxonomy that cuts across HR management, legal compliance, and </w:t>
      </w:r>
      <w:proofErr w:type="spellStart"/>
      <w:r w:rsidRPr="00982F6A">
        <w:rPr>
          <w:rFonts w:ascii="Arial" w:hAnsi="Arial" w:cs="Arial"/>
          <w:lang w:val="en-US"/>
        </w:rPr>
        <w:t>behavioural</w:t>
      </w:r>
      <w:proofErr w:type="spellEnd"/>
      <w:r w:rsidRPr="00982F6A">
        <w:rPr>
          <w:rFonts w:ascii="Arial" w:hAnsi="Arial" w:cs="Arial"/>
          <w:lang w:val="en-US"/>
        </w:rPr>
        <w:t xml:space="preserve"> economics. This would enable them to have a better meta-analysis across the various industries and developed economies, which will provide a standard language of the "people-risk" which can be universally applied in management research.</w:t>
      </w:r>
    </w:p>
    <w:p w14:paraId="4132DAAF" w14:textId="77777777" w:rsidR="00280696" w:rsidRPr="00982F6A" w:rsidRDefault="00280696" w:rsidP="00280696">
      <w:pPr>
        <w:pStyle w:val="Heading3"/>
        <w:rPr>
          <w:rFonts w:cs="Arial"/>
        </w:rPr>
      </w:pPr>
      <w:bookmarkStart w:id="141" w:name="_Toc228704083"/>
      <w:r w:rsidRPr="00982F6A">
        <w:rPr>
          <w:rFonts w:cs="Arial"/>
        </w:rPr>
        <w:lastRenderedPageBreak/>
        <w:t>5.6.3 Conclusion of Recommendations</w:t>
      </w:r>
      <w:bookmarkEnd w:id="141"/>
    </w:p>
    <w:p w14:paraId="56FC43C4" w14:textId="77777777" w:rsidR="00280696" w:rsidRPr="00280696" w:rsidRDefault="00280696" w:rsidP="00280696">
      <w:pPr>
        <w:spacing w:line="360" w:lineRule="auto"/>
        <w:jc w:val="both"/>
        <w:rPr>
          <w:rFonts w:ascii="Arial" w:hAnsi="Arial" w:cs="Arial"/>
          <w:lang w:val="en-US"/>
        </w:rPr>
      </w:pPr>
      <w:r w:rsidRPr="00280696">
        <w:rPr>
          <w:rFonts w:ascii="Arial" w:hAnsi="Arial" w:cs="Arial"/>
          <w:lang w:val="en-US"/>
        </w:rPr>
        <w:t xml:space="preserve">Overall, the application of practical use of SHCM should be based on the integration of data and agile skills, whereas the theoretical development should be preoccupied with resilience and risk adjustment. With these recommendations, the </w:t>
      </w:r>
      <w:proofErr w:type="spellStart"/>
      <w:r w:rsidRPr="00280696">
        <w:rPr>
          <w:rFonts w:ascii="Arial" w:hAnsi="Arial" w:cs="Arial"/>
          <w:lang w:val="en-US"/>
        </w:rPr>
        <w:t>organisations</w:t>
      </w:r>
      <w:proofErr w:type="spellEnd"/>
      <w:r w:rsidRPr="00280696">
        <w:rPr>
          <w:rFonts w:ascii="Arial" w:hAnsi="Arial" w:cs="Arial"/>
          <w:lang w:val="en-US"/>
        </w:rPr>
        <w:t xml:space="preserve"> in the UK will be able to ensure that their human capital is a source of sustainable competitive advantage as opposed to a hidden liability in an increasingly volatile business environment in 2026.</w:t>
      </w:r>
    </w:p>
    <w:p w14:paraId="26C08807" w14:textId="77777777" w:rsidR="00280696" w:rsidRPr="00982F6A" w:rsidRDefault="00280696" w:rsidP="00280696">
      <w:pPr>
        <w:pStyle w:val="Heading2"/>
        <w:rPr>
          <w:rFonts w:cs="Arial"/>
        </w:rPr>
      </w:pPr>
      <w:bookmarkStart w:id="142" w:name="_Toc228704084"/>
      <w:r w:rsidRPr="00982F6A">
        <w:rPr>
          <w:rFonts w:cs="Arial"/>
        </w:rPr>
        <w:t>5.7 Limitations of Research</w:t>
      </w:r>
      <w:bookmarkEnd w:id="142"/>
    </w:p>
    <w:p w14:paraId="432F3582" w14:textId="51D15C99" w:rsidR="00280696" w:rsidRPr="00280696" w:rsidRDefault="00280696" w:rsidP="00280696">
      <w:pPr>
        <w:spacing w:line="360" w:lineRule="auto"/>
        <w:jc w:val="both"/>
        <w:rPr>
          <w:rFonts w:ascii="Arial" w:hAnsi="Arial" w:cs="Arial"/>
          <w:lang w:val="en-US"/>
        </w:rPr>
      </w:pPr>
      <w:r w:rsidRPr="00280696">
        <w:rPr>
          <w:rFonts w:ascii="Arial" w:hAnsi="Arial" w:cs="Arial"/>
          <w:lang w:val="en-US"/>
        </w:rPr>
        <w:t xml:space="preserve">Although the present study offers a thorough analysis of how Strategic Human Capital Management can play a strategic role in promoting sustainable and ethical change, </w:t>
      </w:r>
      <w:proofErr w:type="gramStart"/>
      <w:r w:rsidRPr="00280696">
        <w:rPr>
          <w:rFonts w:ascii="Arial" w:hAnsi="Arial" w:cs="Arial"/>
          <w:lang w:val="en-US"/>
        </w:rPr>
        <w:t>a number of</w:t>
      </w:r>
      <w:proofErr w:type="gramEnd"/>
      <w:r w:rsidRPr="00280696">
        <w:rPr>
          <w:rFonts w:ascii="Arial" w:hAnsi="Arial" w:cs="Arial"/>
          <w:lang w:val="en-US"/>
        </w:rPr>
        <w:t xml:space="preserve"> methodological and contextual limitations </w:t>
      </w:r>
      <w:proofErr w:type="gramStart"/>
      <w:r w:rsidRPr="00280696">
        <w:rPr>
          <w:rFonts w:ascii="Arial" w:hAnsi="Arial" w:cs="Arial"/>
          <w:lang w:val="en-US"/>
        </w:rPr>
        <w:t>have to</w:t>
      </w:r>
      <w:proofErr w:type="gramEnd"/>
      <w:r w:rsidRPr="00280696">
        <w:rPr>
          <w:rFonts w:ascii="Arial" w:hAnsi="Arial" w:cs="Arial"/>
          <w:lang w:val="en-US"/>
        </w:rPr>
        <w:t xml:space="preserve"> be considered. These limitations, classified under the framework of Saunders et al. (2019), allow us to provide an essential context to interpret the findings and to provide a foundation to conduct a scholarly inquiry in the future.</w:t>
      </w:r>
    </w:p>
    <w:p w14:paraId="05248237" w14:textId="6584DAD3" w:rsidR="00280696" w:rsidRPr="00982F6A" w:rsidRDefault="00280696" w:rsidP="00280696">
      <w:pPr>
        <w:pStyle w:val="Heading3"/>
        <w:rPr>
          <w:rFonts w:cs="Arial"/>
        </w:rPr>
      </w:pPr>
      <w:bookmarkStart w:id="143" w:name="_Toc228704085"/>
      <w:r w:rsidRPr="00982F6A">
        <w:rPr>
          <w:rFonts w:cs="Arial"/>
        </w:rPr>
        <w:t>5.7.1 Methodology limitations: Qualitative mono-method</w:t>
      </w:r>
      <w:bookmarkEnd w:id="143"/>
    </w:p>
    <w:p w14:paraId="64A41E1E" w14:textId="1D709C9E" w:rsidR="00280696" w:rsidRPr="00280696" w:rsidRDefault="00280696" w:rsidP="00280696">
      <w:pPr>
        <w:spacing w:line="360" w:lineRule="auto"/>
        <w:jc w:val="both"/>
        <w:rPr>
          <w:rFonts w:ascii="Arial" w:hAnsi="Arial" w:cs="Arial"/>
          <w:lang w:val="en-US"/>
        </w:rPr>
      </w:pPr>
      <w:r w:rsidRPr="00280696">
        <w:rPr>
          <w:rFonts w:ascii="Arial" w:hAnsi="Arial" w:cs="Arial"/>
          <w:lang w:val="en-US"/>
        </w:rPr>
        <w:t xml:space="preserve">Since this study took the form of a qualitative mono-method, which involves the use of a Systematic Literature Review, it does not enjoy the statistical </w:t>
      </w:r>
      <w:proofErr w:type="spellStart"/>
      <w:r w:rsidRPr="00280696">
        <w:rPr>
          <w:rFonts w:ascii="Arial" w:hAnsi="Arial" w:cs="Arial"/>
          <w:lang w:val="en-US"/>
        </w:rPr>
        <w:t>generalisability</w:t>
      </w:r>
      <w:proofErr w:type="spellEnd"/>
      <w:r w:rsidRPr="00280696">
        <w:rPr>
          <w:rFonts w:ascii="Arial" w:hAnsi="Arial" w:cs="Arial"/>
          <w:lang w:val="en-US"/>
        </w:rPr>
        <w:t xml:space="preserve"> that a quantitative/mixed-methods approach would offer.</w:t>
      </w:r>
    </w:p>
    <w:p w14:paraId="07245033" w14:textId="1D931F64" w:rsidR="00280696" w:rsidRPr="00982F6A" w:rsidRDefault="00280696" w:rsidP="00280696">
      <w:pPr>
        <w:pStyle w:val="ListParagraph"/>
        <w:numPr>
          <w:ilvl w:val="0"/>
          <w:numId w:val="50"/>
        </w:numPr>
        <w:spacing w:line="360" w:lineRule="auto"/>
        <w:jc w:val="both"/>
        <w:rPr>
          <w:rFonts w:ascii="Arial" w:hAnsi="Arial" w:cs="Arial"/>
          <w:lang w:val="en-US"/>
        </w:rPr>
      </w:pPr>
      <w:r w:rsidRPr="00982F6A">
        <w:rPr>
          <w:rFonts w:ascii="Arial" w:hAnsi="Arial" w:cs="Arial"/>
          <w:b/>
          <w:bCs/>
          <w:lang w:val="en-US"/>
        </w:rPr>
        <w:t>Lack of Causality:</w:t>
      </w:r>
      <w:r w:rsidRPr="00982F6A">
        <w:rPr>
          <w:rFonts w:ascii="Arial" w:hAnsi="Arial" w:cs="Arial"/>
          <w:lang w:val="en-US"/>
        </w:rPr>
        <w:t xml:space="preserve"> According to Saunders, Lewis and Thornhill (2019), qualitative research is very effective in answering questions about how and why</w:t>
      </w:r>
      <w:r w:rsidR="00E07E76">
        <w:rPr>
          <w:rFonts w:ascii="Arial" w:hAnsi="Arial" w:cs="Arial"/>
          <w:lang w:val="en-US"/>
        </w:rPr>
        <w:t>,</w:t>
      </w:r>
      <w:r w:rsidRPr="00982F6A">
        <w:rPr>
          <w:rFonts w:ascii="Arial" w:hAnsi="Arial" w:cs="Arial"/>
          <w:lang w:val="en-US"/>
        </w:rPr>
        <w:t xml:space="preserve"> but</w:t>
      </w:r>
      <w:r w:rsidR="00E07E76">
        <w:rPr>
          <w:rFonts w:ascii="Arial" w:hAnsi="Arial" w:cs="Arial"/>
          <w:lang w:val="en-US"/>
        </w:rPr>
        <w:t xml:space="preserve"> it</w:t>
      </w:r>
      <w:r w:rsidRPr="00982F6A">
        <w:rPr>
          <w:rFonts w:ascii="Arial" w:hAnsi="Arial" w:cs="Arial"/>
          <w:lang w:val="en-US"/>
        </w:rPr>
        <w:t xml:space="preserve"> lacks the ability to establish definite causal relationships between the interventions of SHCM and financial performance.</w:t>
      </w:r>
    </w:p>
    <w:p w14:paraId="17256C34" w14:textId="62324853" w:rsidR="00280696" w:rsidRPr="00982F6A" w:rsidRDefault="00280696" w:rsidP="00280696">
      <w:pPr>
        <w:pStyle w:val="ListParagraph"/>
        <w:numPr>
          <w:ilvl w:val="0"/>
          <w:numId w:val="50"/>
        </w:numPr>
        <w:spacing w:line="360" w:lineRule="auto"/>
        <w:jc w:val="both"/>
        <w:rPr>
          <w:rFonts w:ascii="Arial" w:hAnsi="Arial" w:cs="Arial"/>
          <w:lang w:val="en-US"/>
        </w:rPr>
      </w:pPr>
      <w:r w:rsidRPr="00982F6A">
        <w:rPr>
          <w:rFonts w:ascii="Arial" w:hAnsi="Arial" w:cs="Arial"/>
          <w:b/>
          <w:bCs/>
          <w:lang w:val="en-US"/>
        </w:rPr>
        <w:t>Subjectivity in Interpretation:</w:t>
      </w:r>
      <w:r w:rsidRPr="00982F6A">
        <w:rPr>
          <w:rFonts w:ascii="Arial" w:hAnsi="Arial" w:cs="Arial"/>
          <w:lang w:val="en-US"/>
        </w:rPr>
        <w:t xml:space="preserve"> The subjectivity of adopting an interpretivist approach to the study implies that the thematic analysis will inherently be influenced by the subjectivity of the researcher in interpreting the text. Even though attempts were made to guarantee the so-called "data transparency" (Section 3.6), it may happen that another researcher could derive a different set of so-called latent themes, based on the same body of evidence (Braun and Clarke, 2006).</w:t>
      </w:r>
    </w:p>
    <w:p w14:paraId="11B4B8CC" w14:textId="12580FF1" w:rsidR="00280696" w:rsidRPr="00982F6A" w:rsidRDefault="00280696" w:rsidP="00280696">
      <w:pPr>
        <w:pStyle w:val="Heading3"/>
        <w:rPr>
          <w:rFonts w:cs="Arial"/>
        </w:rPr>
      </w:pPr>
      <w:bookmarkStart w:id="144" w:name="_Toc228704086"/>
      <w:r w:rsidRPr="00982F6A">
        <w:rPr>
          <w:rFonts w:cs="Arial"/>
        </w:rPr>
        <w:lastRenderedPageBreak/>
        <w:t>5.7.2 Data Limitations: Secondary Data and Publication Bias</w:t>
      </w:r>
      <w:bookmarkEnd w:id="144"/>
    </w:p>
    <w:p w14:paraId="5D221C89" w14:textId="77777777" w:rsidR="00280696" w:rsidRPr="00280696" w:rsidRDefault="00280696" w:rsidP="00280696">
      <w:pPr>
        <w:spacing w:line="360" w:lineRule="auto"/>
        <w:jc w:val="both"/>
        <w:rPr>
          <w:rFonts w:ascii="Arial" w:hAnsi="Arial" w:cs="Arial"/>
          <w:lang w:val="en-US"/>
        </w:rPr>
      </w:pPr>
      <w:r w:rsidRPr="00280696">
        <w:rPr>
          <w:rFonts w:ascii="Arial" w:hAnsi="Arial" w:cs="Arial"/>
          <w:lang w:val="en-US"/>
        </w:rPr>
        <w:t>The study was solely based on the secondary data; thus, there were certain issues that were connected with the information's freshness and balance:</w:t>
      </w:r>
    </w:p>
    <w:p w14:paraId="00AD96FB" w14:textId="77777777" w:rsidR="00280696" w:rsidRPr="00982F6A" w:rsidRDefault="00280696" w:rsidP="00280696">
      <w:pPr>
        <w:pStyle w:val="ListParagraph"/>
        <w:numPr>
          <w:ilvl w:val="0"/>
          <w:numId w:val="49"/>
        </w:numPr>
        <w:spacing w:line="360" w:lineRule="auto"/>
        <w:jc w:val="both"/>
        <w:rPr>
          <w:rFonts w:ascii="Arial" w:hAnsi="Arial" w:cs="Arial"/>
          <w:lang w:val="en-US"/>
        </w:rPr>
      </w:pPr>
      <w:r w:rsidRPr="00982F6A">
        <w:rPr>
          <w:rFonts w:ascii="Arial" w:hAnsi="Arial" w:cs="Arial"/>
          <w:b/>
          <w:bCs/>
          <w:lang w:val="en-US"/>
        </w:rPr>
        <w:t>Publication Bias:</w:t>
      </w:r>
      <w:r w:rsidRPr="00982F6A">
        <w:rPr>
          <w:rFonts w:ascii="Arial" w:hAnsi="Arial" w:cs="Arial"/>
          <w:lang w:val="en-US"/>
        </w:rPr>
        <w:t xml:space="preserve"> According to ResearchGate (2026), the literature of academia and industry is usually affected by a bias where the success of case studies (positive results) is more likely to be published than </w:t>
      </w:r>
      <w:proofErr w:type="spellStart"/>
      <w:r w:rsidRPr="00982F6A">
        <w:rPr>
          <w:rFonts w:ascii="Arial" w:hAnsi="Arial" w:cs="Arial"/>
          <w:lang w:val="en-US"/>
        </w:rPr>
        <w:t>organisational</w:t>
      </w:r>
      <w:proofErr w:type="spellEnd"/>
      <w:r w:rsidRPr="00982F6A">
        <w:rPr>
          <w:rFonts w:ascii="Arial" w:hAnsi="Arial" w:cs="Arial"/>
          <w:lang w:val="en-US"/>
        </w:rPr>
        <w:t xml:space="preserve"> failures. This could result in an over-optimistic perspective of SHCM efficacy.</w:t>
      </w:r>
    </w:p>
    <w:p w14:paraId="1E85BB2E" w14:textId="77777777" w:rsidR="00280696" w:rsidRPr="00982F6A" w:rsidRDefault="00280696" w:rsidP="00280696">
      <w:pPr>
        <w:pStyle w:val="ListParagraph"/>
        <w:numPr>
          <w:ilvl w:val="0"/>
          <w:numId w:val="49"/>
        </w:numPr>
        <w:spacing w:line="360" w:lineRule="auto"/>
        <w:jc w:val="both"/>
        <w:rPr>
          <w:rFonts w:ascii="Arial" w:hAnsi="Arial" w:cs="Arial"/>
          <w:lang w:val="en-US"/>
        </w:rPr>
      </w:pPr>
      <w:r w:rsidRPr="00982F6A">
        <w:rPr>
          <w:rFonts w:ascii="Arial" w:hAnsi="Arial" w:cs="Arial"/>
          <w:b/>
          <w:bCs/>
          <w:lang w:val="en-US"/>
        </w:rPr>
        <w:t>Secondary Nature:</w:t>
      </w:r>
      <w:r w:rsidRPr="00982F6A">
        <w:rPr>
          <w:rFonts w:ascii="Arial" w:hAnsi="Arial" w:cs="Arial"/>
          <w:lang w:val="en-US"/>
        </w:rPr>
        <w:t xml:space="preserve"> Since the data was first gathered to serve other purposes (e.g., Annual Report of Bunzl PLC or market analysis of Bloomberg), the researcher was not able to control certain variables or ask follow-up questions to understand who was behind the figures with which the researcher worked.</w:t>
      </w:r>
    </w:p>
    <w:p w14:paraId="0B6A9CB2" w14:textId="18142ECB" w:rsidR="00280696" w:rsidRPr="00982F6A" w:rsidRDefault="00280696" w:rsidP="00280696">
      <w:pPr>
        <w:pStyle w:val="Heading3"/>
        <w:rPr>
          <w:rFonts w:cs="Arial"/>
        </w:rPr>
      </w:pPr>
      <w:bookmarkStart w:id="145" w:name="_Toc228704087"/>
      <w:r w:rsidRPr="00982F6A">
        <w:rPr>
          <w:rFonts w:cs="Arial"/>
        </w:rPr>
        <w:t>5.7.3 Contextual and Temporal Constraints</w:t>
      </w:r>
      <w:bookmarkEnd w:id="145"/>
    </w:p>
    <w:p w14:paraId="140A147F" w14:textId="77777777" w:rsidR="00280696" w:rsidRPr="00982F6A" w:rsidRDefault="00280696" w:rsidP="00280696">
      <w:pPr>
        <w:pStyle w:val="ListParagraph"/>
        <w:numPr>
          <w:ilvl w:val="0"/>
          <w:numId w:val="48"/>
        </w:numPr>
        <w:spacing w:line="360" w:lineRule="auto"/>
        <w:jc w:val="both"/>
        <w:rPr>
          <w:rFonts w:ascii="Arial" w:hAnsi="Arial" w:cs="Arial"/>
          <w:lang w:val="en-US"/>
        </w:rPr>
      </w:pPr>
      <w:r w:rsidRPr="00982F6A">
        <w:rPr>
          <w:rFonts w:ascii="Arial" w:hAnsi="Arial" w:cs="Arial"/>
          <w:b/>
          <w:bCs/>
          <w:lang w:val="en-US"/>
        </w:rPr>
        <w:t>Cross-Sectional Snapshot:</w:t>
      </w:r>
      <w:r w:rsidRPr="00982F6A">
        <w:rPr>
          <w:rFonts w:ascii="Arial" w:hAnsi="Arial" w:cs="Arial"/>
          <w:lang w:val="en-US"/>
        </w:rPr>
        <w:t xml:space="preserve"> The study employed a cross-sectional time frame, and it included the state of the UK hospitality and human capital sectors in particular between 2024 and early 2026. This timeframe constrains the research in that it may not be able to capture long-term lagged effects in which an HR investment today may not yield performance returns in several years.</w:t>
      </w:r>
    </w:p>
    <w:p w14:paraId="61C11454" w14:textId="2B5F378F" w:rsidR="00280696" w:rsidRPr="00982F6A" w:rsidRDefault="00280696" w:rsidP="00280696">
      <w:pPr>
        <w:pStyle w:val="ListParagraph"/>
        <w:numPr>
          <w:ilvl w:val="0"/>
          <w:numId w:val="37"/>
        </w:numPr>
        <w:spacing w:line="360" w:lineRule="auto"/>
        <w:jc w:val="both"/>
        <w:rPr>
          <w:rFonts w:ascii="Arial" w:hAnsi="Arial" w:cs="Arial"/>
          <w:lang w:val="en-US"/>
        </w:rPr>
      </w:pPr>
      <w:r w:rsidRPr="00982F6A">
        <w:rPr>
          <w:rFonts w:ascii="Arial" w:hAnsi="Arial" w:cs="Arial"/>
          <w:b/>
          <w:bCs/>
          <w:lang w:val="en-US"/>
        </w:rPr>
        <w:t>Geographical Scope:</w:t>
      </w:r>
      <w:r w:rsidRPr="00982F6A">
        <w:rPr>
          <w:rFonts w:ascii="Arial" w:hAnsi="Arial" w:cs="Arial"/>
          <w:lang w:val="en-US"/>
        </w:rPr>
        <w:t xml:space="preserve"> As much as it was possible to study the UK in depth, in terms of the research findings, it might not be directly applicable to the developing economies or different regulatory frameworks where </w:t>
      </w:r>
      <w:proofErr w:type="spellStart"/>
      <w:r w:rsidRPr="00982F6A">
        <w:rPr>
          <w:rFonts w:ascii="Arial" w:hAnsi="Arial" w:cs="Arial"/>
          <w:lang w:val="en-US"/>
        </w:rPr>
        <w:t>labour</w:t>
      </w:r>
      <w:proofErr w:type="spellEnd"/>
      <w:r w:rsidRPr="00982F6A">
        <w:rPr>
          <w:rFonts w:ascii="Arial" w:hAnsi="Arial" w:cs="Arial"/>
          <w:lang w:val="en-US"/>
        </w:rPr>
        <w:t xml:space="preserve"> laws and cultural attitudes towards wellbeing are different.</w:t>
      </w:r>
    </w:p>
    <w:p w14:paraId="4735C7F3" w14:textId="3D6E2936" w:rsidR="00280696" w:rsidRPr="00982F6A" w:rsidRDefault="00280696" w:rsidP="00280696">
      <w:pPr>
        <w:pStyle w:val="ListParagraph"/>
        <w:numPr>
          <w:ilvl w:val="0"/>
          <w:numId w:val="37"/>
        </w:numPr>
        <w:spacing w:line="360" w:lineRule="auto"/>
        <w:jc w:val="both"/>
        <w:rPr>
          <w:rFonts w:ascii="Arial" w:hAnsi="Arial" w:cs="Arial"/>
          <w:lang w:val="en-US"/>
        </w:rPr>
      </w:pPr>
      <w:r w:rsidRPr="00982F6A">
        <w:rPr>
          <w:rFonts w:ascii="Arial" w:hAnsi="Arial" w:cs="Arial"/>
          <w:b/>
          <w:bCs/>
          <w:lang w:val="en-US"/>
        </w:rPr>
        <w:t>Speed of Technological Change:</w:t>
      </w:r>
      <w:r w:rsidRPr="00982F6A">
        <w:rPr>
          <w:rFonts w:ascii="Arial" w:hAnsi="Arial" w:cs="Arial"/>
          <w:lang w:val="en-US"/>
        </w:rPr>
        <w:t xml:space="preserve"> Since the study is about AI and Big Data, technologies which change every month, some specific technical knowledge might become outdated as newer AI Risk Management Frameworks (such as the NIST 2026 profiles) become available (NIST, 2026).</w:t>
      </w:r>
    </w:p>
    <w:p w14:paraId="754486F2" w14:textId="5A36E52C" w:rsidR="00280696" w:rsidRPr="00982F6A" w:rsidRDefault="00280696" w:rsidP="00280696">
      <w:pPr>
        <w:pStyle w:val="Heading2"/>
        <w:rPr>
          <w:rFonts w:cs="Arial"/>
        </w:rPr>
      </w:pPr>
      <w:bookmarkStart w:id="146" w:name="_Toc228704088"/>
      <w:r w:rsidRPr="00982F6A">
        <w:rPr>
          <w:rFonts w:cs="Arial"/>
        </w:rPr>
        <w:t>5.8 Recommendations about Future Work</w:t>
      </w:r>
      <w:bookmarkEnd w:id="146"/>
    </w:p>
    <w:p w14:paraId="60F9F1AA" w14:textId="77777777" w:rsidR="00280696" w:rsidRPr="00280696" w:rsidRDefault="00280696" w:rsidP="00280696">
      <w:pPr>
        <w:spacing w:line="360" w:lineRule="auto"/>
        <w:jc w:val="both"/>
        <w:rPr>
          <w:rFonts w:ascii="Arial" w:hAnsi="Arial" w:cs="Arial"/>
          <w:lang w:val="en-US"/>
        </w:rPr>
      </w:pPr>
      <w:r w:rsidRPr="00280696">
        <w:rPr>
          <w:rFonts w:ascii="Arial" w:hAnsi="Arial" w:cs="Arial"/>
          <w:lang w:val="en-US"/>
        </w:rPr>
        <w:t xml:space="preserve">The results and shortcomings of this study indicate that there are a number of promising research and practice questions that can be explored in the future. The following areas are suggested as future work in order to enhance our knowledge in strategic human capital management (SHCM) and how it helps </w:t>
      </w:r>
      <w:proofErr w:type="spellStart"/>
      <w:r w:rsidRPr="00280696">
        <w:rPr>
          <w:rFonts w:ascii="Arial" w:hAnsi="Arial" w:cs="Arial"/>
          <w:lang w:val="en-US"/>
        </w:rPr>
        <w:t>organisations</w:t>
      </w:r>
      <w:proofErr w:type="spellEnd"/>
      <w:r w:rsidRPr="00280696">
        <w:rPr>
          <w:rFonts w:ascii="Arial" w:hAnsi="Arial" w:cs="Arial"/>
          <w:lang w:val="en-US"/>
        </w:rPr>
        <w:t xml:space="preserve"> remain resilient.</w:t>
      </w:r>
    </w:p>
    <w:p w14:paraId="6FB8FB6B" w14:textId="621031B4" w:rsidR="00280696" w:rsidRPr="00982F6A" w:rsidRDefault="00280696" w:rsidP="00280696">
      <w:pPr>
        <w:pStyle w:val="Heading3"/>
        <w:rPr>
          <w:rFonts w:cs="Arial"/>
        </w:rPr>
      </w:pPr>
      <w:bookmarkStart w:id="147" w:name="_Toc228704089"/>
      <w:r w:rsidRPr="00982F6A">
        <w:rPr>
          <w:rFonts w:cs="Arial"/>
        </w:rPr>
        <w:lastRenderedPageBreak/>
        <w:t>5.8.1 Long-Term Effects of AI Integration on Psychological Contracts of the Workforce</w:t>
      </w:r>
      <w:bookmarkEnd w:id="147"/>
    </w:p>
    <w:p w14:paraId="269230F5" w14:textId="302803E4" w:rsidR="00280696" w:rsidRPr="00280696" w:rsidRDefault="00280696" w:rsidP="00280696">
      <w:pPr>
        <w:spacing w:line="360" w:lineRule="auto"/>
        <w:jc w:val="both"/>
        <w:rPr>
          <w:rFonts w:ascii="Arial" w:hAnsi="Arial" w:cs="Arial"/>
          <w:lang w:val="en-US"/>
        </w:rPr>
      </w:pPr>
      <w:r w:rsidRPr="00280696">
        <w:rPr>
          <w:rFonts w:ascii="Arial" w:hAnsi="Arial" w:cs="Arial"/>
          <w:lang w:val="en-US"/>
        </w:rPr>
        <w:t>Among the most urgent aspects to be examined in the future is the long-term effect of artificial intelligence and big data on the so-called psychological contract between the employee and employers. Although this research found AI displacement to be a current threat, future research should shift to the use of longitudinal tracking to determine the extent to which continuous AI integration has caused displacement among employees, their sense of purpose, and future career trajectory.</w:t>
      </w:r>
    </w:p>
    <w:p w14:paraId="516CEEDC" w14:textId="1CD51DF0" w:rsidR="00280696" w:rsidRPr="00280696" w:rsidRDefault="00280696" w:rsidP="00280696">
      <w:pPr>
        <w:spacing w:line="360" w:lineRule="auto"/>
        <w:jc w:val="both"/>
        <w:rPr>
          <w:rFonts w:ascii="Arial" w:hAnsi="Arial" w:cs="Arial"/>
          <w:lang w:val="en-US"/>
        </w:rPr>
      </w:pPr>
      <w:r w:rsidRPr="00280696">
        <w:rPr>
          <w:rFonts w:ascii="Arial" w:hAnsi="Arial" w:cs="Arial"/>
          <w:lang w:val="en-US"/>
        </w:rPr>
        <w:t xml:space="preserve">Researchers in the future may explore the possibility of whether the promise of reskilling is a reality in </w:t>
      </w:r>
      <w:r w:rsidR="00E07E76">
        <w:rPr>
          <w:rFonts w:ascii="Arial" w:hAnsi="Arial" w:cs="Arial"/>
          <w:lang w:val="en-US"/>
        </w:rPr>
        <w:t xml:space="preserve">the next </w:t>
      </w:r>
      <w:r w:rsidRPr="00280696">
        <w:rPr>
          <w:rFonts w:ascii="Arial" w:hAnsi="Arial" w:cs="Arial"/>
          <w:lang w:val="en-US"/>
        </w:rPr>
        <w:t xml:space="preserve">five to ten years. Will a worker who has been reskilled by the </w:t>
      </w:r>
      <w:proofErr w:type="spellStart"/>
      <w:r w:rsidRPr="00280696">
        <w:rPr>
          <w:rFonts w:ascii="Arial" w:hAnsi="Arial" w:cs="Arial"/>
          <w:lang w:val="en-US"/>
        </w:rPr>
        <w:t>organisation</w:t>
      </w:r>
      <w:proofErr w:type="spellEnd"/>
      <w:r w:rsidRPr="00280696">
        <w:rPr>
          <w:rFonts w:ascii="Arial" w:hAnsi="Arial" w:cs="Arial"/>
          <w:lang w:val="en-US"/>
        </w:rPr>
        <w:t xml:space="preserve"> to become a data-monitoring position continue to have the same level of commitment to the </w:t>
      </w:r>
      <w:proofErr w:type="spellStart"/>
      <w:r w:rsidRPr="00280696">
        <w:rPr>
          <w:rFonts w:ascii="Arial" w:hAnsi="Arial" w:cs="Arial"/>
          <w:lang w:val="en-US"/>
        </w:rPr>
        <w:t>organisation</w:t>
      </w:r>
      <w:proofErr w:type="spellEnd"/>
      <w:r w:rsidRPr="00280696">
        <w:rPr>
          <w:rFonts w:ascii="Arial" w:hAnsi="Arial" w:cs="Arial"/>
          <w:lang w:val="en-US"/>
        </w:rPr>
        <w:t xml:space="preserve">? Does the so-called menace of the so-called algorithmic management undermine the moral grounds of the hospitality and service sectors? By going beyond a cross-sectional snapshot, one will be able to gain a more subtle insight into whether AI can be thought of as a permanent increment to the human capital or a catalyst towards its ultimate </w:t>
      </w:r>
      <w:proofErr w:type="spellStart"/>
      <w:r w:rsidRPr="00280696">
        <w:rPr>
          <w:rFonts w:ascii="Arial" w:hAnsi="Arial" w:cs="Arial"/>
          <w:lang w:val="en-US"/>
        </w:rPr>
        <w:t>commoditisation</w:t>
      </w:r>
      <w:proofErr w:type="spellEnd"/>
      <w:r w:rsidRPr="00280696">
        <w:rPr>
          <w:rFonts w:ascii="Arial" w:hAnsi="Arial" w:cs="Arial"/>
          <w:lang w:val="en-US"/>
        </w:rPr>
        <w:t>.</w:t>
      </w:r>
    </w:p>
    <w:p w14:paraId="5B144F2D" w14:textId="6F6BF12B" w:rsidR="00280696" w:rsidRPr="00982F6A" w:rsidRDefault="00280696" w:rsidP="00280696">
      <w:pPr>
        <w:pStyle w:val="Heading3"/>
        <w:rPr>
          <w:rFonts w:cs="Arial"/>
        </w:rPr>
      </w:pPr>
      <w:bookmarkStart w:id="148" w:name="_Toc228704090"/>
      <w:r w:rsidRPr="00982F6A">
        <w:rPr>
          <w:rFonts w:cs="Arial"/>
        </w:rPr>
        <w:t>5.8.2 The creation of a human capital resilience index</w:t>
      </w:r>
      <w:bookmarkEnd w:id="148"/>
    </w:p>
    <w:p w14:paraId="352E68B6" w14:textId="77777777" w:rsidR="00280696" w:rsidRPr="00280696" w:rsidRDefault="00280696" w:rsidP="00280696">
      <w:pPr>
        <w:spacing w:line="360" w:lineRule="auto"/>
        <w:jc w:val="both"/>
        <w:rPr>
          <w:rFonts w:ascii="Arial" w:hAnsi="Arial" w:cs="Arial"/>
          <w:lang w:val="en-US"/>
        </w:rPr>
      </w:pPr>
      <w:r w:rsidRPr="00280696">
        <w:rPr>
          <w:rFonts w:ascii="Arial" w:hAnsi="Arial" w:cs="Arial"/>
          <w:lang w:val="en-US"/>
        </w:rPr>
        <w:t xml:space="preserve">Though this study suggests that SHCM needs to be incorporated in risk governance, there is a definite need for a </w:t>
      </w:r>
      <w:proofErr w:type="spellStart"/>
      <w:r w:rsidRPr="00280696">
        <w:rPr>
          <w:rFonts w:ascii="Arial" w:hAnsi="Arial" w:cs="Arial"/>
          <w:lang w:val="en-US"/>
        </w:rPr>
        <w:t>standardised</w:t>
      </w:r>
      <w:proofErr w:type="spellEnd"/>
      <w:r w:rsidRPr="00280696">
        <w:rPr>
          <w:rFonts w:ascii="Arial" w:hAnsi="Arial" w:cs="Arial"/>
          <w:lang w:val="en-US"/>
        </w:rPr>
        <w:t xml:space="preserve">, industry-wide Human Capital Resilience Index. The way forward should be on how to create a quantitative and qualitative composite measure that can enable </w:t>
      </w:r>
      <w:proofErr w:type="spellStart"/>
      <w:r w:rsidRPr="00280696">
        <w:rPr>
          <w:rFonts w:ascii="Arial" w:hAnsi="Arial" w:cs="Arial"/>
          <w:lang w:val="en-US"/>
        </w:rPr>
        <w:t>organisations</w:t>
      </w:r>
      <w:proofErr w:type="spellEnd"/>
      <w:r w:rsidRPr="00280696">
        <w:rPr>
          <w:rFonts w:ascii="Arial" w:hAnsi="Arial" w:cs="Arial"/>
          <w:lang w:val="en-US"/>
        </w:rPr>
        <w:t xml:space="preserve"> to compare their people's resilience with the global standards.</w:t>
      </w:r>
    </w:p>
    <w:p w14:paraId="5073CF27" w14:textId="49212A94" w:rsidR="00280696" w:rsidRPr="00280696" w:rsidRDefault="00280696" w:rsidP="00280696">
      <w:pPr>
        <w:spacing w:line="360" w:lineRule="auto"/>
        <w:jc w:val="both"/>
        <w:rPr>
          <w:rFonts w:ascii="Arial" w:hAnsi="Arial" w:cs="Arial"/>
          <w:lang w:val="en-US"/>
        </w:rPr>
      </w:pPr>
      <w:r w:rsidRPr="00280696">
        <w:rPr>
          <w:rFonts w:ascii="Arial" w:hAnsi="Arial" w:cs="Arial"/>
          <w:lang w:val="en-US"/>
        </w:rPr>
        <w:t xml:space="preserve">Research would involve the identification of the particular biomarkers of an </w:t>
      </w:r>
      <w:proofErr w:type="spellStart"/>
      <w:r w:rsidRPr="00280696">
        <w:rPr>
          <w:rFonts w:ascii="Arial" w:hAnsi="Arial" w:cs="Arial"/>
          <w:lang w:val="en-US"/>
        </w:rPr>
        <w:t>organisation</w:t>
      </w:r>
      <w:proofErr w:type="spellEnd"/>
      <w:r w:rsidRPr="00280696">
        <w:rPr>
          <w:rFonts w:ascii="Arial" w:hAnsi="Arial" w:cs="Arial"/>
          <w:lang w:val="en-US"/>
        </w:rPr>
        <w:t xml:space="preserve">, such as the speed of acquisition of skills within an </w:t>
      </w:r>
      <w:proofErr w:type="spellStart"/>
      <w:r w:rsidRPr="00280696">
        <w:rPr>
          <w:rFonts w:ascii="Arial" w:hAnsi="Arial" w:cs="Arial"/>
          <w:lang w:val="en-US"/>
        </w:rPr>
        <w:t>organisation</w:t>
      </w:r>
      <w:proofErr w:type="spellEnd"/>
      <w:r w:rsidRPr="00280696">
        <w:rPr>
          <w:rFonts w:ascii="Arial" w:hAnsi="Arial" w:cs="Arial"/>
          <w:lang w:val="en-US"/>
        </w:rPr>
        <w:t xml:space="preserve">, the spacing of leadership succession pipelines and the psychological well-being of the collective workforce. With the development of a single taxonomy of human capital risk, it will become possible in the future to give Chief Risk Officers a tool that will translate soft HR measures into hard actuarial data. An index such as this would be invaluable to institutional investors who are now more and more seeking ESG (Environmental, Social, and Governance) data that </w:t>
      </w:r>
      <w:r w:rsidRPr="00280696">
        <w:rPr>
          <w:rFonts w:ascii="Arial" w:hAnsi="Arial" w:cs="Arial"/>
          <w:lang w:val="en-US"/>
        </w:rPr>
        <w:lastRenderedPageBreak/>
        <w:t>does not focus on carbon footprints but looks at the sustainability of the human resource base.</w:t>
      </w:r>
    </w:p>
    <w:p w14:paraId="05DEFE7D" w14:textId="77777777" w:rsidR="00280696" w:rsidRPr="00982F6A" w:rsidRDefault="00280696" w:rsidP="00280696">
      <w:pPr>
        <w:pStyle w:val="Heading3"/>
        <w:rPr>
          <w:rFonts w:cs="Arial"/>
        </w:rPr>
      </w:pPr>
      <w:bookmarkStart w:id="149" w:name="_Toc228704091"/>
      <w:r w:rsidRPr="00982F6A">
        <w:rPr>
          <w:rFonts w:cs="Arial"/>
        </w:rPr>
        <w:t>5.8.3 Ethical Aspects of Predictive People Analytics</w:t>
      </w:r>
      <w:bookmarkEnd w:id="149"/>
    </w:p>
    <w:p w14:paraId="56D5A36D" w14:textId="77777777" w:rsidR="00280696" w:rsidRPr="00280696" w:rsidRDefault="00280696" w:rsidP="00280696">
      <w:pPr>
        <w:spacing w:line="360" w:lineRule="auto"/>
        <w:jc w:val="both"/>
        <w:rPr>
          <w:rFonts w:ascii="Arial" w:hAnsi="Arial" w:cs="Arial"/>
          <w:lang w:val="en-US"/>
        </w:rPr>
      </w:pPr>
      <w:r w:rsidRPr="00280696">
        <w:rPr>
          <w:rFonts w:ascii="Arial" w:hAnsi="Arial" w:cs="Arial"/>
          <w:lang w:val="en-US"/>
        </w:rPr>
        <w:t xml:space="preserve">As companies such as PwC and BT Group shift into what is labelled as 'predictive risk governance', both ethical dilemmas with regard to data privacy and predictive bias stand out as paramount. Further studies must be carried out in terms of the ethics of employing Big Data to forecast employee </w:t>
      </w:r>
      <w:proofErr w:type="spellStart"/>
      <w:r w:rsidRPr="00280696">
        <w:rPr>
          <w:rFonts w:ascii="Arial" w:hAnsi="Arial" w:cs="Arial"/>
          <w:lang w:val="en-US"/>
        </w:rPr>
        <w:t>behaviour</w:t>
      </w:r>
      <w:proofErr w:type="spellEnd"/>
      <w:r w:rsidRPr="00280696">
        <w:rPr>
          <w:rFonts w:ascii="Arial" w:hAnsi="Arial" w:cs="Arial"/>
          <w:lang w:val="en-US"/>
        </w:rPr>
        <w:t>.</w:t>
      </w:r>
    </w:p>
    <w:p w14:paraId="5CEB7845" w14:textId="186B58F8" w:rsidR="00280696" w:rsidRPr="00280696" w:rsidRDefault="00280696" w:rsidP="00280696">
      <w:pPr>
        <w:spacing w:line="360" w:lineRule="auto"/>
        <w:jc w:val="both"/>
        <w:rPr>
          <w:rFonts w:ascii="Arial" w:hAnsi="Arial" w:cs="Arial"/>
          <w:lang w:val="en-US"/>
        </w:rPr>
      </w:pPr>
      <w:r w:rsidRPr="00280696">
        <w:rPr>
          <w:rFonts w:ascii="Arial" w:hAnsi="Arial" w:cs="Arial"/>
          <w:lang w:val="en-US"/>
        </w:rPr>
        <w:t xml:space="preserve">An example is what ethical implication </w:t>
      </w:r>
      <w:r w:rsidRPr="00982F6A">
        <w:rPr>
          <w:rFonts w:ascii="Arial" w:hAnsi="Arial" w:cs="Arial"/>
          <w:lang w:val="en-US"/>
        </w:rPr>
        <w:t>does</w:t>
      </w:r>
      <w:r w:rsidRPr="00280696">
        <w:rPr>
          <w:rFonts w:ascii="Arial" w:hAnsi="Arial" w:cs="Arial"/>
          <w:lang w:val="en-US"/>
        </w:rPr>
        <w:t xml:space="preserve"> preemptive management interventions have? The example is that, </w:t>
      </w:r>
      <w:proofErr w:type="gramStart"/>
      <w:r w:rsidRPr="00280696">
        <w:rPr>
          <w:rFonts w:ascii="Arial" w:hAnsi="Arial" w:cs="Arial"/>
          <w:lang w:val="en-US"/>
        </w:rPr>
        <w:t>in the event that</w:t>
      </w:r>
      <w:proofErr w:type="gramEnd"/>
      <w:r w:rsidRPr="00280696">
        <w:rPr>
          <w:rFonts w:ascii="Arial" w:hAnsi="Arial" w:cs="Arial"/>
          <w:lang w:val="en-US"/>
        </w:rPr>
        <w:t xml:space="preserve"> an algorithm predicts that an employee is at high risk of burnout or turnover, what ethical implication</w:t>
      </w:r>
      <w:r w:rsidR="00E07E76">
        <w:rPr>
          <w:rFonts w:ascii="Arial" w:hAnsi="Arial" w:cs="Arial"/>
          <w:lang w:val="en-US"/>
        </w:rPr>
        <w:t>s</w:t>
      </w:r>
      <w:r w:rsidRPr="00280696">
        <w:rPr>
          <w:rFonts w:ascii="Arial" w:hAnsi="Arial" w:cs="Arial"/>
          <w:lang w:val="en-US"/>
        </w:rPr>
        <w:t xml:space="preserve"> would arise? Would such systems unintentionally result in either digital profiling or discrimination of people as a result of their data signatures? Future research should be done to come up with an ethical framework of predictive HR to determine the limits of proactive and intrusive monitoring. This is especially applicable in a post-2026 regulating landscape where digital rights and data sovereignty are top on the legislative agenda.</w:t>
      </w:r>
    </w:p>
    <w:p w14:paraId="5071C994" w14:textId="3CD33473" w:rsidR="00280696" w:rsidRPr="00982F6A" w:rsidRDefault="00280696" w:rsidP="00280696">
      <w:pPr>
        <w:pStyle w:val="Heading3"/>
        <w:rPr>
          <w:rFonts w:cs="Arial"/>
        </w:rPr>
      </w:pPr>
      <w:bookmarkStart w:id="150" w:name="_Toc228704092"/>
      <w:r w:rsidRPr="00982F6A">
        <w:rPr>
          <w:rFonts w:cs="Arial"/>
        </w:rPr>
        <w:t>5.8.4 Comparisons of SHCM across cultures in developed vs. emerging economies</w:t>
      </w:r>
      <w:bookmarkEnd w:id="150"/>
    </w:p>
    <w:p w14:paraId="384F1CCA" w14:textId="77777777" w:rsidR="00280696" w:rsidRPr="00280696" w:rsidRDefault="00280696" w:rsidP="00280696">
      <w:pPr>
        <w:spacing w:line="360" w:lineRule="auto"/>
        <w:jc w:val="both"/>
        <w:rPr>
          <w:rFonts w:ascii="Arial" w:hAnsi="Arial" w:cs="Arial"/>
          <w:lang w:val="en-US"/>
        </w:rPr>
      </w:pPr>
      <w:r w:rsidRPr="00280696">
        <w:rPr>
          <w:rFonts w:ascii="Arial" w:hAnsi="Arial" w:cs="Arial"/>
          <w:lang w:val="en-US"/>
        </w:rPr>
        <w:t>This paper was primarily concerned with a UK situation; however, given the global nature of some companies, such as Bunzl PLC and AstraZeneca, SHCM strategies should be able to adapt to cultural differences. Future research must consider comparative research on developed economies (such as the UK or the US) and the emerging economies (such as Nigeria, India or Brazil).</w:t>
      </w:r>
    </w:p>
    <w:p w14:paraId="4E104C0C" w14:textId="77777777" w:rsidR="00280696" w:rsidRPr="00280696" w:rsidRDefault="00280696" w:rsidP="00280696">
      <w:pPr>
        <w:spacing w:line="360" w:lineRule="auto"/>
        <w:jc w:val="both"/>
        <w:rPr>
          <w:rFonts w:ascii="Arial" w:hAnsi="Arial" w:cs="Arial"/>
          <w:lang w:val="en-US"/>
        </w:rPr>
      </w:pPr>
      <w:r w:rsidRPr="00280696">
        <w:rPr>
          <w:rFonts w:ascii="Arial" w:hAnsi="Arial" w:cs="Arial"/>
          <w:lang w:val="en-US"/>
        </w:rPr>
        <w:t xml:space="preserve">The researchers may seek to understand the differences in the implementation of the so-called 'strategic role of SHCM' in the conditions when </w:t>
      </w:r>
      <w:proofErr w:type="spellStart"/>
      <w:r w:rsidRPr="00280696">
        <w:rPr>
          <w:rFonts w:ascii="Arial" w:hAnsi="Arial" w:cs="Arial"/>
          <w:lang w:val="en-US"/>
        </w:rPr>
        <w:t>labour</w:t>
      </w:r>
      <w:proofErr w:type="spellEnd"/>
      <w:r w:rsidRPr="00280696">
        <w:rPr>
          <w:rFonts w:ascii="Arial" w:hAnsi="Arial" w:cs="Arial"/>
          <w:lang w:val="en-US"/>
        </w:rPr>
        <w:t xml:space="preserve"> laws are not as strict as they are in the USA or when the so-called 'digital divide' is even greater. Is the relationship between wellbeing and innovation as important in a collectivist culture as it is in an individualist culture? Knowledge of cultural limits of SHCM theory will prove to be important to multinational corporations that need to be able to cope with a diverse and global workforce and maintain a consistent ethical and strategic standard.</w:t>
      </w:r>
    </w:p>
    <w:p w14:paraId="624239F4" w14:textId="77777777" w:rsidR="00280696" w:rsidRPr="00982F6A" w:rsidRDefault="00280696" w:rsidP="00280696">
      <w:pPr>
        <w:pStyle w:val="Heading3"/>
        <w:rPr>
          <w:rFonts w:cs="Arial"/>
        </w:rPr>
      </w:pPr>
      <w:bookmarkStart w:id="151" w:name="_Toc228704093"/>
      <w:r w:rsidRPr="00982F6A">
        <w:rPr>
          <w:rFonts w:cs="Arial"/>
        </w:rPr>
        <w:lastRenderedPageBreak/>
        <w:t>5.8.5 Regenerative Capability Theory: Going Beyond Resilience</w:t>
      </w:r>
      <w:bookmarkEnd w:id="151"/>
    </w:p>
    <w:p w14:paraId="21B63E6D" w14:textId="77777777" w:rsidR="00280696" w:rsidRPr="00280696" w:rsidRDefault="00280696" w:rsidP="00280696">
      <w:pPr>
        <w:spacing w:line="360" w:lineRule="auto"/>
        <w:jc w:val="both"/>
        <w:rPr>
          <w:rFonts w:ascii="Arial" w:hAnsi="Arial" w:cs="Arial"/>
          <w:lang w:val="en-US"/>
        </w:rPr>
      </w:pPr>
      <w:r w:rsidRPr="00280696">
        <w:rPr>
          <w:rFonts w:ascii="Arial" w:hAnsi="Arial" w:cs="Arial"/>
          <w:lang w:val="en-US"/>
        </w:rPr>
        <w:t>Conclusively, the future work should aim at developing the "Dynamic Capabilities Theory" into what can be called the "Regenerative Capability Theory". Although both resilience and regeneration are about bouncing back or bouncing forward, respectively, after a shock, resilience is about bouncing back, whereas regeneration is about bouncing forward, respectively.</w:t>
      </w:r>
    </w:p>
    <w:p w14:paraId="3D9AC7EF" w14:textId="12986FA4" w:rsidR="00D02D4C" w:rsidRPr="00982F6A" w:rsidRDefault="00280696" w:rsidP="00F23F7A">
      <w:pPr>
        <w:spacing w:line="360" w:lineRule="auto"/>
        <w:jc w:val="both"/>
        <w:rPr>
          <w:rFonts w:ascii="Arial" w:hAnsi="Arial" w:cs="Arial"/>
          <w:lang w:val="en-US"/>
        </w:rPr>
      </w:pPr>
      <w:r w:rsidRPr="00280696">
        <w:rPr>
          <w:rFonts w:ascii="Arial" w:hAnsi="Arial" w:cs="Arial"/>
          <w:lang w:val="en-US"/>
        </w:rPr>
        <w:t xml:space="preserve">A future study may focus on how </w:t>
      </w:r>
      <w:proofErr w:type="spellStart"/>
      <w:r w:rsidRPr="00280696">
        <w:rPr>
          <w:rFonts w:ascii="Arial" w:hAnsi="Arial" w:cs="Arial"/>
          <w:lang w:val="en-US"/>
        </w:rPr>
        <w:t>organisations</w:t>
      </w:r>
      <w:proofErr w:type="spellEnd"/>
      <w:r w:rsidRPr="00280696">
        <w:rPr>
          <w:rFonts w:ascii="Arial" w:hAnsi="Arial" w:cs="Arial"/>
          <w:lang w:val="en-US"/>
        </w:rPr>
        <w:t xml:space="preserve"> may develop anti-fragile human capital systems that love volatility. It would entail research on the processes of collective learning and the </w:t>
      </w:r>
      <w:proofErr w:type="spellStart"/>
      <w:r w:rsidRPr="00280696">
        <w:rPr>
          <w:rFonts w:ascii="Arial" w:hAnsi="Arial" w:cs="Arial"/>
          <w:lang w:val="en-US"/>
        </w:rPr>
        <w:t>institutionalisation</w:t>
      </w:r>
      <w:proofErr w:type="spellEnd"/>
      <w:r w:rsidRPr="00280696">
        <w:rPr>
          <w:rFonts w:ascii="Arial" w:hAnsi="Arial" w:cs="Arial"/>
          <w:lang w:val="en-US"/>
        </w:rPr>
        <w:t xml:space="preserve"> of learning about systemic shocks (such as the pandemic or the rapid shift to AI in the mid-2020s). By changing the theoretical approach to the future of work, as scholars shift the theoretical emphasis and focus to a more regenerative rather than preservative approach, they can present a more optimistic and proactive roadmap in the future of work</w:t>
      </w:r>
      <w:r w:rsidR="00D85BAA" w:rsidRPr="00982F6A">
        <w:rPr>
          <w:rFonts w:ascii="Arial" w:hAnsi="Arial" w:cs="Arial"/>
          <w:lang w:val="en-US"/>
        </w:rPr>
        <w:t>.</w:t>
      </w:r>
    </w:p>
    <w:p w14:paraId="62E6C59A" w14:textId="77777777" w:rsidR="00F23F7A" w:rsidRPr="00982F6A" w:rsidRDefault="00F23F7A">
      <w:pPr>
        <w:rPr>
          <w:rFonts w:ascii="Arial" w:eastAsia="Play" w:hAnsi="Arial" w:cs="Arial"/>
          <w:b/>
          <w:color w:val="000000" w:themeColor="text1"/>
          <w:sz w:val="32"/>
          <w:szCs w:val="40"/>
          <w:lang w:val="en-US"/>
        </w:rPr>
      </w:pPr>
      <w:bookmarkStart w:id="152" w:name="_Toc227156014"/>
      <w:r w:rsidRPr="00982F6A">
        <w:rPr>
          <w:rFonts w:ascii="Arial" w:hAnsi="Arial" w:cs="Arial"/>
          <w:lang w:val="en-US"/>
        </w:rPr>
        <w:br w:type="page"/>
      </w:r>
    </w:p>
    <w:p w14:paraId="55628EA2" w14:textId="3A705E51" w:rsidR="002A36DB" w:rsidRPr="00982F6A" w:rsidRDefault="00D02D4C" w:rsidP="001777EB">
      <w:pPr>
        <w:pStyle w:val="Heading1"/>
        <w:rPr>
          <w:lang w:val="en-US"/>
        </w:rPr>
      </w:pPr>
      <w:bookmarkStart w:id="153" w:name="_Toc228704094"/>
      <w:r w:rsidRPr="00982F6A">
        <w:rPr>
          <w:lang w:val="en-US"/>
        </w:rPr>
        <w:lastRenderedPageBreak/>
        <w:t>Reference</w:t>
      </w:r>
      <w:bookmarkEnd w:id="152"/>
      <w:bookmarkEnd w:id="153"/>
    </w:p>
    <w:p w14:paraId="3B647043" w14:textId="77777777" w:rsidR="00670748" w:rsidRPr="00670748" w:rsidRDefault="00670748" w:rsidP="00670748">
      <w:pPr>
        <w:spacing w:line="360" w:lineRule="auto"/>
        <w:jc w:val="both"/>
        <w:rPr>
          <w:rFonts w:ascii="Arial" w:eastAsia="Arial" w:hAnsi="Arial" w:cs="Arial"/>
          <w:b/>
          <w:bCs/>
          <w:lang w:val="en-US"/>
        </w:rPr>
      </w:pPr>
      <w:r w:rsidRPr="00670748">
        <w:rPr>
          <w:rFonts w:ascii="Arial" w:eastAsia="Arial" w:hAnsi="Arial" w:cs="Arial"/>
          <w:b/>
          <w:bCs/>
          <w:lang w:val="en-US"/>
        </w:rPr>
        <w:t>Reference List</w:t>
      </w:r>
    </w:p>
    <w:p w14:paraId="17339B99"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Ahmad, M., Allen, M.M., Casulli, L. and Meyer, M. (2020) Strategic human resource management and innovation performance in small and medium-sized enterprises. </w:t>
      </w:r>
      <w:r w:rsidRPr="00670748">
        <w:rPr>
          <w:rFonts w:ascii="Arial" w:eastAsia="Arial" w:hAnsi="Arial" w:cs="Arial"/>
          <w:i/>
          <w:iCs/>
          <w:lang w:val="en-US"/>
        </w:rPr>
        <w:t>International Journal of Human Resource Management</w:t>
      </w:r>
      <w:r w:rsidRPr="00670748">
        <w:rPr>
          <w:rFonts w:ascii="Arial" w:eastAsia="Arial" w:hAnsi="Arial" w:cs="Arial"/>
          <w:lang w:val="en-US"/>
        </w:rPr>
        <w:t xml:space="preserve">, 31(1), pp. 1–25. Available at: </w:t>
      </w:r>
      <w:hyperlink w:tgtFrame="_blank" w:history="1">
        <w:r w:rsidRPr="00670748">
          <w:rPr>
            <w:rStyle w:val="Hyperlink"/>
            <w:rFonts w:ascii="Arial" w:eastAsia="Arial" w:hAnsi="Arial" w:cs="Arial"/>
            <w:lang w:val="en-US"/>
          </w:rPr>
          <w:t>https://www.tandfonline.com/doi/full/10.1080/09585192.2020.1803948</w:t>
        </w:r>
      </w:hyperlink>
      <w:r w:rsidRPr="00670748">
        <w:rPr>
          <w:rFonts w:ascii="Arial" w:eastAsia="Arial" w:hAnsi="Arial" w:cs="Arial"/>
          <w:lang w:val="en-US"/>
        </w:rPr>
        <w:t xml:space="preserve"> (Accessed: 21 April 2026).</w:t>
      </w:r>
    </w:p>
    <w:p w14:paraId="31E50D95" w14:textId="0E82B09F"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Ahmad, N., Imm, N.S. and Aziz, Y.A. (2020) Why not knowledge-based HRM? Its direct and indirect effect on innovative service offerings. </w:t>
      </w:r>
      <w:r w:rsidRPr="00670748">
        <w:rPr>
          <w:rFonts w:ascii="Arial" w:eastAsia="Arial" w:hAnsi="Arial" w:cs="Arial"/>
          <w:i/>
          <w:iCs/>
          <w:lang w:val="en-US"/>
        </w:rPr>
        <w:t xml:space="preserve">Journal of Management &amp; </w:t>
      </w:r>
      <w:proofErr w:type="spellStart"/>
      <w:r w:rsidRPr="00670748">
        <w:rPr>
          <w:rFonts w:ascii="Arial" w:eastAsia="Arial" w:hAnsi="Arial" w:cs="Arial"/>
          <w:i/>
          <w:iCs/>
          <w:lang w:val="en-US"/>
        </w:rPr>
        <w:t>Organi</w:t>
      </w:r>
      <w:r w:rsidR="002A33D4">
        <w:rPr>
          <w:rFonts w:ascii="Arial" w:eastAsia="Arial" w:hAnsi="Arial" w:cs="Arial"/>
          <w:i/>
          <w:iCs/>
          <w:lang w:val="en-US"/>
        </w:rPr>
        <w:t>s</w:t>
      </w:r>
      <w:r w:rsidRPr="00670748">
        <w:rPr>
          <w:rFonts w:ascii="Arial" w:eastAsia="Arial" w:hAnsi="Arial" w:cs="Arial"/>
          <w:i/>
          <w:iCs/>
          <w:lang w:val="en-US"/>
        </w:rPr>
        <w:t>ation</w:t>
      </w:r>
      <w:proofErr w:type="spellEnd"/>
      <w:r w:rsidRPr="00670748">
        <w:rPr>
          <w:rFonts w:ascii="Arial" w:eastAsia="Arial" w:hAnsi="Arial" w:cs="Arial"/>
          <w:lang w:val="en-US"/>
        </w:rPr>
        <w:t>. Available at: Access Article (Accessed: 3 May 2026).</w:t>
      </w:r>
    </w:p>
    <w:p w14:paraId="3B46CE2B"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Barney, J.B. (1991) Firm resources and sustained competitive advantage. </w:t>
      </w:r>
      <w:r w:rsidRPr="00670748">
        <w:rPr>
          <w:rFonts w:ascii="Arial" w:eastAsia="Arial" w:hAnsi="Arial" w:cs="Arial"/>
          <w:i/>
          <w:iCs/>
          <w:lang w:val="en-US"/>
        </w:rPr>
        <w:t>Journal of Management</w:t>
      </w:r>
      <w:r w:rsidRPr="00670748">
        <w:rPr>
          <w:rFonts w:ascii="Arial" w:eastAsia="Arial" w:hAnsi="Arial" w:cs="Arial"/>
          <w:lang w:val="en-US"/>
        </w:rPr>
        <w:t>, 17(1), pp. 99–120.</w:t>
      </w:r>
    </w:p>
    <w:p w14:paraId="26601493"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Becker, B.E. and </w:t>
      </w:r>
      <w:proofErr w:type="spellStart"/>
      <w:r w:rsidRPr="00670748">
        <w:rPr>
          <w:rFonts w:ascii="Arial" w:eastAsia="Arial" w:hAnsi="Arial" w:cs="Arial"/>
          <w:lang w:val="en-US"/>
        </w:rPr>
        <w:t>Huselid</w:t>
      </w:r>
      <w:proofErr w:type="spellEnd"/>
      <w:r w:rsidRPr="00670748">
        <w:rPr>
          <w:rFonts w:ascii="Arial" w:eastAsia="Arial" w:hAnsi="Arial" w:cs="Arial"/>
          <w:lang w:val="en-US"/>
        </w:rPr>
        <w:t xml:space="preserve">, M.A. (2006) Strategic human resources management: Where do we go from here? </w:t>
      </w:r>
      <w:r w:rsidRPr="00670748">
        <w:rPr>
          <w:rFonts w:ascii="Arial" w:eastAsia="Arial" w:hAnsi="Arial" w:cs="Arial"/>
          <w:i/>
          <w:iCs/>
          <w:lang w:val="en-US"/>
        </w:rPr>
        <w:t>Journal of Management</w:t>
      </w:r>
      <w:r w:rsidRPr="00670748">
        <w:rPr>
          <w:rFonts w:ascii="Arial" w:eastAsia="Arial" w:hAnsi="Arial" w:cs="Arial"/>
          <w:lang w:val="en-US"/>
        </w:rPr>
        <w:t>, 32(6), pp. 898–925.</w:t>
      </w:r>
    </w:p>
    <w:p w14:paraId="4F0213C8"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Becker, G.S. (1993) </w:t>
      </w:r>
      <w:r w:rsidRPr="00670748">
        <w:rPr>
          <w:rFonts w:ascii="Arial" w:eastAsia="Arial" w:hAnsi="Arial" w:cs="Arial"/>
          <w:i/>
          <w:iCs/>
          <w:lang w:val="en-US"/>
        </w:rPr>
        <w:t>Human Capital: A Theoretical and Empirical Analysis</w:t>
      </w:r>
      <w:r w:rsidRPr="00670748">
        <w:rPr>
          <w:rFonts w:ascii="Arial" w:eastAsia="Arial" w:hAnsi="Arial" w:cs="Arial"/>
          <w:lang w:val="en-US"/>
        </w:rPr>
        <w:t>. Chicago: University of Chicago Press.</w:t>
      </w:r>
    </w:p>
    <w:p w14:paraId="1DBDCB55" w14:textId="46BE75E3"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Bloomberg (2024) </w:t>
      </w:r>
      <w:r w:rsidRPr="00670748">
        <w:rPr>
          <w:rFonts w:ascii="Arial" w:eastAsia="Arial" w:hAnsi="Arial" w:cs="Arial"/>
          <w:i/>
          <w:iCs/>
          <w:lang w:val="en-US"/>
        </w:rPr>
        <w:t xml:space="preserve">The Future of Work: UK </w:t>
      </w:r>
      <w:proofErr w:type="spellStart"/>
      <w:r w:rsidRPr="00670748">
        <w:rPr>
          <w:rFonts w:ascii="Arial" w:eastAsia="Arial" w:hAnsi="Arial" w:cs="Arial"/>
          <w:i/>
          <w:iCs/>
          <w:lang w:val="en-US"/>
        </w:rPr>
        <w:t>Labo</w:t>
      </w:r>
      <w:r w:rsidR="002A33D4">
        <w:rPr>
          <w:rFonts w:ascii="Arial" w:eastAsia="Arial" w:hAnsi="Arial" w:cs="Arial"/>
          <w:i/>
          <w:iCs/>
          <w:lang w:val="en-US"/>
        </w:rPr>
        <w:t>u</w:t>
      </w:r>
      <w:r w:rsidRPr="00670748">
        <w:rPr>
          <w:rFonts w:ascii="Arial" w:eastAsia="Arial" w:hAnsi="Arial" w:cs="Arial"/>
          <w:i/>
          <w:iCs/>
          <w:lang w:val="en-US"/>
        </w:rPr>
        <w:t>r</w:t>
      </w:r>
      <w:proofErr w:type="spellEnd"/>
      <w:r w:rsidRPr="00670748">
        <w:rPr>
          <w:rFonts w:ascii="Arial" w:eastAsia="Arial" w:hAnsi="Arial" w:cs="Arial"/>
          <w:i/>
          <w:iCs/>
          <w:lang w:val="en-US"/>
        </w:rPr>
        <w:t xml:space="preserve"> Market Volatility and Risk</w:t>
      </w:r>
      <w:r w:rsidRPr="00670748">
        <w:rPr>
          <w:rFonts w:ascii="Arial" w:eastAsia="Arial" w:hAnsi="Arial" w:cs="Arial"/>
          <w:lang w:val="en-US"/>
        </w:rPr>
        <w:t xml:space="preserve">. Available at: </w:t>
      </w:r>
      <w:hyperlink w:tgtFrame="_blank" w:history="1">
        <w:r w:rsidRPr="00670748">
          <w:rPr>
            <w:rStyle w:val="Hyperlink"/>
            <w:rFonts w:ascii="Arial" w:eastAsia="Arial" w:hAnsi="Arial" w:cs="Arial"/>
            <w:lang w:val="en-US"/>
          </w:rPr>
          <w:t>https://www.bloomberg.com/professional/blog/uk-labor-market-analysis-2024/</w:t>
        </w:r>
      </w:hyperlink>
      <w:r w:rsidRPr="00670748">
        <w:rPr>
          <w:rFonts w:ascii="Arial" w:eastAsia="Arial" w:hAnsi="Arial" w:cs="Arial"/>
          <w:lang w:val="en-US"/>
        </w:rPr>
        <w:t xml:space="preserve"> (Accessed: 15 April 2026).</w:t>
      </w:r>
    </w:p>
    <w:p w14:paraId="152E3008"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Bloomberg (2026) </w:t>
      </w:r>
      <w:r w:rsidRPr="00670748">
        <w:rPr>
          <w:rFonts w:ascii="Arial" w:eastAsia="Arial" w:hAnsi="Arial" w:cs="Arial"/>
          <w:i/>
          <w:iCs/>
          <w:lang w:val="en-US"/>
        </w:rPr>
        <w:t>Workforce Dynamics and Market Risk: 2026 Outlook</w:t>
      </w:r>
      <w:r w:rsidRPr="00670748">
        <w:rPr>
          <w:rFonts w:ascii="Arial" w:eastAsia="Arial" w:hAnsi="Arial" w:cs="Arial"/>
          <w:lang w:val="en-US"/>
        </w:rPr>
        <w:t xml:space="preserve">. Available at: </w:t>
      </w:r>
      <w:hyperlink w:tgtFrame="_blank" w:history="1">
        <w:r w:rsidRPr="00670748">
          <w:rPr>
            <w:rStyle w:val="Hyperlink"/>
            <w:rFonts w:ascii="Arial" w:eastAsia="Arial" w:hAnsi="Arial" w:cs="Arial"/>
            <w:lang w:val="en-US"/>
          </w:rPr>
          <w:t>https://www.bloomberg.com/professional/blog/workforce-risk-analysis-2026/</w:t>
        </w:r>
      </w:hyperlink>
      <w:r w:rsidRPr="00670748">
        <w:rPr>
          <w:rFonts w:ascii="Arial" w:eastAsia="Arial" w:hAnsi="Arial" w:cs="Arial"/>
          <w:lang w:val="en-US"/>
        </w:rPr>
        <w:t xml:space="preserve"> (Accessed: 21 April 2026).</w:t>
      </w:r>
    </w:p>
    <w:p w14:paraId="27F56691"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Boxall, P. and Purcell, J. (2016) </w:t>
      </w:r>
      <w:r w:rsidRPr="00670748">
        <w:rPr>
          <w:rFonts w:ascii="Arial" w:eastAsia="Arial" w:hAnsi="Arial" w:cs="Arial"/>
          <w:i/>
          <w:iCs/>
          <w:lang w:val="en-US"/>
        </w:rPr>
        <w:t>Strategy and Human Resource Management</w:t>
      </w:r>
      <w:r w:rsidRPr="00670748">
        <w:rPr>
          <w:rFonts w:ascii="Arial" w:eastAsia="Arial" w:hAnsi="Arial" w:cs="Arial"/>
          <w:lang w:val="en-US"/>
        </w:rPr>
        <w:t xml:space="preserve">. 4th </w:t>
      </w:r>
      <w:proofErr w:type="spellStart"/>
      <w:r w:rsidRPr="00670748">
        <w:rPr>
          <w:rFonts w:ascii="Arial" w:eastAsia="Arial" w:hAnsi="Arial" w:cs="Arial"/>
          <w:lang w:val="en-US"/>
        </w:rPr>
        <w:t>edn</w:t>
      </w:r>
      <w:proofErr w:type="spellEnd"/>
      <w:r w:rsidRPr="00670748">
        <w:rPr>
          <w:rFonts w:ascii="Arial" w:eastAsia="Arial" w:hAnsi="Arial" w:cs="Arial"/>
          <w:lang w:val="en-US"/>
        </w:rPr>
        <w:t>. London: Palgrave Macmillan.</w:t>
      </w:r>
    </w:p>
    <w:p w14:paraId="0C6CA358"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Braun, V. and Clarke, V. (2006) Using thematic analysis in psychology. </w:t>
      </w:r>
      <w:r w:rsidRPr="00670748">
        <w:rPr>
          <w:rFonts w:ascii="Arial" w:eastAsia="Arial" w:hAnsi="Arial" w:cs="Arial"/>
          <w:i/>
          <w:iCs/>
          <w:lang w:val="en-US"/>
        </w:rPr>
        <w:t>Qualitative Research in Psychology</w:t>
      </w:r>
      <w:r w:rsidRPr="00670748">
        <w:rPr>
          <w:rFonts w:ascii="Arial" w:eastAsia="Arial" w:hAnsi="Arial" w:cs="Arial"/>
          <w:lang w:val="en-US"/>
        </w:rPr>
        <w:t>, 3(2), pp. 77–101.</w:t>
      </w:r>
    </w:p>
    <w:p w14:paraId="3EC31234"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lastRenderedPageBreak/>
        <w:t xml:space="preserve">BT Group (2026) </w:t>
      </w:r>
      <w:r w:rsidRPr="00670748">
        <w:rPr>
          <w:rFonts w:ascii="Arial" w:eastAsia="Arial" w:hAnsi="Arial" w:cs="Arial"/>
          <w:i/>
          <w:iCs/>
          <w:lang w:val="en-US"/>
        </w:rPr>
        <w:t>Upskilling Business for an AI future</w:t>
      </w:r>
      <w:r w:rsidRPr="00670748">
        <w:rPr>
          <w:rFonts w:ascii="Arial" w:eastAsia="Arial" w:hAnsi="Arial" w:cs="Arial"/>
          <w:lang w:val="en-US"/>
        </w:rPr>
        <w:t xml:space="preserve">. Available at: </w:t>
      </w:r>
      <w:hyperlink w:tgtFrame="_blank" w:history="1">
        <w:r w:rsidRPr="00670748">
          <w:rPr>
            <w:rStyle w:val="Hyperlink"/>
            <w:rFonts w:ascii="Arial" w:eastAsia="Arial" w:hAnsi="Arial" w:cs="Arial"/>
            <w:lang w:val="en-US"/>
          </w:rPr>
          <w:t>https://newsroom.bt.com/upskilling-business-for-an-ai-future/</w:t>
        </w:r>
      </w:hyperlink>
      <w:r w:rsidRPr="00670748">
        <w:rPr>
          <w:rFonts w:ascii="Arial" w:eastAsia="Arial" w:hAnsi="Arial" w:cs="Arial"/>
          <w:lang w:val="en-US"/>
        </w:rPr>
        <w:t xml:space="preserve"> (Accessed: 3 May 2026).</w:t>
      </w:r>
    </w:p>
    <w:p w14:paraId="5C9E274F"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Bunzl PLC (2025) </w:t>
      </w:r>
      <w:r w:rsidRPr="00670748">
        <w:rPr>
          <w:rFonts w:ascii="Arial" w:eastAsia="Arial" w:hAnsi="Arial" w:cs="Arial"/>
          <w:i/>
          <w:iCs/>
          <w:lang w:val="en-US"/>
        </w:rPr>
        <w:t>Annual Report and Accounts 2025</w:t>
      </w:r>
      <w:r w:rsidRPr="00670748">
        <w:rPr>
          <w:rFonts w:ascii="Arial" w:eastAsia="Arial" w:hAnsi="Arial" w:cs="Arial"/>
          <w:lang w:val="en-US"/>
        </w:rPr>
        <w:t xml:space="preserve">. Available at: </w:t>
      </w:r>
      <w:hyperlink w:tgtFrame="_blank" w:history="1">
        <w:r w:rsidRPr="00670748">
          <w:rPr>
            <w:rStyle w:val="Hyperlink"/>
            <w:rFonts w:ascii="Arial" w:eastAsia="Arial" w:hAnsi="Arial" w:cs="Arial"/>
            <w:lang w:val="en-US"/>
          </w:rPr>
          <w:t>https://www.bunzl.com/investors/results-and-reports/</w:t>
        </w:r>
      </w:hyperlink>
      <w:r w:rsidRPr="00670748">
        <w:rPr>
          <w:rFonts w:ascii="Arial" w:eastAsia="Arial" w:hAnsi="Arial" w:cs="Arial"/>
          <w:lang w:val="en-US"/>
        </w:rPr>
        <w:t xml:space="preserve"> (Accessed: 21 April 2026).</w:t>
      </w:r>
    </w:p>
    <w:p w14:paraId="3A56FA69"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Chen, F.H., Chen, T., Wu, S. and Lin, C. (2022) Green HRM practices and supply chain integration. </w:t>
      </w:r>
      <w:r w:rsidRPr="00670748">
        <w:rPr>
          <w:rFonts w:ascii="Arial" w:eastAsia="Arial" w:hAnsi="Arial" w:cs="Arial"/>
          <w:i/>
          <w:iCs/>
          <w:lang w:val="en-US"/>
        </w:rPr>
        <w:t>Sustainability</w:t>
      </w:r>
      <w:r w:rsidRPr="00670748">
        <w:rPr>
          <w:rFonts w:ascii="Arial" w:eastAsia="Arial" w:hAnsi="Arial" w:cs="Arial"/>
          <w:lang w:val="en-US"/>
        </w:rPr>
        <w:t>. Available at: Access Article (Accessed: 3 May 2026).</w:t>
      </w:r>
    </w:p>
    <w:p w14:paraId="35D15986"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CIPD (2023a) </w:t>
      </w:r>
      <w:r w:rsidRPr="00670748">
        <w:rPr>
          <w:rFonts w:ascii="Arial" w:eastAsia="Arial" w:hAnsi="Arial" w:cs="Arial"/>
          <w:i/>
          <w:iCs/>
          <w:lang w:val="en-US"/>
        </w:rPr>
        <w:t>Good Work Index 2023</w:t>
      </w:r>
      <w:r w:rsidRPr="00670748">
        <w:rPr>
          <w:rFonts w:ascii="Arial" w:eastAsia="Arial" w:hAnsi="Arial" w:cs="Arial"/>
          <w:lang w:val="en-US"/>
        </w:rPr>
        <w:t xml:space="preserve">. Available at: </w:t>
      </w:r>
      <w:hyperlink w:tgtFrame="_blank" w:history="1">
        <w:r w:rsidRPr="00670748">
          <w:rPr>
            <w:rStyle w:val="Hyperlink"/>
            <w:rFonts w:ascii="Arial" w:eastAsia="Arial" w:hAnsi="Arial" w:cs="Arial"/>
            <w:lang w:val="en-US"/>
          </w:rPr>
          <w:t>https://www.cipd.org/uk/knowledge/reports/good-work-index/</w:t>
        </w:r>
      </w:hyperlink>
      <w:r w:rsidRPr="00670748">
        <w:rPr>
          <w:rFonts w:ascii="Arial" w:eastAsia="Arial" w:hAnsi="Arial" w:cs="Arial"/>
          <w:lang w:val="en-US"/>
        </w:rPr>
        <w:t xml:space="preserve"> (Accessed: 3 May 2026).</w:t>
      </w:r>
    </w:p>
    <w:p w14:paraId="3B64392E"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CIPD (2023b) </w:t>
      </w:r>
      <w:r w:rsidRPr="00670748">
        <w:rPr>
          <w:rFonts w:ascii="Arial" w:eastAsia="Arial" w:hAnsi="Arial" w:cs="Arial"/>
          <w:i/>
          <w:iCs/>
          <w:lang w:val="en-US"/>
        </w:rPr>
        <w:t>Health and Wellbeing at Work 2023</w:t>
      </w:r>
      <w:r w:rsidRPr="00670748">
        <w:rPr>
          <w:rFonts w:ascii="Arial" w:eastAsia="Arial" w:hAnsi="Arial" w:cs="Arial"/>
          <w:lang w:val="en-US"/>
        </w:rPr>
        <w:t xml:space="preserve">. Available at: </w:t>
      </w:r>
      <w:hyperlink w:tgtFrame="_blank" w:history="1">
        <w:r w:rsidRPr="00670748">
          <w:rPr>
            <w:rStyle w:val="Hyperlink"/>
            <w:rFonts w:ascii="Arial" w:eastAsia="Arial" w:hAnsi="Arial" w:cs="Arial"/>
            <w:lang w:val="en-US"/>
          </w:rPr>
          <w:t>https://www.cipd.org/uk/knowledge/reports/health-well-being-work/</w:t>
        </w:r>
      </w:hyperlink>
      <w:r w:rsidRPr="00670748">
        <w:rPr>
          <w:rFonts w:ascii="Arial" w:eastAsia="Arial" w:hAnsi="Arial" w:cs="Arial"/>
          <w:lang w:val="en-US"/>
        </w:rPr>
        <w:t xml:space="preserve"> (Accessed: 15 April 2026).</w:t>
      </w:r>
    </w:p>
    <w:p w14:paraId="0EF268D7"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COSO (2017) </w:t>
      </w:r>
      <w:r w:rsidRPr="00670748">
        <w:rPr>
          <w:rFonts w:ascii="Arial" w:eastAsia="Arial" w:hAnsi="Arial" w:cs="Arial"/>
          <w:i/>
          <w:iCs/>
          <w:lang w:val="en-US"/>
        </w:rPr>
        <w:t>Enterprise Risk Management—Integrating with Strategy and Performance</w:t>
      </w:r>
      <w:r w:rsidRPr="00670748">
        <w:rPr>
          <w:rFonts w:ascii="Arial" w:eastAsia="Arial" w:hAnsi="Arial" w:cs="Arial"/>
          <w:lang w:val="en-US"/>
        </w:rPr>
        <w:t xml:space="preserve">. Available at: </w:t>
      </w:r>
      <w:hyperlink w:tgtFrame="_blank" w:history="1">
        <w:r w:rsidRPr="00670748">
          <w:rPr>
            <w:rStyle w:val="Hyperlink"/>
            <w:rFonts w:ascii="Arial" w:eastAsia="Arial" w:hAnsi="Arial" w:cs="Arial"/>
            <w:lang w:val="en-US"/>
          </w:rPr>
          <w:t>https://www.coso.org</w:t>
        </w:r>
      </w:hyperlink>
      <w:r w:rsidRPr="00670748">
        <w:rPr>
          <w:rFonts w:ascii="Arial" w:eastAsia="Arial" w:hAnsi="Arial" w:cs="Arial"/>
          <w:lang w:val="en-US"/>
        </w:rPr>
        <w:t xml:space="preserve"> (Accessed: 3 May 2026).</w:t>
      </w:r>
    </w:p>
    <w:p w14:paraId="04ACAC64"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De Grip, A. and </w:t>
      </w:r>
      <w:proofErr w:type="spellStart"/>
      <w:r w:rsidRPr="00670748">
        <w:rPr>
          <w:rFonts w:ascii="Arial" w:eastAsia="Arial" w:hAnsi="Arial" w:cs="Arial"/>
          <w:lang w:val="en-US"/>
        </w:rPr>
        <w:t>Ziegele</w:t>
      </w:r>
      <w:proofErr w:type="spellEnd"/>
      <w:r w:rsidRPr="00670748">
        <w:rPr>
          <w:rFonts w:ascii="Arial" w:eastAsia="Arial" w:hAnsi="Arial" w:cs="Arial"/>
          <w:lang w:val="en-US"/>
        </w:rPr>
        <w:t xml:space="preserve">, M. (2021) The impact of technological change on skills. </w:t>
      </w:r>
      <w:r w:rsidRPr="00670748">
        <w:rPr>
          <w:rFonts w:ascii="Arial" w:eastAsia="Arial" w:hAnsi="Arial" w:cs="Arial"/>
          <w:i/>
          <w:iCs/>
          <w:lang w:val="en-US"/>
        </w:rPr>
        <w:t>Economics of Education Review</w:t>
      </w:r>
      <w:r w:rsidRPr="00670748">
        <w:rPr>
          <w:rFonts w:ascii="Arial" w:eastAsia="Arial" w:hAnsi="Arial" w:cs="Arial"/>
          <w:lang w:val="en-US"/>
        </w:rPr>
        <w:t>, 80, pp. 1–12.</w:t>
      </w:r>
    </w:p>
    <w:p w14:paraId="6F5E3937" w14:textId="65F7C2BC"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Delery, J.E. and Doty, D.H. (2019) Modes of </w:t>
      </w:r>
      <w:proofErr w:type="spellStart"/>
      <w:r w:rsidRPr="00670748">
        <w:rPr>
          <w:rFonts w:ascii="Arial" w:eastAsia="Arial" w:hAnsi="Arial" w:cs="Arial"/>
          <w:lang w:val="en-US"/>
        </w:rPr>
        <w:t>theori</w:t>
      </w:r>
      <w:r w:rsidR="002A33D4">
        <w:rPr>
          <w:rFonts w:ascii="Arial" w:eastAsia="Arial" w:hAnsi="Arial" w:cs="Arial"/>
          <w:lang w:val="en-US"/>
        </w:rPr>
        <w:t>s</w:t>
      </w:r>
      <w:r w:rsidRPr="00670748">
        <w:rPr>
          <w:rFonts w:ascii="Arial" w:eastAsia="Arial" w:hAnsi="Arial" w:cs="Arial"/>
          <w:lang w:val="en-US"/>
        </w:rPr>
        <w:t>ing</w:t>
      </w:r>
      <w:proofErr w:type="spellEnd"/>
      <w:r w:rsidRPr="00670748">
        <w:rPr>
          <w:rFonts w:ascii="Arial" w:eastAsia="Arial" w:hAnsi="Arial" w:cs="Arial"/>
          <w:lang w:val="en-US"/>
        </w:rPr>
        <w:t xml:space="preserve"> in HRM. </w:t>
      </w:r>
      <w:r w:rsidRPr="00670748">
        <w:rPr>
          <w:rFonts w:ascii="Arial" w:eastAsia="Arial" w:hAnsi="Arial" w:cs="Arial"/>
          <w:i/>
          <w:iCs/>
          <w:lang w:val="en-US"/>
        </w:rPr>
        <w:t>Academy of Management Journal</w:t>
      </w:r>
      <w:r w:rsidRPr="00670748">
        <w:rPr>
          <w:rFonts w:ascii="Arial" w:eastAsia="Arial" w:hAnsi="Arial" w:cs="Arial"/>
          <w:lang w:val="en-US"/>
        </w:rPr>
        <w:t>, 39(4), pp. 802–835.</w:t>
      </w:r>
    </w:p>
    <w:p w14:paraId="0CC5D85D"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Dirani, K.M., Abadi, M., Alizadeh, A., Barhate, B., Capucho, R.C., Figueiredo-Brown, R., </w:t>
      </w:r>
      <w:proofErr w:type="spellStart"/>
      <w:r w:rsidRPr="00670748">
        <w:rPr>
          <w:rFonts w:ascii="Arial" w:eastAsia="Arial" w:hAnsi="Arial" w:cs="Arial"/>
          <w:lang w:val="en-US"/>
        </w:rPr>
        <w:t>Brachal</w:t>
      </w:r>
      <w:proofErr w:type="spellEnd"/>
      <w:r w:rsidRPr="00670748">
        <w:rPr>
          <w:rFonts w:ascii="Arial" w:eastAsia="Arial" w:hAnsi="Arial" w:cs="Arial"/>
          <w:lang w:val="en-US"/>
        </w:rPr>
        <w:t xml:space="preserve">, G. and </w:t>
      </w:r>
      <w:proofErr w:type="spellStart"/>
      <w:r w:rsidRPr="00670748">
        <w:rPr>
          <w:rFonts w:ascii="Arial" w:eastAsia="Arial" w:hAnsi="Arial" w:cs="Arial"/>
          <w:lang w:val="en-US"/>
        </w:rPr>
        <w:t>Majzun</w:t>
      </w:r>
      <w:proofErr w:type="spellEnd"/>
      <w:r w:rsidRPr="00670748">
        <w:rPr>
          <w:rFonts w:ascii="Arial" w:eastAsia="Arial" w:hAnsi="Arial" w:cs="Arial"/>
          <w:lang w:val="en-US"/>
        </w:rPr>
        <w:t xml:space="preserve">, Z. (2020) Leadership competencies and the essential role of HR during COVID-19. </w:t>
      </w:r>
      <w:r w:rsidRPr="00670748">
        <w:rPr>
          <w:rFonts w:ascii="Arial" w:eastAsia="Arial" w:hAnsi="Arial" w:cs="Arial"/>
          <w:i/>
          <w:iCs/>
          <w:lang w:val="en-US"/>
        </w:rPr>
        <w:t>Human Resource Development International</w:t>
      </w:r>
      <w:r w:rsidRPr="00670748">
        <w:rPr>
          <w:rFonts w:ascii="Arial" w:eastAsia="Arial" w:hAnsi="Arial" w:cs="Arial"/>
          <w:lang w:val="en-US"/>
        </w:rPr>
        <w:t>, 23(4), pp. 380–394.</w:t>
      </w:r>
    </w:p>
    <w:p w14:paraId="1D0A121F" w14:textId="3C8C9A4B"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Duchek, S. (2020) </w:t>
      </w:r>
      <w:proofErr w:type="spellStart"/>
      <w:r w:rsidRPr="00670748">
        <w:rPr>
          <w:rFonts w:ascii="Arial" w:eastAsia="Arial" w:hAnsi="Arial" w:cs="Arial"/>
          <w:lang w:val="en-US"/>
        </w:rPr>
        <w:t>Organi</w:t>
      </w:r>
      <w:r w:rsidR="002A33D4">
        <w:rPr>
          <w:rFonts w:ascii="Arial" w:eastAsia="Arial" w:hAnsi="Arial" w:cs="Arial"/>
          <w:lang w:val="en-US"/>
        </w:rPr>
        <w:t>s</w:t>
      </w:r>
      <w:r w:rsidRPr="00670748">
        <w:rPr>
          <w:rFonts w:ascii="Arial" w:eastAsia="Arial" w:hAnsi="Arial" w:cs="Arial"/>
          <w:lang w:val="en-US"/>
        </w:rPr>
        <w:t>ational</w:t>
      </w:r>
      <w:proofErr w:type="spellEnd"/>
      <w:r w:rsidRPr="00670748">
        <w:rPr>
          <w:rFonts w:ascii="Arial" w:eastAsia="Arial" w:hAnsi="Arial" w:cs="Arial"/>
          <w:lang w:val="en-US"/>
        </w:rPr>
        <w:t xml:space="preserve"> resilience: A capability-based </w:t>
      </w:r>
      <w:proofErr w:type="spellStart"/>
      <w:r w:rsidRPr="00670748">
        <w:rPr>
          <w:rFonts w:ascii="Arial" w:eastAsia="Arial" w:hAnsi="Arial" w:cs="Arial"/>
          <w:lang w:val="en-US"/>
        </w:rPr>
        <w:t>conceptuali</w:t>
      </w:r>
      <w:r w:rsidR="002A33D4">
        <w:rPr>
          <w:rFonts w:ascii="Arial" w:eastAsia="Arial" w:hAnsi="Arial" w:cs="Arial"/>
          <w:lang w:val="en-US"/>
        </w:rPr>
        <w:t>s</w:t>
      </w:r>
      <w:r w:rsidRPr="00670748">
        <w:rPr>
          <w:rFonts w:ascii="Arial" w:eastAsia="Arial" w:hAnsi="Arial" w:cs="Arial"/>
          <w:lang w:val="en-US"/>
        </w:rPr>
        <w:t>ation</w:t>
      </w:r>
      <w:proofErr w:type="spellEnd"/>
      <w:r w:rsidRPr="00670748">
        <w:rPr>
          <w:rFonts w:ascii="Arial" w:eastAsia="Arial" w:hAnsi="Arial" w:cs="Arial"/>
          <w:lang w:val="en-US"/>
        </w:rPr>
        <w:t xml:space="preserve">. </w:t>
      </w:r>
      <w:r w:rsidRPr="00670748">
        <w:rPr>
          <w:rFonts w:ascii="Arial" w:eastAsia="Arial" w:hAnsi="Arial" w:cs="Arial"/>
          <w:i/>
          <w:iCs/>
          <w:lang w:val="en-US"/>
        </w:rPr>
        <w:t>Business Research</w:t>
      </w:r>
      <w:r w:rsidRPr="00670748">
        <w:rPr>
          <w:rFonts w:ascii="Arial" w:eastAsia="Arial" w:hAnsi="Arial" w:cs="Arial"/>
          <w:lang w:val="en-US"/>
        </w:rPr>
        <w:t>, 13(1), pp. 215–246.</w:t>
      </w:r>
    </w:p>
    <w:p w14:paraId="2665FACB"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Fitzgerald HR (2025) </w:t>
      </w:r>
      <w:r w:rsidRPr="00670748">
        <w:rPr>
          <w:rFonts w:ascii="Arial" w:eastAsia="Arial" w:hAnsi="Arial" w:cs="Arial"/>
          <w:i/>
          <w:iCs/>
          <w:lang w:val="en-US"/>
        </w:rPr>
        <w:t>HR Priorities and your 2026 People Plan</w:t>
      </w:r>
      <w:r w:rsidRPr="00670748">
        <w:rPr>
          <w:rFonts w:ascii="Arial" w:eastAsia="Arial" w:hAnsi="Arial" w:cs="Arial"/>
          <w:lang w:val="en-US"/>
        </w:rPr>
        <w:t xml:space="preserve">. Available at: </w:t>
      </w:r>
      <w:hyperlink w:tgtFrame="_blank" w:history="1">
        <w:r w:rsidRPr="00670748">
          <w:rPr>
            <w:rStyle w:val="Hyperlink"/>
            <w:rFonts w:ascii="Arial" w:eastAsia="Arial" w:hAnsi="Arial" w:cs="Arial"/>
            <w:lang w:val="en-US"/>
          </w:rPr>
          <w:t>https://www.fitzgeraldhr.co.uk/hr-priorities-people-plan/</w:t>
        </w:r>
      </w:hyperlink>
      <w:r w:rsidRPr="00670748">
        <w:rPr>
          <w:rFonts w:ascii="Arial" w:eastAsia="Arial" w:hAnsi="Arial" w:cs="Arial"/>
          <w:lang w:val="en-US"/>
        </w:rPr>
        <w:t xml:space="preserve"> (Accessed: 21 April 2026).</w:t>
      </w:r>
    </w:p>
    <w:p w14:paraId="3152F4D2"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Guest, D.E. (2017) Human resource management and employee well-being: Towards a new analytical framework. </w:t>
      </w:r>
      <w:r w:rsidRPr="00670748">
        <w:rPr>
          <w:rFonts w:ascii="Arial" w:eastAsia="Arial" w:hAnsi="Arial" w:cs="Arial"/>
          <w:i/>
          <w:iCs/>
          <w:lang w:val="en-US"/>
        </w:rPr>
        <w:t>Human Resource Management Journal</w:t>
      </w:r>
      <w:r w:rsidRPr="00670748">
        <w:rPr>
          <w:rFonts w:ascii="Arial" w:eastAsia="Arial" w:hAnsi="Arial" w:cs="Arial"/>
          <w:lang w:val="en-US"/>
        </w:rPr>
        <w:t xml:space="preserve">, 27(1), pp. 22–38. </w:t>
      </w:r>
      <w:r w:rsidRPr="00670748">
        <w:rPr>
          <w:rFonts w:ascii="Arial" w:eastAsia="Arial" w:hAnsi="Arial" w:cs="Arial"/>
          <w:lang w:val="en-US"/>
        </w:rPr>
        <w:lastRenderedPageBreak/>
        <w:t xml:space="preserve">Available at: </w:t>
      </w:r>
      <w:hyperlink w:tgtFrame="_blank" w:history="1">
        <w:r w:rsidRPr="00670748">
          <w:rPr>
            <w:rStyle w:val="Hyperlink"/>
            <w:rFonts w:ascii="Arial" w:eastAsia="Arial" w:hAnsi="Arial" w:cs="Arial"/>
            <w:lang w:val="en-US"/>
          </w:rPr>
          <w:t>https://onlinelibrary.wiley.com/doi/full/10.1111/1748-8583.12139</w:t>
        </w:r>
      </w:hyperlink>
      <w:r w:rsidRPr="00670748">
        <w:rPr>
          <w:rFonts w:ascii="Arial" w:eastAsia="Arial" w:hAnsi="Arial" w:cs="Arial"/>
          <w:lang w:val="en-US"/>
        </w:rPr>
        <w:t xml:space="preserve"> (Accessed: 15 April 2026).</w:t>
      </w:r>
    </w:p>
    <w:p w14:paraId="5686E32C"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Gupta, A. and Kumar, V. (2021) HR analytics and firm performance. </w:t>
      </w:r>
      <w:r w:rsidRPr="00670748">
        <w:rPr>
          <w:rFonts w:ascii="Arial" w:eastAsia="Arial" w:hAnsi="Arial" w:cs="Arial"/>
          <w:i/>
          <w:iCs/>
          <w:lang w:val="en-US"/>
        </w:rPr>
        <w:t>International Journal of Human Resource Management</w:t>
      </w:r>
      <w:r w:rsidRPr="00670748">
        <w:rPr>
          <w:rFonts w:ascii="Arial" w:eastAsia="Arial" w:hAnsi="Arial" w:cs="Arial"/>
          <w:lang w:val="en-US"/>
        </w:rPr>
        <w:t>, 32(12), pp. 1–25.</w:t>
      </w:r>
    </w:p>
    <w:p w14:paraId="0FC5E262"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Harvard Business Review (2024) </w:t>
      </w:r>
      <w:r w:rsidRPr="00670748">
        <w:rPr>
          <w:rFonts w:ascii="Arial" w:eastAsia="Arial" w:hAnsi="Arial" w:cs="Arial"/>
          <w:i/>
          <w:iCs/>
          <w:lang w:val="en-US"/>
        </w:rPr>
        <w:t>Managing the People Side of Risk</w:t>
      </w:r>
      <w:r w:rsidRPr="00670748">
        <w:rPr>
          <w:rFonts w:ascii="Arial" w:eastAsia="Arial" w:hAnsi="Arial" w:cs="Arial"/>
          <w:lang w:val="en-US"/>
        </w:rPr>
        <w:t xml:space="preserve">. Available at: </w:t>
      </w:r>
      <w:hyperlink w:tgtFrame="_blank" w:history="1">
        <w:r w:rsidRPr="00670748">
          <w:rPr>
            <w:rStyle w:val="Hyperlink"/>
            <w:rFonts w:ascii="Arial" w:eastAsia="Arial" w:hAnsi="Arial" w:cs="Arial"/>
            <w:lang w:val="en-US"/>
          </w:rPr>
          <w:t>https://hbr.org/2024/01/managing-the-people-side-of-risk</w:t>
        </w:r>
      </w:hyperlink>
      <w:r w:rsidRPr="00670748">
        <w:rPr>
          <w:rFonts w:ascii="Arial" w:eastAsia="Arial" w:hAnsi="Arial" w:cs="Arial"/>
          <w:lang w:val="en-US"/>
        </w:rPr>
        <w:t xml:space="preserve"> (Accessed: 15 April 2026).</w:t>
      </w:r>
    </w:p>
    <w:p w14:paraId="358A8372"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Hendry, C. and Pettigrew, A. (2020) Human resource management: An agenda for the 21st century. </w:t>
      </w:r>
      <w:r w:rsidRPr="00670748">
        <w:rPr>
          <w:rFonts w:ascii="Arial" w:eastAsia="Arial" w:hAnsi="Arial" w:cs="Arial"/>
          <w:i/>
          <w:iCs/>
          <w:lang w:val="en-US"/>
        </w:rPr>
        <w:t>International Journal of Human Resource Management</w:t>
      </w:r>
      <w:r w:rsidRPr="00670748">
        <w:rPr>
          <w:rFonts w:ascii="Arial" w:eastAsia="Arial" w:hAnsi="Arial" w:cs="Arial"/>
          <w:lang w:val="en-US"/>
        </w:rPr>
        <w:t>, 31(1), pp. 1–15.</w:t>
      </w:r>
    </w:p>
    <w:p w14:paraId="1DE18EF2"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Human in Progress (2026) </w:t>
      </w:r>
      <w:r w:rsidRPr="00670748">
        <w:rPr>
          <w:rFonts w:ascii="Arial" w:eastAsia="Arial" w:hAnsi="Arial" w:cs="Arial"/>
          <w:i/>
          <w:iCs/>
          <w:lang w:val="en-US"/>
        </w:rPr>
        <w:t>HR Strategy Framework 2026</w:t>
      </w:r>
      <w:r w:rsidRPr="00670748">
        <w:rPr>
          <w:rFonts w:ascii="Arial" w:eastAsia="Arial" w:hAnsi="Arial" w:cs="Arial"/>
          <w:lang w:val="en-US"/>
        </w:rPr>
        <w:t xml:space="preserve">. Available at: </w:t>
      </w:r>
      <w:hyperlink w:tgtFrame="_blank" w:history="1">
        <w:r w:rsidRPr="00670748">
          <w:rPr>
            <w:rStyle w:val="Hyperlink"/>
            <w:rFonts w:ascii="Arial" w:eastAsia="Arial" w:hAnsi="Arial" w:cs="Arial"/>
            <w:lang w:val="en-US"/>
          </w:rPr>
          <w:t>https://humaninprogress.com/hr-strategy-framework-2026/</w:t>
        </w:r>
      </w:hyperlink>
      <w:r w:rsidRPr="00670748">
        <w:rPr>
          <w:rFonts w:ascii="Arial" w:eastAsia="Arial" w:hAnsi="Arial" w:cs="Arial"/>
          <w:lang w:val="en-US"/>
        </w:rPr>
        <w:t xml:space="preserve"> (Accessed: 21 April 2026).</w:t>
      </w:r>
    </w:p>
    <w:p w14:paraId="7135AE48" w14:textId="77777777" w:rsidR="00670748" w:rsidRPr="00670748" w:rsidRDefault="00670748" w:rsidP="00670748">
      <w:pPr>
        <w:spacing w:line="360" w:lineRule="auto"/>
        <w:jc w:val="both"/>
        <w:rPr>
          <w:rFonts w:ascii="Arial" w:eastAsia="Arial" w:hAnsi="Arial" w:cs="Arial"/>
          <w:lang w:val="en-US"/>
        </w:rPr>
      </w:pPr>
      <w:proofErr w:type="spellStart"/>
      <w:r w:rsidRPr="00670748">
        <w:rPr>
          <w:rFonts w:ascii="Arial" w:eastAsia="Arial" w:hAnsi="Arial" w:cs="Arial"/>
          <w:lang w:val="en-US"/>
        </w:rPr>
        <w:t>Huselid</w:t>
      </w:r>
      <w:proofErr w:type="spellEnd"/>
      <w:r w:rsidRPr="00670748">
        <w:rPr>
          <w:rFonts w:ascii="Arial" w:eastAsia="Arial" w:hAnsi="Arial" w:cs="Arial"/>
          <w:lang w:val="en-US"/>
        </w:rPr>
        <w:t xml:space="preserve">, M.A. (1995) The impact of HRM practices on performance. </w:t>
      </w:r>
      <w:r w:rsidRPr="00670748">
        <w:rPr>
          <w:rFonts w:ascii="Arial" w:eastAsia="Arial" w:hAnsi="Arial" w:cs="Arial"/>
          <w:i/>
          <w:iCs/>
          <w:lang w:val="en-US"/>
        </w:rPr>
        <w:t>Academy of Management Journal</w:t>
      </w:r>
      <w:r w:rsidRPr="00670748">
        <w:rPr>
          <w:rFonts w:ascii="Arial" w:eastAsia="Arial" w:hAnsi="Arial" w:cs="Arial"/>
          <w:lang w:val="en-US"/>
        </w:rPr>
        <w:t>, 38(3), pp. 635–672.</w:t>
      </w:r>
    </w:p>
    <w:p w14:paraId="336BEE3A"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IBISWorld (2024) </w:t>
      </w:r>
      <w:r w:rsidRPr="00670748">
        <w:rPr>
          <w:rFonts w:ascii="Arial" w:eastAsia="Arial" w:hAnsi="Arial" w:cs="Arial"/>
          <w:i/>
          <w:iCs/>
          <w:lang w:val="en-US"/>
        </w:rPr>
        <w:t>Human Resources Activities in the UK - Market Research Report</w:t>
      </w:r>
      <w:r w:rsidRPr="00670748">
        <w:rPr>
          <w:rFonts w:ascii="Arial" w:eastAsia="Arial" w:hAnsi="Arial" w:cs="Arial"/>
          <w:lang w:val="en-US"/>
        </w:rPr>
        <w:t xml:space="preserve">. Available at: </w:t>
      </w:r>
      <w:hyperlink w:tgtFrame="_blank" w:history="1">
        <w:r w:rsidRPr="00670748">
          <w:rPr>
            <w:rStyle w:val="Hyperlink"/>
            <w:rFonts w:ascii="Arial" w:eastAsia="Arial" w:hAnsi="Arial" w:cs="Arial"/>
            <w:lang w:val="en-US"/>
          </w:rPr>
          <w:t>https://www.ibisworld.com/united-kingdom/market-research-reports/human-resources-activities-industry/</w:t>
        </w:r>
      </w:hyperlink>
      <w:r w:rsidRPr="00670748">
        <w:rPr>
          <w:rFonts w:ascii="Arial" w:eastAsia="Arial" w:hAnsi="Arial" w:cs="Arial"/>
          <w:lang w:val="en-US"/>
        </w:rPr>
        <w:t xml:space="preserve"> (Accessed: 15 April 2026).</w:t>
      </w:r>
    </w:p>
    <w:p w14:paraId="4E9EFA77"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IBISWorld (2026) </w:t>
      </w:r>
      <w:r w:rsidRPr="00670748">
        <w:rPr>
          <w:rFonts w:ascii="Arial" w:eastAsia="Arial" w:hAnsi="Arial" w:cs="Arial"/>
          <w:i/>
          <w:iCs/>
          <w:lang w:val="en-US"/>
        </w:rPr>
        <w:t>Human Resources Provision in the UK - Market Research Report</w:t>
      </w:r>
      <w:r w:rsidRPr="00670748">
        <w:rPr>
          <w:rFonts w:ascii="Arial" w:eastAsia="Arial" w:hAnsi="Arial" w:cs="Arial"/>
          <w:lang w:val="en-US"/>
        </w:rPr>
        <w:t xml:space="preserve">. Available at: </w:t>
      </w:r>
      <w:hyperlink w:tgtFrame="_blank" w:history="1">
        <w:r w:rsidRPr="00670748">
          <w:rPr>
            <w:rStyle w:val="Hyperlink"/>
            <w:rFonts w:ascii="Arial" w:eastAsia="Arial" w:hAnsi="Arial" w:cs="Arial"/>
            <w:lang w:val="en-US"/>
          </w:rPr>
          <w:t>https://www.ibisworld.com/united-kingdom/market-research-reports/human-resources-activities-industry/</w:t>
        </w:r>
      </w:hyperlink>
      <w:r w:rsidRPr="00670748">
        <w:rPr>
          <w:rFonts w:ascii="Arial" w:eastAsia="Arial" w:hAnsi="Arial" w:cs="Arial"/>
          <w:lang w:val="en-US"/>
        </w:rPr>
        <w:t xml:space="preserve"> (Accessed: 21 April 2026).</w:t>
      </w:r>
    </w:p>
    <w:p w14:paraId="43FB8770"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ISO (2018) </w:t>
      </w:r>
      <w:r w:rsidRPr="00670748">
        <w:rPr>
          <w:rFonts w:ascii="Arial" w:eastAsia="Arial" w:hAnsi="Arial" w:cs="Arial"/>
          <w:i/>
          <w:iCs/>
          <w:lang w:val="en-US"/>
        </w:rPr>
        <w:t>ISO 31000 Risk Management Guidelines</w:t>
      </w:r>
      <w:r w:rsidRPr="00670748">
        <w:rPr>
          <w:rFonts w:ascii="Arial" w:eastAsia="Arial" w:hAnsi="Arial" w:cs="Arial"/>
          <w:lang w:val="en-US"/>
        </w:rPr>
        <w:t xml:space="preserve">. Available at: </w:t>
      </w:r>
      <w:hyperlink w:tgtFrame="_blank" w:history="1">
        <w:r w:rsidRPr="00670748">
          <w:rPr>
            <w:rStyle w:val="Hyperlink"/>
            <w:rFonts w:ascii="Arial" w:eastAsia="Arial" w:hAnsi="Arial" w:cs="Arial"/>
            <w:lang w:val="en-US"/>
          </w:rPr>
          <w:t>https://www.iso.org</w:t>
        </w:r>
      </w:hyperlink>
      <w:r w:rsidRPr="00670748">
        <w:rPr>
          <w:rFonts w:ascii="Arial" w:eastAsia="Arial" w:hAnsi="Arial" w:cs="Arial"/>
          <w:lang w:val="en-US"/>
        </w:rPr>
        <w:t xml:space="preserve"> (Accessed: 3 May 2026).</w:t>
      </w:r>
    </w:p>
    <w:p w14:paraId="2387B638" w14:textId="77777777" w:rsidR="00670748" w:rsidRPr="00670748" w:rsidRDefault="00670748" w:rsidP="00670748">
      <w:pPr>
        <w:spacing w:line="360" w:lineRule="auto"/>
        <w:jc w:val="both"/>
        <w:rPr>
          <w:rFonts w:ascii="Arial" w:eastAsia="Arial" w:hAnsi="Arial" w:cs="Arial"/>
          <w:lang w:val="en-US"/>
        </w:rPr>
      </w:pPr>
      <w:proofErr w:type="spellStart"/>
      <w:r w:rsidRPr="00670748">
        <w:rPr>
          <w:rFonts w:ascii="Arial" w:eastAsia="Arial" w:hAnsi="Arial" w:cs="Arial"/>
          <w:lang w:val="en-US"/>
        </w:rPr>
        <w:t>Iswardhani</w:t>
      </w:r>
      <w:proofErr w:type="spellEnd"/>
      <w:r w:rsidRPr="00670748">
        <w:rPr>
          <w:rFonts w:ascii="Arial" w:eastAsia="Arial" w:hAnsi="Arial" w:cs="Arial"/>
          <w:lang w:val="en-US"/>
        </w:rPr>
        <w:t xml:space="preserve">, I. et al. (2025) Green HRM literature review (2021–2025). </w:t>
      </w:r>
      <w:r w:rsidRPr="00670748">
        <w:rPr>
          <w:rFonts w:ascii="Arial" w:eastAsia="Arial" w:hAnsi="Arial" w:cs="Arial"/>
          <w:i/>
          <w:iCs/>
          <w:lang w:val="en-US"/>
        </w:rPr>
        <w:t>Journal of Human Resource Management</w:t>
      </w:r>
      <w:r w:rsidRPr="00670748">
        <w:rPr>
          <w:rFonts w:ascii="Arial" w:eastAsia="Arial" w:hAnsi="Arial" w:cs="Arial"/>
          <w:lang w:val="en-US"/>
        </w:rPr>
        <w:t>. Available at: Access Article (Accessed: 3 May 2026).</w:t>
      </w:r>
    </w:p>
    <w:p w14:paraId="286656B7"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Jabbour, C.J.C., Mauricio, A.L. and Jabbour, A.B.L.D.S. (2020) HRM and environmental management. </w:t>
      </w:r>
      <w:r w:rsidRPr="00670748">
        <w:rPr>
          <w:rFonts w:ascii="Arial" w:eastAsia="Arial" w:hAnsi="Arial" w:cs="Arial"/>
          <w:i/>
          <w:iCs/>
          <w:lang w:val="en-US"/>
        </w:rPr>
        <w:t>Journal of Cleaner Production</w:t>
      </w:r>
      <w:r w:rsidRPr="00670748">
        <w:rPr>
          <w:rFonts w:ascii="Arial" w:eastAsia="Arial" w:hAnsi="Arial" w:cs="Arial"/>
          <w:lang w:val="en-US"/>
        </w:rPr>
        <w:t>, 256, pp. 1–12.</w:t>
      </w:r>
    </w:p>
    <w:p w14:paraId="7919722F"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Kramar, R. (2022) Sustainable HRM: A critical review. </w:t>
      </w:r>
      <w:r w:rsidRPr="00670748">
        <w:rPr>
          <w:rFonts w:ascii="Arial" w:eastAsia="Arial" w:hAnsi="Arial" w:cs="Arial"/>
          <w:i/>
          <w:iCs/>
          <w:lang w:val="en-US"/>
        </w:rPr>
        <w:t>International Journal of Human Resource Management</w:t>
      </w:r>
      <w:r w:rsidRPr="00670748">
        <w:rPr>
          <w:rFonts w:ascii="Arial" w:eastAsia="Arial" w:hAnsi="Arial" w:cs="Arial"/>
          <w:lang w:val="en-US"/>
        </w:rPr>
        <w:t>, 33(18), pp. 1–23.</w:t>
      </w:r>
    </w:p>
    <w:p w14:paraId="603E6EC2" w14:textId="73763C6B"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lastRenderedPageBreak/>
        <w:t xml:space="preserve">Kuntz, J., Malinen, S. and </w:t>
      </w:r>
      <w:proofErr w:type="spellStart"/>
      <w:r w:rsidRPr="00670748">
        <w:rPr>
          <w:rFonts w:ascii="Arial" w:eastAsia="Arial" w:hAnsi="Arial" w:cs="Arial"/>
          <w:lang w:val="en-US"/>
        </w:rPr>
        <w:t>Näswall</w:t>
      </w:r>
      <w:proofErr w:type="spellEnd"/>
      <w:r w:rsidRPr="00670748">
        <w:rPr>
          <w:rFonts w:ascii="Arial" w:eastAsia="Arial" w:hAnsi="Arial" w:cs="Arial"/>
          <w:lang w:val="en-US"/>
        </w:rPr>
        <w:t xml:space="preserve">, K. (2023) Employee resilience and </w:t>
      </w:r>
      <w:proofErr w:type="spellStart"/>
      <w:r w:rsidRPr="00670748">
        <w:rPr>
          <w:rFonts w:ascii="Arial" w:eastAsia="Arial" w:hAnsi="Arial" w:cs="Arial"/>
          <w:lang w:val="en-US"/>
        </w:rPr>
        <w:t>organisational</w:t>
      </w:r>
      <w:proofErr w:type="spellEnd"/>
      <w:r w:rsidRPr="00670748">
        <w:rPr>
          <w:rFonts w:ascii="Arial" w:eastAsia="Arial" w:hAnsi="Arial" w:cs="Arial"/>
          <w:lang w:val="en-US"/>
        </w:rPr>
        <w:t xml:space="preserve"> outcomes. </w:t>
      </w:r>
      <w:r w:rsidRPr="00670748">
        <w:rPr>
          <w:rFonts w:ascii="Arial" w:eastAsia="Arial" w:hAnsi="Arial" w:cs="Arial"/>
          <w:i/>
          <w:iCs/>
          <w:lang w:val="en-US"/>
        </w:rPr>
        <w:t xml:space="preserve">Journal of </w:t>
      </w:r>
      <w:proofErr w:type="spellStart"/>
      <w:r w:rsidRPr="00670748">
        <w:rPr>
          <w:rFonts w:ascii="Arial" w:eastAsia="Arial" w:hAnsi="Arial" w:cs="Arial"/>
          <w:i/>
          <w:iCs/>
          <w:lang w:val="en-US"/>
        </w:rPr>
        <w:t>Organi</w:t>
      </w:r>
      <w:r w:rsidR="002A33D4">
        <w:rPr>
          <w:rFonts w:ascii="Arial" w:eastAsia="Arial" w:hAnsi="Arial" w:cs="Arial"/>
          <w:i/>
          <w:iCs/>
          <w:lang w:val="en-US"/>
        </w:rPr>
        <w:t>s</w:t>
      </w:r>
      <w:r w:rsidRPr="00670748">
        <w:rPr>
          <w:rFonts w:ascii="Arial" w:eastAsia="Arial" w:hAnsi="Arial" w:cs="Arial"/>
          <w:i/>
          <w:iCs/>
          <w:lang w:val="en-US"/>
        </w:rPr>
        <w:t>ational</w:t>
      </w:r>
      <w:proofErr w:type="spellEnd"/>
      <w:r w:rsidRPr="00670748">
        <w:rPr>
          <w:rFonts w:ascii="Arial" w:eastAsia="Arial" w:hAnsi="Arial" w:cs="Arial"/>
          <w:i/>
          <w:iCs/>
          <w:lang w:val="en-US"/>
        </w:rPr>
        <w:t xml:space="preserve"> </w:t>
      </w:r>
      <w:proofErr w:type="spellStart"/>
      <w:r w:rsidRPr="00670748">
        <w:rPr>
          <w:rFonts w:ascii="Arial" w:eastAsia="Arial" w:hAnsi="Arial" w:cs="Arial"/>
          <w:i/>
          <w:iCs/>
          <w:lang w:val="en-US"/>
        </w:rPr>
        <w:t>Behavio</w:t>
      </w:r>
      <w:r w:rsidR="002A33D4">
        <w:rPr>
          <w:rFonts w:ascii="Arial" w:eastAsia="Arial" w:hAnsi="Arial" w:cs="Arial"/>
          <w:i/>
          <w:iCs/>
          <w:lang w:val="en-US"/>
        </w:rPr>
        <w:t>u</w:t>
      </w:r>
      <w:r w:rsidRPr="00670748">
        <w:rPr>
          <w:rFonts w:ascii="Arial" w:eastAsia="Arial" w:hAnsi="Arial" w:cs="Arial"/>
          <w:i/>
          <w:iCs/>
          <w:lang w:val="en-US"/>
        </w:rPr>
        <w:t>r</w:t>
      </w:r>
      <w:proofErr w:type="spellEnd"/>
      <w:r w:rsidRPr="00670748">
        <w:rPr>
          <w:rFonts w:ascii="Arial" w:eastAsia="Arial" w:hAnsi="Arial" w:cs="Arial"/>
          <w:lang w:val="en-US"/>
        </w:rPr>
        <w:t>, 44(2), pp. 215–230.</w:t>
      </w:r>
    </w:p>
    <w:p w14:paraId="562BE1B7"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Marler, J.H. and Boudreau, J.W. (2017) HR analytics and strategic HRM. </w:t>
      </w:r>
      <w:r w:rsidRPr="00670748">
        <w:rPr>
          <w:rFonts w:ascii="Arial" w:eastAsia="Arial" w:hAnsi="Arial" w:cs="Arial"/>
          <w:i/>
          <w:iCs/>
          <w:lang w:val="en-US"/>
        </w:rPr>
        <w:t>International Journal of Human Resource Management</w:t>
      </w:r>
      <w:r w:rsidRPr="00670748">
        <w:rPr>
          <w:rFonts w:ascii="Arial" w:eastAsia="Arial" w:hAnsi="Arial" w:cs="Arial"/>
          <w:lang w:val="en-US"/>
        </w:rPr>
        <w:t>, 28(1), pp. 3–26.</w:t>
      </w:r>
    </w:p>
    <w:p w14:paraId="6C7F1021"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NIST (2026) </w:t>
      </w:r>
      <w:r w:rsidRPr="00670748">
        <w:rPr>
          <w:rFonts w:ascii="Arial" w:eastAsia="Arial" w:hAnsi="Arial" w:cs="Arial"/>
          <w:i/>
          <w:iCs/>
          <w:lang w:val="en-US"/>
        </w:rPr>
        <w:t>AI Risk Management Framework: Trustworthy AI in Critical Infrastructure</w:t>
      </w:r>
      <w:r w:rsidRPr="00670748">
        <w:rPr>
          <w:rFonts w:ascii="Arial" w:eastAsia="Arial" w:hAnsi="Arial" w:cs="Arial"/>
          <w:lang w:val="en-US"/>
        </w:rPr>
        <w:t xml:space="preserve">. Available at: </w:t>
      </w:r>
      <w:hyperlink w:tgtFrame="_blank" w:history="1">
        <w:r w:rsidRPr="00670748">
          <w:rPr>
            <w:rStyle w:val="Hyperlink"/>
            <w:rFonts w:ascii="Arial" w:eastAsia="Arial" w:hAnsi="Arial" w:cs="Arial"/>
            <w:lang w:val="en-US"/>
          </w:rPr>
          <w:t>https://www.nist.gov/itl/ai-risk-management-framework</w:t>
        </w:r>
      </w:hyperlink>
      <w:r w:rsidRPr="00670748">
        <w:rPr>
          <w:rFonts w:ascii="Arial" w:eastAsia="Arial" w:hAnsi="Arial" w:cs="Arial"/>
          <w:lang w:val="en-US"/>
        </w:rPr>
        <w:t xml:space="preserve"> (Accessed: 21 April 2026).</w:t>
      </w:r>
    </w:p>
    <w:p w14:paraId="619ABC58"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ONS (2023) </w:t>
      </w:r>
      <w:proofErr w:type="spellStart"/>
      <w:r w:rsidRPr="00670748">
        <w:rPr>
          <w:rFonts w:ascii="Arial" w:eastAsia="Arial" w:hAnsi="Arial" w:cs="Arial"/>
          <w:i/>
          <w:iCs/>
          <w:lang w:val="en-US"/>
        </w:rPr>
        <w:t>Labour</w:t>
      </w:r>
      <w:proofErr w:type="spellEnd"/>
      <w:r w:rsidRPr="00670748">
        <w:rPr>
          <w:rFonts w:ascii="Arial" w:eastAsia="Arial" w:hAnsi="Arial" w:cs="Arial"/>
          <w:i/>
          <w:iCs/>
          <w:lang w:val="en-US"/>
        </w:rPr>
        <w:t xml:space="preserve"> market overview, UK: October 2023</w:t>
      </w:r>
      <w:r w:rsidRPr="00670748">
        <w:rPr>
          <w:rFonts w:ascii="Arial" w:eastAsia="Arial" w:hAnsi="Arial" w:cs="Arial"/>
          <w:lang w:val="en-US"/>
        </w:rPr>
        <w:t xml:space="preserve">. Available at: </w:t>
      </w:r>
      <w:hyperlink w:tgtFrame="_blank" w:history="1">
        <w:r w:rsidRPr="00670748">
          <w:rPr>
            <w:rStyle w:val="Hyperlink"/>
            <w:rFonts w:ascii="Arial" w:eastAsia="Arial" w:hAnsi="Arial" w:cs="Arial"/>
            <w:lang w:val="en-US"/>
          </w:rPr>
          <w:t>https://www.ons.gov.uk</w:t>
        </w:r>
      </w:hyperlink>
      <w:r w:rsidRPr="00670748">
        <w:rPr>
          <w:rFonts w:ascii="Arial" w:eastAsia="Arial" w:hAnsi="Arial" w:cs="Arial"/>
          <w:lang w:val="en-US"/>
        </w:rPr>
        <w:t xml:space="preserve"> (Accessed: 3 May 2026).</w:t>
      </w:r>
    </w:p>
    <w:p w14:paraId="08386DA4"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PwC (2023a) </w:t>
      </w:r>
      <w:r w:rsidRPr="00670748">
        <w:rPr>
          <w:rFonts w:ascii="Arial" w:eastAsia="Arial" w:hAnsi="Arial" w:cs="Arial"/>
          <w:i/>
          <w:iCs/>
          <w:lang w:val="en-US"/>
        </w:rPr>
        <w:t>26th Annual Global CEO Survey – UK findings</w:t>
      </w:r>
      <w:r w:rsidRPr="00670748">
        <w:rPr>
          <w:rFonts w:ascii="Arial" w:eastAsia="Arial" w:hAnsi="Arial" w:cs="Arial"/>
          <w:lang w:val="en-US"/>
        </w:rPr>
        <w:t xml:space="preserve">. Available at: </w:t>
      </w:r>
      <w:hyperlink w:tgtFrame="_blank" w:history="1">
        <w:r w:rsidRPr="00670748">
          <w:rPr>
            <w:rStyle w:val="Hyperlink"/>
            <w:rFonts w:ascii="Arial" w:eastAsia="Arial" w:hAnsi="Arial" w:cs="Arial"/>
            <w:lang w:val="en-US"/>
          </w:rPr>
          <w:t>https://www.pwc.co.uk/ceo-survey.html</w:t>
        </w:r>
      </w:hyperlink>
      <w:r w:rsidRPr="00670748">
        <w:rPr>
          <w:rFonts w:ascii="Arial" w:eastAsia="Arial" w:hAnsi="Arial" w:cs="Arial"/>
          <w:lang w:val="en-US"/>
        </w:rPr>
        <w:t xml:space="preserve"> (Accessed: 15 April 2026).</w:t>
      </w:r>
    </w:p>
    <w:p w14:paraId="77D2CEBE"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PwC (2023b) </w:t>
      </w:r>
      <w:r w:rsidRPr="00670748">
        <w:rPr>
          <w:rFonts w:ascii="Arial" w:eastAsia="Arial" w:hAnsi="Arial" w:cs="Arial"/>
          <w:i/>
          <w:iCs/>
          <w:lang w:val="en-US"/>
        </w:rPr>
        <w:t>Global Workforce Hopes and Fears Survey</w:t>
      </w:r>
      <w:r w:rsidRPr="00670748">
        <w:rPr>
          <w:rFonts w:ascii="Arial" w:eastAsia="Arial" w:hAnsi="Arial" w:cs="Arial"/>
          <w:lang w:val="en-US"/>
        </w:rPr>
        <w:t xml:space="preserve">. Available at: </w:t>
      </w:r>
      <w:hyperlink w:tgtFrame="_blank" w:history="1">
        <w:r w:rsidRPr="00670748">
          <w:rPr>
            <w:rStyle w:val="Hyperlink"/>
            <w:rFonts w:ascii="Arial" w:eastAsia="Arial" w:hAnsi="Arial" w:cs="Arial"/>
            <w:lang w:val="en-US"/>
          </w:rPr>
          <w:t>https://www.pwc.com</w:t>
        </w:r>
      </w:hyperlink>
      <w:r w:rsidRPr="00670748">
        <w:rPr>
          <w:rFonts w:ascii="Arial" w:eastAsia="Arial" w:hAnsi="Arial" w:cs="Arial"/>
          <w:lang w:val="en-US"/>
        </w:rPr>
        <w:t xml:space="preserve"> (Accessed: 3 May 2026).</w:t>
      </w:r>
    </w:p>
    <w:p w14:paraId="6D5248A1"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PwC UK (2026) </w:t>
      </w:r>
      <w:r w:rsidRPr="00670748">
        <w:rPr>
          <w:rFonts w:ascii="Arial" w:eastAsia="Arial" w:hAnsi="Arial" w:cs="Arial"/>
          <w:i/>
          <w:iCs/>
          <w:lang w:val="en-US"/>
        </w:rPr>
        <w:t>Make UK Executive Survey 2026 - Time for Mission Growth</w:t>
      </w:r>
      <w:r w:rsidRPr="00670748">
        <w:rPr>
          <w:rFonts w:ascii="Arial" w:eastAsia="Arial" w:hAnsi="Arial" w:cs="Arial"/>
          <w:lang w:val="en-US"/>
        </w:rPr>
        <w:t xml:space="preserve">. Available at: </w:t>
      </w:r>
      <w:hyperlink w:tgtFrame="_blank" w:history="1">
        <w:r w:rsidRPr="00670748">
          <w:rPr>
            <w:rStyle w:val="Hyperlink"/>
            <w:rFonts w:ascii="Arial" w:eastAsia="Arial" w:hAnsi="Arial" w:cs="Arial"/>
            <w:lang w:val="en-US"/>
          </w:rPr>
          <w:t>https://www.pwc.co.uk/industries/documents/make-uk-executive-survey-2026.pdf</w:t>
        </w:r>
      </w:hyperlink>
      <w:r w:rsidRPr="00670748">
        <w:rPr>
          <w:rFonts w:ascii="Arial" w:eastAsia="Arial" w:hAnsi="Arial" w:cs="Arial"/>
          <w:lang w:val="en-US"/>
        </w:rPr>
        <w:t xml:space="preserve"> (Accessed: 21 April 2026).</w:t>
      </w:r>
    </w:p>
    <w:p w14:paraId="08B94134"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Rana, S. and Sharma, R. (2023) Knowledge-sharing HR systems and innovation. </w:t>
      </w:r>
      <w:r w:rsidRPr="00670748">
        <w:rPr>
          <w:rFonts w:ascii="Arial" w:eastAsia="Arial" w:hAnsi="Arial" w:cs="Arial"/>
          <w:i/>
          <w:iCs/>
          <w:lang w:val="en-US"/>
        </w:rPr>
        <w:t>Management Decision</w:t>
      </w:r>
      <w:r w:rsidRPr="00670748">
        <w:rPr>
          <w:rFonts w:ascii="Arial" w:eastAsia="Arial" w:hAnsi="Arial" w:cs="Arial"/>
          <w:lang w:val="en-US"/>
        </w:rPr>
        <w:t>, 61(5), pp. 1–15.</w:t>
      </w:r>
    </w:p>
    <w:p w14:paraId="46070CFB"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ResearchGate (2026a) </w:t>
      </w:r>
      <w:r w:rsidRPr="00670748">
        <w:rPr>
          <w:rFonts w:ascii="Arial" w:eastAsia="Arial" w:hAnsi="Arial" w:cs="Arial"/>
          <w:i/>
          <w:iCs/>
          <w:lang w:val="en-US"/>
        </w:rPr>
        <w:t>Problems and Limitations in Conducting Systematic Reviews</w:t>
      </w:r>
      <w:r w:rsidRPr="00670748">
        <w:rPr>
          <w:rFonts w:ascii="Arial" w:eastAsia="Arial" w:hAnsi="Arial" w:cs="Arial"/>
          <w:lang w:val="en-US"/>
        </w:rPr>
        <w:t xml:space="preserve">. Available at: </w:t>
      </w:r>
      <w:hyperlink w:tgtFrame="_blank" w:history="1">
        <w:r w:rsidRPr="00670748">
          <w:rPr>
            <w:rStyle w:val="Hyperlink"/>
            <w:rFonts w:ascii="Arial" w:eastAsia="Arial" w:hAnsi="Arial" w:cs="Arial"/>
            <w:lang w:val="en-US"/>
          </w:rPr>
          <w:t>https://www.researchgate.net/publication/227989644</w:t>
        </w:r>
      </w:hyperlink>
      <w:r w:rsidRPr="00670748">
        <w:rPr>
          <w:rFonts w:ascii="Arial" w:eastAsia="Arial" w:hAnsi="Arial" w:cs="Arial"/>
          <w:lang w:val="en-US"/>
        </w:rPr>
        <w:t xml:space="preserve"> (Accessed: 21 April 2026).</w:t>
      </w:r>
    </w:p>
    <w:p w14:paraId="1789CFA7" w14:textId="7ADF228A"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ResearchGate (2026b) </w:t>
      </w:r>
      <w:r w:rsidRPr="00670748">
        <w:rPr>
          <w:rFonts w:ascii="Arial" w:eastAsia="Arial" w:hAnsi="Arial" w:cs="Arial"/>
          <w:i/>
          <w:iCs/>
          <w:lang w:val="en-US"/>
        </w:rPr>
        <w:t xml:space="preserve">Relationship Between Strategic Human Resource Management </w:t>
      </w:r>
      <w:proofErr w:type="gramStart"/>
      <w:r w:rsidRPr="00670748">
        <w:rPr>
          <w:rFonts w:ascii="Arial" w:eastAsia="Arial" w:hAnsi="Arial" w:cs="Arial"/>
          <w:i/>
          <w:iCs/>
          <w:lang w:val="en-US"/>
        </w:rPr>
        <w:t>And</w:t>
      </w:r>
      <w:proofErr w:type="gramEnd"/>
      <w:r w:rsidRPr="00670748">
        <w:rPr>
          <w:rFonts w:ascii="Arial" w:eastAsia="Arial" w:hAnsi="Arial" w:cs="Arial"/>
          <w:i/>
          <w:iCs/>
          <w:lang w:val="en-US"/>
        </w:rPr>
        <w:t xml:space="preserve"> </w:t>
      </w:r>
      <w:proofErr w:type="spellStart"/>
      <w:r w:rsidRPr="00670748">
        <w:rPr>
          <w:rFonts w:ascii="Arial" w:eastAsia="Arial" w:hAnsi="Arial" w:cs="Arial"/>
          <w:i/>
          <w:iCs/>
          <w:lang w:val="en-US"/>
        </w:rPr>
        <w:t>Organi</w:t>
      </w:r>
      <w:r w:rsidR="002A33D4">
        <w:rPr>
          <w:rFonts w:ascii="Arial" w:eastAsia="Arial" w:hAnsi="Arial" w:cs="Arial"/>
          <w:i/>
          <w:iCs/>
          <w:lang w:val="en-US"/>
        </w:rPr>
        <w:t>s</w:t>
      </w:r>
      <w:r w:rsidRPr="00670748">
        <w:rPr>
          <w:rFonts w:ascii="Arial" w:eastAsia="Arial" w:hAnsi="Arial" w:cs="Arial"/>
          <w:i/>
          <w:iCs/>
          <w:lang w:val="en-US"/>
        </w:rPr>
        <w:t>ation</w:t>
      </w:r>
      <w:proofErr w:type="spellEnd"/>
      <w:r w:rsidRPr="00670748">
        <w:rPr>
          <w:rFonts w:ascii="Arial" w:eastAsia="Arial" w:hAnsi="Arial" w:cs="Arial"/>
          <w:i/>
          <w:iCs/>
          <w:lang w:val="en-US"/>
        </w:rPr>
        <w:t xml:space="preserve"> Performance: A Case Study</w:t>
      </w:r>
      <w:r w:rsidRPr="00670748">
        <w:rPr>
          <w:rFonts w:ascii="Arial" w:eastAsia="Arial" w:hAnsi="Arial" w:cs="Arial"/>
          <w:lang w:val="en-US"/>
        </w:rPr>
        <w:t xml:space="preserve">. Available at: </w:t>
      </w:r>
      <w:hyperlink w:tgtFrame="_blank" w:history="1">
        <w:r w:rsidRPr="00670748">
          <w:rPr>
            <w:rStyle w:val="Hyperlink"/>
            <w:rFonts w:ascii="Arial" w:eastAsia="Arial" w:hAnsi="Arial" w:cs="Arial"/>
            <w:lang w:val="en-US"/>
          </w:rPr>
          <w:t>https://www.researchgate.net/publication/400087044</w:t>
        </w:r>
      </w:hyperlink>
      <w:r w:rsidRPr="00670748">
        <w:rPr>
          <w:rFonts w:ascii="Arial" w:eastAsia="Arial" w:hAnsi="Arial" w:cs="Arial"/>
          <w:lang w:val="en-US"/>
        </w:rPr>
        <w:t xml:space="preserve"> (Accessed: 21 April 2026).</w:t>
      </w:r>
    </w:p>
    <w:p w14:paraId="1CF004AC"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Saunders, M., Lewis, P. and Thornhill, A. (2019) </w:t>
      </w:r>
      <w:r w:rsidRPr="00670748">
        <w:rPr>
          <w:rFonts w:ascii="Arial" w:eastAsia="Arial" w:hAnsi="Arial" w:cs="Arial"/>
          <w:i/>
          <w:iCs/>
          <w:lang w:val="en-US"/>
        </w:rPr>
        <w:t>Research Methods for Business Students</w:t>
      </w:r>
      <w:r w:rsidRPr="00670748">
        <w:rPr>
          <w:rFonts w:ascii="Arial" w:eastAsia="Arial" w:hAnsi="Arial" w:cs="Arial"/>
          <w:lang w:val="en-US"/>
        </w:rPr>
        <w:t xml:space="preserve">. 8th </w:t>
      </w:r>
      <w:proofErr w:type="spellStart"/>
      <w:r w:rsidRPr="00670748">
        <w:rPr>
          <w:rFonts w:ascii="Arial" w:eastAsia="Arial" w:hAnsi="Arial" w:cs="Arial"/>
          <w:lang w:val="en-US"/>
        </w:rPr>
        <w:t>edn</w:t>
      </w:r>
      <w:proofErr w:type="spellEnd"/>
      <w:r w:rsidRPr="00670748">
        <w:rPr>
          <w:rFonts w:ascii="Arial" w:eastAsia="Arial" w:hAnsi="Arial" w:cs="Arial"/>
          <w:lang w:val="en-US"/>
        </w:rPr>
        <w:t>. Harlow: Pearson Education.</w:t>
      </w:r>
    </w:p>
    <w:p w14:paraId="3EF00D81"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lastRenderedPageBreak/>
        <w:t xml:space="preserve">Schilke, O. (2014) On the contingent value of dynamic capabilities. </w:t>
      </w:r>
      <w:r w:rsidRPr="00670748">
        <w:rPr>
          <w:rFonts w:ascii="Arial" w:eastAsia="Arial" w:hAnsi="Arial" w:cs="Arial"/>
          <w:i/>
          <w:iCs/>
          <w:lang w:val="en-US"/>
        </w:rPr>
        <w:t>Strategic Management Journal</w:t>
      </w:r>
      <w:r w:rsidRPr="00670748">
        <w:rPr>
          <w:rFonts w:ascii="Arial" w:eastAsia="Arial" w:hAnsi="Arial" w:cs="Arial"/>
          <w:lang w:val="en-US"/>
        </w:rPr>
        <w:t>, 35(2), pp. 179–203.</w:t>
      </w:r>
    </w:p>
    <w:p w14:paraId="1A42F198"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Snyder, H. (2019) Literature review as a research methodology: An overview and guidelines. </w:t>
      </w:r>
      <w:r w:rsidRPr="00670748">
        <w:rPr>
          <w:rFonts w:ascii="Arial" w:eastAsia="Arial" w:hAnsi="Arial" w:cs="Arial"/>
          <w:i/>
          <w:iCs/>
          <w:lang w:val="en-US"/>
        </w:rPr>
        <w:t>Journal of Business Research</w:t>
      </w:r>
      <w:r w:rsidRPr="00670748">
        <w:rPr>
          <w:rFonts w:ascii="Arial" w:eastAsia="Arial" w:hAnsi="Arial" w:cs="Arial"/>
          <w:lang w:val="en-US"/>
        </w:rPr>
        <w:t xml:space="preserve">, 104, pp. 333–339. Available at: </w:t>
      </w:r>
      <w:hyperlink w:tgtFrame="_blank" w:history="1">
        <w:r w:rsidRPr="00670748">
          <w:rPr>
            <w:rStyle w:val="Hyperlink"/>
            <w:rFonts w:ascii="Arial" w:eastAsia="Arial" w:hAnsi="Arial" w:cs="Arial"/>
            <w:lang w:val="en-US"/>
          </w:rPr>
          <w:t>https://doi.org/10.1016/j.jbusres.2019.07.039</w:t>
        </w:r>
      </w:hyperlink>
      <w:r w:rsidRPr="00670748">
        <w:rPr>
          <w:rFonts w:ascii="Arial" w:eastAsia="Arial" w:hAnsi="Arial" w:cs="Arial"/>
          <w:lang w:val="en-US"/>
        </w:rPr>
        <w:t xml:space="preserve"> (Accessed: 15 April 2026).</w:t>
      </w:r>
    </w:p>
    <w:p w14:paraId="153B24FF"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Teece, D.J. (2014) The foundations of enterprise performance: Dynamic and ordinary capabilities in an (economic) theory of firms. </w:t>
      </w:r>
      <w:r w:rsidRPr="00670748">
        <w:rPr>
          <w:rFonts w:ascii="Arial" w:eastAsia="Arial" w:hAnsi="Arial" w:cs="Arial"/>
          <w:i/>
          <w:iCs/>
          <w:lang w:val="en-US"/>
        </w:rPr>
        <w:t>Academy of Management Perspectives</w:t>
      </w:r>
      <w:r w:rsidRPr="00670748">
        <w:rPr>
          <w:rFonts w:ascii="Arial" w:eastAsia="Arial" w:hAnsi="Arial" w:cs="Arial"/>
          <w:lang w:val="en-US"/>
        </w:rPr>
        <w:t>, 28(4), pp. 328–352.</w:t>
      </w:r>
    </w:p>
    <w:p w14:paraId="1906F6C6"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Uddin, M.S. et al. (2023) Impact of green HRM practices on employee </w:t>
      </w:r>
      <w:proofErr w:type="spellStart"/>
      <w:r w:rsidRPr="00670748">
        <w:rPr>
          <w:rFonts w:ascii="Arial" w:eastAsia="Arial" w:hAnsi="Arial" w:cs="Arial"/>
          <w:lang w:val="en-US"/>
        </w:rPr>
        <w:t>behaviour</w:t>
      </w:r>
      <w:proofErr w:type="spellEnd"/>
      <w:r w:rsidRPr="00670748">
        <w:rPr>
          <w:rFonts w:ascii="Arial" w:eastAsia="Arial" w:hAnsi="Arial" w:cs="Arial"/>
          <w:lang w:val="en-US"/>
        </w:rPr>
        <w:t xml:space="preserve">. </w:t>
      </w:r>
      <w:r w:rsidRPr="00670748">
        <w:rPr>
          <w:rFonts w:ascii="Arial" w:eastAsia="Arial" w:hAnsi="Arial" w:cs="Arial"/>
          <w:i/>
          <w:iCs/>
          <w:lang w:val="en-US"/>
        </w:rPr>
        <w:t>International Journal of Manpower</w:t>
      </w:r>
      <w:r w:rsidRPr="00670748">
        <w:rPr>
          <w:rFonts w:ascii="Arial" w:eastAsia="Arial" w:hAnsi="Arial" w:cs="Arial"/>
          <w:lang w:val="en-US"/>
        </w:rPr>
        <w:t>. Available at: Access Article (Accessed: 3 May 2026).</w:t>
      </w:r>
    </w:p>
    <w:p w14:paraId="3B35BCE2"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Wang, C.L. and Ahmed, P.K. (2017) Dynamic capabilities review. </w:t>
      </w:r>
      <w:r w:rsidRPr="00670748">
        <w:rPr>
          <w:rFonts w:ascii="Arial" w:eastAsia="Arial" w:hAnsi="Arial" w:cs="Arial"/>
          <w:i/>
          <w:iCs/>
          <w:lang w:val="en-US"/>
        </w:rPr>
        <w:t>International Journal of Management Reviews</w:t>
      </w:r>
      <w:r w:rsidRPr="00670748">
        <w:rPr>
          <w:rFonts w:ascii="Arial" w:eastAsia="Arial" w:hAnsi="Arial" w:cs="Arial"/>
          <w:lang w:val="en-US"/>
        </w:rPr>
        <w:t>, 19(1), pp. 31–51.</w:t>
      </w:r>
    </w:p>
    <w:p w14:paraId="251FA3CE" w14:textId="4A4527AB" w:rsidR="00670748" w:rsidRPr="00982F6A"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Wesemann, A. (2023) Strategic human capital management and turnover intention. </w:t>
      </w:r>
      <w:r w:rsidRPr="00670748">
        <w:rPr>
          <w:rFonts w:ascii="Arial" w:eastAsia="Arial" w:hAnsi="Arial" w:cs="Arial"/>
          <w:i/>
          <w:iCs/>
          <w:lang w:val="en-US"/>
        </w:rPr>
        <w:t>Journal of Business and Psychology</w:t>
      </w:r>
      <w:r w:rsidRPr="00670748">
        <w:rPr>
          <w:rFonts w:ascii="Arial" w:eastAsia="Arial" w:hAnsi="Arial" w:cs="Arial"/>
          <w:lang w:val="en-US"/>
        </w:rPr>
        <w:t>. Available at: Access Article (Accessed: 3 May 2026).</w:t>
      </w:r>
    </w:p>
    <w:sectPr w:rsidR="00670748" w:rsidRPr="00982F6A" w:rsidSect="00A4240C">
      <w:footerReference w:type="default" r:id="rId24"/>
      <w:pgSz w:w="12240" w:h="15840"/>
      <w:pgMar w:top="1440" w:right="1440" w:bottom="1440" w:left="1440" w:header="720" w:footer="720" w:gutter="0"/>
      <w:pgNumType w:start="25"/>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CFAE0E" w14:textId="77777777" w:rsidR="00F52B9F" w:rsidRDefault="00F52B9F">
      <w:pPr>
        <w:spacing w:after="0" w:line="240" w:lineRule="auto"/>
      </w:pPr>
      <w:r>
        <w:separator/>
      </w:r>
    </w:p>
  </w:endnote>
  <w:endnote w:type="continuationSeparator" w:id="0">
    <w:p w14:paraId="1C25D7C1" w14:textId="77777777" w:rsidR="00F52B9F" w:rsidRDefault="00F52B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embedRegular r:id="rId1" w:fontKey="{A0650B36-B259-4A4D-A88C-545D9F5DC8AD}"/>
    <w:embedBold r:id="rId2" w:fontKey="{2ABE2348-0C78-4D46-8F3E-9D0ECEDECD4E}"/>
    <w:embedItalic r:id="rId3" w:fontKey="{C8852956-D481-4315-BDD1-8441300053F9}"/>
  </w:font>
  <w:font w:name="Play">
    <w:charset w:val="00"/>
    <w:family w:val="auto"/>
    <w:pitch w:val="default"/>
    <w:embedRegular r:id="rId4" w:fontKey="{BA08AB29-A56B-4888-87BE-978F0B3DBF1E}"/>
    <w:embedBold r:id="rId5" w:fontKey="{149C739C-9370-4120-8E6C-AC29056005AC}"/>
  </w:font>
  <w:font w:name="Calibri">
    <w:panose1 w:val="020F0502020204030204"/>
    <w:charset w:val="00"/>
    <w:family w:val="swiss"/>
    <w:pitch w:val="variable"/>
    <w:sig w:usb0="E4002EFF" w:usb1="C200247B" w:usb2="00000009" w:usb3="00000000" w:csb0="000001FF" w:csb1="00000000"/>
    <w:embedRegular r:id="rId6" w:fontKey="{785A65E1-2330-427C-95F9-71B6D94B2583}"/>
    <w:embedBold r:id="rId7" w:fontKey="{04357A82-4B9F-4EB3-86FB-A6C1D194831B}"/>
  </w:font>
  <w:font w:name="Cambria">
    <w:panose1 w:val="02040503050406030204"/>
    <w:charset w:val="00"/>
    <w:family w:val="roman"/>
    <w:pitch w:val="variable"/>
    <w:sig w:usb0="E00006FF" w:usb1="420024FF" w:usb2="02000000" w:usb3="00000000" w:csb0="0000019F" w:csb1="00000000"/>
    <w:embedRegular r:id="rId8" w:fontKey="{71AB97C0-C17B-4CF9-98E1-48DCB07BCEB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2254660"/>
      <w:docPartObj>
        <w:docPartGallery w:val="Page Numbers (Bottom of Page)"/>
        <w:docPartUnique/>
      </w:docPartObj>
    </w:sdtPr>
    <w:sdtEndPr>
      <w:rPr>
        <w:noProof/>
      </w:rPr>
    </w:sdtEndPr>
    <w:sdtContent>
      <w:p w14:paraId="50AC9DD9" w14:textId="3549C399" w:rsidR="00A4240C" w:rsidRDefault="00A424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B98457" w14:textId="77777777" w:rsidR="00C655F5" w:rsidRDefault="00C655F5">
    <w:pPr>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4947918"/>
      <w:docPartObj>
        <w:docPartGallery w:val="Page Numbers (Bottom of Page)"/>
        <w:docPartUnique/>
      </w:docPartObj>
    </w:sdtPr>
    <w:sdtEndPr>
      <w:rPr>
        <w:noProof/>
      </w:rPr>
    </w:sdtEndPr>
    <w:sdtContent>
      <w:p w14:paraId="77E18240" w14:textId="755C24D5" w:rsidR="00A4240C" w:rsidRDefault="00A424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6575E1" w14:textId="77777777" w:rsidR="00810EC8" w:rsidRDefault="00810EC8">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CA4134" w14:textId="77777777" w:rsidR="00F52B9F" w:rsidRDefault="00F52B9F">
      <w:pPr>
        <w:spacing w:after="0" w:line="240" w:lineRule="auto"/>
      </w:pPr>
      <w:r>
        <w:separator/>
      </w:r>
    </w:p>
  </w:footnote>
  <w:footnote w:type="continuationSeparator" w:id="0">
    <w:p w14:paraId="21013DA9" w14:textId="77777777" w:rsidR="00F52B9F" w:rsidRDefault="00F52B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B30C0"/>
    <w:multiLevelType w:val="multilevel"/>
    <w:tmpl w:val="0882A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414AE7"/>
    <w:multiLevelType w:val="multilevel"/>
    <w:tmpl w:val="AF060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23012E"/>
    <w:multiLevelType w:val="hybridMultilevel"/>
    <w:tmpl w:val="C3B465EA"/>
    <w:lvl w:ilvl="0" w:tplc="31829F44">
      <w:numFmt w:val="bullet"/>
      <w:lvlText w:val="•"/>
      <w:lvlJc w:val="left"/>
      <w:pPr>
        <w:ind w:left="720" w:hanging="360"/>
      </w:pPr>
      <w:rPr>
        <w:rFonts w:ascii="Arial" w:eastAsia="Aptos" w:hAnsi="Arial" w:cs="Arial"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B0C0E25"/>
    <w:multiLevelType w:val="multilevel"/>
    <w:tmpl w:val="BA027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8F756F"/>
    <w:multiLevelType w:val="multilevel"/>
    <w:tmpl w:val="0E286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F13D94"/>
    <w:multiLevelType w:val="multilevel"/>
    <w:tmpl w:val="47C48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356331"/>
    <w:multiLevelType w:val="hybridMultilevel"/>
    <w:tmpl w:val="15E8D0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1CA1573"/>
    <w:multiLevelType w:val="hybridMultilevel"/>
    <w:tmpl w:val="2266077E"/>
    <w:lvl w:ilvl="0" w:tplc="31829F44">
      <w:numFmt w:val="bullet"/>
      <w:lvlText w:val="•"/>
      <w:lvlJc w:val="left"/>
      <w:pPr>
        <w:ind w:left="720" w:hanging="360"/>
      </w:pPr>
      <w:rPr>
        <w:rFonts w:ascii="Arial" w:eastAsia="Aptos" w:hAnsi="Arial" w:cs="Arial"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239591B"/>
    <w:multiLevelType w:val="multilevel"/>
    <w:tmpl w:val="4D587DD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9" w15:restartNumberingAfterBreak="0">
    <w:nsid w:val="140D7476"/>
    <w:multiLevelType w:val="multilevel"/>
    <w:tmpl w:val="0F3E159E"/>
    <w:lvl w:ilvl="0">
      <w:start w:val="1"/>
      <w:numFmt w:val="decimal"/>
      <w:lvlText w:val="%1."/>
      <w:lvlJc w:val="left"/>
      <w:pPr>
        <w:ind w:left="720" w:hanging="360"/>
      </w:pPr>
      <w:rPr>
        <w:b/>
        <w:bCs/>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0" w15:restartNumberingAfterBreak="0">
    <w:nsid w:val="1EAB404A"/>
    <w:multiLevelType w:val="multilevel"/>
    <w:tmpl w:val="20526A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1F024468"/>
    <w:multiLevelType w:val="multilevel"/>
    <w:tmpl w:val="3B604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102A05"/>
    <w:multiLevelType w:val="hybridMultilevel"/>
    <w:tmpl w:val="778E03FC"/>
    <w:lvl w:ilvl="0" w:tplc="31829F44">
      <w:numFmt w:val="bullet"/>
      <w:lvlText w:val="•"/>
      <w:lvlJc w:val="left"/>
      <w:pPr>
        <w:ind w:left="720" w:hanging="360"/>
      </w:pPr>
      <w:rPr>
        <w:rFonts w:ascii="Arial" w:eastAsia="Aptos" w:hAnsi="Arial" w:cs="Arial"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5BF3737"/>
    <w:multiLevelType w:val="multilevel"/>
    <w:tmpl w:val="F5C40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78B3050"/>
    <w:multiLevelType w:val="hybridMultilevel"/>
    <w:tmpl w:val="2E76C610"/>
    <w:lvl w:ilvl="0" w:tplc="31829F44">
      <w:numFmt w:val="bullet"/>
      <w:lvlText w:val="•"/>
      <w:lvlJc w:val="left"/>
      <w:pPr>
        <w:ind w:left="720" w:hanging="360"/>
      </w:pPr>
      <w:rPr>
        <w:rFonts w:ascii="Arial" w:eastAsia="Aptos" w:hAnsi="Arial" w:cs="Arial"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C8E6EE6"/>
    <w:multiLevelType w:val="multilevel"/>
    <w:tmpl w:val="8FFC21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CDE0AF1"/>
    <w:multiLevelType w:val="multilevel"/>
    <w:tmpl w:val="0F3E159E"/>
    <w:lvl w:ilvl="0">
      <w:start w:val="1"/>
      <w:numFmt w:val="decimal"/>
      <w:lvlText w:val="%1."/>
      <w:lvlJc w:val="left"/>
      <w:pPr>
        <w:ind w:left="720" w:hanging="360"/>
      </w:pPr>
      <w:rPr>
        <w:b/>
        <w:bCs/>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7" w15:restartNumberingAfterBreak="0">
    <w:nsid w:val="376C663E"/>
    <w:multiLevelType w:val="multilevel"/>
    <w:tmpl w:val="61F8F3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A522A7B"/>
    <w:multiLevelType w:val="multilevel"/>
    <w:tmpl w:val="0F3E159E"/>
    <w:lvl w:ilvl="0">
      <w:start w:val="1"/>
      <w:numFmt w:val="decimal"/>
      <w:lvlText w:val="%1."/>
      <w:lvlJc w:val="left"/>
      <w:pPr>
        <w:ind w:left="720" w:hanging="360"/>
      </w:pPr>
      <w:rPr>
        <w:b/>
        <w:bCs/>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9" w15:restartNumberingAfterBreak="0">
    <w:nsid w:val="3EB02369"/>
    <w:multiLevelType w:val="hybridMultilevel"/>
    <w:tmpl w:val="771E44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0F23650"/>
    <w:multiLevelType w:val="hybridMultilevel"/>
    <w:tmpl w:val="BD388CA4"/>
    <w:lvl w:ilvl="0" w:tplc="31829F44">
      <w:numFmt w:val="bullet"/>
      <w:lvlText w:val="•"/>
      <w:lvlJc w:val="left"/>
      <w:pPr>
        <w:ind w:left="720" w:hanging="360"/>
      </w:pPr>
      <w:rPr>
        <w:rFonts w:ascii="Arial" w:eastAsia="Aptos" w:hAnsi="Arial" w:cs="Arial"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1297F54"/>
    <w:multiLevelType w:val="hybridMultilevel"/>
    <w:tmpl w:val="409C064C"/>
    <w:lvl w:ilvl="0" w:tplc="31829F44">
      <w:numFmt w:val="bullet"/>
      <w:lvlText w:val="•"/>
      <w:lvlJc w:val="left"/>
      <w:pPr>
        <w:ind w:left="720" w:hanging="360"/>
      </w:pPr>
      <w:rPr>
        <w:rFonts w:ascii="Arial" w:eastAsia="Aptos" w:hAnsi="Arial" w:cs="Arial"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55D3F7B"/>
    <w:multiLevelType w:val="multilevel"/>
    <w:tmpl w:val="020E3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6282FB6"/>
    <w:multiLevelType w:val="hybridMultilevel"/>
    <w:tmpl w:val="8CDEAA38"/>
    <w:lvl w:ilvl="0" w:tplc="31829F44">
      <w:numFmt w:val="bullet"/>
      <w:lvlText w:val="•"/>
      <w:lvlJc w:val="left"/>
      <w:pPr>
        <w:ind w:left="720" w:hanging="360"/>
      </w:pPr>
      <w:rPr>
        <w:rFonts w:ascii="Arial" w:eastAsia="Aptos" w:hAnsi="Arial" w:cs="Arial"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73E69E7"/>
    <w:multiLevelType w:val="multilevel"/>
    <w:tmpl w:val="0C489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8FE0ADA"/>
    <w:multiLevelType w:val="multilevel"/>
    <w:tmpl w:val="F4AC3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A72497A"/>
    <w:multiLevelType w:val="multilevel"/>
    <w:tmpl w:val="2D7C5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ABC4F62"/>
    <w:multiLevelType w:val="hybridMultilevel"/>
    <w:tmpl w:val="C43E1A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4DCF4320"/>
    <w:multiLevelType w:val="hybridMultilevel"/>
    <w:tmpl w:val="D0BEB3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507A12E2"/>
    <w:multiLevelType w:val="multilevel"/>
    <w:tmpl w:val="41F0F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0AA5D75"/>
    <w:multiLevelType w:val="hybridMultilevel"/>
    <w:tmpl w:val="229E60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5862014A"/>
    <w:multiLevelType w:val="multilevel"/>
    <w:tmpl w:val="4404D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8B8636C"/>
    <w:multiLevelType w:val="hybridMultilevel"/>
    <w:tmpl w:val="FCE0B03E"/>
    <w:lvl w:ilvl="0" w:tplc="31829F44">
      <w:numFmt w:val="bullet"/>
      <w:lvlText w:val="•"/>
      <w:lvlJc w:val="left"/>
      <w:pPr>
        <w:ind w:left="720" w:hanging="360"/>
      </w:pPr>
      <w:rPr>
        <w:rFonts w:ascii="Arial" w:eastAsia="Aptos" w:hAnsi="Arial" w:cs="Arial"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90A0E44"/>
    <w:multiLevelType w:val="hybridMultilevel"/>
    <w:tmpl w:val="D44E7142"/>
    <w:lvl w:ilvl="0" w:tplc="31829F44">
      <w:numFmt w:val="bullet"/>
      <w:lvlText w:val="•"/>
      <w:lvlJc w:val="left"/>
      <w:pPr>
        <w:ind w:left="720" w:hanging="360"/>
      </w:pPr>
      <w:rPr>
        <w:rFonts w:ascii="Arial" w:eastAsia="Aptos" w:hAnsi="Arial" w:cs="Arial"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5931654E"/>
    <w:multiLevelType w:val="multilevel"/>
    <w:tmpl w:val="3AEE15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D792244"/>
    <w:multiLevelType w:val="hybridMultilevel"/>
    <w:tmpl w:val="7184471A"/>
    <w:lvl w:ilvl="0" w:tplc="31829F44">
      <w:numFmt w:val="bullet"/>
      <w:lvlText w:val="•"/>
      <w:lvlJc w:val="left"/>
      <w:pPr>
        <w:ind w:left="720" w:hanging="360"/>
      </w:pPr>
      <w:rPr>
        <w:rFonts w:ascii="Arial" w:eastAsia="Aptos" w:hAnsi="Arial" w:cs="Arial"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B851C99"/>
    <w:multiLevelType w:val="hybridMultilevel"/>
    <w:tmpl w:val="847059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DF069EE"/>
    <w:multiLevelType w:val="hybridMultilevel"/>
    <w:tmpl w:val="59EAB8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6F3D3DA7"/>
    <w:multiLevelType w:val="multilevel"/>
    <w:tmpl w:val="01D6D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01E7644"/>
    <w:multiLevelType w:val="hybridMultilevel"/>
    <w:tmpl w:val="E5F0D5A2"/>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0" w15:restartNumberingAfterBreak="0">
    <w:nsid w:val="71AE7985"/>
    <w:multiLevelType w:val="hybridMultilevel"/>
    <w:tmpl w:val="D714CE4A"/>
    <w:lvl w:ilvl="0" w:tplc="31829F44">
      <w:numFmt w:val="bullet"/>
      <w:lvlText w:val="•"/>
      <w:lvlJc w:val="left"/>
      <w:pPr>
        <w:ind w:left="720" w:hanging="360"/>
      </w:pPr>
      <w:rPr>
        <w:rFonts w:ascii="Arial" w:eastAsia="Aptos" w:hAnsi="Arial" w:cs="Arial"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25F069E"/>
    <w:multiLevelType w:val="multilevel"/>
    <w:tmpl w:val="38407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7FC43E5"/>
    <w:multiLevelType w:val="multilevel"/>
    <w:tmpl w:val="B034452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3" w15:restartNumberingAfterBreak="0">
    <w:nsid w:val="787D21C2"/>
    <w:multiLevelType w:val="multilevel"/>
    <w:tmpl w:val="72E41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B733447"/>
    <w:multiLevelType w:val="multilevel"/>
    <w:tmpl w:val="9E5CC0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D7F524B"/>
    <w:multiLevelType w:val="multilevel"/>
    <w:tmpl w:val="7C2C0C06"/>
    <w:lvl w:ilvl="0">
      <w:start w:val="1"/>
      <w:numFmt w:val="decimal"/>
      <w:lvlText w:val="%1."/>
      <w:lvlJc w:val="left"/>
      <w:pPr>
        <w:ind w:left="720" w:hanging="360"/>
      </w:pPr>
      <w:rPr>
        <w:b/>
        <w:bCs/>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6" w15:restartNumberingAfterBreak="0">
    <w:nsid w:val="7F5F2657"/>
    <w:multiLevelType w:val="multilevel"/>
    <w:tmpl w:val="3BD855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7FB50883"/>
    <w:multiLevelType w:val="multilevel"/>
    <w:tmpl w:val="94144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35676954">
    <w:abstractNumId w:val="10"/>
  </w:num>
  <w:num w:numId="2" w16cid:durableId="202449387">
    <w:abstractNumId w:val="42"/>
  </w:num>
  <w:num w:numId="3" w16cid:durableId="1995257426">
    <w:abstractNumId w:val="8"/>
  </w:num>
  <w:num w:numId="4" w16cid:durableId="1722436840">
    <w:abstractNumId w:val="5"/>
  </w:num>
  <w:num w:numId="5" w16cid:durableId="241987340">
    <w:abstractNumId w:val="15"/>
  </w:num>
  <w:num w:numId="6" w16cid:durableId="145321452">
    <w:abstractNumId w:val="1"/>
  </w:num>
  <w:num w:numId="7" w16cid:durableId="1759328102">
    <w:abstractNumId w:val="41"/>
  </w:num>
  <w:num w:numId="8" w16cid:durableId="79063823">
    <w:abstractNumId w:val="25"/>
  </w:num>
  <w:num w:numId="9" w16cid:durableId="927689869">
    <w:abstractNumId w:val="31"/>
  </w:num>
  <w:num w:numId="10" w16cid:durableId="228660764">
    <w:abstractNumId w:val="46"/>
  </w:num>
  <w:num w:numId="11" w16cid:durableId="2123527570">
    <w:abstractNumId w:val="36"/>
  </w:num>
  <w:num w:numId="12" w16cid:durableId="186068218">
    <w:abstractNumId w:val="34"/>
  </w:num>
  <w:num w:numId="13" w16cid:durableId="587076717">
    <w:abstractNumId w:val="29"/>
  </w:num>
  <w:num w:numId="14" w16cid:durableId="845946237">
    <w:abstractNumId w:val="26"/>
  </w:num>
  <w:num w:numId="15" w16cid:durableId="188185124">
    <w:abstractNumId w:val="47"/>
  </w:num>
  <w:num w:numId="16" w16cid:durableId="127284236">
    <w:abstractNumId w:val="3"/>
  </w:num>
  <w:num w:numId="17" w16cid:durableId="586690959">
    <w:abstractNumId w:val="43"/>
  </w:num>
  <w:num w:numId="18" w16cid:durableId="341468595">
    <w:abstractNumId w:val="44"/>
  </w:num>
  <w:num w:numId="19" w16cid:durableId="772214209">
    <w:abstractNumId w:val="22"/>
  </w:num>
  <w:num w:numId="20" w16cid:durableId="1212883218">
    <w:abstractNumId w:val="11"/>
  </w:num>
  <w:num w:numId="21" w16cid:durableId="2041740073">
    <w:abstractNumId w:val="24"/>
  </w:num>
  <w:num w:numId="22" w16cid:durableId="1113864103">
    <w:abstractNumId w:val="0"/>
  </w:num>
  <w:num w:numId="23" w16cid:durableId="2124303750">
    <w:abstractNumId w:val="17"/>
  </w:num>
  <w:num w:numId="24" w16cid:durableId="1326129954">
    <w:abstractNumId w:val="38"/>
  </w:num>
  <w:num w:numId="25" w16cid:durableId="967783317">
    <w:abstractNumId w:val="4"/>
  </w:num>
  <w:num w:numId="26" w16cid:durableId="1339118657">
    <w:abstractNumId w:val="13"/>
  </w:num>
  <w:num w:numId="27" w16cid:durableId="1188911498">
    <w:abstractNumId w:val="27"/>
  </w:num>
  <w:num w:numId="28" w16cid:durableId="235093680">
    <w:abstractNumId w:val="23"/>
  </w:num>
  <w:num w:numId="29" w16cid:durableId="1310523927">
    <w:abstractNumId w:val="33"/>
  </w:num>
  <w:num w:numId="30" w16cid:durableId="595360381">
    <w:abstractNumId w:val="28"/>
  </w:num>
  <w:num w:numId="31" w16cid:durableId="1744600316">
    <w:abstractNumId w:val="9"/>
  </w:num>
  <w:num w:numId="32" w16cid:durableId="1879202674">
    <w:abstractNumId w:val="35"/>
  </w:num>
  <w:num w:numId="33" w16cid:durableId="881212612">
    <w:abstractNumId w:val="40"/>
  </w:num>
  <w:num w:numId="34" w16cid:durableId="1239049601">
    <w:abstractNumId w:val="21"/>
  </w:num>
  <w:num w:numId="35" w16cid:durableId="490562460">
    <w:abstractNumId w:val="7"/>
  </w:num>
  <w:num w:numId="36" w16cid:durableId="520899371">
    <w:abstractNumId w:val="2"/>
  </w:num>
  <w:num w:numId="37" w16cid:durableId="890003089">
    <w:abstractNumId w:val="14"/>
  </w:num>
  <w:num w:numId="38" w16cid:durableId="307974022">
    <w:abstractNumId w:val="4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16cid:durableId="528761829">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1767112782">
    <w:abstractNumId w:val="10"/>
  </w:num>
  <w:num w:numId="41" w16cid:durableId="332419456">
    <w:abstractNumId w:val="36"/>
  </w:num>
  <w:num w:numId="42" w16cid:durableId="164518953">
    <w:abstractNumId w:val="30"/>
  </w:num>
  <w:num w:numId="43" w16cid:durableId="261645424">
    <w:abstractNumId w:val="37"/>
  </w:num>
  <w:num w:numId="44" w16cid:durableId="1428161547">
    <w:abstractNumId w:val="19"/>
  </w:num>
  <w:num w:numId="45" w16cid:durableId="1503278492">
    <w:abstractNumId w:val="39"/>
  </w:num>
  <w:num w:numId="46" w16cid:durableId="756558056">
    <w:abstractNumId w:val="6"/>
  </w:num>
  <w:num w:numId="47" w16cid:durableId="1410538965">
    <w:abstractNumId w:val="16"/>
  </w:num>
  <w:num w:numId="48" w16cid:durableId="714474734">
    <w:abstractNumId w:val="20"/>
  </w:num>
  <w:num w:numId="49" w16cid:durableId="1130056506">
    <w:abstractNumId w:val="12"/>
  </w:num>
  <w:num w:numId="50" w16cid:durableId="582495490">
    <w:abstractNumId w:val="32"/>
  </w:num>
  <w:num w:numId="51" w16cid:durableId="1030688389">
    <w:abstractNumId w:val="18"/>
  </w:num>
  <w:num w:numId="52" w16cid:durableId="1178231482">
    <w:abstractNumId w:val="4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55F5"/>
    <w:rsid w:val="00025827"/>
    <w:rsid w:val="00082DAE"/>
    <w:rsid w:val="000835F1"/>
    <w:rsid w:val="00096646"/>
    <w:rsid w:val="00097D2D"/>
    <w:rsid w:val="000B52EB"/>
    <w:rsid w:val="000B6080"/>
    <w:rsid w:val="00100E54"/>
    <w:rsid w:val="00121F39"/>
    <w:rsid w:val="001273F0"/>
    <w:rsid w:val="0016717E"/>
    <w:rsid w:val="001777EB"/>
    <w:rsid w:val="00181905"/>
    <w:rsid w:val="00194AC1"/>
    <w:rsid w:val="001D19AC"/>
    <w:rsid w:val="00221EF4"/>
    <w:rsid w:val="00252658"/>
    <w:rsid w:val="002553AC"/>
    <w:rsid w:val="00260EEF"/>
    <w:rsid w:val="00280696"/>
    <w:rsid w:val="00285A33"/>
    <w:rsid w:val="0029063F"/>
    <w:rsid w:val="002A33D4"/>
    <w:rsid w:val="002A36DB"/>
    <w:rsid w:val="002D7EC0"/>
    <w:rsid w:val="00314A7B"/>
    <w:rsid w:val="00325361"/>
    <w:rsid w:val="00342883"/>
    <w:rsid w:val="00370DFE"/>
    <w:rsid w:val="003A037D"/>
    <w:rsid w:val="003A62D4"/>
    <w:rsid w:val="003A7FBD"/>
    <w:rsid w:val="003E7119"/>
    <w:rsid w:val="004339DD"/>
    <w:rsid w:val="00472247"/>
    <w:rsid w:val="0049505A"/>
    <w:rsid w:val="004B3019"/>
    <w:rsid w:val="00515EB9"/>
    <w:rsid w:val="00593C82"/>
    <w:rsid w:val="005A1F97"/>
    <w:rsid w:val="005A54FA"/>
    <w:rsid w:val="005F570C"/>
    <w:rsid w:val="0064502C"/>
    <w:rsid w:val="00670748"/>
    <w:rsid w:val="00672A17"/>
    <w:rsid w:val="0068629E"/>
    <w:rsid w:val="006C4008"/>
    <w:rsid w:val="00704D4E"/>
    <w:rsid w:val="00731879"/>
    <w:rsid w:val="00745A84"/>
    <w:rsid w:val="007704B1"/>
    <w:rsid w:val="007A45CE"/>
    <w:rsid w:val="007B65C9"/>
    <w:rsid w:val="007C7C01"/>
    <w:rsid w:val="007D4D33"/>
    <w:rsid w:val="007F09E0"/>
    <w:rsid w:val="00810EC8"/>
    <w:rsid w:val="008266A9"/>
    <w:rsid w:val="00884E5A"/>
    <w:rsid w:val="00894A2A"/>
    <w:rsid w:val="008C20A9"/>
    <w:rsid w:val="008E1D0A"/>
    <w:rsid w:val="008F2C05"/>
    <w:rsid w:val="009226E1"/>
    <w:rsid w:val="00924C79"/>
    <w:rsid w:val="00953D57"/>
    <w:rsid w:val="00967467"/>
    <w:rsid w:val="009814F9"/>
    <w:rsid w:val="00982F6A"/>
    <w:rsid w:val="00987ACA"/>
    <w:rsid w:val="00996A10"/>
    <w:rsid w:val="009E5A06"/>
    <w:rsid w:val="00A07050"/>
    <w:rsid w:val="00A12668"/>
    <w:rsid w:val="00A4240C"/>
    <w:rsid w:val="00A8293C"/>
    <w:rsid w:val="00AB20EC"/>
    <w:rsid w:val="00AC1464"/>
    <w:rsid w:val="00AC408B"/>
    <w:rsid w:val="00AC5DFA"/>
    <w:rsid w:val="00B06C4D"/>
    <w:rsid w:val="00B66F60"/>
    <w:rsid w:val="00B807C8"/>
    <w:rsid w:val="00B81DDE"/>
    <w:rsid w:val="00BD2183"/>
    <w:rsid w:val="00BD462A"/>
    <w:rsid w:val="00BE6133"/>
    <w:rsid w:val="00C22622"/>
    <w:rsid w:val="00C655F5"/>
    <w:rsid w:val="00C6695C"/>
    <w:rsid w:val="00C679D9"/>
    <w:rsid w:val="00CC7C04"/>
    <w:rsid w:val="00CD3540"/>
    <w:rsid w:val="00D02D4C"/>
    <w:rsid w:val="00D10E8B"/>
    <w:rsid w:val="00D4436C"/>
    <w:rsid w:val="00D73C90"/>
    <w:rsid w:val="00D845B6"/>
    <w:rsid w:val="00D85BAA"/>
    <w:rsid w:val="00DE0259"/>
    <w:rsid w:val="00DE4B54"/>
    <w:rsid w:val="00E07E76"/>
    <w:rsid w:val="00E11786"/>
    <w:rsid w:val="00E12D9B"/>
    <w:rsid w:val="00E16D64"/>
    <w:rsid w:val="00E26EA4"/>
    <w:rsid w:val="00E34571"/>
    <w:rsid w:val="00E570AA"/>
    <w:rsid w:val="00E76B52"/>
    <w:rsid w:val="00E83AA1"/>
    <w:rsid w:val="00EA37CC"/>
    <w:rsid w:val="00EB2054"/>
    <w:rsid w:val="00EB4141"/>
    <w:rsid w:val="00F04569"/>
    <w:rsid w:val="00F23F7A"/>
    <w:rsid w:val="00F26B3F"/>
    <w:rsid w:val="00F27CF1"/>
    <w:rsid w:val="00F52B9F"/>
    <w:rsid w:val="00F86E31"/>
    <w:rsid w:val="00FA7500"/>
    <w:rsid w:val="00FB1635"/>
    <w:rsid w:val="00FD5589"/>
    <w:rsid w:val="00FE1522"/>
    <w:rsid w:val="00FE59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1DF021"/>
  <w15:docId w15:val="{DB32AD03-38A9-4290-A7AF-8BFEDAEFAF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qFormat/>
    <w:rsid w:val="001777EB"/>
    <w:pPr>
      <w:keepNext/>
      <w:keepLines/>
      <w:spacing w:before="360" w:after="80"/>
      <w:jc w:val="center"/>
      <w:outlineLvl w:val="0"/>
    </w:pPr>
    <w:rPr>
      <w:rFonts w:ascii="Arial" w:eastAsia="Play" w:hAnsi="Arial" w:cs="Play"/>
      <w:b/>
      <w:color w:val="000000" w:themeColor="text1"/>
      <w:sz w:val="32"/>
      <w:szCs w:val="40"/>
    </w:rPr>
  </w:style>
  <w:style w:type="paragraph" w:styleId="Heading2">
    <w:name w:val="heading 2"/>
    <w:basedOn w:val="Normal"/>
    <w:next w:val="Normal"/>
    <w:link w:val="Heading2Char"/>
    <w:autoRedefine/>
    <w:qFormat/>
    <w:rsid w:val="00CC7C04"/>
    <w:pPr>
      <w:keepNext/>
      <w:keepLines/>
      <w:spacing w:before="160" w:after="80"/>
      <w:jc w:val="both"/>
      <w:outlineLvl w:val="1"/>
    </w:pPr>
    <w:rPr>
      <w:rFonts w:ascii="Arial" w:eastAsia="Play" w:hAnsi="Arial" w:cs="Play"/>
      <w:b/>
      <w:color w:val="000000" w:themeColor="text1"/>
      <w:sz w:val="28"/>
      <w:szCs w:val="32"/>
      <w:lang w:val="en-GB"/>
    </w:rPr>
  </w:style>
  <w:style w:type="paragraph" w:styleId="Heading3">
    <w:name w:val="heading 3"/>
    <w:basedOn w:val="Normal"/>
    <w:next w:val="Normal"/>
    <w:link w:val="Heading3Char"/>
    <w:autoRedefine/>
    <w:qFormat/>
    <w:rsid w:val="00A4240C"/>
    <w:pPr>
      <w:keepNext/>
      <w:keepLines/>
      <w:spacing w:before="160" w:after="80"/>
      <w:jc w:val="both"/>
      <w:outlineLvl w:val="2"/>
    </w:pPr>
    <w:rPr>
      <w:rFonts w:ascii="Arial" w:hAnsi="Arial"/>
      <w:b/>
      <w:color w:val="000000" w:themeColor="text1"/>
      <w:szCs w:val="28"/>
      <w:lang w:val="en-GB"/>
    </w:rPr>
  </w:style>
  <w:style w:type="paragraph" w:styleId="Heading4">
    <w:name w:val="heading 4"/>
    <w:basedOn w:val="Normal"/>
    <w:next w:val="Normal"/>
    <w:pPr>
      <w:keepNext/>
      <w:keepLines/>
      <w:spacing w:before="80" w:after="40"/>
      <w:outlineLvl w:val="3"/>
    </w:pPr>
    <w:rPr>
      <w:i/>
      <w:iCs/>
      <w:color w:val="0F4761"/>
    </w:rPr>
  </w:style>
  <w:style w:type="paragraph" w:styleId="Heading5">
    <w:name w:val="heading 5"/>
    <w:basedOn w:val="Normal"/>
    <w:next w:val="Normal"/>
    <w:pPr>
      <w:keepNext/>
      <w:keepLines/>
      <w:spacing w:before="80" w:after="40"/>
      <w:outlineLvl w:val="4"/>
    </w:pPr>
    <w:rPr>
      <w:color w:val="0F4761"/>
    </w:rPr>
  </w:style>
  <w:style w:type="paragraph" w:styleId="Heading6">
    <w:name w:val="heading 6"/>
    <w:basedOn w:val="Normal"/>
    <w:next w:val="Normal"/>
    <w:pPr>
      <w:keepNext/>
      <w:keepLines/>
      <w:spacing w:before="40" w:after="0"/>
      <w:outlineLvl w:val="5"/>
    </w:pPr>
    <w:rPr>
      <w:i/>
      <w:iCs/>
      <w:color w:val="595959"/>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spacing w:after="80" w:line="240" w:lineRule="auto"/>
    </w:pPr>
    <w:rPr>
      <w:rFonts w:ascii="Play" w:eastAsia="Play" w:hAnsi="Play" w:cs="Play"/>
      <w:sz w:val="56"/>
      <w:szCs w:val="56"/>
    </w:rPr>
  </w:style>
  <w:style w:type="paragraph" w:styleId="Subtitle">
    <w:name w:val="Subtitle"/>
    <w:basedOn w:val="Normal"/>
    <w:next w:val="Normal"/>
    <w:rPr>
      <w:color w:val="595959"/>
      <w:sz w:val="28"/>
      <w:szCs w:val="28"/>
    </w:rPr>
  </w:style>
  <w:style w:type="paragraph" w:styleId="NoSpacing">
    <w:name w:val="No Spacing"/>
    <w:uiPriority w:val="1"/>
    <w:qFormat/>
    <w:rsid w:val="00221EF4"/>
    <w:pPr>
      <w:spacing w:after="0" w:line="240" w:lineRule="auto"/>
    </w:pPr>
  </w:style>
  <w:style w:type="paragraph" w:styleId="Caption">
    <w:name w:val="caption"/>
    <w:basedOn w:val="Normal"/>
    <w:next w:val="Normal"/>
    <w:uiPriority w:val="35"/>
    <w:unhideWhenUsed/>
    <w:qFormat/>
    <w:rsid w:val="00731879"/>
    <w:pPr>
      <w:spacing w:after="200" w:line="240" w:lineRule="auto"/>
    </w:pPr>
    <w:rPr>
      <w:i/>
      <w:iCs/>
      <w:color w:val="1F497D" w:themeColor="text2"/>
      <w:sz w:val="18"/>
      <w:szCs w:val="18"/>
    </w:rPr>
  </w:style>
  <w:style w:type="paragraph" w:styleId="TOC1">
    <w:name w:val="toc 1"/>
    <w:basedOn w:val="Normal"/>
    <w:next w:val="Normal"/>
    <w:autoRedefine/>
    <w:uiPriority w:val="39"/>
    <w:unhideWhenUsed/>
    <w:rsid w:val="00E34571"/>
    <w:pPr>
      <w:spacing w:after="100"/>
    </w:pPr>
  </w:style>
  <w:style w:type="paragraph" w:styleId="TOC2">
    <w:name w:val="toc 2"/>
    <w:basedOn w:val="Normal"/>
    <w:next w:val="Normal"/>
    <w:autoRedefine/>
    <w:uiPriority w:val="39"/>
    <w:unhideWhenUsed/>
    <w:rsid w:val="00E34571"/>
    <w:pPr>
      <w:spacing w:after="100"/>
      <w:ind w:left="240"/>
    </w:pPr>
  </w:style>
  <w:style w:type="paragraph" w:styleId="TOC3">
    <w:name w:val="toc 3"/>
    <w:basedOn w:val="Normal"/>
    <w:next w:val="Normal"/>
    <w:autoRedefine/>
    <w:uiPriority w:val="39"/>
    <w:unhideWhenUsed/>
    <w:rsid w:val="00E34571"/>
    <w:pPr>
      <w:spacing w:after="100"/>
      <w:ind w:left="480"/>
    </w:pPr>
  </w:style>
  <w:style w:type="character" w:styleId="Hyperlink">
    <w:name w:val="Hyperlink"/>
    <w:basedOn w:val="DefaultParagraphFont"/>
    <w:uiPriority w:val="99"/>
    <w:unhideWhenUsed/>
    <w:rsid w:val="00E34571"/>
    <w:rPr>
      <w:color w:val="0000FF" w:themeColor="hyperlink"/>
      <w:u w:val="single"/>
    </w:rPr>
  </w:style>
  <w:style w:type="paragraph" w:styleId="Header">
    <w:name w:val="header"/>
    <w:basedOn w:val="Normal"/>
    <w:link w:val="HeaderChar"/>
    <w:uiPriority w:val="99"/>
    <w:unhideWhenUsed/>
    <w:rsid w:val="00E345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4571"/>
  </w:style>
  <w:style w:type="paragraph" w:styleId="Footer">
    <w:name w:val="footer"/>
    <w:basedOn w:val="Normal"/>
    <w:link w:val="FooterChar"/>
    <w:uiPriority w:val="99"/>
    <w:unhideWhenUsed/>
    <w:rsid w:val="00E345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4571"/>
  </w:style>
  <w:style w:type="character" w:styleId="UnresolvedMention">
    <w:name w:val="Unresolved Mention"/>
    <w:basedOn w:val="DefaultParagraphFont"/>
    <w:uiPriority w:val="99"/>
    <w:semiHidden/>
    <w:unhideWhenUsed/>
    <w:rsid w:val="00D02D4C"/>
    <w:rPr>
      <w:color w:val="605E5C"/>
      <w:shd w:val="clear" w:color="auto" w:fill="E1DFDD"/>
    </w:rPr>
  </w:style>
  <w:style w:type="table" w:styleId="TableGrid">
    <w:name w:val="Table Grid"/>
    <w:basedOn w:val="TableNormal"/>
    <w:uiPriority w:val="39"/>
    <w:rsid w:val="007C7C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C7C01"/>
    <w:rPr>
      <w:color w:val="800080" w:themeColor="followedHyperlink"/>
      <w:u w:val="single"/>
    </w:rPr>
  </w:style>
  <w:style w:type="paragraph" w:styleId="ListParagraph">
    <w:name w:val="List Paragraph"/>
    <w:basedOn w:val="Normal"/>
    <w:uiPriority w:val="34"/>
    <w:qFormat/>
    <w:rsid w:val="00121F39"/>
    <w:pPr>
      <w:ind w:left="720"/>
      <w:contextualSpacing/>
    </w:pPr>
  </w:style>
  <w:style w:type="paragraph" w:styleId="TOCHeading">
    <w:name w:val="TOC Heading"/>
    <w:basedOn w:val="Heading1"/>
    <w:next w:val="Normal"/>
    <w:uiPriority w:val="39"/>
    <w:unhideWhenUsed/>
    <w:qFormat/>
    <w:rsid w:val="00810EC8"/>
    <w:pPr>
      <w:spacing w:before="240" w:after="0" w:line="259" w:lineRule="auto"/>
      <w:outlineLvl w:val="9"/>
    </w:pPr>
    <w:rPr>
      <w:rFonts w:asciiTheme="majorHAnsi" w:eastAsiaTheme="majorEastAsia" w:hAnsiTheme="majorHAnsi" w:cstheme="majorBidi"/>
      <w:b w:val="0"/>
      <w:color w:val="365F91" w:themeColor="accent1" w:themeShade="BF"/>
      <w:szCs w:val="32"/>
      <w:lang w:val="en-US" w:eastAsia="en-US"/>
    </w:rPr>
  </w:style>
  <w:style w:type="paragraph" w:styleId="TOC4">
    <w:name w:val="toc 4"/>
    <w:basedOn w:val="Normal"/>
    <w:next w:val="Normal"/>
    <w:autoRedefine/>
    <w:uiPriority w:val="39"/>
    <w:unhideWhenUsed/>
    <w:rsid w:val="00810EC8"/>
    <w:pPr>
      <w:spacing w:after="100"/>
      <w:ind w:left="720"/>
    </w:pPr>
    <w:rPr>
      <w:rFonts w:asciiTheme="minorHAnsi" w:eastAsiaTheme="minorEastAsia" w:hAnsiTheme="minorHAnsi" w:cstheme="minorBidi"/>
      <w:kern w:val="2"/>
      <w:lang w:val="en-US" w:eastAsia="en-US"/>
      <w14:ligatures w14:val="standardContextual"/>
    </w:rPr>
  </w:style>
  <w:style w:type="paragraph" w:styleId="TOC5">
    <w:name w:val="toc 5"/>
    <w:basedOn w:val="Normal"/>
    <w:next w:val="Normal"/>
    <w:autoRedefine/>
    <w:uiPriority w:val="39"/>
    <w:unhideWhenUsed/>
    <w:rsid w:val="00810EC8"/>
    <w:pPr>
      <w:spacing w:after="100"/>
      <w:ind w:left="960"/>
    </w:pPr>
    <w:rPr>
      <w:rFonts w:asciiTheme="minorHAnsi" w:eastAsiaTheme="minorEastAsia" w:hAnsiTheme="minorHAnsi" w:cstheme="minorBidi"/>
      <w:kern w:val="2"/>
      <w:lang w:val="en-US" w:eastAsia="en-US"/>
      <w14:ligatures w14:val="standardContextual"/>
    </w:rPr>
  </w:style>
  <w:style w:type="paragraph" w:styleId="TOC6">
    <w:name w:val="toc 6"/>
    <w:basedOn w:val="Normal"/>
    <w:next w:val="Normal"/>
    <w:autoRedefine/>
    <w:uiPriority w:val="39"/>
    <w:unhideWhenUsed/>
    <w:rsid w:val="00810EC8"/>
    <w:pPr>
      <w:spacing w:after="100"/>
      <w:ind w:left="1200"/>
    </w:pPr>
    <w:rPr>
      <w:rFonts w:asciiTheme="minorHAnsi" w:eastAsiaTheme="minorEastAsia" w:hAnsiTheme="minorHAnsi" w:cstheme="minorBidi"/>
      <w:kern w:val="2"/>
      <w:lang w:val="en-US" w:eastAsia="en-US"/>
      <w14:ligatures w14:val="standardContextual"/>
    </w:rPr>
  </w:style>
  <w:style w:type="paragraph" w:styleId="TOC7">
    <w:name w:val="toc 7"/>
    <w:basedOn w:val="Normal"/>
    <w:next w:val="Normal"/>
    <w:autoRedefine/>
    <w:uiPriority w:val="39"/>
    <w:unhideWhenUsed/>
    <w:rsid w:val="00810EC8"/>
    <w:pPr>
      <w:spacing w:after="100"/>
      <w:ind w:left="1440"/>
    </w:pPr>
    <w:rPr>
      <w:rFonts w:asciiTheme="minorHAnsi" w:eastAsiaTheme="minorEastAsia" w:hAnsiTheme="minorHAnsi" w:cstheme="minorBidi"/>
      <w:kern w:val="2"/>
      <w:lang w:val="en-US" w:eastAsia="en-US"/>
      <w14:ligatures w14:val="standardContextual"/>
    </w:rPr>
  </w:style>
  <w:style w:type="paragraph" w:styleId="TOC8">
    <w:name w:val="toc 8"/>
    <w:basedOn w:val="Normal"/>
    <w:next w:val="Normal"/>
    <w:autoRedefine/>
    <w:uiPriority w:val="39"/>
    <w:unhideWhenUsed/>
    <w:rsid w:val="00810EC8"/>
    <w:pPr>
      <w:spacing w:after="100"/>
      <w:ind w:left="1680"/>
    </w:pPr>
    <w:rPr>
      <w:rFonts w:asciiTheme="minorHAnsi" w:eastAsiaTheme="minorEastAsia" w:hAnsiTheme="minorHAnsi" w:cstheme="minorBidi"/>
      <w:kern w:val="2"/>
      <w:lang w:val="en-US" w:eastAsia="en-US"/>
      <w14:ligatures w14:val="standardContextual"/>
    </w:rPr>
  </w:style>
  <w:style w:type="paragraph" w:styleId="TOC9">
    <w:name w:val="toc 9"/>
    <w:basedOn w:val="Normal"/>
    <w:next w:val="Normal"/>
    <w:autoRedefine/>
    <w:uiPriority w:val="39"/>
    <w:unhideWhenUsed/>
    <w:rsid w:val="00810EC8"/>
    <w:pPr>
      <w:spacing w:after="100"/>
      <w:ind w:left="1920"/>
    </w:pPr>
    <w:rPr>
      <w:rFonts w:asciiTheme="minorHAnsi" w:eastAsiaTheme="minorEastAsia" w:hAnsiTheme="minorHAnsi" w:cstheme="minorBidi"/>
      <w:kern w:val="2"/>
      <w:lang w:val="en-US" w:eastAsia="en-US"/>
      <w14:ligatures w14:val="standardContextual"/>
    </w:rPr>
  </w:style>
  <w:style w:type="paragraph" w:styleId="TableofFigures">
    <w:name w:val="table of figures"/>
    <w:basedOn w:val="Normal"/>
    <w:next w:val="Normal"/>
    <w:uiPriority w:val="99"/>
    <w:unhideWhenUsed/>
    <w:rsid w:val="008C20A9"/>
    <w:pPr>
      <w:spacing w:after="0"/>
    </w:pPr>
  </w:style>
  <w:style w:type="character" w:customStyle="1" w:styleId="Heading2Char">
    <w:name w:val="Heading 2 Char"/>
    <w:basedOn w:val="DefaultParagraphFont"/>
    <w:link w:val="Heading2"/>
    <w:rsid w:val="00D845B6"/>
    <w:rPr>
      <w:rFonts w:ascii="Arial" w:eastAsia="Play" w:hAnsi="Arial" w:cs="Play"/>
      <w:b/>
      <w:color w:val="000000" w:themeColor="text1"/>
      <w:sz w:val="28"/>
      <w:szCs w:val="32"/>
      <w:lang w:val="en-GB"/>
    </w:rPr>
  </w:style>
  <w:style w:type="character" w:customStyle="1" w:styleId="Heading3Char">
    <w:name w:val="Heading 3 Char"/>
    <w:basedOn w:val="DefaultParagraphFont"/>
    <w:link w:val="Heading3"/>
    <w:rsid w:val="00D845B6"/>
    <w:rPr>
      <w:rFonts w:ascii="Arial" w:hAnsi="Arial"/>
      <w:b/>
      <w:color w:val="000000" w:themeColor="text1"/>
      <w:szCs w:val="2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91431004">
      <w:bodyDiv w:val="1"/>
      <w:marLeft w:val="0"/>
      <w:marRight w:val="0"/>
      <w:marTop w:val="0"/>
      <w:marBottom w:val="0"/>
      <w:divBdr>
        <w:top w:val="none" w:sz="0" w:space="0" w:color="auto"/>
        <w:left w:val="none" w:sz="0" w:space="0" w:color="auto"/>
        <w:bottom w:val="none" w:sz="0" w:space="0" w:color="auto"/>
        <w:right w:val="none" w:sz="0" w:space="0" w:color="auto"/>
      </w:divBdr>
      <w:divsChild>
        <w:div w:id="503710949">
          <w:marLeft w:val="0"/>
          <w:marRight w:val="0"/>
          <w:marTop w:val="0"/>
          <w:marBottom w:val="0"/>
          <w:divBdr>
            <w:top w:val="none" w:sz="0" w:space="0" w:color="auto"/>
            <w:left w:val="none" w:sz="0" w:space="0" w:color="auto"/>
            <w:bottom w:val="none" w:sz="0" w:space="0" w:color="auto"/>
            <w:right w:val="none" w:sz="0" w:space="0" w:color="auto"/>
          </w:divBdr>
          <w:divsChild>
            <w:div w:id="1478762666">
              <w:marLeft w:val="0"/>
              <w:marRight w:val="0"/>
              <w:marTop w:val="0"/>
              <w:marBottom w:val="0"/>
              <w:divBdr>
                <w:top w:val="none" w:sz="0" w:space="0" w:color="auto"/>
                <w:left w:val="none" w:sz="0" w:space="0" w:color="auto"/>
                <w:bottom w:val="none" w:sz="0" w:space="0" w:color="auto"/>
                <w:right w:val="none" w:sz="0" w:space="0" w:color="auto"/>
              </w:divBdr>
              <w:divsChild>
                <w:div w:id="1840341221">
                  <w:marLeft w:val="0"/>
                  <w:marRight w:val="0"/>
                  <w:marTop w:val="0"/>
                  <w:marBottom w:val="0"/>
                  <w:divBdr>
                    <w:top w:val="none" w:sz="0" w:space="0" w:color="auto"/>
                    <w:left w:val="none" w:sz="0" w:space="0" w:color="auto"/>
                    <w:bottom w:val="none" w:sz="0" w:space="0" w:color="auto"/>
                    <w:right w:val="none" w:sz="0" w:space="0" w:color="auto"/>
                  </w:divBdr>
                  <w:divsChild>
                    <w:div w:id="452678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3813849">
              <w:marLeft w:val="0"/>
              <w:marRight w:val="0"/>
              <w:marTop w:val="0"/>
              <w:marBottom w:val="0"/>
              <w:divBdr>
                <w:top w:val="none" w:sz="0" w:space="0" w:color="auto"/>
                <w:left w:val="none" w:sz="0" w:space="0" w:color="auto"/>
                <w:bottom w:val="none" w:sz="0" w:space="0" w:color="auto"/>
                <w:right w:val="none" w:sz="0" w:space="0" w:color="auto"/>
              </w:divBdr>
              <w:divsChild>
                <w:div w:id="754593998">
                  <w:marLeft w:val="0"/>
                  <w:marRight w:val="0"/>
                  <w:marTop w:val="0"/>
                  <w:marBottom w:val="0"/>
                  <w:divBdr>
                    <w:top w:val="none" w:sz="0" w:space="0" w:color="auto"/>
                    <w:left w:val="none" w:sz="0" w:space="0" w:color="auto"/>
                    <w:bottom w:val="none" w:sz="0" w:space="0" w:color="auto"/>
                    <w:right w:val="none" w:sz="0" w:space="0" w:color="auto"/>
                  </w:divBdr>
                  <w:divsChild>
                    <w:div w:id="826365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3921452">
              <w:marLeft w:val="0"/>
              <w:marRight w:val="0"/>
              <w:marTop w:val="0"/>
              <w:marBottom w:val="0"/>
              <w:divBdr>
                <w:top w:val="none" w:sz="0" w:space="0" w:color="auto"/>
                <w:left w:val="none" w:sz="0" w:space="0" w:color="auto"/>
                <w:bottom w:val="none" w:sz="0" w:space="0" w:color="auto"/>
                <w:right w:val="none" w:sz="0" w:space="0" w:color="auto"/>
              </w:divBdr>
              <w:divsChild>
                <w:div w:id="2070689143">
                  <w:marLeft w:val="0"/>
                  <w:marRight w:val="0"/>
                  <w:marTop w:val="0"/>
                  <w:marBottom w:val="0"/>
                  <w:divBdr>
                    <w:top w:val="none" w:sz="0" w:space="0" w:color="auto"/>
                    <w:left w:val="none" w:sz="0" w:space="0" w:color="auto"/>
                    <w:bottom w:val="none" w:sz="0" w:space="0" w:color="auto"/>
                    <w:right w:val="none" w:sz="0" w:space="0" w:color="auto"/>
                  </w:divBdr>
                  <w:divsChild>
                    <w:div w:id="983267901">
                      <w:marLeft w:val="0"/>
                      <w:marRight w:val="0"/>
                      <w:marTop w:val="0"/>
                      <w:marBottom w:val="0"/>
                      <w:divBdr>
                        <w:top w:val="none" w:sz="0" w:space="0" w:color="auto"/>
                        <w:left w:val="none" w:sz="0" w:space="0" w:color="auto"/>
                        <w:bottom w:val="none" w:sz="0" w:space="0" w:color="auto"/>
                        <w:right w:val="none" w:sz="0" w:space="0" w:color="auto"/>
                      </w:divBdr>
                    </w:div>
                    <w:div w:id="1893810457">
                      <w:marLeft w:val="0"/>
                      <w:marRight w:val="0"/>
                      <w:marTop w:val="0"/>
                      <w:marBottom w:val="0"/>
                      <w:divBdr>
                        <w:top w:val="none" w:sz="0" w:space="0" w:color="auto"/>
                        <w:left w:val="none" w:sz="0" w:space="0" w:color="auto"/>
                        <w:bottom w:val="none" w:sz="0" w:space="0" w:color="auto"/>
                        <w:right w:val="none" w:sz="0" w:space="0" w:color="auto"/>
                      </w:divBdr>
                      <w:divsChild>
                        <w:div w:id="1826975368">
                          <w:marLeft w:val="0"/>
                          <w:marRight w:val="0"/>
                          <w:marTop w:val="0"/>
                          <w:marBottom w:val="0"/>
                          <w:divBdr>
                            <w:top w:val="none" w:sz="0" w:space="0" w:color="auto"/>
                            <w:left w:val="none" w:sz="0" w:space="0" w:color="auto"/>
                            <w:bottom w:val="none" w:sz="0" w:space="0" w:color="auto"/>
                            <w:right w:val="none" w:sz="0" w:space="0" w:color="auto"/>
                          </w:divBdr>
                          <w:divsChild>
                            <w:div w:id="321129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ambridge.org/core/journals/journal-of-management-and-organization/article/dynamic-capabilities-as-workable-management-systems-theory/0F3A795EE011931B83135B324C33393E" TargetMode="External"/><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cipd.org/uk/knowledge/reports/health-well-being-work/"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bunzl.com/investors/results-reports-and-presentation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pwc.co.uk/industries/documents/make-uk-executive-survey-2026.pdf" TargetMode="External"/><Relationship Id="rId10" Type="http://schemas.openxmlformats.org/officeDocument/2006/relationships/footer" Target="footer1.xml"/><Relationship Id="rId19" Type="http://schemas.openxmlformats.org/officeDocument/2006/relationships/hyperlink" Target="https://www.bloomberg.com/professional/insights/?pg=6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jpeg"/><Relationship Id="rId22" Type="http://schemas.openxmlformats.org/officeDocument/2006/relationships/image" Target="media/image10.pn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F634C7-3BA0-4730-AD59-DFAF4B02F3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72</Pages>
  <Words>20420</Words>
  <Characters>116394</Characters>
  <Application>Microsoft Office Word</Application>
  <DocSecurity>0</DocSecurity>
  <Lines>969</Lines>
  <Paragraphs>273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Supria Alam</dc:creator>
  <cp:lastModifiedBy>supria alam</cp:lastModifiedBy>
  <cp:revision>2</cp:revision>
  <dcterms:created xsi:type="dcterms:W3CDTF">2026-05-05T21:52:00Z</dcterms:created>
  <dcterms:modified xsi:type="dcterms:W3CDTF">2026-05-05T21:52:00Z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8f4178bc-25cb-4058-aa9e-c18d8539b7fe</vt:lpwstr>
  </property>
</Properties>
</file>