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81FF3" w14:textId="2353C7D1" w:rsidR="00192777" w:rsidRPr="00C04098" w:rsidRDefault="00A8607A" w:rsidP="00925304">
      <w:pPr>
        <w:jc w:val="center"/>
        <w:rPr>
          <w:rFonts w:cs="Arial"/>
          <w:b/>
          <w:sz w:val="28"/>
          <w:szCs w:val="28"/>
        </w:rPr>
      </w:pPr>
      <w:r w:rsidRPr="00C04098">
        <w:rPr>
          <w:rFonts w:cs="Arial"/>
          <w:b/>
          <w:sz w:val="28"/>
          <w:szCs w:val="28"/>
        </w:rPr>
        <w:t>LCHS7003 Component 1</w:t>
      </w:r>
    </w:p>
    <w:p w14:paraId="205EA22C" w14:textId="77777777" w:rsidR="00192777" w:rsidRPr="00C04098" w:rsidRDefault="00A8607A" w:rsidP="00925304">
      <w:pPr>
        <w:pStyle w:val="Title"/>
        <w:spacing w:before="720" w:after="280" w:line="360" w:lineRule="auto"/>
        <w:jc w:val="center"/>
        <w:rPr>
          <w:rFonts w:ascii="Arial" w:hAnsi="Arial" w:cs="Arial"/>
          <w:b/>
          <w:sz w:val="28"/>
          <w:szCs w:val="28"/>
          <w:u w:val="single"/>
        </w:rPr>
      </w:pPr>
      <w:r w:rsidRPr="00C04098">
        <w:rPr>
          <w:rFonts w:ascii="Arial" w:hAnsi="Arial" w:cs="Arial"/>
          <w:b/>
          <w:sz w:val="28"/>
          <w:szCs w:val="28"/>
          <w:u w:val="single"/>
        </w:rPr>
        <w:t>Supporting Adults Living with Type 2 Diabetes</w:t>
      </w:r>
    </w:p>
    <w:p w14:paraId="698023E2" w14:textId="77777777" w:rsidR="00192777" w:rsidRPr="00C04098" w:rsidRDefault="00A8607A" w:rsidP="00925304">
      <w:pPr>
        <w:pStyle w:val="Subtitle"/>
        <w:spacing w:after="360"/>
        <w:jc w:val="center"/>
        <w:rPr>
          <w:rFonts w:ascii="Arial" w:hAnsi="Arial" w:cs="Arial"/>
          <w:b/>
          <w:sz w:val="28"/>
          <w:szCs w:val="28"/>
          <w:u w:val="single"/>
        </w:rPr>
      </w:pPr>
      <w:r w:rsidRPr="00C04098">
        <w:rPr>
          <w:rFonts w:ascii="Arial" w:hAnsi="Arial" w:cs="Arial"/>
          <w:b/>
          <w:sz w:val="28"/>
          <w:szCs w:val="28"/>
          <w:u w:val="single"/>
        </w:rPr>
        <w:t>Education treatment and equitable access to community services</w:t>
      </w:r>
    </w:p>
    <w:p w14:paraId="73ED9441" w14:textId="77777777" w:rsidR="00192777" w:rsidRPr="00C04098" w:rsidRDefault="00A8607A" w:rsidP="00925304">
      <w:pPr>
        <w:jc w:val="center"/>
        <w:rPr>
          <w:rFonts w:cs="Arial"/>
          <w:b/>
          <w:sz w:val="28"/>
          <w:szCs w:val="28"/>
        </w:rPr>
      </w:pPr>
      <w:r w:rsidRPr="00C04098">
        <w:rPr>
          <w:rFonts w:cs="Arial"/>
          <w:b/>
          <w:sz w:val="28"/>
          <w:szCs w:val="28"/>
        </w:rPr>
        <w:t>Information for professionals working in England</w:t>
      </w:r>
    </w:p>
    <w:p w14:paraId="7C5D64D1" w14:textId="602570B2" w:rsidR="00192777" w:rsidRPr="00C04098" w:rsidRDefault="00A8607A" w:rsidP="00925304">
      <w:pPr>
        <w:jc w:val="center"/>
        <w:rPr>
          <w:rFonts w:cs="Arial"/>
          <w:b/>
          <w:sz w:val="28"/>
          <w:szCs w:val="28"/>
        </w:rPr>
      </w:pPr>
      <w:r w:rsidRPr="00C04098">
        <w:rPr>
          <w:rFonts w:cs="Arial"/>
          <w:b/>
          <w:sz w:val="28"/>
          <w:szCs w:val="28"/>
        </w:rPr>
        <w:t>Local focus Leicester Leicestershire and Rutland</w:t>
      </w:r>
    </w:p>
    <w:p w14:paraId="25F192A6" w14:textId="77777777" w:rsidR="00192777" w:rsidRPr="00C04098" w:rsidRDefault="00A8607A" w:rsidP="00925304">
      <w:pPr>
        <w:jc w:val="center"/>
        <w:rPr>
          <w:rFonts w:cs="Arial"/>
          <w:b/>
          <w:sz w:val="28"/>
          <w:szCs w:val="28"/>
        </w:rPr>
      </w:pPr>
      <w:r w:rsidRPr="00C04098">
        <w:rPr>
          <w:rFonts w:cs="Arial"/>
          <w:b/>
          <w:sz w:val="28"/>
          <w:szCs w:val="28"/>
        </w:rPr>
        <w:t>Community Care and Management of Longer-term Conditions</w:t>
      </w:r>
      <w:r w:rsidRPr="00C04098">
        <w:rPr>
          <w:rFonts w:cs="Arial"/>
          <w:b/>
          <w:sz w:val="28"/>
          <w:szCs w:val="28"/>
        </w:rPr>
        <w:br/>
        <w:t>MSc Public Health and Social Care in Practice</w:t>
      </w:r>
    </w:p>
    <w:p w14:paraId="2A3DF85D" w14:textId="24020F33" w:rsidR="002605CC" w:rsidRDefault="003B5002" w:rsidP="00925304">
      <w:pPr>
        <w:spacing w:after="200"/>
        <w:jc w:val="center"/>
        <w:rPr>
          <w:rFonts w:cs="Arial"/>
          <w:sz w:val="24"/>
          <w:szCs w:val="24"/>
        </w:rPr>
      </w:pPr>
      <w:r>
        <w:rPr>
          <w:noProof/>
        </w:rPr>
        <w:drawing>
          <wp:inline distT="0" distB="0" distL="0" distR="0" wp14:anchorId="7E0DE440" wp14:editId="60671B92">
            <wp:extent cx="2838735" cy="3573719"/>
            <wp:effectExtent l="0" t="0" r="0" b="8255"/>
            <wp:docPr id="2" name="Picture 2" descr="What is Type 2 Diabetes? Globally, 1 in 9 adults is living with diabetes—and many are not even aware of it. Even more concerning, studies show that over 40% of people w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ype 2 Diabetes? Globally, 1 in 9 adults is living with diabetes—and many are not even aware of it. Even more concerning, studies show that over 40% of people wi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0575" cy="3588624"/>
                    </a:xfrm>
                    <a:prstGeom prst="rect">
                      <a:avLst/>
                    </a:prstGeom>
                    <a:noFill/>
                    <a:ln>
                      <a:noFill/>
                    </a:ln>
                  </pic:spPr>
                </pic:pic>
              </a:graphicData>
            </a:graphic>
          </wp:inline>
        </w:drawing>
      </w:r>
      <w:r w:rsidR="009420FA" w:rsidRPr="009420FA">
        <w:rPr>
          <w:rFonts w:cs="Arial"/>
          <w:sz w:val="24"/>
          <w:szCs w:val="24"/>
        </w:rPr>
        <w:br w:type="page"/>
      </w:r>
    </w:p>
    <w:sdt>
      <w:sdtPr>
        <w:id w:val="-524939535"/>
        <w:docPartObj>
          <w:docPartGallery w:val="Table of Contents"/>
          <w:docPartUnique/>
        </w:docPartObj>
      </w:sdtPr>
      <w:sdtEndPr>
        <w:rPr>
          <w:rFonts w:ascii="Arial" w:eastAsiaTheme="minorEastAsia" w:hAnsi="Arial" w:cstheme="minorBidi"/>
          <w:noProof/>
          <w:sz w:val="22"/>
          <w:szCs w:val="22"/>
        </w:rPr>
      </w:sdtEndPr>
      <w:sdtContent>
        <w:p w14:paraId="266DBFC2" w14:textId="7D2ADC8B" w:rsidR="002605CC" w:rsidRDefault="002605CC" w:rsidP="00925304">
          <w:pPr>
            <w:pStyle w:val="TOCHeading"/>
            <w:spacing w:line="360" w:lineRule="auto"/>
          </w:pPr>
          <w:r>
            <w:t>Table of Contents</w:t>
          </w:r>
        </w:p>
        <w:p w14:paraId="3B1738B3" w14:textId="599649C3" w:rsidR="0095332A" w:rsidRDefault="002605CC">
          <w:pPr>
            <w:pStyle w:val="TOC1"/>
            <w:tabs>
              <w:tab w:val="left" w:pos="440"/>
              <w:tab w:val="right" w:leader="dot" w:pos="9782"/>
            </w:tabs>
            <w:rPr>
              <w:rFonts w:asciiTheme="minorHAnsi" w:hAnsiTheme="minorHAnsi"/>
              <w:noProof/>
              <w:color w:val="auto"/>
              <w:lang w:val="en-PK" w:eastAsia="en-PK"/>
            </w:rPr>
          </w:pPr>
          <w:r>
            <w:fldChar w:fldCharType="begin"/>
          </w:r>
          <w:r>
            <w:instrText xml:space="preserve"> TOC \o "1-3" \h \z \u </w:instrText>
          </w:r>
          <w:r>
            <w:fldChar w:fldCharType="separate"/>
          </w:r>
          <w:hyperlink w:anchor="_Toc243349519" w:history="1">
            <w:r w:rsidR="0095332A" w:rsidRPr="0017553D">
              <w:rPr>
                <w:rStyle w:val="Hyperlink"/>
                <w:rFonts w:cs="Arial"/>
                <w:noProof/>
              </w:rPr>
              <w:t>1.</w:t>
            </w:r>
            <w:r w:rsidR="0095332A">
              <w:rPr>
                <w:rFonts w:asciiTheme="minorHAnsi" w:hAnsiTheme="minorHAnsi"/>
                <w:noProof/>
                <w:color w:val="auto"/>
                <w:lang w:val="en-PK" w:eastAsia="en-PK"/>
              </w:rPr>
              <w:tab/>
            </w:r>
            <w:r w:rsidR="0095332A" w:rsidRPr="0017553D">
              <w:rPr>
                <w:rStyle w:val="Hyperlink"/>
                <w:rFonts w:cs="Arial"/>
                <w:noProof/>
              </w:rPr>
              <w:t>Purpose and approach</w:t>
            </w:r>
            <w:r w:rsidR="0095332A">
              <w:rPr>
                <w:noProof/>
                <w:webHidden/>
              </w:rPr>
              <w:tab/>
            </w:r>
            <w:r w:rsidR="0095332A">
              <w:rPr>
                <w:noProof/>
                <w:webHidden/>
              </w:rPr>
              <w:fldChar w:fldCharType="begin"/>
            </w:r>
            <w:r w:rsidR="0095332A">
              <w:rPr>
                <w:noProof/>
                <w:webHidden/>
              </w:rPr>
              <w:instrText xml:space="preserve"> PAGEREF _Toc243349519 \h </w:instrText>
            </w:r>
            <w:r w:rsidR="0095332A">
              <w:rPr>
                <w:noProof/>
                <w:webHidden/>
              </w:rPr>
            </w:r>
            <w:r w:rsidR="0095332A">
              <w:rPr>
                <w:noProof/>
                <w:webHidden/>
              </w:rPr>
              <w:fldChar w:fldCharType="separate"/>
            </w:r>
            <w:r w:rsidR="0095332A">
              <w:rPr>
                <w:noProof/>
                <w:webHidden/>
              </w:rPr>
              <w:t>3</w:t>
            </w:r>
            <w:r w:rsidR="0095332A">
              <w:rPr>
                <w:noProof/>
                <w:webHidden/>
              </w:rPr>
              <w:fldChar w:fldCharType="end"/>
            </w:r>
          </w:hyperlink>
        </w:p>
        <w:p w14:paraId="04E70552" w14:textId="75650E0C" w:rsidR="0095332A" w:rsidRDefault="0095332A">
          <w:pPr>
            <w:pStyle w:val="TOC1"/>
            <w:tabs>
              <w:tab w:val="left" w:pos="440"/>
              <w:tab w:val="right" w:leader="dot" w:pos="9782"/>
            </w:tabs>
            <w:rPr>
              <w:rFonts w:asciiTheme="minorHAnsi" w:hAnsiTheme="minorHAnsi"/>
              <w:noProof/>
              <w:color w:val="auto"/>
              <w:lang w:val="en-PK" w:eastAsia="en-PK"/>
            </w:rPr>
          </w:pPr>
          <w:hyperlink w:anchor="_Toc243349520" w:history="1">
            <w:r w:rsidRPr="0017553D">
              <w:rPr>
                <w:rStyle w:val="Hyperlink"/>
                <w:noProof/>
              </w:rPr>
              <w:t>2.</w:t>
            </w:r>
            <w:r>
              <w:rPr>
                <w:rFonts w:asciiTheme="minorHAnsi" w:hAnsiTheme="minorHAnsi"/>
                <w:noProof/>
                <w:color w:val="auto"/>
                <w:lang w:val="en-PK" w:eastAsia="en-PK"/>
              </w:rPr>
              <w:tab/>
            </w:r>
            <w:r w:rsidRPr="0017553D">
              <w:rPr>
                <w:rStyle w:val="Hyperlink"/>
                <w:noProof/>
              </w:rPr>
              <w:t>The Condition and Its Distribution</w:t>
            </w:r>
            <w:r>
              <w:rPr>
                <w:noProof/>
                <w:webHidden/>
              </w:rPr>
              <w:tab/>
            </w:r>
            <w:r>
              <w:rPr>
                <w:noProof/>
                <w:webHidden/>
              </w:rPr>
              <w:fldChar w:fldCharType="begin"/>
            </w:r>
            <w:r>
              <w:rPr>
                <w:noProof/>
                <w:webHidden/>
              </w:rPr>
              <w:instrText xml:space="preserve"> PAGEREF _Toc243349520 \h </w:instrText>
            </w:r>
            <w:r>
              <w:rPr>
                <w:noProof/>
                <w:webHidden/>
              </w:rPr>
            </w:r>
            <w:r>
              <w:rPr>
                <w:noProof/>
                <w:webHidden/>
              </w:rPr>
              <w:fldChar w:fldCharType="separate"/>
            </w:r>
            <w:r>
              <w:rPr>
                <w:noProof/>
                <w:webHidden/>
              </w:rPr>
              <w:t>4</w:t>
            </w:r>
            <w:r>
              <w:rPr>
                <w:noProof/>
                <w:webHidden/>
              </w:rPr>
              <w:fldChar w:fldCharType="end"/>
            </w:r>
          </w:hyperlink>
        </w:p>
        <w:p w14:paraId="2DC3C98C" w14:textId="1BFB6D0D" w:rsidR="0095332A" w:rsidRDefault="0095332A">
          <w:pPr>
            <w:pStyle w:val="TOC2"/>
            <w:tabs>
              <w:tab w:val="right" w:leader="dot" w:pos="9782"/>
            </w:tabs>
            <w:rPr>
              <w:rFonts w:asciiTheme="minorHAnsi" w:hAnsiTheme="minorHAnsi"/>
              <w:noProof/>
              <w:color w:val="auto"/>
              <w:lang w:val="en-PK" w:eastAsia="en-PK"/>
            </w:rPr>
          </w:pPr>
          <w:hyperlink w:anchor="_Toc243349521" w:history="1">
            <w:r w:rsidRPr="0017553D">
              <w:rPr>
                <w:rStyle w:val="Hyperlink"/>
                <w:noProof/>
              </w:rPr>
              <w:t>What is type 2 diabetes?</w:t>
            </w:r>
            <w:r>
              <w:rPr>
                <w:noProof/>
                <w:webHidden/>
              </w:rPr>
              <w:tab/>
            </w:r>
            <w:r>
              <w:rPr>
                <w:noProof/>
                <w:webHidden/>
              </w:rPr>
              <w:fldChar w:fldCharType="begin"/>
            </w:r>
            <w:r>
              <w:rPr>
                <w:noProof/>
                <w:webHidden/>
              </w:rPr>
              <w:instrText xml:space="preserve"> PAGEREF _Toc243349521 \h </w:instrText>
            </w:r>
            <w:r>
              <w:rPr>
                <w:noProof/>
                <w:webHidden/>
              </w:rPr>
            </w:r>
            <w:r>
              <w:rPr>
                <w:noProof/>
                <w:webHidden/>
              </w:rPr>
              <w:fldChar w:fldCharType="separate"/>
            </w:r>
            <w:r>
              <w:rPr>
                <w:noProof/>
                <w:webHidden/>
              </w:rPr>
              <w:t>4</w:t>
            </w:r>
            <w:r>
              <w:rPr>
                <w:noProof/>
                <w:webHidden/>
              </w:rPr>
              <w:fldChar w:fldCharType="end"/>
            </w:r>
          </w:hyperlink>
        </w:p>
        <w:p w14:paraId="4B17C086" w14:textId="4C38E255" w:rsidR="0095332A" w:rsidRDefault="0095332A">
          <w:pPr>
            <w:pStyle w:val="TOC2"/>
            <w:tabs>
              <w:tab w:val="right" w:leader="dot" w:pos="9782"/>
            </w:tabs>
            <w:rPr>
              <w:rFonts w:asciiTheme="minorHAnsi" w:hAnsiTheme="minorHAnsi"/>
              <w:noProof/>
              <w:color w:val="auto"/>
              <w:lang w:val="en-PK" w:eastAsia="en-PK"/>
            </w:rPr>
          </w:pPr>
          <w:hyperlink w:anchor="_Toc243349522" w:history="1">
            <w:r w:rsidRPr="0017553D">
              <w:rPr>
                <w:rStyle w:val="Hyperlink"/>
                <w:noProof/>
              </w:rPr>
              <w:t>Estimates For the Globe And For The UK</w:t>
            </w:r>
            <w:r>
              <w:rPr>
                <w:noProof/>
                <w:webHidden/>
              </w:rPr>
              <w:tab/>
            </w:r>
            <w:r>
              <w:rPr>
                <w:noProof/>
                <w:webHidden/>
              </w:rPr>
              <w:fldChar w:fldCharType="begin"/>
            </w:r>
            <w:r>
              <w:rPr>
                <w:noProof/>
                <w:webHidden/>
              </w:rPr>
              <w:instrText xml:space="preserve"> PAGEREF _Toc243349522 \h </w:instrText>
            </w:r>
            <w:r>
              <w:rPr>
                <w:noProof/>
                <w:webHidden/>
              </w:rPr>
            </w:r>
            <w:r>
              <w:rPr>
                <w:noProof/>
                <w:webHidden/>
              </w:rPr>
              <w:fldChar w:fldCharType="separate"/>
            </w:r>
            <w:r>
              <w:rPr>
                <w:noProof/>
                <w:webHidden/>
              </w:rPr>
              <w:t>4</w:t>
            </w:r>
            <w:r>
              <w:rPr>
                <w:noProof/>
                <w:webHidden/>
              </w:rPr>
              <w:fldChar w:fldCharType="end"/>
            </w:r>
          </w:hyperlink>
        </w:p>
        <w:p w14:paraId="6941A527" w14:textId="0011ADDD" w:rsidR="0095332A" w:rsidRDefault="0095332A">
          <w:pPr>
            <w:pStyle w:val="TOC2"/>
            <w:tabs>
              <w:tab w:val="right" w:leader="dot" w:pos="9782"/>
            </w:tabs>
            <w:rPr>
              <w:rFonts w:asciiTheme="minorHAnsi" w:hAnsiTheme="minorHAnsi"/>
              <w:noProof/>
              <w:color w:val="auto"/>
              <w:lang w:val="en-PK" w:eastAsia="en-PK"/>
            </w:rPr>
          </w:pPr>
          <w:hyperlink w:anchor="_Toc243349523" w:history="1">
            <w:r w:rsidRPr="0017553D">
              <w:rPr>
                <w:rStyle w:val="Hyperlink"/>
                <w:noProof/>
              </w:rPr>
              <w:t>Risk and Prevention</w:t>
            </w:r>
            <w:r>
              <w:rPr>
                <w:noProof/>
                <w:webHidden/>
              </w:rPr>
              <w:tab/>
            </w:r>
            <w:r>
              <w:rPr>
                <w:noProof/>
                <w:webHidden/>
              </w:rPr>
              <w:fldChar w:fldCharType="begin"/>
            </w:r>
            <w:r>
              <w:rPr>
                <w:noProof/>
                <w:webHidden/>
              </w:rPr>
              <w:instrText xml:space="preserve"> PAGEREF _Toc243349523 \h </w:instrText>
            </w:r>
            <w:r>
              <w:rPr>
                <w:noProof/>
                <w:webHidden/>
              </w:rPr>
            </w:r>
            <w:r>
              <w:rPr>
                <w:noProof/>
                <w:webHidden/>
              </w:rPr>
              <w:fldChar w:fldCharType="separate"/>
            </w:r>
            <w:r>
              <w:rPr>
                <w:noProof/>
                <w:webHidden/>
              </w:rPr>
              <w:t>6</w:t>
            </w:r>
            <w:r>
              <w:rPr>
                <w:noProof/>
                <w:webHidden/>
              </w:rPr>
              <w:fldChar w:fldCharType="end"/>
            </w:r>
          </w:hyperlink>
        </w:p>
        <w:p w14:paraId="1669A628" w14:textId="160E7A09" w:rsidR="0095332A" w:rsidRDefault="0095332A">
          <w:pPr>
            <w:pStyle w:val="TOC1"/>
            <w:tabs>
              <w:tab w:val="left" w:pos="440"/>
              <w:tab w:val="right" w:leader="dot" w:pos="9782"/>
            </w:tabs>
            <w:rPr>
              <w:rFonts w:asciiTheme="minorHAnsi" w:hAnsiTheme="minorHAnsi"/>
              <w:noProof/>
              <w:color w:val="auto"/>
              <w:lang w:val="en-PK" w:eastAsia="en-PK"/>
            </w:rPr>
          </w:pPr>
          <w:hyperlink w:anchor="_Toc243349524" w:history="1">
            <w:r w:rsidRPr="0017553D">
              <w:rPr>
                <w:rStyle w:val="Hyperlink"/>
                <w:noProof/>
              </w:rPr>
              <w:t>3.</w:t>
            </w:r>
            <w:r>
              <w:rPr>
                <w:rFonts w:asciiTheme="minorHAnsi" w:hAnsiTheme="minorHAnsi"/>
                <w:noProof/>
                <w:color w:val="auto"/>
                <w:lang w:val="en-PK" w:eastAsia="en-PK"/>
              </w:rPr>
              <w:tab/>
            </w:r>
            <w:r w:rsidRPr="0017553D">
              <w:rPr>
                <w:rStyle w:val="Hyperlink"/>
                <w:noProof/>
              </w:rPr>
              <w:t>Consequences For Daily Life and Relationships</w:t>
            </w:r>
            <w:r>
              <w:rPr>
                <w:noProof/>
                <w:webHidden/>
              </w:rPr>
              <w:tab/>
            </w:r>
            <w:r>
              <w:rPr>
                <w:noProof/>
                <w:webHidden/>
              </w:rPr>
              <w:fldChar w:fldCharType="begin"/>
            </w:r>
            <w:r>
              <w:rPr>
                <w:noProof/>
                <w:webHidden/>
              </w:rPr>
              <w:instrText xml:space="preserve"> PAGEREF _Toc243349524 \h </w:instrText>
            </w:r>
            <w:r>
              <w:rPr>
                <w:noProof/>
                <w:webHidden/>
              </w:rPr>
            </w:r>
            <w:r>
              <w:rPr>
                <w:noProof/>
                <w:webHidden/>
              </w:rPr>
              <w:fldChar w:fldCharType="separate"/>
            </w:r>
            <w:r>
              <w:rPr>
                <w:noProof/>
                <w:webHidden/>
              </w:rPr>
              <w:t>6</w:t>
            </w:r>
            <w:r>
              <w:rPr>
                <w:noProof/>
                <w:webHidden/>
              </w:rPr>
              <w:fldChar w:fldCharType="end"/>
            </w:r>
          </w:hyperlink>
        </w:p>
        <w:p w14:paraId="6E180FF7" w14:textId="76A8DC59" w:rsidR="0095332A" w:rsidRDefault="0095332A">
          <w:pPr>
            <w:pStyle w:val="TOC2"/>
            <w:tabs>
              <w:tab w:val="right" w:leader="dot" w:pos="9782"/>
            </w:tabs>
            <w:rPr>
              <w:rFonts w:asciiTheme="minorHAnsi" w:hAnsiTheme="minorHAnsi"/>
              <w:noProof/>
              <w:color w:val="auto"/>
              <w:lang w:val="en-PK" w:eastAsia="en-PK"/>
            </w:rPr>
          </w:pPr>
          <w:hyperlink w:anchor="_Toc243349525" w:history="1">
            <w:r w:rsidRPr="0017553D">
              <w:rPr>
                <w:rStyle w:val="Hyperlink"/>
                <w:noProof/>
              </w:rPr>
              <w:t>The Physical Effects and The Work of Treatment</w:t>
            </w:r>
            <w:r>
              <w:rPr>
                <w:noProof/>
                <w:webHidden/>
              </w:rPr>
              <w:tab/>
            </w:r>
            <w:r>
              <w:rPr>
                <w:noProof/>
                <w:webHidden/>
              </w:rPr>
              <w:fldChar w:fldCharType="begin"/>
            </w:r>
            <w:r>
              <w:rPr>
                <w:noProof/>
                <w:webHidden/>
              </w:rPr>
              <w:instrText xml:space="preserve"> PAGEREF _Toc243349525 \h </w:instrText>
            </w:r>
            <w:r>
              <w:rPr>
                <w:noProof/>
                <w:webHidden/>
              </w:rPr>
            </w:r>
            <w:r>
              <w:rPr>
                <w:noProof/>
                <w:webHidden/>
              </w:rPr>
              <w:fldChar w:fldCharType="separate"/>
            </w:r>
            <w:r>
              <w:rPr>
                <w:noProof/>
                <w:webHidden/>
              </w:rPr>
              <w:t>6</w:t>
            </w:r>
            <w:r>
              <w:rPr>
                <w:noProof/>
                <w:webHidden/>
              </w:rPr>
              <w:fldChar w:fldCharType="end"/>
            </w:r>
          </w:hyperlink>
        </w:p>
        <w:p w14:paraId="2C2962DB" w14:textId="6FF2F8B3" w:rsidR="0095332A" w:rsidRDefault="0095332A">
          <w:pPr>
            <w:pStyle w:val="TOC2"/>
            <w:tabs>
              <w:tab w:val="right" w:leader="dot" w:pos="9782"/>
            </w:tabs>
            <w:rPr>
              <w:rFonts w:asciiTheme="minorHAnsi" w:hAnsiTheme="minorHAnsi"/>
              <w:noProof/>
              <w:color w:val="auto"/>
              <w:lang w:val="en-PK" w:eastAsia="en-PK"/>
            </w:rPr>
          </w:pPr>
          <w:hyperlink w:anchor="_Toc243349526" w:history="1">
            <w:r w:rsidRPr="0017553D">
              <w:rPr>
                <w:rStyle w:val="Hyperlink"/>
                <w:noProof/>
              </w:rPr>
              <w:t>Emotional Responses and Stigma</w:t>
            </w:r>
            <w:r>
              <w:rPr>
                <w:noProof/>
                <w:webHidden/>
              </w:rPr>
              <w:tab/>
            </w:r>
            <w:r>
              <w:rPr>
                <w:noProof/>
                <w:webHidden/>
              </w:rPr>
              <w:fldChar w:fldCharType="begin"/>
            </w:r>
            <w:r>
              <w:rPr>
                <w:noProof/>
                <w:webHidden/>
              </w:rPr>
              <w:instrText xml:space="preserve"> PAGEREF _Toc243349526 \h </w:instrText>
            </w:r>
            <w:r>
              <w:rPr>
                <w:noProof/>
                <w:webHidden/>
              </w:rPr>
            </w:r>
            <w:r>
              <w:rPr>
                <w:noProof/>
                <w:webHidden/>
              </w:rPr>
              <w:fldChar w:fldCharType="separate"/>
            </w:r>
            <w:r>
              <w:rPr>
                <w:noProof/>
                <w:webHidden/>
              </w:rPr>
              <w:t>7</w:t>
            </w:r>
            <w:r>
              <w:rPr>
                <w:noProof/>
                <w:webHidden/>
              </w:rPr>
              <w:fldChar w:fldCharType="end"/>
            </w:r>
          </w:hyperlink>
        </w:p>
        <w:p w14:paraId="4AC2233B" w14:textId="668D8FC5" w:rsidR="0095332A" w:rsidRDefault="0095332A">
          <w:pPr>
            <w:pStyle w:val="TOC2"/>
            <w:tabs>
              <w:tab w:val="right" w:leader="dot" w:pos="9782"/>
            </w:tabs>
            <w:rPr>
              <w:rFonts w:asciiTheme="minorHAnsi" w:hAnsiTheme="minorHAnsi"/>
              <w:noProof/>
              <w:color w:val="auto"/>
              <w:lang w:val="en-PK" w:eastAsia="en-PK"/>
            </w:rPr>
          </w:pPr>
          <w:hyperlink w:anchor="_Toc243349527" w:history="1">
            <w:r w:rsidRPr="0017553D">
              <w:rPr>
                <w:rStyle w:val="Hyperlink"/>
                <w:noProof/>
              </w:rPr>
              <w:t>Impact On Family Members</w:t>
            </w:r>
            <w:r>
              <w:rPr>
                <w:noProof/>
                <w:webHidden/>
              </w:rPr>
              <w:tab/>
            </w:r>
            <w:r>
              <w:rPr>
                <w:noProof/>
                <w:webHidden/>
              </w:rPr>
              <w:fldChar w:fldCharType="begin"/>
            </w:r>
            <w:r>
              <w:rPr>
                <w:noProof/>
                <w:webHidden/>
              </w:rPr>
              <w:instrText xml:space="preserve"> PAGEREF _Toc243349527 \h </w:instrText>
            </w:r>
            <w:r>
              <w:rPr>
                <w:noProof/>
                <w:webHidden/>
              </w:rPr>
            </w:r>
            <w:r>
              <w:rPr>
                <w:noProof/>
                <w:webHidden/>
              </w:rPr>
              <w:fldChar w:fldCharType="separate"/>
            </w:r>
            <w:r>
              <w:rPr>
                <w:noProof/>
                <w:webHidden/>
              </w:rPr>
              <w:t>8</w:t>
            </w:r>
            <w:r>
              <w:rPr>
                <w:noProof/>
                <w:webHidden/>
              </w:rPr>
              <w:fldChar w:fldCharType="end"/>
            </w:r>
          </w:hyperlink>
        </w:p>
        <w:p w14:paraId="14CE66B4" w14:textId="4CE66B20" w:rsidR="0095332A" w:rsidRDefault="0095332A">
          <w:pPr>
            <w:pStyle w:val="TOC1"/>
            <w:tabs>
              <w:tab w:val="left" w:pos="440"/>
              <w:tab w:val="right" w:leader="dot" w:pos="9782"/>
            </w:tabs>
            <w:rPr>
              <w:rFonts w:asciiTheme="minorHAnsi" w:hAnsiTheme="minorHAnsi"/>
              <w:noProof/>
              <w:color w:val="auto"/>
              <w:lang w:val="en-PK" w:eastAsia="en-PK"/>
            </w:rPr>
          </w:pPr>
          <w:hyperlink w:anchor="_Toc243349528" w:history="1">
            <w:r w:rsidRPr="0017553D">
              <w:rPr>
                <w:rStyle w:val="Hyperlink"/>
                <w:noProof/>
              </w:rPr>
              <w:t>4.</w:t>
            </w:r>
            <w:r>
              <w:rPr>
                <w:rFonts w:asciiTheme="minorHAnsi" w:hAnsiTheme="minorHAnsi"/>
                <w:noProof/>
                <w:color w:val="auto"/>
                <w:lang w:val="en-PK" w:eastAsia="en-PK"/>
              </w:rPr>
              <w:tab/>
            </w:r>
            <w:r w:rsidRPr="0017553D">
              <w:rPr>
                <w:rStyle w:val="Hyperlink"/>
                <w:noProof/>
              </w:rPr>
              <w:t>Remission Evidence and Treatment Options</w:t>
            </w:r>
            <w:r>
              <w:rPr>
                <w:noProof/>
                <w:webHidden/>
              </w:rPr>
              <w:tab/>
            </w:r>
            <w:r>
              <w:rPr>
                <w:noProof/>
                <w:webHidden/>
              </w:rPr>
              <w:fldChar w:fldCharType="begin"/>
            </w:r>
            <w:r>
              <w:rPr>
                <w:noProof/>
                <w:webHidden/>
              </w:rPr>
              <w:instrText xml:space="preserve"> PAGEREF _Toc243349528 \h </w:instrText>
            </w:r>
            <w:r>
              <w:rPr>
                <w:noProof/>
                <w:webHidden/>
              </w:rPr>
            </w:r>
            <w:r>
              <w:rPr>
                <w:noProof/>
                <w:webHidden/>
              </w:rPr>
              <w:fldChar w:fldCharType="separate"/>
            </w:r>
            <w:r>
              <w:rPr>
                <w:noProof/>
                <w:webHidden/>
              </w:rPr>
              <w:t>8</w:t>
            </w:r>
            <w:r>
              <w:rPr>
                <w:noProof/>
                <w:webHidden/>
              </w:rPr>
              <w:fldChar w:fldCharType="end"/>
            </w:r>
          </w:hyperlink>
        </w:p>
        <w:p w14:paraId="4D46B9D1" w14:textId="58DC0310" w:rsidR="0095332A" w:rsidRDefault="0095332A">
          <w:pPr>
            <w:pStyle w:val="TOC2"/>
            <w:tabs>
              <w:tab w:val="right" w:leader="dot" w:pos="9782"/>
            </w:tabs>
            <w:rPr>
              <w:rFonts w:asciiTheme="minorHAnsi" w:hAnsiTheme="minorHAnsi"/>
              <w:noProof/>
              <w:color w:val="auto"/>
              <w:lang w:val="en-PK" w:eastAsia="en-PK"/>
            </w:rPr>
          </w:pPr>
          <w:hyperlink w:anchor="_Toc243349529" w:history="1">
            <w:r w:rsidRPr="0017553D">
              <w:rPr>
                <w:rStyle w:val="Hyperlink"/>
                <w:noProof/>
              </w:rPr>
              <w:t>Selecting Medicines and Checking Safety</w:t>
            </w:r>
            <w:r>
              <w:rPr>
                <w:noProof/>
                <w:webHidden/>
              </w:rPr>
              <w:tab/>
            </w:r>
            <w:r>
              <w:rPr>
                <w:noProof/>
                <w:webHidden/>
              </w:rPr>
              <w:fldChar w:fldCharType="begin"/>
            </w:r>
            <w:r>
              <w:rPr>
                <w:noProof/>
                <w:webHidden/>
              </w:rPr>
              <w:instrText xml:space="preserve"> PAGEREF _Toc243349529 \h </w:instrText>
            </w:r>
            <w:r>
              <w:rPr>
                <w:noProof/>
                <w:webHidden/>
              </w:rPr>
            </w:r>
            <w:r>
              <w:rPr>
                <w:noProof/>
                <w:webHidden/>
              </w:rPr>
              <w:fldChar w:fldCharType="separate"/>
            </w:r>
            <w:r>
              <w:rPr>
                <w:noProof/>
                <w:webHidden/>
              </w:rPr>
              <w:t>8</w:t>
            </w:r>
            <w:r>
              <w:rPr>
                <w:noProof/>
                <w:webHidden/>
              </w:rPr>
              <w:fldChar w:fldCharType="end"/>
            </w:r>
          </w:hyperlink>
        </w:p>
        <w:p w14:paraId="2D536A22" w14:textId="576717DB" w:rsidR="0095332A" w:rsidRDefault="0095332A">
          <w:pPr>
            <w:pStyle w:val="TOC2"/>
            <w:tabs>
              <w:tab w:val="right" w:leader="dot" w:pos="9782"/>
            </w:tabs>
            <w:rPr>
              <w:rFonts w:asciiTheme="minorHAnsi" w:hAnsiTheme="minorHAnsi"/>
              <w:noProof/>
              <w:color w:val="auto"/>
              <w:lang w:val="en-PK" w:eastAsia="en-PK"/>
            </w:rPr>
          </w:pPr>
          <w:hyperlink w:anchor="_Toc243349530" w:history="1">
            <w:r w:rsidRPr="0017553D">
              <w:rPr>
                <w:rStyle w:val="Hyperlink"/>
                <w:noProof/>
              </w:rPr>
              <w:t>Surveillance And Education</w:t>
            </w:r>
            <w:r>
              <w:rPr>
                <w:noProof/>
                <w:webHidden/>
              </w:rPr>
              <w:tab/>
            </w:r>
            <w:r>
              <w:rPr>
                <w:noProof/>
                <w:webHidden/>
              </w:rPr>
              <w:fldChar w:fldCharType="begin"/>
            </w:r>
            <w:r>
              <w:rPr>
                <w:noProof/>
                <w:webHidden/>
              </w:rPr>
              <w:instrText xml:space="preserve"> PAGEREF _Toc243349530 \h </w:instrText>
            </w:r>
            <w:r>
              <w:rPr>
                <w:noProof/>
                <w:webHidden/>
              </w:rPr>
            </w:r>
            <w:r>
              <w:rPr>
                <w:noProof/>
                <w:webHidden/>
              </w:rPr>
              <w:fldChar w:fldCharType="separate"/>
            </w:r>
            <w:r>
              <w:rPr>
                <w:noProof/>
                <w:webHidden/>
              </w:rPr>
              <w:t>9</w:t>
            </w:r>
            <w:r>
              <w:rPr>
                <w:noProof/>
                <w:webHidden/>
              </w:rPr>
              <w:fldChar w:fldCharType="end"/>
            </w:r>
          </w:hyperlink>
        </w:p>
        <w:p w14:paraId="741B60B5" w14:textId="372950AB" w:rsidR="0095332A" w:rsidRDefault="0095332A">
          <w:pPr>
            <w:pStyle w:val="TOC2"/>
            <w:tabs>
              <w:tab w:val="right" w:leader="dot" w:pos="9782"/>
            </w:tabs>
            <w:rPr>
              <w:rFonts w:asciiTheme="minorHAnsi" w:hAnsiTheme="minorHAnsi"/>
              <w:noProof/>
              <w:color w:val="auto"/>
              <w:lang w:val="en-PK" w:eastAsia="en-PK"/>
            </w:rPr>
          </w:pPr>
          <w:hyperlink w:anchor="_Toc243349531" w:history="1">
            <w:r w:rsidRPr="0017553D">
              <w:rPr>
                <w:rStyle w:val="Hyperlink"/>
                <w:noProof/>
              </w:rPr>
              <w:t>Remission As an Acceptable Possibility</w:t>
            </w:r>
            <w:r>
              <w:rPr>
                <w:noProof/>
                <w:webHidden/>
              </w:rPr>
              <w:tab/>
            </w:r>
            <w:r>
              <w:rPr>
                <w:noProof/>
                <w:webHidden/>
              </w:rPr>
              <w:fldChar w:fldCharType="begin"/>
            </w:r>
            <w:r>
              <w:rPr>
                <w:noProof/>
                <w:webHidden/>
              </w:rPr>
              <w:instrText xml:space="preserve"> PAGEREF _Toc243349531 \h </w:instrText>
            </w:r>
            <w:r>
              <w:rPr>
                <w:noProof/>
                <w:webHidden/>
              </w:rPr>
            </w:r>
            <w:r>
              <w:rPr>
                <w:noProof/>
                <w:webHidden/>
              </w:rPr>
              <w:fldChar w:fldCharType="separate"/>
            </w:r>
            <w:r>
              <w:rPr>
                <w:noProof/>
                <w:webHidden/>
              </w:rPr>
              <w:t>9</w:t>
            </w:r>
            <w:r>
              <w:rPr>
                <w:noProof/>
                <w:webHidden/>
              </w:rPr>
              <w:fldChar w:fldCharType="end"/>
            </w:r>
          </w:hyperlink>
        </w:p>
        <w:p w14:paraId="5959EF19" w14:textId="2FA5E960" w:rsidR="0095332A" w:rsidRDefault="0095332A">
          <w:pPr>
            <w:pStyle w:val="TOC1"/>
            <w:tabs>
              <w:tab w:val="left" w:pos="440"/>
              <w:tab w:val="right" w:leader="dot" w:pos="9782"/>
            </w:tabs>
            <w:rPr>
              <w:rFonts w:asciiTheme="minorHAnsi" w:hAnsiTheme="minorHAnsi"/>
              <w:noProof/>
              <w:color w:val="auto"/>
              <w:lang w:val="en-PK" w:eastAsia="en-PK"/>
            </w:rPr>
          </w:pPr>
          <w:hyperlink w:anchor="_Toc243349532" w:history="1">
            <w:r w:rsidRPr="0017553D">
              <w:rPr>
                <w:rStyle w:val="Hyperlink"/>
                <w:noProof/>
              </w:rPr>
              <w:t>5.</w:t>
            </w:r>
            <w:r>
              <w:rPr>
                <w:rFonts w:asciiTheme="minorHAnsi" w:hAnsiTheme="minorHAnsi"/>
                <w:noProof/>
                <w:color w:val="auto"/>
                <w:lang w:val="en-PK" w:eastAsia="en-PK"/>
              </w:rPr>
              <w:tab/>
            </w:r>
            <w:r w:rsidRPr="0017553D">
              <w:rPr>
                <w:rStyle w:val="Hyperlink"/>
                <w:noProof/>
              </w:rPr>
              <w:t>Comparing Approaches to Diabetes Education</w:t>
            </w:r>
            <w:r>
              <w:rPr>
                <w:noProof/>
                <w:webHidden/>
              </w:rPr>
              <w:tab/>
            </w:r>
            <w:r>
              <w:rPr>
                <w:noProof/>
                <w:webHidden/>
              </w:rPr>
              <w:fldChar w:fldCharType="begin"/>
            </w:r>
            <w:r>
              <w:rPr>
                <w:noProof/>
                <w:webHidden/>
              </w:rPr>
              <w:instrText xml:space="preserve"> PAGEREF _Toc243349532 \h </w:instrText>
            </w:r>
            <w:r>
              <w:rPr>
                <w:noProof/>
                <w:webHidden/>
              </w:rPr>
            </w:r>
            <w:r>
              <w:rPr>
                <w:noProof/>
                <w:webHidden/>
              </w:rPr>
              <w:fldChar w:fldCharType="separate"/>
            </w:r>
            <w:r>
              <w:rPr>
                <w:noProof/>
                <w:webHidden/>
              </w:rPr>
              <w:t>10</w:t>
            </w:r>
            <w:r>
              <w:rPr>
                <w:noProof/>
                <w:webHidden/>
              </w:rPr>
              <w:fldChar w:fldCharType="end"/>
            </w:r>
          </w:hyperlink>
        </w:p>
        <w:p w14:paraId="6A3668EC" w14:textId="44376AF2" w:rsidR="0095332A" w:rsidRDefault="0095332A">
          <w:pPr>
            <w:pStyle w:val="TOC2"/>
            <w:tabs>
              <w:tab w:val="right" w:leader="dot" w:pos="9782"/>
            </w:tabs>
            <w:rPr>
              <w:rFonts w:asciiTheme="minorHAnsi" w:hAnsiTheme="minorHAnsi"/>
              <w:noProof/>
              <w:color w:val="auto"/>
              <w:lang w:val="en-PK" w:eastAsia="en-PK"/>
            </w:rPr>
          </w:pPr>
          <w:hyperlink w:anchor="_Toc243349533" w:history="1">
            <w:r w:rsidRPr="0017553D">
              <w:rPr>
                <w:rStyle w:val="Hyperlink"/>
                <w:noProof/>
              </w:rPr>
              <w:t>DESMOND As an Educational Model in the UK</w:t>
            </w:r>
            <w:r>
              <w:rPr>
                <w:noProof/>
                <w:webHidden/>
              </w:rPr>
              <w:tab/>
            </w:r>
            <w:r>
              <w:rPr>
                <w:noProof/>
                <w:webHidden/>
              </w:rPr>
              <w:fldChar w:fldCharType="begin"/>
            </w:r>
            <w:r>
              <w:rPr>
                <w:noProof/>
                <w:webHidden/>
              </w:rPr>
              <w:instrText xml:space="preserve"> PAGEREF _Toc243349533 \h </w:instrText>
            </w:r>
            <w:r>
              <w:rPr>
                <w:noProof/>
                <w:webHidden/>
              </w:rPr>
            </w:r>
            <w:r>
              <w:rPr>
                <w:noProof/>
                <w:webHidden/>
              </w:rPr>
              <w:fldChar w:fldCharType="separate"/>
            </w:r>
            <w:r>
              <w:rPr>
                <w:noProof/>
                <w:webHidden/>
              </w:rPr>
              <w:t>10</w:t>
            </w:r>
            <w:r>
              <w:rPr>
                <w:noProof/>
                <w:webHidden/>
              </w:rPr>
              <w:fldChar w:fldCharType="end"/>
            </w:r>
          </w:hyperlink>
        </w:p>
        <w:p w14:paraId="44641394" w14:textId="0D173169" w:rsidR="0095332A" w:rsidRDefault="0095332A">
          <w:pPr>
            <w:pStyle w:val="TOC2"/>
            <w:tabs>
              <w:tab w:val="right" w:leader="dot" w:pos="9782"/>
            </w:tabs>
            <w:rPr>
              <w:rFonts w:asciiTheme="minorHAnsi" w:hAnsiTheme="minorHAnsi"/>
              <w:noProof/>
              <w:color w:val="auto"/>
              <w:lang w:val="en-PK" w:eastAsia="en-PK"/>
            </w:rPr>
          </w:pPr>
          <w:hyperlink w:anchor="_Toc243349534" w:history="1">
            <w:r w:rsidRPr="0017553D">
              <w:rPr>
                <w:rStyle w:val="Hyperlink"/>
                <w:noProof/>
              </w:rPr>
              <w:t>ADCES7 As an International Framework</w:t>
            </w:r>
            <w:r>
              <w:rPr>
                <w:noProof/>
                <w:webHidden/>
              </w:rPr>
              <w:tab/>
            </w:r>
            <w:r>
              <w:rPr>
                <w:noProof/>
                <w:webHidden/>
              </w:rPr>
              <w:fldChar w:fldCharType="begin"/>
            </w:r>
            <w:r>
              <w:rPr>
                <w:noProof/>
                <w:webHidden/>
              </w:rPr>
              <w:instrText xml:space="preserve"> PAGEREF _Toc243349534 \h </w:instrText>
            </w:r>
            <w:r>
              <w:rPr>
                <w:noProof/>
                <w:webHidden/>
              </w:rPr>
            </w:r>
            <w:r>
              <w:rPr>
                <w:noProof/>
                <w:webHidden/>
              </w:rPr>
              <w:fldChar w:fldCharType="separate"/>
            </w:r>
            <w:r>
              <w:rPr>
                <w:noProof/>
                <w:webHidden/>
              </w:rPr>
              <w:t>11</w:t>
            </w:r>
            <w:r>
              <w:rPr>
                <w:noProof/>
                <w:webHidden/>
              </w:rPr>
              <w:fldChar w:fldCharType="end"/>
            </w:r>
          </w:hyperlink>
        </w:p>
        <w:p w14:paraId="4E4FF98B" w14:textId="578CC294" w:rsidR="0095332A" w:rsidRDefault="0095332A">
          <w:pPr>
            <w:pStyle w:val="TOC2"/>
            <w:tabs>
              <w:tab w:val="right" w:leader="dot" w:pos="9782"/>
            </w:tabs>
            <w:rPr>
              <w:rFonts w:asciiTheme="minorHAnsi" w:hAnsiTheme="minorHAnsi"/>
              <w:noProof/>
              <w:color w:val="auto"/>
              <w:lang w:val="en-PK" w:eastAsia="en-PK"/>
            </w:rPr>
          </w:pPr>
          <w:hyperlink w:anchor="_Toc243349535" w:history="1">
            <w:r w:rsidRPr="0017553D">
              <w:rPr>
                <w:rStyle w:val="Hyperlink"/>
                <w:noProof/>
              </w:rPr>
              <w:t>What The Comparison Establishes</w:t>
            </w:r>
            <w:r>
              <w:rPr>
                <w:noProof/>
                <w:webHidden/>
              </w:rPr>
              <w:tab/>
            </w:r>
            <w:r>
              <w:rPr>
                <w:noProof/>
                <w:webHidden/>
              </w:rPr>
              <w:fldChar w:fldCharType="begin"/>
            </w:r>
            <w:r>
              <w:rPr>
                <w:noProof/>
                <w:webHidden/>
              </w:rPr>
              <w:instrText xml:space="preserve"> PAGEREF _Toc243349535 \h </w:instrText>
            </w:r>
            <w:r>
              <w:rPr>
                <w:noProof/>
                <w:webHidden/>
              </w:rPr>
            </w:r>
            <w:r>
              <w:rPr>
                <w:noProof/>
                <w:webHidden/>
              </w:rPr>
              <w:fldChar w:fldCharType="separate"/>
            </w:r>
            <w:r>
              <w:rPr>
                <w:noProof/>
                <w:webHidden/>
              </w:rPr>
              <w:t>12</w:t>
            </w:r>
            <w:r>
              <w:rPr>
                <w:noProof/>
                <w:webHidden/>
              </w:rPr>
              <w:fldChar w:fldCharType="end"/>
            </w:r>
          </w:hyperlink>
        </w:p>
        <w:p w14:paraId="6D252F19" w14:textId="6F760E21" w:rsidR="0095332A" w:rsidRDefault="0095332A">
          <w:pPr>
            <w:pStyle w:val="TOC1"/>
            <w:tabs>
              <w:tab w:val="left" w:pos="440"/>
              <w:tab w:val="right" w:leader="dot" w:pos="9782"/>
            </w:tabs>
            <w:rPr>
              <w:rFonts w:asciiTheme="minorHAnsi" w:hAnsiTheme="minorHAnsi"/>
              <w:noProof/>
              <w:color w:val="auto"/>
              <w:lang w:val="en-PK" w:eastAsia="en-PK"/>
            </w:rPr>
          </w:pPr>
          <w:hyperlink w:anchor="_Toc243349536" w:history="1">
            <w:r w:rsidRPr="0017553D">
              <w:rPr>
                <w:rStyle w:val="Hyperlink"/>
                <w:noProof/>
              </w:rPr>
              <w:t>6.</w:t>
            </w:r>
            <w:r>
              <w:rPr>
                <w:rFonts w:asciiTheme="minorHAnsi" w:hAnsiTheme="minorHAnsi"/>
                <w:noProof/>
                <w:color w:val="auto"/>
                <w:lang w:val="en-PK" w:eastAsia="en-PK"/>
              </w:rPr>
              <w:tab/>
            </w:r>
            <w:r w:rsidRPr="0017553D">
              <w:rPr>
                <w:rStyle w:val="Hyperlink"/>
                <w:noProof/>
              </w:rPr>
              <w:t>National Priorities and Local Delivery</w:t>
            </w:r>
            <w:r>
              <w:rPr>
                <w:noProof/>
                <w:webHidden/>
              </w:rPr>
              <w:tab/>
            </w:r>
            <w:r>
              <w:rPr>
                <w:noProof/>
                <w:webHidden/>
              </w:rPr>
              <w:fldChar w:fldCharType="begin"/>
            </w:r>
            <w:r>
              <w:rPr>
                <w:noProof/>
                <w:webHidden/>
              </w:rPr>
              <w:instrText xml:space="preserve"> PAGEREF _Toc243349536 \h </w:instrText>
            </w:r>
            <w:r>
              <w:rPr>
                <w:noProof/>
                <w:webHidden/>
              </w:rPr>
            </w:r>
            <w:r>
              <w:rPr>
                <w:noProof/>
                <w:webHidden/>
              </w:rPr>
              <w:fldChar w:fldCharType="separate"/>
            </w:r>
            <w:r>
              <w:rPr>
                <w:noProof/>
                <w:webHidden/>
              </w:rPr>
              <w:t>12</w:t>
            </w:r>
            <w:r>
              <w:rPr>
                <w:noProof/>
                <w:webHidden/>
              </w:rPr>
              <w:fldChar w:fldCharType="end"/>
            </w:r>
          </w:hyperlink>
        </w:p>
        <w:p w14:paraId="468CB79C" w14:textId="326F5CDA" w:rsidR="0095332A" w:rsidRDefault="0095332A">
          <w:pPr>
            <w:pStyle w:val="TOC2"/>
            <w:tabs>
              <w:tab w:val="right" w:leader="dot" w:pos="9782"/>
            </w:tabs>
            <w:rPr>
              <w:rFonts w:asciiTheme="minorHAnsi" w:hAnsiTheme="minorHAnsi"/>
              <w:noProof/>
              <w:color w:val="auto"/>
              <w:lang w:val="en-PK" w:eastAsia="en-PK"/>
            </w:rPr>
          </w:pPr>
          <w:hyperlink w:anchor="_Toc243349537" w:history="1">
            <w:r w:rsidRPr="0017553D">
              <w:rPr>
                <w:rStyle w:val="Hyperlink"/>
                <w:noProof/>
              </w:rPr>
              <w:t>Standards And Implementation in England</w:t>
            </w:r>
            <w:r>
              <w:rPr>
                <w:noProof/>
                <w:webHidden/>
              </w:rPr>
              <w:tab/>
            </w:r>
            <w:r>
              <w:rPr>
                <w:noProof/>
                <w:webHidden/>
              </w:rPr>
              <w:fldChar w:fldCharType="begin"/>
            </w:r>
            <w:r>
              <w:rPr>
                <w:noProof/>
                <w:webHidden/>
              </w:rPr>
              <w:instrText xml:space="preserve"> PAGEREF _Toc243349537 \h </w:instrText>
            </w:r>
            <w:r>
              <w:rPr>
                <w:noProof/>
                <w:webHidden/>
              </w:rPr>
            </w:r>
            <w:r>
              <w:rPr>
                <w:noProof/>
                <w:webHidden/>
              </w:rPr>
              <w:fldChar w:fldCharType="separate"/>
            </w:r>
            <w:r>
              <w:rPr>
                <w:noProof/>
                <w:webHidden/>
              </w:rPr>
              <w:t>12</w:t>
            </w:r>
            <w:r>
              <w:rPr>
                <w:noProof/>
                <w:webHidden/>
              </w:rPr>
              <w:fldChar w:fldCharType="end"/>
            </w:r>
          </w:hyperlink>
        </w:p>
        <w:p w14:paraId="1F6CBA4F" w14:textId="35711829" w:rsidR="0095332A" w:rsidRDefault="0095332A">
          <w:pPr>
            <w:pStyle w:val="TOC2"/>
            <w:tabs>
              <w:tab w:val="right" w:leader="dot" w:pos="9782"/>
            </w:tabs>
            <w:rPr>
              <w:rFonts w:asciiTheme="minorHAnsi" w:hAnsiTheme="minorHAnsi"/>
              <w:noProof/>
              <w:color w:val="auto"/>
              <w:lang w:val="en-PK" w:eastAsia="en-PK"/>
            </w:rPr>
          </w:pPr>
          <w:hyperlink w:anchor="_Toc243349538" w:history="1">
            <w:r w:rsidRPr="0017553D">
              <w:rPr>
                <w:rStyle w:val="Hyperlink"/>
                <w:noProof/>
              </w:rPr>
              <w:t>Leicester, Leicestershire, and Rutland</w:t>
            </w:r>
            <w:r>
              <w:rPr>
                <w:noProof/>
                <w:webHidden/>
              </w:rPr>
              <w:tab/>
            </w:r>
            <w:r>
              <w:rPr>
                <w:noProof/>
                <w:webHidden/>
              </w:rPr>
              <w:fldChar w:fldCharType="begin"/>
            </w:r>
            <w:r>
              <w:rPr>
                <w:noProof/>
                <w:webHidden/>
              </w:rPr>
              <w:instrText xml:space="preserve"> PAGEREF _Toc243349538 \h </w:instrText>
            </w:r>
            <w:r>
              <w:rPr>
                <w:noProof/>
                <w:webHidden/>
              </w:rPr>
            </w:r>
            <w:r>
              <w:rPr>
                <w:noProof/>
                <w:webHidden/>
              </w:rPr>
              <w:fldChar w:fldCharType="separate"/>
            </w:r>
            <w:r>
              <w:rPr>
                <w:noProof/>
                <w:webHidden/>
              </w:rPr>
              <w:t>14</w:t>
            </w:r>
            <w:r>
              <w:rPr>
                <w:noProof/>
                <w:webHidden/>
              </w:rPr>
              <w:fldChar w:fldCharType="end"/>
            </w:r>
          </w:hyperlink>
        </w:p>
        <w:p w14:paraId="29342BFD" w14:textId="7FA31539" w:rsidR="0095332A" w:rsidRDefault="0095332A">
          <w:pPr>
            <w:pStyle w:val="TOC1"/>
            <w:tabs>
              <w:tab w:val="left" w:pos="440"/>
              <w:tab w:val="right" w:leader="dot" w:pos="9782"/>
            </w:tabs>
            <w:rPr>
              <w:rFonts w:asciiTheme="minorHAnsi" w:hAnsiTheme="minorHAnsi"/>
              <w:noProof/>
              <w:color w:val="auto"/>
              <w:lang w:val="en-PK" w:eastAsia="en-PK"/>
            </w:rPr>
          </w:pPr>
          <w:hyperlink w:anchor="_Toc243349539" w:history="1">
            <w:r w:rsidRPr="0017553D">
              <w:rPr>
                <w:rStyle w:val="Hyperlink"/>
                <w:noProof/>
              </w:rPr>
              <w:t>7.</w:t>
            </w:r>
            <w:r>
              <w:rPr>
                <w:rFonts w:asciiTheme="minorHAnsi" w:hAnsiTheme="minorHAnsi"/>
                <w:noProof/>
                <w:color w:val="auto"/>
                <w:lang w:val="en-PK" w:eastAsia="en-PK"/>
              </w:rPr>
              <w:tab/>
            </w:r>
            <w:r w:rsidRPr="0017553D">
              <w:rPr>
                <w:rStyle w:val="Hyperlink"/>
                <w:noProof/>
              </w:rPr>
              <w:t>Recommendations Across the Care Journey</w:t>
            </w:r>
            <w:r>
              <w:rPr>
                <w:noProof/>
                <w:webHidden/>
              </w:rPr>
              <w:tab/>
            </w:r>
            <w:r>
              <w:rPr>
                <w:noProof/>
                <w:webHidden/>
              </w:rPr>
              <w:fldChar w:fldCharType="begin"/>
            </w:r>
            <w:r>
              <w:rPr>
                <w:noProof/>
                <w:webHidden/>
              </w:rPr>
              <w:instrText xml:space="preserve"> PAGEREF _Toc243349539 \h </w:instrText>
            </w:r>
            <w:r>
              <w:rPr>
                <w:noProof/>
                <w:webHidden/>
              </w:rPr>
            </w:r>
            <w:r>
              <w:rPr>
                <w:noProof/>
                <w:webHidden/>
              </w:rPr>
              <w:fldChar w:fldCharType="separate"/>
            </w:r>
            <w:r>
              <w:rPr>
                <w:noProof/>
                <w:webHidden/>
              </w:rPr>
              <w:t>14</w:t>
            </w:r>
            <w:r>
              <w:rPr>
                <w:noProof/>
                <w:webHidden/>
              </w:rPr>
              <w:fldChar w:fldCharType="end"/>
            </w:r>
          </w:hyperlink>
        </w:p>
        <w:p w14:paraId="518840BB" w14:textId="40C87DB6" w:rsidR="0095332A" w:rsidRDefault="0095332A">
          <w:pPr>
            <w:pStyle w:val="TOC2"/>
            <w:tabs>
              <w:tab w:val="right" w:leader="dot" w:pos="9782"/>
            </w:tabs>
            <w:rPr>
              <w:rFonts w:asciiTheme="minorHAnsi" w:hAnsiTheme="minorHAnsi"/>
              <w:noProof/>
              <w:color w:val="auto"/>
              <w:lang w:val="en-PK" w:eastAsia="en-PK"/>
            </w:rPr>
          </w:pPr>
          <w:hyperlink w:anchor="_Toc243349540" w:history="1">
            <w:r w:rsidRPr="0017553D">
              <w:rPr>
                <w:rStyle w:val="Hyperlink"/>
                <w:noProof/>
              </w:rPr>
              <w:t>Create Educability and Responsiveness</w:t>
            </w:r>
            <w:r>
              <w:rPr>
                <w:noProof/>
                <w:webHidden/>
              </w:rPr>
              <w:tab/>
            </w:r>
            <w:r>
              <w:rPr>
                <w:noProof/>
                <w:webHidden/>
              </w:rPr>
              <w:fldChar w:fldCharType="begin"/>
            </w:r>
            <w:r>
              <w:rPr>
                <w:noProof/>
                <w:webHidden/>
              </w:rPr>
              <w:instrText xml:space="preserve"> PAGEREF _Toc243349540 \h </w:instrText>
            </w:r>
            <w:r>
              <w:rPr>
                <w:noProof/>
                <w:webHidden/>
              </w:rPr>
            </w:r>
            <w:r>
              <w:rPr>
                <w:noProof/>
                <w:webHidden/>
              </w:rPr>
              <w:fldChar w:fldCharType="separate"/>
            </w:r>
            <w:r>
              <w:rPr>
                <w:noProof/>
                <w:webHidden/>
              </w:rPr>
              <w:t>14</w:t>
            </w:r>
            <w:r>
              <w:rPr>
                <w:noProof/>
                <w:webHidden/>
              </w:rPr>
              <w:fldChar w:fldCharType="end"/>
            </w:r>
          </w:hyperlink>
        </w:p>
        <w:p w14:paraId="73282C22" w14:textId="59548D91" w:rsidR="0095332A" w:rsidRDefault="0095332A">
          <w:pPr>
            <w:pStyle w:val="TOC2"/>
            <w:tabs>
              <w:tab w:val="right" w:leader="dot" w:pos="9782"/>
            </w:tabs>
            <w:rPr>
              <w:rFonts w:asciiTheme="minorHAnsi" w:hAnsiTheme="minorHAnsi"/>
              <w:noProof/>
              <w:color w:val="auto"/>
              <w:lang w:val="en-PK" w:eastAsia="en-PK"/>
            </w:rPr>
          </w:pPr>
          <w:hyperlink w:anchor="_Toc243349541" w:history="1">
            <w:r w:rsidRPr="0017553D">
              <w:rPr>
                <w:rStyle w:val="Hyperlink"/>
                <w:noProof/>
              </w:rPr>
              <w:t>Ensure Good Health and Family Engagement</w:t>
            </w:r>
            <w:r>
              <w:rPr>
                <w:noProof/>
                <w:webHidden/>
              </w:rPr>
              <w:tab/>
            </w:r>
            <w:r>
              <w:rPr>
                <w:noProof/>
                <w:webHidden/>
              </w:rPr>
              <w:fldChar w:fldCharType="begin"/>
            </w:r>
            <w:r>
              <w:rPr>
                <w:noProof/>
                <w:webHidden/>
              </w:rPr>
              <w:instrText xml:space="preserve"> PAGEREF _Toc243349541 \h </w:instrText>
            </w:r>
            <w:r>
              <w:rPr>
                <w:noProof/>
                <w:webHidden/>
              </w:rPr>
            </w:r>
            <w:r>
              <w:rPr>
                <w:noProof/>
                <w:webHidden/>
              </w:rPr>
              <w:fldChar w:fldCharType="separate"/>
            </w:r>
            <w:r>
              <w:rPr>
                <w:noProof/>
                <w:webHidden/>
              </w:rPr>
              <w:t>15</w:t>
            </w:r>
            <w:r>
              <w:rPr>
                <w:noProof/>
                <w:webHidden/>
              </w:rPr>
              <w:fldChar w:fldCharType="end"/>
            </w:r>
          </w:hyperlink>
        </w:p>
        <w:p w14:paraId="67320B43" w14:textId="6192EFA6" w:rsidR="0095332A" w:rsidRDefault="0095332A">
          <w:pPr>
            <w:pStyle w:val="TOC2"/>
            <w:tabs>
              <w:tab w:val="right" w:leader="dot" w:pos="9782"/>
            </w:tabs>
            <w:rPr>
              <w:rFonts w:asciiTheme="minorHAnsi" w:hAnsiTheme="minorHAnsi"/>
              <w:noProof/>
              <w:color w:val="auto"/>
              <w:lang w:val="en-PK" w:eastAsia="en-PK"/>
            </w:rPr>
          </w:pPr>
          <w:hyperlink w:anchor="_Toc243349542" w:history="1">
            <w:r w:rsidRPr="0017553D">
              <w:rPr>
                <w:rStyle w:val="Hyperlink"/>
                <w:noProof/>
              </w:rPr>
              <w:t>Adapt Care When Life Is Limited</w:t>
            </w:r>
            <w:r>
              <w:rPr>
                <w:noProof/>
                <w:webHidden/>
              </w:rPr>
              <w:tab/>
            </w:r>
            <w:r>
              <w:rPr>
                <w:noProof/>
                <w:webHidden/>
              </w:rPr>
              <w:fldChar w:fldCharType="begin"/>
            </w:r>
            <w:r>
              <w:rPr>
                <w:noProof/>
                <w:webHidden/>
              </w:rPr>
              <w:instrText xml:space="preserve"> PAGEREF _Toc243349542 \h </w:instrText>
            </w:r>
            <w:r>
              <w:rPr>
                <w:noProof/>
                <w:webHidden/>
              </w:rPr>
            </w:r>
            <w:r>
              <w:rPr>
                <w:noProof/>
                <w:webHidden/>
              </w:rPr>
              <w:fldChar w:fldCharType="separate"/>
            </w:r>
            <w:r>
              <w:rPr>
                <w:noProof/>
                <w:webHidden/>
              </w:rPr>
              <w:t>15</w:t>
            </w:r>
            <w:r>
              <w:rPr>
                <w:noProof/>
                <w:webHidden/>
              </w:rPr>
              <w:fldChar w:fldCharType="end"/>
            </w:r>
          </w:hyperlink>
        </w:p>
        <w:p w14:paraId="05E6ED5F" w14:textId="7AB5EB8E" w:rsidR="0095332A" w:rsidRDefault="0095332A">
          <w:pPr>
            <w:pStyle w:val="TOC1"/>
            <w:tabs>
              <w:tab w:val="right" w:leader="dot" w:pos="9782"/>
            </w:tabs>
            <w:rPr>
              <w:rFonts w:asciiTheme="minorHAnsi" w:hAnsiTheme="minorHAnsi"/>
              <w:noProof/>
              <w:color w:val="auto"/>
              <w:lang w:val="en-PK" w:eastAsia="en-PK"/>
            </w:rPr>
          </w:pPr>
          <w:hyperlink w:anchor="_Toc243349543" w:history="1">
            <w:r w:rsidRPr="0017553D">
              <w:rPr>
                <w:rStyle w:val="Hyperlink"/>
                <w:noProof/>
              </w:rPr>
              <w:t>Closing Judgement</w:t>
            </w:r>
            <w:r>
              <w:rPr>
                <w:noProof/>
                <w:webHidden/>
              </w:rPr>
              <w:tab/>
            </w:r>
            <w:r>
              <w:rPr>
                <w:noProof/>
                <w:webHidden/>
              </w:rPr>
              <w:fldChar w:fldCharType="begin"/>
            </w:r>
            <w:r>
              <w:rPr>
                <w:noProof/>
                <w:webHidden/>
              </w:rPr>
              <w:instrText xml:space="preserve"> PAGEREF _Toc243349543 \h </w:instrText>
            </w:r>
            <w:r>
              <w:rPr>
                <w:noProof/>
                <w:webHidden/>
              </w:rPr>
            </w:r>
            <w:r>
              <w:rPr>
                <w:noProof/>
                <w:webHidden/>
              </w:rPr>
              <w:fldChar w:fldCharType="separate"/>
            </w:r>
            <w:r>
              <w:rPr>
                <w:noProof/>
                <w:webHidden/>
              </w:rPr>
              <w:t>16</w:t>
            </w:r>
            <w:r>
              <w:rPr>
                <w:noProof/>
                <w:webHidden/>
              </w:rPr>
              <w:fldChar w:fldCharType="end"/>
            </w:r>
          </w:hyperlink>
        </w:p>
        <w:p w14:paraId="072D1BCC" w14:textId="7FE1952E" w:rsidR="0095332A" w:rsidRDefault="0095332A">
          <w:pPr>
            <w:pStyle w:val="TOC1"/>
            <w:tabs>
              <w:tab w:val="right" w:leader="dot" w:pos="9782"/>
            </w:tabs>
            <w:rPr>
              <w:rFonts w:asciiTheme="minorHAnsi" w:hAnsiTheme="minorHAnsi"/>
              <w:noProof/>
              <w:color w:val="auto"/>
              <w:lang w:val="en-PK" w:eastAsia="en-PK"/>
            </w:rPr>
          </w:pPr>
          <w:hyperlink w:anchor="_Toc243349544" w:history="1">
            <w:r w:rsidRPr="0017553D">
              <w:rPr>
                <w:rStyle w:val="Hyperlink"/>
                <w:rFonts w:cs="Arial"/>
                <w:noProof/>
              </w:rPr>
              <w:t>References</w:t>
            </w:r>
            <w:r>
              <w:rPr>
                <w:noProof/>
                <w:webHidden/>
              </w:rPr>
              <w:tab/>
            </w:r>
            <w:r>
              <w:rPr>
                <w:noProof/>
                <w:webHidden/>
              </w:rPr>
              <w:fldChar w:fldCharType="begin"/>
            </w:r>
            <w:r>
              <w:rPr>
                <w:noProof/>
                <w:webHidden/>
              </w:rPr>
              <w:instrText xml:space="preserve"> PAGEREF _Toc243349544 \h </w:instrText>
            </w:r>
            <w:r>
              <w:rPr>
                <w:noProof/>
                <w:webHidden/>
              </w:rPr>
            </w:r>
            <w:r>
              <w:rPr>
                <w:noProof/>
                <w:webHidden/>
              </w:rPr>
              <w:fldChar w:fldCharType="separate"/>
            </w:r>
            <w:r>
              <w:rPr>
                <w:noProof/>
                <w:webHidden/>
              </w:rPr>
              <w:t>17</w:t>
            </w:r>
            <w:r>
              <w:rPr>
                <w:noProof/>
                <w:webHidden/>
              </w:rPr>
              <w:fldChar w:fldCharType="end"/>
            </w:r>
          </w:hyperlink>
        </w:p>
        <w:p w14:paraId="03D907CF" w14:textId="6890231E" w:rsidR="00925304" w:rsidRDefault="002605CC" w:rsidP="00925304">
          <w:pPr>
            <w:rPr>
              <w:b/>
              <w:bCs/>
              <w:noProof/>
            </w:rPr>
          </w:pPr>
          <w:r>
            <w:rPr>
              <w:b/>
              <w:bCs/>
              <w:noProof/>
            </w:rPr>
            <w:fldChar w:fldCharType="end"/>
          </w:r>
        </w:p>
      </w:sdtContent>
    </w:sdt>
    <w:p w14:paraId="1E7112DE" w14:textId="6EBF22F8" w:rsidR="009420FA" w:rsidRPr="00925304" w:rsidRDefault="009420FA" w:rsidP="00925304">
      <w:pPr>
        <w:rPr>
          <w:b/>
          <w:bCs/>
          <w:noProof/>
        </w:rPr>
      </w:pPr>
    </w:p>
    <w:p w14:paraId="32E5622A" w14:textId="576AB915" w:rsidR="0099354C" w:rsidRPr="009420FA" w:rsidRDefault="0099354C" w:rsidP="00925304">
      <w:pPr>
        <w:pStyle w:val="Heading1"/>
        <w:numPr>
          <w:ilvl w:val="0"/>
          <w:numId w:val="11"/>
        </w:numPr>
        <w:shd w:val="clear" w:color="auto" w:fill="CCC0D9" w:themeFill="accent4" w:themeFillTint="66"/>
        <w:spacing w:line="360" w:lineRule="auto"/>
        <w:jc w:val="both"/>
        <w:rPr>
          <w:rFonts w:ascii="Arial" w:hAnsi="Arial" w:cs="Arial"/>
          <w:color w:val="auto"/>
          <w:sz w:val="24"/>
          <w:szCs w:val="24"/>
        </w:rPr>
      </w:pPr>
      <w:bookmarkStart w:id="0" w:name="_Toc243349519"/>
      <w:r w:rsidRPr="009420FA">
        <w:rPr>
          <w:rFonts w:ascii="Arial" w:hAnsi="Arial" w:cs="Arial"/>
          <w:sz w:val="24"/>
          <w:szCs w:val="24"/>
        </w:rPr>
        <w:t>Purpose and approach</w:t>
      </w:r>
      <w:bookmarkEnd w:id="0"/>
    </w:p>
    <w:p w14:paraId="24F3B728" w14:textId="37A11617" w:rsidR="0099354C" w:rsidRDefault="0099354C" w:rsidP="00925304">
      <w:pPr>
        <w:pStyle w:val="NormalWeb"/>
        <w:spacing w:line="360" w:lineRule="auto"/>
        <w:jc w:val="both"/>
        <w:rPr>
          <w:rFonts w:ascii="Arial" w:hAnsi="Arial" w:cs="Arial"/>
        </w:rPr>
      </w:pPr>
      <w:r w:rsidRPr="009420FA">
        <w:rPr>
          <w:rFonts w:ascii="Arial" w:hAnsi="Arial" w:cs="Arial"/>
        </w:rPr>
        <w:t>The management of type 2 diabetes includes choices on long-term vascular risk, daily treatment, and the potential for remission. This booklet is for professionals who provide adult community diabetes services in England. It is all about the role of education and clinical care in supporting informed decision-making and the role of eligibility criteria, stigma, and inaccessible services in deepening inequalities. The local service context is provided by Leicester, Leicestershire, and Rutland (LLR).</w:t>
      </w:r>
    </w:p>
    <w:p w14:paraId="39D94F24" w14:textId="4B57F55F" w:rsidR="00806E78" w:rsidRPr="009420FA" w:rsidRDefault="00806E78" w:rsidP="00925304">
      <w:pPr>
        <w:pStyle w:val="NormalWeb"/>
        <w:spacing w:line="360" w:lineRule="auto"/>
        <w:jc w:val="center"/>
        <w:rPr>
          <w:rFonts w:ascii="Arial" w:hAnsi="Arial" w:cs="Arial"/>
        </w:rPr>
      </w:pPr>
      <w:r>
        <w:rPr>
          <w:noProof/>
        </w:rPr>
        <w:drawing>
          <wp:inline distT="0" distB="0" distL="0" distR="0" wp14:anchorId="224BE6D7" wp14:editId="265FFC1F">
            <wp:extent cx="3794125" cy="4776470"/>
            <wp:effectExtent l="0" t="0" r="0" b="5080"/>
            <wp:docPr id="1" name="Picture 1" descr="Type 2 diabetes is also one of the fastest-growing global health threats, with an estimated 537 million adults living with diabetes today and 246 million more projected by 2045; 3 in 4 of these ad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 2 diabetes is also one of the fastest-growing global health threats, with an estimated 537 million adults living with diabetes today and 246 million more projected by 2045; 3 in 4 of these adul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4125" cy="4776470"/>
                    </a:xfrm>
                    <a:prstGeom prst="rect">
                      <a:avLst/>
                    </a:prstGeom>
                    <a:noFill/>
                    <a:ln>
                      <a:noFill/>
                    </a:ln>
                  </pic:spPr>
                </pic:pic>
              </a:graphicData>
            </a:graphic>
          </wp:inline>
        </w:drawing>
      </w:r>
    </w:p>
    <w:p w14:paraId="34C64177"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The discussion includes epidemiological estimates, intervention studies, clinical advice, and published service data. Randomized trials provide evidence about the effect of interventions; routine audits show what care is delivered and gaps in care. The educational models that are explored are the UK-based DESMOND program and the US-based </w:t>
      </w:r>
      <w:r w:rsidRPr="009420FA">
        <w:rPr>
          <w:rFonts w:ascii="Arial" w:hAnsi="Arial" w:cs="Arial"/>
        </w:rPr>
        <w:lastRenderedPageBreak/>
        <w:t>ADCES7 framework. Their contribution is evaluated in the context of limitations such as ongoing support requirements due to the evolution of diabetes and individual needs (Powers et al., 2020).</w:t>
      </w:r>
    </w:p>
    <w:p w14:paraId="34CA3418" w14:textId="6C114404" w:rsidR="0099354C" w:rsidRPr="009420FA" w:rsidRDefault="0099354C" w:rsidP="00925304">
      <w:pPr>
        <w:pStyle w:val="Heading1"/>
        <w:numPr>
          <w:ilvl w:val="0"/>
          <w:numId w:val="11"/>
        </w:numPr>
        <w:shd w:val="clear" w:color="auto" w:fill="CCC0D9" w:themeFill="accent4" w:themeFillTint="66"/>
        <w:spacing w:line="360" w:lineRule="auto"/>
      </w:pPr>
      <w:bookmarkStart w:id="1" w:name="_Toc243349520"/>
      <w:r w:rsidRPr="009420FA">
        <w:t xml:space="preserve">The </w:t>
      </w:r>
      <w:r w:rsidR="009420FA" w:rsidRPr="009420FA">
        <w:t xml:space="preserve">Condition </w:t>
      </w:r>
      <w:r w:rsidR="009420FA">
        <w:t>a</w:t>
      </w:r>
      <w:r w:rsidR="009420FA" w:rsidRPr="009420FA">
        <w:t>nd Its Distribution</w:t>
      </w:r>
      <w:bookmarkEnd w:id="1"/>
    </w:p>
    <w:p w14:paraId="4C3D4998" w14:textId="77777777" w:rsidR="0099354C" w:rsidRPr="00317E2A" w:rsidRDefault="0099354C" w:rsidP="00925304">
      <w:pPr>
        <w:pStyle w:val="Heading2"/>
        <w:shd w:val="clear" w:color="auto" w:fill="8DB3E2" w:themeFill="text2" w:themeFillTint="66"/>
        <w:spacing w:line="360" w:lineRule="auto"/>
        <w:rPr>
          <w:u w:val="single"/>
        </w:rPr>
      </w:pPr>
      <w:bookmarkStart w:id="2" w:name="_Toc243349521"/>
      <w:r w:rsidRPr="00317E2A">
        <w:rPr>
          <w:u w:val="single"/>
        </w:rPr>
        <w:t>What is type 2 diabetes?</w:t>
      </w:r>
      <w:bookmarkEnd w:id="2"/>
    </w:p>
    <w:p w14:paraId="663D33FE"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Type 2 diabetes occurs when the insulin that's produced is not enough or doesn't work as it should. Over a period of time, high blood sugar can cause harm to blood vessels and nerves. Symptoms can include thirst and frequent urination, fatigue, and blurred vision, or not be noticed until diagnosis is made (NHS, 2025). If there isn't discomfort, there isn't risk.</w:t>
      </w:r>
    </w:p>
    <w:p w14:paraId="55008711"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There's more to the clinical task than just reducing glucose. Cardiovascular disease, kidney impairment, weight, other medicines, and the person’s circumstances influence treatment choices. According to the ADA/EASD consensus, management is multi-faceted and includes </w:t>
      </w:r>
      <w:proofErr w:type="spellStart"/>
      <w:r w:rsidRPr="009420FA">
        <w:rPr>
          <w:rFonts w:ascii="Arial" w:hAnsi="Arial" w:cs="Arial"/>
        </w:rPr>
        <w:t>behavioral</w:t>
      </w:r>
      <w:proofErr w:type="spellEnd"/>
      <w:r w:rsidRPr="009420FA">
        <w:rPr>
          <w:rFonts w:ascii="Arial" w:hAnsi="Arial" w:cs="Arial"/>
        </w:rPr>
        <w:t xml:space="preserve"> and pharmacological interventions (Davies et al., 2022). This justifies the inclusion of nurses, pharmacists, dietitians, and medical practitioners, and specialist referral if necessary.</w:t>
      </w:r>
    </w:p>
    <w:p w14:paraId="104A7151"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HbA1c is a summary of glucose levels over the last few months and is part of the clinical assessment. Individuals require an understanding of what the outcomes entail with regard to their treatment and future risk. Normal and high results can occur on the same day. This highlights the importance of clear communication at the time of diagnosis: management is not just about preventing morbidity for which the patient is in need; it is also about preventing harm that may not yet be apparent (Riddle et al., 2021).</w:t>
      </w:r>
    </w:p>
    <w:p w14:paraId="12E9F79C" w14:textId="3F907874" w:rsidR="0099354C" w:rsidRPr="009420FA" w:rsidRDefault="0099354C" w:rsidP="00925304">
      <w:pPr>
        <w:pStyle w:val="Heading2"/>
        <w:shd w:val="clear" w:color="auto" w:fill="8DB3E2" w:themeFill="text2" w:themeFillTint="66"/>
        <w:spacing w:line="360" w:lineRule="auto"/>
      </w:pPr>
      <w:bookmarkStart w:id="3" w:name="_Toc243349522"/>
      <w:r w:rsidRPr="009420FA">
        <w:t xml:space="preserve">Estimates </w:t>
      </w:r>
      <w:r w:rsidR="00317E2A" w:rsidRPr="009420FA">
        <w:t xml:space="preserve">For </w:t>
      </w:r>
      <w:r w:rsidR="00317E2A">
        <w:t>t</w:t>
      </w:r>
      <w:r w:rsidR="00317E2A" w:rsidRPr="009420FA">
        <w:t xml:space="preserve">he Globe </w:t>
      </w:r>
      <w:proofErr w:type="gramStart"/>
      <w:r w:rsidR="00317E2A" w:rsidRPr="009420FA">
        <w:t>And</w:t>
      </w:r>
      <w:proofErr w:type="gramEnd"/>
      <w:r w:rsidR="00317E2A" w:rsidRPr="009420FA">
        <w:t xml:space="preserve"> For The </w:t>
      </w:r>
      <w:r w:rsidRPr="009420FA">
        <w:t>UK</w:t>
      </w:r>
      <w:bookmarkEnd w:id="3"/>
    </w:p>
    <w:p w14:paraId="34CCE494"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According to the International Diabetes Federation (IDF, 2025), in 2024, 589 million of all adults aged 20-79 had diabetes globally (11.1%). This is not a diabetes count just of type 2 diabetes, but of all types of diagnosed and undiagnosed diabetes. The figure is a model estimate, and comparisons must be based on consistent age ranges and definitions.</w:t>
      </w:r>
    </w:p>
    <w:p w14:paraId="3369D17E" w14:textId="217C25DF" w:rsidR="0099354C" w:rsidRDefault="0099354C" w:rsidP="00925304">
      <w:pPr>
        <w:pStyle w:val="NormalWeb"/>
        <w:spacing w:line="360" w:lineRule="auto"/>
        <w:jc w:val="both"/>
        <w:rPr>
          <w:rFonts w:ascii="Arial" w:hAnsi="Arial" w:cs="Arial"/>
        </w:rPr>
      </w:pPr>
      <w:r w:rsidRPr="009420FA">
        <w:rPr>
          <w:rFonts w:ascii="Arial" w:hAnsi="Arial" w:cs="Arial"/>
        </w:rPr>
        <w:lastRenderedPageBreak/>
        <w:t xml:space="preserve">According to Diabetes UK (n.d.), there are more than 4.7 million people in the UK who have been diagnosed with diabetes (2024–25 registration data), of whom around 90% will have type 2 diabetes. It also estimates almost 1.3 million people have undiagnosed type 2 diabetes. A mix of diagnosed and estimated undiagnosed cases refers to a population that is different than the </w:t>
      </w:r>
      <w:proofErr w:type="spellStart"/>
      <w:r w:rsidRPr="009420FA">
        <w:rPr>
          <w:rFonts w:ascii="Arial" w:hAnsi="Arial" w:cs="Arial"/>
        </w:rPr>
        <w:t>IDF's</w:t>
      </w:r>
      <w:proofErr w:type="spellEnd"/>
      <w:r w:rsidRPr="009420FA">
        <w:rPr>
          <w:rFonts w:ascii="Arial" w:hAnsi="Arial" w:cs="Arial"/>
        </w:rPr>
        <w:t xml:space="preserve"> age-restricted global estimate. The figures reflect the </w:t>
      </w:r>
      <w:r w:rsidR="00317E2A" w:rsidRPr="009420FA">
        <w:rPr>
          <w:rFonts w:ascii="Arial" w:hAnsi="Arial" w:cs="Arial"/>
        </w:rPr>
        <w:t>number</w:t>
      </w:r>
      <w:r w:rsidRPr="009420FA">
        <w:rPr>
          <w:rFonts w:ascii="Arial" w:hAnsi="Arial" w:cs="Arial"/>
        </w:rPr>
        <w:t xml:space="preserve"> of services demanded, but not the quality of services provided.</w:t>
      </w:r>
    </w:p>
    <w:p w14:paraId="32C59914" w14:textId="071516F5" w:rsidR="001650F5" w:rsidRPr="009420FA" w:rsidRDefault="001650F5" w:rsidP="001650F5">
      <w:pPr>
        <w:pStyle w:val="NormalWeb"/>
        <w:spacing w:line="360" w:lineRule="auto"/>
        <w:jc w:val="center"/>
        <w:rPr>
          <w:rFonts w:ascii="Arial" w:hAnsi="Arial" w:cs="Arial"/>
        </w:rPr>
      </w:pPr>
      <w:r>
        <w:rPr>
          <w:noProof/>
        </w:rPr>
        <w:drawing>
          <wp:inline distT="0" distB="0" distL="0" distR="0" wp14:anchorId="350965B5" wp14:editId="5EABFCFB">
            <wp:extent cx="4203700" cy="4312920"/>
            <wp:effectExtent l="0" t="0" r="6350" b="0"/>
            <wp:docPr id="3" name="Picture 3" descr="UK Diabetes Statistics | 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Diabetes Statistics | Guid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03700" cy="4312920"/>
                    </a:xfrm>
                    <a:prstGeom prst="rect">
                      <a:avLst/>
                    </a:prstGeom>
                    <a:noFill/>
                    <a:ln>
                      <a:noFill/>
                    </a:ln>
                  </pic:spPr>
                </pic:pic>
              </a:graphicData>
            </a:graphic>
          </wp:inline>
        </w:drawing>
      </w:r>
    </w:p>
    <w:p w14:paraId="7D968C70"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The Office for Health Improvement and Disparities (OHID, 2026) is an English national indicator that combines diabetes prevalence, complications, and care indicators at the national and local levels. Its April update states that it won't allow direct comparison with previous care-process data due to modifications in audit periods. In order to determine if an apparent deterioration or improvement is due to methodology or services, the methodology must be checked.</w:t>
      </w:r>
    </w:p>
    <w:p w14:paraId="13969156" w14:textId="0CDEBFE0" w:rsidR="0099354C" w:rsidRPr="009420FA" w:rsidRDefault="0099354C" w:rsidP="00925304">
      <w:pPr>
        <w:pStyle w:val="Heading2"/>
        <w:shd w:val="clear" w:color="auto" w:fill="8DB3E2" w:themeFill="text2" w:themeFillTint="66"/>
        <w:spacing w:line="360" w:lineRule="auto"/>
      </w:pPr>
      <w:bookmarkStart w:id="4" w:name="_Toc243349523"/>
      <w:r w:rsidRPr="009420FA">
        <w:lastRenderedPageBreak/>
        <w:t xml:space="preserve">Risk and </w:t>
      </w:r>
      <w:r w:rsidR="00317E2A">
        <w:t>P</w:t>
      </w:r>
      <w:r w:rsidRPr="009420FA">
        <w:t>revention</w:t>
      </w:r>
      <w:bookmarkEnd w:id="4"/>
    </w:p>
    <w:p w14:paraId="12525268" w14:textId="714AC8E7" w:rsidR="0099354C" w:rsidRPr="009420FA" w:rsidRDefault="0099354C" w:rsidP="00925304">
      <w:pPr>
        <w:pStyle w:val="NormalWeb"/>
        <w:spacing w:line="360" w:lineRule="auto"/>
        <w:jc w:val="both"/>
        <w:rPr>
          <w:rFonts w:ascii="Arial" w:hAnsi="Arial" w:cs="Arial"/>
        </w:rPr>
      </w:pPr>
      <w:r w:rsidRPr="009420FA">
        <w:rPr>
          <w:rFonts w:ascii="Arial" w:hAnsi="Arial" w:cs="Arial"/>
        </w:rPr>
        <w:t>Risk varies by age, family history, adiposity, and ethnicity, with different ethnic groups tending to get diabetes at lower body-mass indices. However, ethnicity alone is not enough for a diagnosis of the individual. Exposure and management are affected by income, food security, housing, and opportunities for physical activity. Hill-Briggs et al. (202</w:t>
      </w:r>
      <w:r w:rsidR="00692ADC" w:rsidRPr="009420FA">
        <w:rPr>
          <w:rFonts w:ascii="Arial" w:hAnsi="Arial" w:cs="Arial"/>
          <w:lang w:val="en-US"/>
        </w:rPr>
        <w:t>0</w:t>
      </w:r>
      <w:r w:rsidRPr="009420FA">
        <w:rPr>
          <w:rFonts w:ascii="Arial" w:hAnsi="Arial" w:cs="Arial"/>
        </w:rPr>
        <w:t>) illustrate the importance of taking social conditions into account in addition to biomedical risk. They tend to focus on the United States, which allows for a consideration of structural factors but which should be interpreted locally, depending on the service arrangements in place in England.</w:t>
      </w:r>
    </w:p>
    <w:p w14:paraId="21CA3F31" w14:textId="58739D5C" w:rsidR="0099354C" w:rsidRPr="009420FA" w:rsidRDefault="0099354C" w:rsidP="00925304">
      <w:pPr>
        <w:pStyle w:val="NormalWeb"/>
        <w:spacing w:line="360" w:lineRule="auto"/>
        <w:jc w:val="both"/>
        <w:rPr>
          <w:rFonts w:ascii="Arial" w:hAnsi="Arial" w:cs="Arial"/>
        </w:rPr>
      </w:pPr>
      <w:r w:rsidRPr="009420FA">
        <w:rPr>
          <w:rFonts w:ascii="Arial" w:hAnsi="Arial" w:cs="Arial"/>
        </w:rPr>
        <w:t>Discussion of weight should secure consent, choose respectful words, and identify potential change. Blame and assumed personal failure are identified as both factors for diabetes stigma by Speight et al. (2024). Adding shame can leave room for mistrust to prevent efforts to diagnose early and engage in intervention.</w:t>
      </w:r>
    </w:p>
    <w:p w14:paraId="529E711C" w14:textId="7FAF70AA" w:rsidR="0099354C" w:rsidRPr="00317E2A" w:rsidRDefault="0099354C" w:rsidP="00925304">
      <w:pPr>
        <w:pStyle w:val="Heading1"/>
        <w:numPr>
          <w:ilvl w:val="0"/>
          <w:numId w:val="11"/>
        </w:numPr>
        <w:shd w:val="clear" w:color="auto" w:fill="CCC0D9" w:themeFill="accent4" w:themeFillTint="66"/>
        <w:spacing w:line="360" w:lineRule="auto"/>
      </w:pPr>
      <w:bookmarkStart w:id="5" w:name="_Toc243349524"/>
      <w:r w:rsidRPr="00317E2A">
        <w:t xml:space="preserve">Consequences </w:t>
      </w:r>
      <w:r w:rsidR="00317E2A" w:rsidRPr="00317E2A">
        <w:t>For Daily Life and Relationships</w:t>
      </w:r>
      <w:bookmarkEnd w:id="5"/>
    </w:p>
    <w:p w14:paraId="23661065" w14:textId="0153D9F6" w:rsidR="0099354C" w:rsidRPr="009420FA" w:rsidRDefault="0099354C" w:rsidP="00925304">
      <w:pPr>
        <w:pStyle w:val="Heading2"/>
        <w:shd w:val="clear" w:color="auto" w:fill="8DB3E2" w:themeFill="text2" w:themeFillTint="66"/>
        <w:spacing w:line="360" w:lineRule="auto"/>
      </w:pPr>
      <w:bookmarkStart w:id="6" w:name="_Toc243349525"/>
      <w:r w:rsidRPr="009420FA">
        <w:t xml:space="preserve">The </w:t>
      </w:r>
      <w:r w:rsidR="00317E2A" w:rsidRPr="009420FA">
        <w:t xml:space="preserve">Physical Effects </w:t>
      </w:r>
      <w:r w:rsidR="00317E2A">
        <w:t>a</w:t>
      </w:r>
      <w:r w:rsidR="00317E2A" w:rsidRPr="009420FA">
        <w:t xml:space="preserve">nd The Work </w:t>
      </w:r>
      <w:r w:rsidR="00317E2A">
        <w:t>o</w:t>
      </w:r>
      <w:r w:rsidR="00317E2A" w:rsidRPr="009420FA">
        <w:t>f Treatment</w:t>
      </w:r>
      <w:bookmarkEnd w:id="6"/>
    </w:p>
    <w:p w14:paraId="1D8FC8A3" w14:textId="7872BEFB"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Diseases of the retina, neuropathy, kidney disease, and cardiovascular disease are risks to independence and employment. Loss of sensation and lack of blood flow can make foot ulceration particularly serious, as damage can occur without being noticed. When there are active problems, </w:t>
      </w:r>
      <w:proofErr w:type="spellStart"/>
      <w:r w:rsidRPr="009420FA">
        <w:rPr>
          <w:rFonts w:ascii="Arial" w:hAnsi="Arial" w:cs="Arial"/>
        </w:rPr>
        <w:t>NICE’s</w:t>
      </w:r>
      <w:proofErr w:type="spellEnd"/>
      <w:r w:rsidRPr="009420FA">
        <w:rPr>
          <w:rFonts w:ascii="Arial" w:hAnsi="Arial" w:cs="Arial"/>
        </w:rPr>
        <w:t xml:space="preserve"> foot guidance calls for risk assessment and prompt referral (NICE, 2023a). </w:t>
      </w:r>
      <w:r w:rsidR="00317E2A" w:rsidRPr="009420FA">
        <w:rPr>
          <w:rFonts w:ascii="Arial" w:hAnsi="Arial" w:cs="Arial"/>
        </w:rPr>
        <w:t>So,</w:t>
      </w:r>
      <w:r w:rsidRPr="009420FA">
        <w:rPr>
          <w:rFonts w:ascii="Arial" w:hAnsi="Arial" w:cs="Arial"/>
        </w:rPr>
        <w:t xml:space="preserve"> an accessible route to assessment must always be provided with advice on footwear and inspection, not all responsibility falling to the patient.</w:t>
      </w:r>
    </w:p>
    <w:p w14:paraId="3010D5CE"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There are also time, attention, and sometimes harmful side effects to treatment. Planning meals, taking medicines, monitoring, and appointment making may crowd out work and family responsibilities. Safety education is important because some glucose-lowering medicines can cause </w:t>
      </w:r>
      <w:proofErr w:type="spellStart"/>
      <w:r w:rsidRPr="009420FA">
        <w:rPr>
          <w:rFonts w:ascii="Arial" w:hAnsi="Arial" w:cs="Arial"/>
        </w:rPr>
        <w:t>hypoglycemia</w:t>
      </w:r>
      <w:proofErr w:type="spellEnd"/>
      <w:r w:rsidRPr="009420FA">
        <w:rPr>
          <w:rFonts w:ascii="Arial" w:hAnsi="Arial" w:cs="Arial"/>
        </w:rPr>
        <w:t>. Elderly individuals can also have frailty, decreased attention, or motor function. The differences call for individual assessment and not just management based on chronological age, as suggested by Bellary et al. (2021).</w:t>
      </w:r>
    </w:p>
    <w:p w14:paraId="10E70958"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These experiences are not necessarily reflected in improved laboratory results. A review of patient and carer perspectives by Niño-de-Guzman Quispe et al. (2023) identified </w:t>
      </w:r>
      <w:r w:rsidRPr="009420FA">
        <w:rPr>
          <w:rFonts w:ascii="Arial" w:hAnsi="Arial" w:cs="Arial"/>
        </w:rPr>
        <w:lastRenderedPageBreak/>
        <w:t>differences in the valued outcomes and importance of identity, access, and experiences of care. When asking what causes treatment to be interrupted, you might uncover a reason for the difficulty in following a treatment plan that isn't apparent on an HbA1c result.</w:t>
      </w:r>
    </w:p>
    <w:p w14:paraId="0A5E2FB7" w14:textId="06AAA821" w:rsidR="0099354C" w:rsidRPr="009420FA" w:rsidRDefault="0099354C" w:rsidP="00925304">
      <w:pPr>
        <w:pStyle w:val="Heading2"/>
        <w:shd w:val="clear" w:color="auto" w:fill="8DB3E2" w:themeFill="text2" w:themeFillTint="66"/>
        <w:spacing w:line="360" w:lineRule="auto"/>
        <w:rPr>
          <w:szCs w:val="24"/>
        </w:rPr>
      </w:pPr>
      <w:bookmarkStart w:id="7" w:name="_Toc243349526"/>
      <w:r w:rsidRPr="009420FA">
        <w:rPr>
          <w:szCs w:val="24"/>
        </w:rPr>
        <w:t xml:space="preserve">Emotional </w:t>
      </w:r>
      <w:r w:rsidR="00317E2A" w:rsidRPr="009420FA">
        <w:t xml:space="preserve">Responses </w:t>
      </w:r>
      <w:r w:rsidR="00317E2A">
        <w:t>a</w:t>
      </w:r>
      <w:proofErr w:type="spellStart"/>
      <w:r w:rsidR="00317E2A" w:rsidRPr="009420FA">
        <w:t>nd</w:t>
      </w:r>
      <w:proofErr w:type="spellEnd"/>
      <w:r w:rsidR="00317E2A" w:rsidRPr="009420FA">
        <w:t xml:space="preserve"> Stigma</w:t>
      </w:r>
      <w:bookmarkEnd w:id="7"/>
    </w:p>
    <w:p w14:paraId="5A59428A" w14:textId="3392F8C0" w:rsidR="0099354C" w:rsidRDefault="0099354C" w:rsidP="00925304">
      <w:pPr>
        <w:pStyle w:val="NormalWeb"/>
        <w:spacing w:line="360" w:lineRule="auto"/>
        <w:jc w:val="both"/>
        <w:rPr>
          <w:rFonts w:ascii="Arial" w:hAnsi="Arial" w:cs="Arial"/>
        </w:rPr>
      </w:pPr>
      <w:r w:rsidRPr="009420FA">
        <w:rPr>
          <w:rFonts w:ascii="Arial" w:hAnsi="Arial" w:cs="Arial"/>
        </w:rPr>
        <w:t>Diabetes distress is the emotional burden of living with and managing diabetes. It is not necessarily indicative of depressive disorder. Psychological interventions designed to be distress-reducing in the short term had less certainty regarding longer-term effects and benefits for glycaemia, according to Zu et al. (2024). Limitations of the conclusions are due to the self-reported outcomes and the lack of consensus among the intervention and the problems with blinding.</w:t>
      </w:r>
    </w:p>
    <w:p w14:paraId="285DAEAD" w14:textId="179C723B" w:rsidR="001650F5" w:rsidRPr="009420FA" w:rsidRDefault="001650F5" w:rsidP="001650F5">
      <w:pPr>
        <w:pStyle w:val="NormalWeb"/>
        <w:spacing w:line="360" w:lineRule="auto"/>
        <w:jc w:val="center"/>
        <w:rPr>
          <w:rFonts w:ascii="Arial" w:hAnsi="Arial" w:cs="Arial"/>
        </w:rPr>
      </w:pPr>
      <w:r>
        <w:rPr>
          <w:noProof/>
        </w:rPr>
        <w:drawing>
          <wp:inline distT="0" distB="0" distL="0" distR="0" wp14:anchorId="2B7E73F2" wp14:editId="48F5C53C">
            <wp:extent cx="4203700" cy="4312920"/>
            <wp:effectExtent l="0" t="0" r="6350" b="0"/>
            <wp:docPr id="4" name="Picture 4" descr="Conceptual Framework of Diabetics Distre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ceptual Framework of Diabetics Distress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03700" cy="4312920"/>
                    </a:xfrm>
                    <a:prstGeom prst="rect">
                      <a:avLst/>
                    </a:prstGeom>
                    <a:noFill/>
                    <a:ln>
                      <a:noFill/>
                    </a:ln>
                  </pic:spPr>
                </pic:pic>
              </a:graphicData>
            </a:graphic>
          </wp:inline>
        </w:drawing>
      </w:r>
    </w:p>
    <w:p w14:paraId="2D5A97C7"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The right thing to do is to find out what is causing anxiety and accept help. Different responses may be needed when there is concern for complications, treatment needs, or perceived judgement. Speight et al. (2024) suggest that stigmatizing language and practices </w:t>
      </w:r>
      <w:r w:rsidRPr="009420FA">
        <w:rPr>
          <w:rFonts w:ascii="Arial" w:hAnsi="Arial" w:cs="Arial"/>
        </w:rPr>
        <w:lastRenderedPageBreak/>
        <w:t>within healthcare and society need to be addressed. To differentiate the need for more medication from a lack of will to be treated can support the therapeutic relationship. In cases where symptoms indicate a possible mental health disorder, specialist psychological assessment is still required.</w:t>
      </w:r>
    </w:p>
    <w:p w14:paraId="077D7980" w14:textId="0C723B59" w:rsidR="0099354C" w:rsidRPr="009420FA" w:rsidRDefault="0099354C" w:rsidP="00925304">
      <w:pPr>
        <w:pStyle w:val="Heading2"/>
        <w:shd w:val="clear" w:color="auto" w:fill="8DB3E2" w:themeFill="text2" w:themeFillTint="66"/>
        <w:spacing w:line="360" w:lineRule="auto"/>
        <w:rPr>
          <w:szCs w:val="24"/>
        </w:rPr>
      </w:pPr>
      <w:bookmarkStart w:id="8" w:name="_Toc243349527"/>
      <w:r w:rsidRPr="009420FA">
        <w:rPr>
          <w:szCs w:val="24"/>
        </w:rPr>
        <w:t xml:space="preserve">Impact </w:t>
      </w:r>
      <w:r w:rsidR="00317E2A" w:rsidRPr="009420FA">
        <w:t>On Family Members</w:t>
      </w:r>
      <w:bookmarkEnd w:id="8"/>
    </w:p>
    <w:p w14:paraId="73AACC8F"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The entire family can be involved in the household with regard to shared meals, food purchases, and maintaining blood-sugar levels. Families can be encouraging, but participation may be to the detriment of independence. As per the review of Niño-de-Guzman Quispe et al. (2023), priorities vary based on disease progression and context; no </w:t>
      </w:r>
      <w:proofErr w:type="gramStart"/>
      <w:r w:rsidRPr="009420FA">
        <w:rPr>
          <w:rFonts w:ascii="Arial" w:hAnsi="Arial" w:cs="Arial"/>
        </w:rPr>
        <w:t>single family</w:t>
      </w:r>
      <w:proofErr w:type="gramEnd"/>
      <w:r w:rsidRPr="009420FA">
        <w:rPr>
          <w:rFonts w:ascii="Arial" w:hAnsi="Arial" w:cs="Arial"/>
        </w:rPr>
        <w:t xml:space="preserve"> configuration should be assumed.</w:t>
      </w:r>
    </w:p>
    <w:p w14:paraId="7A767877"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Complications can significantly increase the care needs. Doss and Popejoy (2023) found anxiety, frustration, communication difficulties, and disrupted routines among family members of individuals who have diabetic extremity wounds. They reviewed 10 studies on diabetes in general, not all households with type 2 diabetes. However, it can aid in evaluating the knowledge, practical capacity, and assistance available to carers when wounds or disability occurs.</w:t>
      </w:r>
    </w:p>
    <w:p w14:paraId="2DF86A70"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Therefore, family members may be included in education invitations, if the patient desires, with the provision for private discussion of sensitive issues. Healthcare providers need to explain who will be responsible for medicines or for bookings and confirm if this is a viable solution. This will prevent them from assuming that a relative would not be there if there was adequate support in place.</w:t>
      </w:r>
    </w:p>
    <w:p w14:paraId="2771C54A" w14:textId="4BD4785F" w:rsidR="0099354C" w:rsidRDefault="0099354C" w:rsidP="0095332A">
      <w:pPr>
        <w:pStyle w:val="Heading1"/>
        <w:numPr>
          <w:ilvl w:val="0"/>
          <w:numId w:val="11"/>
        </w:numPr>
        <w:shd w:val="clear" w:color="auto" w:fill="CCC0D9" w:themeFill="accent4" w:themeFillTint="66"/>
        <w:spacing w:line="360" w:lineRule="auto"/>
      </w:pPr>
      <w:bookmarkStart w:id="9" w:name="_Toc243349528"/>
      <w:r w:rsidRPr="00317E2A">
        <w:t xml:space="preserve">Remission </w:t>
      </w:r>
      <w:r w:rsidR="00317E2A" w:rsidRPr="00317E2A">
        <w:t xml:space="preserve">Evidence </w:t>
      </w:r>
      <w:r w:rsidR="00317E2A">
        <w:t>a</w:t>
      </w:r>
      <w:r w:rsidR="00317E2A" w:rsidRPr="00317E2A">
        <w:t>nd Treatment Options</w:t>
      </w:r>
      <w:bookmarkEnd w:id="9"/>
    </w:p>
    <w:p w14:paraId="7408EB8F" w14:textId="77777777" w:rsidR="00317E2A" w:rsidRPr="00317E2A" w:rsidRDefault="00317E2A" w:rsidP="00925304"/>
    <w:p w14:paraId="52AA75BC" w14:textId="0503DAEF" w:rsidR="0099354C" w:rsidRPr="009420FA" w:rsidRDefault="0099354C" w:rsidP="00925304">
      <w:pPr>
        <w:pStyle w:val="Heading2"/>
        <w:shd w:val="clear" w:color="auto" w:fill="8DB3E2" w:themeFill="text2" w:themeFillTint="66"/>
        <w:spacing w:line="360" w:lineRule="auto"/>
        <w:rPr>
          <w:szCs w:val="24"/>
        </w:rPr>
      </w:pPr>
      <w:bookmarkStart w:id="10" w:name="_Toc243349529"/>
      <w:r w:rsidRPr="009420FA">
        <w:rPr>
          <w:szCs w:val="24"/>
        </w:rPr>
        <w:t xml:space="preserve">Selecting </w:t>
      </w:r>
      <w:r w:rsidR="00317E2A" w:rsidRPr="009420FA">
        <w:t xml:space="preserve">Medicines </w:t>
      </w:r>
      <w:r w:rsidR="00317E2A">
        <w:t>a</w:t>
      </w:r>
      <w:r w:rsidR="00317E2A" w:rsidRPr="009420FA">
        <w:t>nd Checking Safety</w:t>
      </w:r>
      <w:bookmarkEnd w:id="10"/>
    </w:p>
    <w:p w14:paraId="70737C92" w14:textId="468CCF22"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Cardiovascular and renal protection is now included alongside glycaemic outcomes in the February 2026 update of NICE NG28. For adults who do not have any of the above comorbidities, it suggests using modified-release metformin in combination with an SGLT-2 </w:t>
      </w:r>
      <w:r w:rsidRPr="009420FA">
        <w:rPr>
          <w:rFonts w:ascii="Arial" w:hAnsi="Arial" w:cs="Arial"/>
        </w:rPr>
        <w:lastRenderedPageBreak/>
        <w:t>inhibitor; other pathways involve obesity, cardiovascular disease, kidney disease and frailty (NICE, 202</w:t>
      </w:r>
      <w:r w:rsidR="00DF043F" w:rsidRPr="009420FA">
        <w:rPr>
          <w:rFonts w:ascii="Arial" w:hAnsi="Arial" w:cs="Arial"/>
          <w:lang w:val="en-US"/>
        </w:rPr>
        <w:t>3</w:t>
      </w:r>
      <w:r w:rsidRPr="009420FA">
        <w:rPr>
          <w:rFonts w:ascii="Arial" w:hAnsi="Arial" w:cs="Arial"/>
        </w:rPr>
        <w:t>). The selection must take into account contraindications, kidney function, adverse effects and informed preference. In addition to glucose reduction, protective benefits also need to be taken into account in the recommendations.</w:t>
      </w:r>
    </w:p>
    <w:p w14:paraId="197ECDA0" w14:textId="66B84585" w:rsidR="0099354C" w:rsidRPr="009420FA" w:rsidRDefault="0099354C" w:rsidP="00925304">
      <w:pPr>
        <w:pStyle w:val="NormalWeb"/>
        <w:spacing w:line="360" w:lineRule="auto"/>
        <w:jc w:val="both"/>
        <w:rPr>
          <w:rFonts w:ascii="Arial" w:hAnsi="Arial" w:cs="Arial"/>
        </w:rPr>
      </w:pPr>
      <w:r w:rsidRPr="009420FA">
        <w:rPr>
          <w:rFonts w:ascii="Arial" w:hAnsi="Arial" w:cs="Arial"/>
        </w:rPr>
        <w:t>Recommendations from international guidelines also endorse the approach of choosing agents for cardiovascular and kidney benefit and not just for HbA1c (Davies et al., 2022). International recommendations are not, however, able to make a decision on prescribing to the NHS on their own. The current NICE pathway and local arrangements will be implemented by the clinician. Insulin might be needed if other treatments do not achieve the necessary results or there are clinical circumstances that require it, and there should be education about administration, monitoring and hypoglycaemia (NICE, 202</w:t>
      </w:r>
      <w:r w:rsidR="00DF043F" w:rsidRPr="009420FA">
        <w:rPr>
          <w:rFonts w:ascii="Arial" w:hAnsi="Arial" w:cs="Arial"/>
          <w:lang w:val="en-US"/>
        </w:rPr>
        <w:t>3</w:t>
      </w:r>
      <w:r w:rsidRPr="009420FA">
        <w:rPr>
          <w:rFonts w:ascii="Arial" w:hAnsi="Arial" w:cs="Arial"/>
        </w:rPr>
        <w:t>).</w:t>
      </w:r>
    </w:p>
    <w:p w14:paraId="30A32BD9" w14:textId="7F31C53D" w:rsidR="0099354C" w:rsidRPr="009420FA" w:rsidRDefault="0099354C" w:rsidP="00925304">
      <w:pPr>
        <w:pStyle w:val="Heading2"/>
        <w:shd w:val="clear" w:color="auto" w:fill="8DB3E2" w:themeFill="text2" w:themeFillTint="66"/>
        <w:spacing w:line="360" w:lineRule="auto"/>
      </w:pPr>
      <w:bookmarkStart w:id="11" w:name="_Toc243349530"/>
      <w:r w:rsidRPr="009420FA">
        <w:t xml:space="preserve">Surveillance </w:t>
      </w:r>
      <w:r w:rsidR="00317E2A" w:rsidRPr="009420FA">
        <w:t>And Education</w:t>
      </w:r>
      <w:bookmarkEnd w:id="11"/>
    </w:p>
    <w:p w14:paraId="7ED5EA90"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Complication prevention requires follow-through on results as well as completed tests. In England, diabetic eye screening usually takes place every 12 months or every 24 months if the last two tests were not different; hence, it is risk-based (NHS, 2024). Surveillance of the feet should also be based on assessed risk (NICE, 2023a). Invitations need to be explained through these pathways and be understood by the patient that they are not needed if they are not experiencing symptoms.</w:t>
      </w:r>
    </w:p>
    <w:p w14:paraId="6F948222"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A structured-education offer at diagnosis is expected in the structured-education quality statement from NICE (2023b). The decisions made about food, activity, treatment and coping should be covered in education, and there should be opportunities for revisiting learning. Powers et al. 2020 list diagnosis, failing to meet targets and complications and transitions as important times to review education and support needs. A first treatment session can't predict all the subsequent changes in treatment.</w:t>
      </w:r>
    </w:p>
    <w:p w14:paraId="2F513AE1" w14:textId="1F0867A3" w:rsidR="0099354C" w:rsidRPr="009420FA" w:rsidRDefault="0099354C" w:rsidP="00925304">
      <w:pPr>
        <w:pStyle w:val="Heading2"/>
        <w:shd w:val="clear" w:color="auto" w:fill="8DB3E2" w:themeFill="text2" w:themeFillTint="66"/>
        <w:spacing w:line="360" w:lineRule="auto"/>
        <w:rPr>
          <w:szCs w:val="24"/>
        </w:rPr>
      </w:pPr>
      <w:bookmarkStart w:id="12" w:name="_Toc243349531"/>
      <w:r w:rsidRPr="009420FA">
        <w:rPr>
          <w:szCs w:val="24"/>
        </w:rPr>
        <w:t xml:space="preserve">Remission </w:t>
      </w:r>
      <w:r w:rsidR="00317E2A" w:rsidRPr="009420FA">
        <w:t xml:space="preserve">As </w:t>
      </w:r>
      <w:r w:rsidR="00317E2A">
        <w:t>a</w:t>
      </w:r>
      <w:r w:rsidR="00317E2A" w:rsidRPr="009420FA">
        <w:t>n Acceptable Possibility</w:t>
      </w:r>
      <w:bookmarkEnd w:id="12"/>
    </w:p>
    <w:p w14:paraId="5A4C8C33"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According to the international agreement, remission is usually when a person's HbA1c is under 48 mmol/mol for three months or more, without taking any medicines to lower glucose levels. Recurrence and complications can occur, and continued surveillance is needed </w:t>
      </w:r>
      <w:r w:rsidRPr="009420FA">
        <w:rPr>
          <w:rFonts w:ascii="Arial" w:hAnsi="Arial" w:cs="Arial"/>
        </w:rPr>
        <w:lastRenderedPageBreak/>
        <w:t>(Riddle et al., 2021). Therefore, remission is not the end of further care but means that further care needs to be continued to see if the remission will last.</w:t>
      </w:r>
    </w:p>
    <w:p w14:paraId="45AB5ECA"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In the intervention group, 46% of people with diabetes were in remission at 1 year compared to 4% in the usual care group (Lean et al., 2018). The weight management programme tested in this cluster-randomised trial was a structured weight management programme, not unsupervised dieting. After five years, 11 out of 85 participants in the extension programme were in remission (Lean et al., 2024). The extension cohort is not a like-for-like sample of the original randomised population, so the two percentages are not an easy time-series comparison of effectiveness. They illustrate potential and maintenance issues.</w:t>
      </w:r>
    </w:p>
    <w:p w14:paraId="5A603230" w14:textId="77777777" w:rsidR="0099354C" w:rsidRPr="009420FA" w:rsidRDefault="0099354C" w:rsidP="00925304">
      <w:pPr>
        <w:pStyle w:val="NormalWeb"/>
        <w:spacing w:line="360" w:lineRule="auto"/>
        <w:jc w:val="both"/>
        <w:rPr>
          <w:rFonts w:ascii="Arial" w:hAnsi="Arial" w:cs="Arial"/>
        </w:rPr>
      </w:pPr>
      <w:r w:rsidRPr="009420FA">
        <w:rPr>
          <w:rFonts w:ascii="Arial" w:hAnsi="Arial" w:cs="Arial"/>
        </w:rPr>
        <w:t xml:space="preserve">There is the NHS programme for total diet replacement, food reintroduction and maintenance support, plus medication review, defined eligibility (NHS England, 2024). In the study conducted by </w:t>
      </w:r>
      <w:proofErr w:type="spellStart"/>
      <w:r w:rsidRPr="009420FA">
        <w:rPr>
          <w:rFonts w:ascii="Arial" w:hAnsi="Arial" w:cs="Arial"/>
        </w:rPr>
        <w:t>Valabhji</w:t>
      </w:r>
      <w:proofErr w:type="spellEnd"/>
      <w:r w:rsidRPr="009420FA">
        <w:rPr>
          <w:rFonts w:ascii="Arial" w:hAnsi="Arial" w:cs="Arial"/>
        </w:rPr>
        <w:t xml:space="preserve"> et al. (2024), out of 710 individuals who had all the necessary HbA1c measurements, 190 participants were reported to have achieved remission, which is about 27%. Limited interpretation: this proportion is not the ‘remission rate’ among all those referred. It is important for professionals to discuss realistically what is possible, rather than guarantee any particular outcome, and suggest that the person can self-manage their medicines.</w:t>
      </w:r>
    </w:p>
    <w:p w14:paraId="3D6C9AE4" w14:textId="674B9109" w:rsidR="00DC1821" w:rsidRPr="00317E2A" w:rsidRDefault="00DC1821" w:rsidP="00925304">
      <w:pPr>
        <w:pStyle w:val="Heading1"/>
        <w:numPr>
          <w:ilvl w:val="0"/>
          <w:numId w:val="11"/>
        </w:numPr>
        <w:shd w:val="clear" w:color="auto" w:fill="CCC0D9" w:themeFill="accent4" w:themeFillTint="66"/>
        <w:spacing w:line="360" w:lineRule="auto"/>
      </w:pPr>
      <w:bookmarkStart w:id="13" w:name="_Toc243349532"/>
      <w:r w:rsidRPr="00317E2A">
        <w:t xml:space="preserve">Comparing </w:t>
      </w:r>
      <w:r w:rsidR="00317E2A" w:rsidRPr="00317E2A">
        <w:t xml:space="preserve">Approaches </w:t>
      </w:r>
      <w:r w:rsidR="00317E2A">
        <w:t>t</w:t>
      </w:r>
      <w:r w:rsidR="00317E2A" w:rsidRPr="00317E2A">
        <w:t>o Diabetes Education</w:t>
      </w:r>
      <w:bookmarkEnd w:id="13"/>
    </w:p>
    <w:p w14:paraId="0A7F0416" w14:textId="79FA88DB" w:rsidR="00DC1821" w:rsidRPr="009420FA" w:rsidRDefault="00DC1821" w:rsidP="00925304">
      <w:pPr>
        <w:pStyle w:val="Heading2"/>
        <w:shd w:val="clear" w:color="auto" w:fill="8DB3E2" w:themeFill="text2" w:themeFillTint="66"/>
        <w:spacing w:line="360" w:lineRule="auto"/>
        <w:rPr>
          <w:szCs w:val="24"/>
        </w:rPr>
      </w:pPr>
      <w:bookmarkStart w:id="14" w:name="_Toc243349533"/>
      <w:r w:rsidRPr="009420FA">
        <w:rPr>
          <w:szCs w:val="24"/>
        </w:rPr>
        <w:t xml:space="preserve">DESMOND </w:t>
      </w:r>
      <w:r w:rsidR="00905538" w:rsidRPr="009420FA">
        <w:t xml:space="preserve">As </w:t>
      </w:r>
      <w:r w:rsidR="00905538">
        <w:t>a</w:t>
      </w:r>
      <w:r w:rsidR="00905538" w:rsidRPr="009420FA">
        <w:t xml:space="preserve">n Educational Model </w:t>
      </w:r>
      <w:r w:rsidR="00905538">
        <w:t>i</w:t>
      </w:r>
      <w:r w:rsidR="00905538" w:rsidRPr="009420FA">
        <w:t xml:space="preserve">n </w:t>
      </w:r>
      <w:r w:rsidR="00905538">
        <w:t>t</w:t>
      </w:r>
      <w:r w:rsidR="00905538" w:rsidRPr="009420FA">
        <w:t xml:space="preserve">he </w:t>
      </w:r>
      <w:r w:rsidRPr="009420FA">
        <w:rPr>
          <w:szCs w:val="24"/>
        </w:rPr>
        <w:t>UK</w:t>
      </w:r>
      <w:bookmarkEnd w:id="14"/>
    </w:p>
    <w:p w14:paraId="45CC6FA6"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DESMOND stands for Diabetes Education and Self-Management for Ongoing and Newly Diagnosed. Neutral to the possibilities of understanding, confidence and citizen-selected actions, it is based on a model of group learning that does not depend on the transmission of information. The original programme was based on psychology theories of illness understanding and behaviour (Davies et al., 2008).</w:t>
      </w:r>
    </w:p>
    <w:p w14:paraId="4EE3FADC"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 xml:space="preserve">It is important because of what it is based on; the theory, beliefs on the cause, consequences, and controllability of diabetes affect decisions. With facilitated discussion, participants can explore these beliefs and relate to new information by connecting with their </w:t>
      </w:r>
      <w:r w:rsidRPr="009420FA">
        <w:rPr>
          <w:rFonts w:ascii="Arial" w:hAnsi="Arial" w:cs="Arial"/>
        </w:rPr>
        <w:lastRenderedPageBreak/>
        <w:t>personal experiences. This is different from being the belief that a person's behaviour will automatically change if he or she is given facts. It is the role of the educator to build confidence to take action and recognise that choices are limited by available resources (Davies et al., 2008).</w:t>
      </w:r>
    </w:p>
    <w:p w14:paraId="1B1BB5AC"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The cluster trial demonstrated improvements in weight loss, smoking cessation, and illness beliefs, with no significant difference between the groups in HbA1c at 12 months (Davies et al., 2008). At a 3-year follow-up, no lasting benefits were seen in the biomedical or lifestyle outcomes, but some beliefs were still altered (</w:t>
      </w:r>
      <w:proofErr w:type="spellStart"/>
      <w:r w:rsidRPr="009420FA">
        <w:rPr>
          <w:rFonts w:ascii="Arial" w:hAnsi="Arial" w:cs="Arial"/>
        </w:rPr>
        <w:t>Khunti</w:t>
      </w:r>
      <w:proofErr w:type="spellEnd"/>
      <w:r w:rsidRPr="009420FA">
        <w:rPr>
          <w:rFonts w:ascii="Arial" w:hAnsi="Arial" w:cs="Arial"/>
        </w:rPr>
        <w:t xml:space="preserve"> et al., 2012). These results justify making a qualified judgement that education programmes can achieve effects that are meaningful but not lasting improvements in glucose levels from any single education programme.</w:t>
      </w:r>
    </w:p>
    <w:p w14:paraId="1115429B"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The changed curriculum that was implemented in January 2026 is discussed in Northern (2026), which covers the themes of distress, stigma, remission and updated treatment information. This is confirmation that materials have changed but can't prove better outcomes. Previous trials are informative of the original intervention, and direct testing of the revised intervention is required before inferring similar or greater effects to the revised intervention.</w:t>
      </w:r>
    </w:p>
    <w:p w14:paraId="77A8F3D8" w14:textId="30EB08AE" w:rsidR="00DC1821" w:rsidRPr="009420FA" w:rsidRDefault="00DC1821" w:rsidP="00925304">
      <w:pPr>
        <w:pStyle w:val="Heading2"/>
        <w:shd w:val="clear" w:color="auto" w:fill="8DB3E2" w:themeFill="text2" w:themeFillTint="66"/>
        <w:spacing w:line="360" w:lineRule="auto"/>
      </w:pPr>
      <w:bookmarkStart w:id="15" w:name="_Toc243349534"/>
      <w:r w:rsidRPr="009420FA">
        <w:t xml:space="preserve">ADCES7 </w:t>
      </w:r>
      <w:r w:rsidR="00905538" w:rsidRPr="009420FA">
        <w:t xml:space="preserve">As </w:t>
      </w:r>
      <w:r w:rsidR="00905538">
        <w:t>a</w:t>
      </w:r>
      <w:r w:rsidR="00905538" w:rsidRPr="009420FA">
        <w:t>n International Framework</w:t>
      </w:r>
      <w:bookmarkEnd w:id="15"/>
    </w:p>
    <w:p w14:paraId="279FA6DF"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The US Association of Diabetes Care and Education Specialists defines 7 self-care behaviours: healthy coping, healthy eating, being active, taking medication, monitoring, reducing risks and problem-solving (ADCES, n.d.). The framework can be used to help pinpoint assessment and goal areas throughout the diabetes journey. It focuses on coping, placing emotional wellbeing in education, not as an extra, but as a part of education.</w:t>
      </w:r>
    </w:p>
    <w:p w14:paraId="32D1872A"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The professional position statement provides a rationale for ADCES7 as a model for individualised diabetes education and support (IDES/ADCES and Kolb, 2021). But a position statement isn't a demonstration that the whole system by itself is better for outcomes. Practitioners have to explain the link between assessment and supports and who provides the assessment and how progress is monitored. The seven behaviours in a record are not enough evidence for learning or benefit.</w:t>
      </w:r>
    </w:p>
    <w:p w14:paraId="2B3B1B0B" w14:textId="38EF3525" w:rsidR="00DC1821" w:rsidRPr="009420FA" w:rsidRDefault="00905538" w:rsidP="00925304">
      <w:pPr>
        <w:pStyle w:val="Heading2"/>
        <w:shd w:val="clear" w:color="auto" w:fill="8DB3E2" w:themeFill="text2" w:themeFillTint="66"/>
        <w:spacing w:line="360" w:lineRule="auto"/>
      </w:pPr>
      <w:bookmarkStart w:id="16" w:name="_Toc243349535"/>
      <w:r w:rsidRPr="009420FA">
        <w:lastRenderedPageBreak/>
        <w:t>What The Comparison Establishes</w:t>
      </w:r>
      <w:bookmarkEnd w:id="16"/>
    </w:p>
    <w:p w14:paraId="15894519"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 xml:space="preserve">DESMOND is an evidence-based educational programme, while ADCES7 is a framework for structuring ongoing self-care support. There are multiple tiers: neither can be considered the superior evidence on the basis of the available evidence. </w:t>
      </w:r>
      <w:proofErr w:type="spellStart"/>
      <w:r w:rsidRPr="009420FA">
        <w:rPr>
          <w:rFonts w:ascii="Arial" w:hAnsi="Arial" w:cs="Arial"/>
        </w:rPr>
        <w:t>DESMOND's</w:t>
      </w:r>
      <w:proofErr w:type="spellEnd"/>
      <w:r w:rsidRPr="009420FA">
        <w:rPr>
          <w:rFonts w:ascii="Arial" w:hAnsi="Arial" w:cs="Arial"/>
        </w:rPr>
        <w:t xml:space="preserve"> findings in its follow-up reinforce the need for reinforcement, and ADCES7 provides categories by which changing needs can be reviewed. Both need adaptation to literacy, to culture and resources, but neither suggests that just education will clear material obstacles.</w:t>
      </w:r>
    </w:p>
    <w:p w14:paraId="4E2C8A3A" w14:textId="11F456BD" w:rsidR="00DC1821" w:rsidRPr="009420FA" w:rsidRDefault="00DC1821" w:rsidP="00925304">
      <w:pPr>
        <w:pStyle w:val="Heading1"/>
        <w:numPr>
          <w:ilvl w:val="0"/>
          <w:numId w:val="11"/>
        </w:numPr>
        <w:shd w:val="clear" w:color="auto" w:fill="CCC0D9" w:themeFill="accent4" w:themeFillTint="66"/>
        <w:spacing w:line="360" w:lineRule="auto"/>
      </w:pPr>
      <w:bookmarkStart w:id="17" w:name="_Toc243349536"/>
      <w:r w:rsidRPr="009420FA">
        <w:t xml:space="preserve">National </w:t>
      </w:r>
      <w:r w:rsidR="00905538" w:rsidRPr="009420FA">
        <w:t xml:space="preserve">Priorities </w:t>
      </w:r>
      <w:r w:rsidR="00905538">
        <w:t>a</w:t>
      </w:r>
      <w:r w:rsidR="00905538" w:rsidRPr="009420FA">
        <w:t>nd Local Delivery</w:t>
      </w:r>
      <w:bookmarkEnd w:id="17"/>
    </w:p>
    <w:p w14:paraId="1DBFAB1D" w14:textId="707450E7" w:rsidR="00DC1821" w:rsidRPr="009420FA" w:rsidRDefault="00DC1821" w:rsidP="00925304">
      <w:pPr>
        <w:pStyle w:val="Heading2"/>
        <w:shd w:val="clear" w:color="auto" w:fill="8DB3E2" w:themeFill="text2" w:themeFillTint="66"/>
        <w:spacing w:line="360" w:lineRule="auto"/>
        <w:rPr>
          <w:szCs w:val="24"/>
        </w:rPr>
      </w:pPr>
      <w:bookmarkStart w:id="18" w:name="_Toc243349537"/>
      <w:r w:rsidRPr="009420FA">
        <w:rPr>
          <w:szCs w:val="24"/>
        </w:rPr>
        <w:t xml:space="preserve">Standards </w:t>
      </w:r>
      <w:r w:rsidR="00905538" w:rsidRPr="009420FA">
        <w:t xml:space="preserve">And Implementation </w:t>
      </w:r>
      <w:r w:rsidR="00905538">
        <w:t>i</w:t>
      </w:r>
      <w:r w:rsidR="00905538" w:rsidRPr="009420FA">
        <w:t xml:space="preserve">n </w:t>
      </w:r>
      <w:r w:rsidRPr="009420FA">
        <w:rPr>
          <w:szCs w:val="24"/>
        </w:rPr>
        <w:t>England</w:t>
      </w:r>
      <w:bookmarkEnd w:id="18"/>
    </w:p>
    <w:p w14:paraId="5D143B6B"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The Health and Care Act 2022 links the planning of the NHS and local government by introducing integrated care arrangements (section 26) and local health and wellbeing strategy planning requirements (section 26). This provides a foundation for thinking about social support and clinical treatment of diabetes. But unequal access cannot be overcome simply via a statutory planning structure. Commissioning decisions should reflect the needs assessed and devolve to service delivery that is relevant and responsible for any gaps that span organisations.</w:t>
      </w:r>
    </w:p>
    <w:p w14:paraId="55322CCB" w14:textId="6431E0B9" w:rsidR="0099354C" w:rsidRPr="009420FA" w:rsidRDefault="00DC1821" w:rsidP="00925304">
      <w:pPr>
        <w:pStyle w:val="NormalWeb"/>
        <w:spacing w:line="360" w:lineRule="auto"/>
        <w:jc w:val="both"/>
        <w:rPr>
          <w:rFonts w:ascii="Arial" w:hAnsi="Arial" w:cs="Arial"/>
        </w:rPr>
      </w:pPr>
      <w:r w:rsidRPr="009420FA">
        <w:rPr>
          <w:rFonts w:ascii="Arial" w:hAnsi="Arial" w:cs="Arial"/>
        </w:rPr>
        <w:t>Clinical guidance and national audit ensure an accountability pathway for preventing complications. In the 2024-25 National Diabetes Audit, 58.2% of the England type 2 and other diabetes groups had all eight care processes recorded, whereas 91.9% had their HbA1c recorded (NHS England, 2026). There is a difference because a review based on glucose may not result in the completion of other preventive work. These data are not intended to be definitive records of all clinical encounters due to limitations of recording.</w:t>
      </w:r>
    </w:p>
    <w:p w14:paraId="2C656FEC" w14:textId="65C4C12A" w:rsidR="00192777" w:rsidRPr="009420FA" w:rsidRDefault="00192777" w:rsidP="00925304">
      <w:pPr>
        <w:rPr>
          <w:rFonts w:cs="Arial"/>
          <w:sz w:val="24"/>
          <w:szCs w:val="24"/>
        </w:rPr>
      </w:pPr>
    </w:p>
    <w:tbl>
      <w:tblPr>
        <w:tblW w:w="0" w:type="auto"/>
        <w:tblLayout w:type="fixed"/>
        <w:tblLook w:val="04A0" w:firstRow="1" w:lastRow="0" w:firstColumn="1" w:lastColumn="0" w:noHBand="0" w:noVBand="1"/>
      </w:tblPr>
      <w:tblGrid>
        <w:gridCol w:w="7488"/>
        <w:gridCol w:w="2304"/>
      </w:tblGrid>
      <w:tr w:rsidR="00192777" w:rsidRPr="009420FA" w14:paraId="48D17767" w14:textId="77777777">
        <w:trPr>
          <w:cantSplit/>
          <w:tblHeader/>
        </w:trPr>
        <w:tc>
          <w:tcPr>
            <w:tcW w:w="7488" w:type="dxa"/>
            <w:tcBorders>
              <w:top w:val="single" w:sz="4" w:space="0" w:color="D9D9D9"/>
              <w:left w:val="single" w:sz="4" w:space="0" w:color="D9D9D9"/>
              <w:bottom w:val="single" w:sz="4" w:space="0" w:color="D9D9D9"/>
              <w:right w:val="single" w:sz="4" w:space="0" w:color="D9D9D9"/>
            </w:tcBorders>
            <w:shd w:val="clear" w:color="auto" w:fill="243D4D"/>
            <w:tcMar>
              <w:top w:w="100" w:type="dxa"/>
              <w:left w:w="100" w:type="dxa"/>
              <w:bottom w:w="100" w:type="dxa"/>
              <w:right w:w="100" w:type="dxa"/>
            </w:tcMar>
            <w:vAlign w:val="center"/>
          </w:tcPr>
          <w:p w14:paraId="4A838A80" w14:textId="77777777" w:rsidR="00192777" w:rsidRPr="009420FA" w:rsidRDefault="00A8607A" w:rsidP="00925304">
            <w:pPr>
              <w:spacing w:after="40"/>
              <w:rPr>
                <w:rFonts w:cs="Arial"/>
                <w:sz w:val="24"/>
                <w:szCs w:val="24"/>
              </w:rPr>
            </w:pPr>
            <w:r w:rsidRPr="009420FA">
              <w:rPr>
                <w:rFonts w:cs="Arial"/>
                <w:b/>
                <w:color w:val="FFFFFF"/>
                <w:sz w:val="24"/>
                <w:szCs w:val="24"/>
              </w:rPr>
              <w:t>Recorded care process</w:t>
            </w:r>
          </w:p>
        </w:tc>
        <w:tc>
          <w:tcPr>
            <w:tcW w:w="2304" w:type="dxa"/>
            <w:tcBorders>
              <w:top w:val="single" w:sz="4" w:space="0" w:color="D9D9D9"/>
              <w:left w:val="single" w:sz="4" w:space="0" w:color="D9D9D9"/>
              <w:bottom w:val="single" w:sz="4" w:space="0" w:color="D9D9D9"/>
              <w:right w:val="single" w:sz="4" w:space="0" w:color="D9D9D9"/>
            </w:tcBorders>
            <w:shd w:val="clear" w:color="auto" w:fill="243D4D"/>
            <w:tcMar>
              <w:top w:w="100" w:type="dxa"/>
              <w:left w:w="100" w:type="dxa"/>
              <w:bottom w:w="100" w:type="dxa"/>
              <w:right w:w="100" w:type="dxa"/>
            </w:tcMar>
            <w:vAlign w:val="center"/>
          </w:tcPr>
          <w:p w14:paraId="33651B34" w14:textId="77777777" w:rsidR="00192777" w:rsidRPr="009420FA" w:rsidRDefault="00A8607A" w:rsidP="00925304">
            <w:pPr>
              <w:spacing w:after="40"/>
              <w:rPr>
                <w:rFonts w:cs="Arial"/>
                <w:sz w:val="24"/>
                <w:szCs w:val="24"/>
              </w:rPr>
            </w:pPr>
            <w:r w:rsidRPr="009420FA">
              <w:rPr>
                <w:rFonts w:cs="Arial"/>
                <w:b/>
                <w:color w:val="FFFFFF"/>
                <w:sz w:val="24"/>
                <w:szCs w:val="24"/>
              </w:rPr>
              <w:t>Percentage</w:t>
            </w:r>
          </w:p>
        </w:tc>
      </w:tr>
      <w:tr w:rsidR="00192777" w:rsidRPr="009420FA" w14:paraId="2D6AF031" w14:textId="77777777">
        <w:trPr>
          <w:cantSplit/>
        </w:trPr>
        <w:tc>
          <w:tcPr>
            <w:tcW w:w="7488" w:type="dxa"/>
            <w:tcBorders>
              <w:top w:val="single" w:sz="4" w:space="0" w:color="D9D9D9"/>
              <w:left w:val="single" w:sz="4" w:space="0" w:color="D9D9D9"/>
              <w:bottom w:val="single" w:sz="4" w:space="0" w:color="D9D9D9"/>
              <w:right w:val="single" w:sz="4" w:space="0" w:color="D9D9D9"/>
            </w:tcBorders>
            <w:shd w:val="clear" w:color="auto" w:fill="FFFFFF"/>
            <w:tcMar>
              <w:top w:w="100" w:type="dxa"/>
              <w:left w:w="100" w:type="dxa"/>
              <w:bottom w:w="100" w:type="dxa"/>
              <w:right w:w="100" w:type="dxa"/>
            </w:tcMar>
            <w:vAlign w:val="center"/>
          </w:tcPr>
          <w:p w14:paraId="26DE7845" w14:textId="77777777" w:rsidR="00192777" w:rsidRPr="009420FA" w:rsidRDefault="00A8607A" w:rsidP="00925304">
            <w:pPr>
              <w:spacing w:after="40"/>
              <w:rPr>
                <w:rFonts w:cs="Arial"/>
                <w:sz w:val="24"/>
                <w:szCs w:val="24"/>
              </w:rPr>
            </w:pPr>
            <w:r w:rsidRPr="009420FA">
              <w:rPr>
                <w:rFonts w:cs="Arial"/>
                <w:sz w:val="24"/>
                <w:szCs w:val="24"/>
              </w:rPr>
              <w:t>All eight care processes</w:t>
            </w:r>
          </w:p>
        </w:tc>
        <w:tc>
          <w:tcPr>
            <w:tcW w:w="2304" w:type="dxa"/>
            <w:tcBorders>
              <w:top w:val="single" w:sz="4" w:space="0" w:color="D9D9D9"/>
              <w:left w:val="single" w:sz="4" w:space="0" w:color="D9D9D9"/>
              <w:bottom w:val="single" w:sz="4" w:space="0" w:color="D9D9D9"/>
              <w:right w:val="single" w:sz="4" w:space="0" w:color="D9D9D9"/>
            </w:tcBorders>
            <w:shd w:val="clear" w:color="auto" w:fill="FFFFFF"/>
            <w:tcMar>
              <w:top w:w="100" w:type="dxa"/>
              <w:left w:w="100" w:type="dxa"/>
              <w:bottom w:w="100" w:type="dxa"/>
              <w:right w:w="100" w:type="dxa"/>
            </w:tcMar>
            <w:vAlign w:val="center"/>
          </w:tcPr>
          <w:p w14:paraId="3FB8BE57" w14:textId="77777777" w:rsidR="00192777" w:rsidRPr="009420FA" w:rsidRDefault="00A8607A" w:rsidP="00925304">
            <w:pPr>
              <w:spacing w:after="40"/>
              <w:rPr>
                <w:rFonts w:cs="Arial"/>
                <w:sz w:val="24"/>
                <w:szCs w:val="24"/>
              </w:rPr>
            </w:pPr>
            <w:r w:rsidRPr="009420FA">
              <w:rPr>
                <w:rFonts w:cs="Arial"/>
                <w:sz w:val="24"/>
                <w:szCs w:val="24"/>
              </w:rPr>
              <w:t>58.2%</w:t>
            </w:r>
          </w:p>
        </w:tc>
      </w:tr>
      <w:tr w:rsidR="00192777" w:rsidRPr="009420FA" w14:paraId="296F0D27" w14:textId="77777777">
        <w:trPr>
          <w:cantSplit/>
        </w:trPr>
        <w:tc>
          <w:tcPr>
            <w:tcW w:w="7488" w:type="dxa"/>
            <w:tcBorders>
              <w:top w:val="single" w:sz="4" w:space="0" w:color="D9D9D9"/>
              <w:left w:val="single" w:sz="4" w:space="0" w:color="D9D9D9"/>
              <w:bottom w:val="single" w:sz="4" w:space="0" w:color="D9D9D9"/>
              <w:right w:val="single" w:sz="4" w:space="0" w:color="D9D9D9"/>
            </w:tcBorders>
            <w:shd w:val="clear" w:color="auto" w:fill="F0F4F6"/>
            <w:tcMar>
              <w:top w:w="100" w:type="dxa"/>
              <w:left w:w="100" w:type="dxa"/>
              <w:bottom w:w="100" w:type="dxa"/>
              <w:right w:w="100" w:type="dxa"/>
            </w:tcMar>
            <w:vAlign w:val="center"/>
          </w:tcPr>
          <w:p w14:paraId="7A8D4071" w14:textId="77777777" w:rsidR="00192777" w:rsidRPr="009420FA" w:rsidRDefault="00A8607A" w:rsidP="00925304">
            <w:pPr>
              <w:spacing w:after="40"/>
              <w:rPr>
                <w:rFonts w:cs="Arial"/>
                <w:sz w:val="24"/>
                <w:szCs w:val="24"/>
              </w:rPr>
            </w:pPr>
            <w:r w:rsidRPr="009420FA">
              <w:rPr>
                <w:rFonts w:cs="Arial"/>
                <w:sz w:val="24"/>
                <w:szCs w:val="24"/>
              </w:rPr>
              <w:t>HbA1c measurement</w:t>
            </w:r>
          </w:p>
        </w:tc>
        <w:tc>
          <w:tcPr>
            <w:tcW w:w="2304" w:type="dxa"/>
            <w:tcBorders>
              <w:top w:val="single" w:sz="4" w:space="0" w:color="D9D9D9"/>
              <w:left w:val="single" w:sz="4" w:space="0" w:color="D9D9D9"/>
              <w:bottom w:val="single" w:sz="4" w:space="0" w:color="D9D9D9"/>
              <w:right w:val="single" w:sz="4" w:space="0" w:color="D9D9D9"/>
            </w:tcBorders>
            <w:shd w:val="clear" w:color="auto" w:fill="F0F4F6"/>
            <w:tcMar>
              <w:top w:w="100" w:type="dxa"/>
              <w:left w:w="100" w:type="dxa"/>
              <w:bottom w:w="100" w:type="dxa"/>
              <w:right w:w="100" w:type="dxa"/>
            </w:tcMar>
            <w:vAlign w:val="center"/>
          </w:tcPr>
          <w:p w14:paraId="17EE3B8B" w14:textId="77777777" w:rsidR="00192777" w:rsidRPr="009420FA" w:rsidRDefault="00A8607A" w:rsidP="00925304">
            <w:pPr>
              <w:spacing w:after="40"/>
              <w:rPr>
                <w:rFonts w:cs="Arial"/>
                <w:sz w:val="24"/>
                <w:szCs w:val="24"/>
              </w:rPr>
            </w:pPr>
            <w:r w:rsidRPr="009420FA">
              <w:rPr>
                <w:rFonts w:cs="Arial"/>
                <w:sz w:val="24"/>
                <w:szCs w:val="24"/>
              </w:rPr>
              <w:t>91.9%</w:t>
            </w:r>
          </w:p>
        </w:tc>
      </w:tr>
      <w:tr w:rsidR="00192777" w:rsidRPr="009420FA" w14:paraId="61C2527B" w14:textId="77777777">
        <w:trPr>
          <w:cantSplit/>
        </w:trPr>
        <w:tc>
          <w:tcPr>
            <w:tcW w:w="7488" w:type="dxa"/>
            <w:tcBorders>
              <w:top w:val="single" w:sz="4" w:space="0" w:color="D9D9D9"/>
              <w:left w:val="single" w:sz="4" w:space="0" w:color="D9D9D9"/>
              <w:bottom w:val="single" w:sz="4" w:space="0" w:color="D9D9D9"/>
              <w:right w:val="single" w:sz="4" w:space="0" w:color="D9D9D9"/>
            </w:tcBorders>
            <w:shd w:val="clear" w:color="auto" w:fill="FFFFFF"/>
            <w:tcMar>
              <w:top w:w="100" w:type="dxa"/>
              <w:left w:w="100" w:type="dxa"/>
              <w:bottom w:w="100" w:type="dxa"/>
              <w:right w:w="100" w:type="dxa"/>
            </w:tcMar>
            <w:vAlign w:val="center"/>
          </w:tcPr>
          <w:p w14:paraId="245859DA" w14:textId="77777777" w:rsidR="00192777" w:rsidRPr="009420FA" w:rsidRDefault="00A8607A" w:rsidP="00925304">
            <w:pPr>
              <w:spacing w:after="40"/>
              <w:rPr>
                <w:rFonts w:cs="Arial"/>
                <w:sz w:val="24"/>
                <w:szCs w:val="24"/>
              </w:rPr>
            </w:pPr>
            <w:r w:rsidRPr="009420FA">
              <w:rPr>
                <w:rFonts w:cs="Arial"/>
                <w:sz w:val="24"/>
                <w:szCs w:val="24"/>
              </w:rPr>
              <w:lastRenderedPageBreak/>
              <w:t>Urinary microalbumin measurement</w:t>
            </w:r>
          </w:p>
        </w:tc>
        <w:tc>
          <w:tcPr>
            <w:tcW w:w="2304" w:type="dxa"/>
            <w:tcBorders>
              <w:top w:val="single" w:sz="4" w:space="0" w:color="D9D9D9"/>
              <w:left w:val="single" w:sz="4" w:space="0" w:color="D9D9D9"/>
              <w:bottom w:val="single" w:sz="4" w:space="0" w:color="D9D9D9"/>
              <w:right w:val="single" w:sz="4" w:space="0" w:color="D9D9D9"/>
            </w:tcBorders>
            <w:shd w:val="clear" w:color="auto" w:fill="FFFFFF"/>
            <w:tcMar>
              <w:top w:w="100" w:type="dxa"/>
              <w:left w:w="100" w:type="dxa"/>
              <w:bottom w:w="100" w:type="dxa"/>
              <w:right w:w="100" w:type="dxa"/>
            </w:tcMar>
            <w:vAlign w:val="center"/>
          </w:tcPr>
          <w:p w14:paraId="6C7BBB03" w14:textId="77777777" w:rsidR="00192777" w:rsidRPr="009420FA" w:rsidRDefault="00A8607A" w:rsidP="00925304">
            <w:pPr>
              <w:spacing w:after="40"/>
              <w:rPr>
                <w:rFonts w:cs="Arial"/>
                <w:sz w:val="24"/>
                <w:szCs w:val="24"/>
              </w:rPr>
            </w:pPr>
            <w:r w:rsidRPr="009420FA">
              <w:rPr>
                <w:rFonts w:cs="Arial"/>
                <w:sz w:val="24"/>
                <w:szCs w:val="24"/>
              </w:rPr>
              <w:t>68.6%</w:t>
            </w:r>
          </w:p>
        </w:tc>
      </w:tr>
      <w:tr w:rsidR="00192777" w:rsidRPr="009420FA" w14:paraId="6BAEA46E" w14:textId="77777777">
        <w:trPr>
          <w:cantSplit/>
        </w:trPr>
        <w:tc>
          <w:tcPr>
            <w:tcW w:w="7488" w:type="dxa"/>
            <w:tcBorders>
              <w:top w:val="single" w:sz="4" w:space="0" w:color="D9D9D9"/>
              <w:left w:val="single" w:sz="4" w:space="0" w:color="D9D9D9"/>
              <w:bottom w:val="single" w:sz="4" w:space="0" w:color="D9D9D9"/>
              <w:right w:val="single" w:sz="4" w:space="0" w:color="D9D9D9"/>
            </w:tcBorders>
            <w:shd w:val="clear" w:color="auto" w:fill="F0F4F6"/>
            <w:tcMar>
              <w:top w:w="100" w:type="dxa"/>
              <w:left w:w="100" w:type="dxa"/>
              <w:bottom w:w="100" w:type="dxa"/>
              <w:right w:w="100" w:type="dxa"/>
            </w:tcMar>
            <w:vAlign w:val="center"/>
          </w:tcPr>
          <w:p w14:paraId="76E32434" w14:textId="77777777" w:rsidR="00192777" w:rsidRPr="009420FA" w:rsidRDefault="00A8607A" w:rsidP="00925304">
            <w:pPr>
              <w:spacing w:after="40"/>
              <w:rPr>
                <w:rFonts w:cs="Arial"/>
                <w:sz w:val="24"/>
                <w:szCs w:val="24"/>
              </w:rPr>
            </w:pPr>
            <w:r w:rsidRPr="009420FA">
              <w:rPr>
                <w:rFonts w:cs="Arial"/>
                <w:sz w:val="24"/>
                <w:szCs w:val="24"/>
              </w:rPr>
              <w:t>Foot assessment</w:t>
            </w:r>
          </w:p>
        </w:tc>
        <w:tc>
          <w:tcPr>
            <w:tcW w:w="2304" w:type="dxa"/>
            <w:tcBorders>
              <w:top w:val="single" w:sz="4" w:space="0" w:color="D9D9D9"/>
              <w:left w:val="single" w:sz="4" w:space="0" w:color="D9D9D9"/>
              <w:bottom w:val="single" w:sz="4" w:space="0" w:color="D9D9D9"/>
              <w:right w:val="single" w:sz="4" w:space="0" w:color="D9D9D9"/>
            </w:tcBorders>
            <w:shd w:val="clear" w:color="auto" w:fill="F0F4F6"/>
            <w:tcMar>
              <w:top w:w="100" w:type="dxa"/>
              <w:left w:w="100" w:type="dxa"/>
              <w:bottom w:w="100" w:type="dxa"/>
              <w:right w:w="100" w:type="dxa"/>
            </w:tcMar>
            <w:vAlign w:val="center"/>
          </w:tcPr>
          <w:p w14:paraId="02F0D1D6" w14:textId="77777777" w:rsidR="00192777" w:rsidRPr="009420FA" w:rsidRDefault="00A8607A" w:rsidP="00925304">
            <w:pPr>
              <w:spacing w:after="40"/>
              <w:rPr>
                <w:rFonts w:cs="Arial"/>
                <w:sz w:val="24"/>
                <w:szCs w:val="24"/>
              </w:rPr>
            </w:pPr>
            <w:r w:rsidRPr="009420FA">
              <w:rPr>
                <w:rFonts w:cs="Arial"/>
                <w:sz w:val="24"/>
                <w:szCs w:val="24"/>
              </w:rPr>
              <w:t>77.7%</w:t>
            </w:r>
          </w:p>
        </w:tc>
      </w:tr>
    </w:tbl>
    <w:p w14:paraId="25E6F7D1" w14:textId="77777777" w:rsidR="00192777" w:rsidRPr="009420FA" w:rsidRDefault="00A8607A" w:rsidP="00925304">
      <w:pPr>
        <w:spacing w:before="120"/>
        <w:rPr>
          <w:rFonts w:cs="Arial"/>
          <w:sz w:val="24"/>
          <w:szCs w:val="24"/>
        </w:rPr>
      </w:pPr>
      <w:r w:rsidRPr="009420FA">
        <w:rPr>
          <w:rFonts w:cs="Arial"/>
          <w:sz w:val="24"/>
          <w:szCs w:val="24"/>
        </w:rPr>
        <w:t>England type 2 and other diabetes group, 2024–25. These are recorded processes, not proof of completed follow-up treatment. Source: NHS England (2026).</w:t>
      </w:r>
    </w:p>
    <w:p w14:paraId="310CD308" w14:textId="0D0D0D6B" w:rsidR="00DC1821" w:rsidRDefault="00DC1821" w:rsidP="00925304">
      <w:pPr>
        <w:pStyle w:val="NormalWeb"/>
        <w:spacing w:line="360" w:lineRule="auto"/>
        <w:jc w:val="both"/>
        <w:rPr>
          <w:rFonts w:ascii="Arial" w:hAnsi="Arial" w:cs="Arial"/>
        </w:rPr>
      </w:pPr>
      <w:r w:rsidRPr="009420FA">
        <w:rPr>
          <w:rFonts w:ascii="Arial" w:hAnsi="Arial" w:cs="Arial"/>
        </w:rPr>
        <w:t>Methodological care is also needed for the audit comparisons. The reporting period has been shortened from 15 months to 12 months, and so comparisons with previous annual reports were not possible (NHS England, 2026). OHID (2026) consequently starts new time series for relevant indicators. Judgements based on commissioning should be based on similar populations and similar time periods, not the reward of a ‘trend' which has been artificially defined by the way the data are measured.</w:t>
      </w:r>
    </w:p>
    <w:p w14:paraId="48C87EB6" w14:textId="430F7193" w:rsidR="0095332A" w:rsidRPr="009420FA" w:rsidRDefault="0095332A" w:rsidP="0095332A">
      <w:pPr>
        <w:pStyle w:val="NormalWeb"/>
        <w:spacing w:line="360" w:lineRule="auto"/>
        <w:jc w:val="center"/>
        <w:rPr>
          <w:rFonts w:ascii="Arial" w:hAnsi="Arial" w:cs="Arial"/>
        </w:rPr>
      </w:pPr>
      <w:r>
        <w:rPr>
          <w:noProof/>
        </w:rPr>
        <w:drawing>
          <wp:inline distT="0" distB="0" distL="0" distR="0" wp14:anchorId="42BFB418" wp14:editId="49D8F5CD">
            <wp:extent cx="5003269" cy="4031944"/>
            <wp:effectExtent l="0" t="0" r="6985" b="6985"/>
            <wp:docPr id="5" name="Picture 5" descr="UK Diabetes Statistics | 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K Diabetes Statistics | Guid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3677" cy="4032273"/>
                    </a:xfrm>
                    <a:prstGeom prst="rect">
                      <a:avLst/>
                    </a:prstGeom>
                    <a:noFill/>
                    <a:ln>
                      <a:noFill/>
                    </a:ln>
                  </pic:spPr>
                </pic:pic>
              </a:graphicData>
            </a:graphic>
          </wp:inline>
        </w:drawing>
      </w:r>
    </w:p>
    <w:p w14:paraId="5408B3E5"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 xml:space="preserve">The national remission service specification is the tool that will help to ensure the evidence is translated into an organised NHS offer, such as dietary stages and follow-up (NHS </w:t>
      </w:r>
      <w:r w:rsidRPr="009420FA">
        <w:rPr>
          <w:rFonts w:ascii="Arial" w:hAnsi="Arial" w:cs="Arial"/>
        </w:rPr>
        <w:lastRenderedPageBreak/>
        <w:t>England, 2024). The development value is that it's an intensive intervention that's available in commissioned care. However, a remission-centred agenda should not replace complication prevention or ongoing care for those who are ineligible, or who do not achieve remission.</w:t>
      </w:r>
    </w:p>
    <w:p w14:paraId="6CEA37CC" w14:textId="77777777" w:rsidR="00DC1821" w:rsidRPr="009420FA" w:rsidRDefault="00DC1821" w:rsidP="00925304">
      <w:pPr>
        <w:pStyle w:val="Heading2"/>
        <w:shd w:val="clear" w:color="auto" w:fill="8DB3E2" w:themeFill="text2" w:themeFillTint="66"/>
        <w:spacing w:line="360" w:lineRule="auto"/>
      </w:pPr>
      <w:bookmarkStart w:id="19" w:name="_Toc243349538"/>
      <w:r w:rsidRPr="009420FA">
        <w:t>Leicester, Leicestershire, and Rutland</w:t>
      </w:r>
      <w:bookmarkEnd w:id="19"/>
    </w:p>
    <w:p w14:paraId="706B849E" w14:textId="77777777" w:rsidR="00DC1821" w:rsidRPr="009420FA" w:rsidRDefault="00DC1821" w:rsidP="00925304">
      <w:pPr>
        <w:pStyle w:val="NormalWeb"/>
        <w:spacing w:line="360" w:lineRule="auto"/>
        <w:jc w:val="both"/>
        <w:rPr>
          <w:rFonts w:ascii="Arial" w:hAnsi="Arial" w:cs="Arial"/>
        </w:rPr>
      </w:pPr>
      <w:r w:rsidRPr="009420FA">
        <w:rPr>
          <w:rFonts w:ascii="Arial" w:hAnsi="Arial" w:cs="Arial"/>
        </w:rPr>
        <w:t>The LLR Integrated Care Board's annual report for 2024–25 shows that 104 GP practices have enrolled in the Enhanced Diabetes Service. It refers to the training and accreditation of staff to initiate insulin treatment and to use continuous glucose monitoring and specialist medication (LLR ICB, 2025, p. 23). This is one example of the translation of diabetes expertise into primary care. Participation does not, however, indicate that each eligible patient was served or that better outcomes occurred.</w:t>
      </w:r>
    </w:p>
    <w:p w14:paraId="64ED8960" w14:textId="5EB296D2" w:rsidR="00DC1821" w:rsidRPr="009420FA" w:rsidRDefault="00DC1821" w:rsidP="00925304">
      <w:pPr>
        <w:pStyle w:val="NormalWeb"/>
        <w:spacing w:line="360" w:lineRule="auto"/>
        <w:jc w:val="both"/>
        <w:rPr>
          <w:rFonts w:ascii="Arial" w:hAnsi="Arial" w:cs="Arial"/>
        </w:rPr>
      </w:pPr>
      <w:r w:rsidRPr="009420FA">
        <w:rPr>
          <w:rFonts w:ascii="Arial" w:hAnsi="Arial" w:cs="Arial"/>
        </w:rPr>
        <w:t>The same report also shows that access to diabetic care processes is also less for those in the most deprived areas (LLR ICB, 2025, p. 18). Therefore, an assessment of expansion should be in relation to access to participation as well as participation itself. The local diabetes webpage promotes a twelve-month remission programme delivered via the app or face-to-face and Healthy Living digital education (LLR ICB, n.d.). These are reported pathways to support, but publicity alone will not ensure uptake, retention or benefit in the various groups.</w:t>
      </w:r>
    </w:p>
    <w:p w14:paraId="769D14D3" w14:textId="6402C5D5" w:rsidR="00D72C7A" w:rsidRPr="00905538" w:rsidRDefault="00D72C7A" w:rsidP="00925304">
      <w:pPr>
        <w:pStyle w:val="Heading1"/>
        <w:numPr>
          <w:ilvl w:val="0"/>
          <w:numId w:val="11"/>
        </w:numPr>
        <w:shd w:val="clear" w:color="auto" w:fill="CCC0D9" w:themeFill="accent4" w:themeFillTint="66"/>
        <w:spacing w:line="360" w:lineRule="auto"/>
      </w:pPr>
      <w:bookmarkStart w:id="20" w:name="_Toc243349539"/>
      <w:r w:rsidRPr="00905538">
        <w:t xml:space="preserve">Recommendations </w:t>
      </w:r>
      <w:r w:rsidR="00905538" w:rsidRPr="00905538">
        <w:t>Across the Care Journey</w:t>
      </w:r>
      <w:bookmarkEnd w:id="20"/>
    </w:p>
    <w:p w14:paraId="0334CC75" w14:textId="0ACEEE4A" w:rsidR="00D72C7A" w:rsidRPr="009420FA" w:rsidRDefault="00D72C7A" w:rsidP="00925304">
      <w:pPr>
        <w:pStyle w:val="Heading2"/>
        <w:shd w:val="clear" w:color="auto" w:fill="8DB3E2" w:themeFill="text2" w:themeFillTint="66"/>
        <w:spacing w:line="360" w:lineRule="auto"/>
        <w:rPr>
          <w:szCs w:val="24"/>
        </w:rPr>
      </w:pPr>
      <w:bookmarkStart w:id="21" w:name="_Toc243349540"/>
      <w:r w:rsidRPr="009420FA">
        <w:rPr>
          <w:szCs w:val="24"/>
        </w:rPr>
        <w:t xml:space="preserve">Create </w:t>
      </w:r>
      <w:r w:rsidR="00905538" w:rsidRPr="009420FA">
        <w:t xml:space="preserve">Educability </w:t>
      </w:r>
      <w:r w:rsidR="00905538">
        <w:t>a</w:t>
      </w:r>
      <w:proofErr w:type="spellStart"/>
      <w:r w:rsidR="00905538" w:rsidRPr="009420FA">
        <w:t>nd</w:t>
      </w:r>
      <w:proofErr w:type="spellEnd"/>
      <w:r w:rsidR="00905538" w:rsidRPr="009420FA">
        <w:t xml:space="preserve"> Responsiveness</w:t>
      </w:r>
      <w:bookmarkEnd w:id="21"/>
    </w:p>
    <w:p w14:paraId="1B9443E7" w14:textId="77777777" w:rsidR="00D72C7A" w:rsidRPr="009420FA" w:rsidRDefault="00D72C7A" w:rsidP="00925304">
      <w:pPr>
        <w:pStyle w:val="NormalWeb"/>
        <w:spacing w:line="360" w:lineRule="auto"/>
        <w:jc w:val="both"/>
        <w:rPr>
          <w:rFonts w:ascii="Arial" w:hAnsi="Arial" w:cs="Arial"/>
        </w:rPr>
      </w:pPr>
      <w:r w:rsidRPr="009420FA">
        <w:rPr>
          <w:rFonts w:ascii="Arial" w:hAnsi="Arial" w:cs="Arial"/>
        </w:rPr>
        <w:t xml:space="preserve">Practices should determine what patients must choose next and choose their education accordingly, as well as when treatment changes or new complications arise where they need to revisit learning. The education standard from NICE provides a baseline expectation, and the longer-term findings of DESMOND suggest that initial gains should be followed up to see if they have been sustained (NICE, 2023b; </w:t>
      </w:r>
      <w:proofErr w:type="spellStart"/>
      <w:r w:rsidRPr="009420FA">
        <w:rPr>
          <w:rFonts w:ascii="Arial" w:hAnsi="Arial" w:cs="Arial"/>
        </w:rPr>
        <w:t>Khunti</w:t>
      </w:r>
      <w:proofErr w:type="spellEnd"/>
      <w:r w:rsidRPr="009420FA">
        <w:rPr>
          <w:rFonts w:ascii="Arial" w:hAnsi="Arial" w:cs="Arial"/>
        </w:rPr>
        <w:t xml:space="preserve"> et al., 2012). Evaluate knowledge by discussing their daily regimen and concerns, not by knowledge tests that are unrelated to their daily decisions.</w:t>
      </w:r>
    </w:p>
    <w:p w14:paraId="21FDAC85" w14:textId="77777777" w:rsidR="00D72C7A" w:rsidRPr="009420FA" w:rsidRDefault="00D72C7A" w:rsidP="00925304">
      <w:pPr>
        <w:pStyle w:val="NormalWeb"/>
        <w:spacing w:line="360" w:lineRule="auto"/>
        <w:jc w:val="both"/>
        <w:rPr>
          <w:rFonts w:ascii="Arial" w:hAnsi="Arial" w:cs="Arial"/>
        </w:rPr>
      </w:pPr>
      <w:r w:rsidRPr="009420FA">
        <w:rPr>
          <w:rFonts w:ascii="Arial" w:hAnsi="Arial" w:cs="Arial"/>
        </w:rPr>
        <w:lastRenderedPageBreak/>
        <w:t xml:space="preserve">Digital services should support the learning and provide a clear path for questions to be raised, which should be clinically supported. Find </w:t>
      </w:r>
      <w:proofErr w:type="spellStart"/>
      <w:r w:rsidRPr="009420FA">
        <w:rPr>
          <w:rFonts w:ascii="Arial" w:hAnsi="Arial" w:cs="Arial"/>
        </w:rPr>
        <w:t>favorable</w:t>
      </w:r>
      <w:proofErr w:type="spellEnd"/>
      <w:r w:rsidRPr="009420FA">
        <w:rPr>
          <w:rFonts w:ascii="Arial" w:hAnsi="Arial" w:cs="Arial"/>
        </w:rPr>
        <w:t xml:space="preserve"> </w:t>
      </w:r>
      <w:proofErr w:type="spellStart"/>
      <w:r w:rsidRPr="009420FA">
        <w:rPr>
          <w:rFonts w:ascii="Arial" w:hAnsi="Arial" w:cs="Arial"/>
        </w:rPr>
        <w:t>glycemic</w:t>
      </w:r>
      <w:proofErr w:type="spellEnd"/>
      <w:r w:rsidRPr="009420FA">
        <w:rPr>
          <w:rFonts w:ascii="Arial" w:hAnsi="Arial" w:cs="Arial"/>
        </w:rPr>
        <w:t xml:space="preserve"> results with digital self-management interventions, with differences between support levels, found by Kerr et al. (2024). Only transfer is limited to each application or user by heterogeneity and by selected study populations. Commissioners should have suitable alternatives and consider how language, device access, and digital skills impact participation.</w:t>
      </w:r>
    </w:p>
    <w:p w14:paraId="1BD02C41" w14:textId="77777777" w:rsidR="00D72C7A" w:rsidRPr="009420FA" w:rsidRDefault="00D72C7A" w:rsidP="00925304">
      <w:pPr>
        <w:pStyle w:val="NormalWeb"/>
        <w:spacing w:line="360" w:lineRule="auto"/>
        <w:jc w:val="both"/>
        <w:rPr>
          <w:rFonts w:ascii="Arial" w:hAnsi="Arial" w:cs="Arial"/>
        </w:rPr>
      </w:pPr>
      <w:r w:rsidRPr="009420FA">
        <w:rPr>
          <w:rFonts w:ascii="Arial" w:hAnsi="Arial" w:cs="Arial"/>
        </w:rPr>
        <w:t>Record offers, acceptance, completion, and follow-up for evaluation, and separate in education. Whether it is an administrative event or not, an invitation must be usable in its format and meaningful in its content for the people invited to participate to be successful. Inquire from those who don't attend about what can be done to make attendance convenient. This recommendation aligns the national education standard with practical service design but does not prescribe the same and does not dictate what needs to happen for all non-attenders (NICE, 2023b).</w:t>
      </w:r>
    </w:p>
    <w:p w14:paraId="1C3E8D76" w14:textId="5F54C166" w:rsidR="00D72C7A" w:rsidRPr="009420FA" w:rsidRDefault="00D72C7A" w:rsidP="00925304">
      <w:pPr>
        <w:pStyle w:val="Heading2"/>
        <w:shd w:val="clear" w:color="auto" w:fill="8DB3E2" w:themeFill="text2" w:themeFillTint="66"/>
        <w:spacing w:line="360" w:lineRule="auto"/>
      </w:pPr>
      <w:bookmarkStart w:id="22" w:name="_Toc243349541"/>
      <w:r w:rsidRPr="009420FA">
        <w:t xml:space="preserve">Ensure </w:t>
      </w:r>
      <w:r w:rsidR="00FF237A" w:rsidRPr="009420FA">
        <w:t xml:space="preserve">Good Health </w:t>
      </w:r>
      <w:r w:rsidR="00FF237A">
        <w:t>a</w:t>
      </w:r>
      <w:r w:rsidR="00FF237A" w:rsidRPr="009420FA">
        <w:t>nd Family Engagement</w:t>
      </w:r>
      <w:bookmarkEnd w:id="22"/>
    </w:p>
    <w:p w14:paraId="26C5A529" w14:textId="77777777" w:rsidR="00D72C7A" w:rsidRPr="009420FA" w:rsidRDefault="00D72C7A" w:rsidP="00925304">
      <w:pPr>
        <w:pStyle w:val="NormalWeb"/>
        <w:spacing w:line="360" w:lineRule="auto"/>
        <w:jc w:val="both"/>
        <w:rPr>
          <w:rFonts w:ascii="Arial" w:hAnsi="Arial" w:cs="Arial"/>
        </w:rPr>
      </w:pPr>
      <w:r w:rsidRPr="009420FA">
        <w:rPr>
          <w:rFonts w:ascii="Arial" w:hAnsi="Arial" w:cs="Arial"/>
        </w:rPr>
        <w:t>Teams need to explore diabetes distress and address the unique factors that contribute to it, bringing in expert assistance if needed. According to Zu et al. (2024), the short-term benefits they reported in their work further validate this. Consultations should be respectful and concerns addressed, and this should be included in patient experience. Family involvement should be based on the patient's wishes and involve practical teaching when family members are involved in care.</w:t>
      </w:r>
    </w:p>
    <w:p w14:paraId="075DDFB4" w14:textId="3608EA1E" w:rsidR="00D72C7A" w:rsidRPr="009420FA" w:rsidRDefault="00FF237A" w:rsidP="00925304">
      <w:pPr>
        <w:pStyle w:val="Heading2"/>
        <w:shd w:val="clear" w:color="auto" w:fill="8DB3E2" w:themeFill="text2" w:themeFillTint="66"/>
        <w:spacing w:line="360" w:lineRule="auto"/>
        <w:rPr>
          <w:szCs w:val="24"/>
        </w:rPr>
      </w:pPr>
      <w:bookmarkStart w:id="23" w:name="_Toc243349542"/>
      <w:r w:rsidRPr="009420FA">
        <w:rPr>
          <w:szCs w:val="24"/>
        </w:rPr>
        <w:t xml:space="preserve">Adapt </w:t>
      </w:r>
      <w:r w:rsidRPr="009420FA">
        <w:t>Care When Life Is Limited</w:t>
      </w:r>
      <w:bookmarkEnd w:id="23"/>
    </w:p>
    <w:p w14:paraId="375BACA5" w14:textId="77777777" w:rsidR="00D72C7A" w:rsidRPr="009420FA" w:rsidRDefault="00D72C7A" w:rsidP="00925304">
      <w:pPr>
        <w:pStyle w:val="NormalWeb"/>
        <w:spacing w:line="360" w:lineRule="auto"/>
        <w:jc w:val="both"/>
        <w:rPr>
          <w:rFonts w:ascii="Arial" w:hAnsi="Arial" w:cs="Arial"/>
        </w:rPr>
      </w:pPr>
      <w:r w:rsidRPr="009420FA">
        <w:rPr>
          <w:rFonts w:ascii="Arial" w:hAnsi="Arial" w:cs="Arial"/>
        </w:rPr>
        <w:t>Diabetes plans should be reviewed when there is a shift in the balance of benefit and burden with advanced illness or frailty. For people at risk of harm from treatment, the American Diabetes Association Professional Practice Committee for Diabetes (2026) suggests individualized aims and simplification. Its international guidance provides information for judgement but should not replace UK prescribing responsibilities.</w:t>
      </w:r>
    </w:p>
    <w:p w14:paraId="52FB0EE1" w14:textId="0FF03189" w:rsidR="00D72C7A" w:rsidRPr="009420FA" w:rsidRDefault="00D72C7A" w:rsidP="00925304">
      <w:pPr>
        <w:pStyle w:val="NormalWeb"/>
        <w:spacing w:line="360" w:lineRule="auto"/>
        <w:jc w:val="both"/>
        <w:rPr>
          <w:rFonts w:ascii="Arial" w:hAnsi="Arial" w:cs="Arial"/>
        </w:rPr>
      </w:pPr>
      <w:r w:rsidRPr="009420FA">
        <w:rPr>
          <w:rFonts w:ascii="Arial" w:hAnsi="Arial" w:cs="Arial"/>
        </w:rPr>
        <w:t xml:space="preserve">TREND Diabetes (2024) emphasizes comfort, avoidance of symptomatic </w:t>
      </w:r>
      <w:proofErr w:type="spellStart"/>
      <w:r w:rsidRPr="009420FA">
        <w:rPr>
          <w:rFonts w:ascii="Arial" w:hAnsi="Arial" w:cs="Arial"/>
        </w:rPr>
        <w:t>hyperglycemia</w:t>
      </w:r>
      <w:proofErr w:type="spellEnd"/>
      <w:r w:rsidRPr="009420FA">
        <w:rPr>
          <w:rFonts w:ascii="Arial" w:hAnsi="Arial" w:cs="Arial"/>
        </w:rPr>
        <w:t xml:space="preserve"> and </w:t>
      </w:r>
      <w:proofErr w:type="spellStart"/>
      <w:r w:rsidRPr="009420FA">
        <w:rPr>
          <w:rFonts w:ascii="Arial" w:hAnsi="Arial" w:cs="Arial"/>
        </w:rPr>
        <w:t>hypoglycemia</w:t>
      </w:r>
      <w:proofErr w:type="spellEnd"/>
      <w:r w:rsidRPr="009420FA">
        <w:rPr>
          <w:rFonts w:ascii="Arial" w:hAnsi="Arial" w:cs="Arial"/>
        </w:rPr>
        <w:t xml:space="preserve">, and appropriate monitoring near the end of life. Clinicians should be clear with patients and families about changes, agree on roles, and ensure the plan is </w:t>
      </w:r>
      <w:r w:rsidRPr="009420FA">
        <w:rPr>
          <w:rFonts w:ascii="Arial" w:hAnsi="Arial" w:cs="Arial"/>
        </w:rPr>
        <w:lastRenderedPageBreak/>
        <w:t>communicated across services. Treatment decisions rely on the level of illness, intake, and medication</w:t>
      </w:r>
      <w:r w:rsidR="00FF237A">
        <w:rPr>
          <w:rFonts w:ascii="Arial" w:hAnsi="Arial" w:cs="Arial"/>
          <w:lang w:val="en-US"/>
        </w:rPr>
        <w:t xml:space="preserve"> </w:t>
      </w:r>
      <w:r w:rsidRPr="009420FA">
        <w:rPr>
          <w:rFonts w:ascii="Arial" w:hAnsi="Arial" w:cs="Arial"/>
        </w:rPr>
        <w:t>blanket orders not to treat are not appropriate. There is limited research, and recommendations are therefore not trial-proven protocols but must be clinically reviewed.</w:t>
      </w:r>
    </w:p>
    <w:p w14:paraId="0476BEE2" w14:textId="77777777" w:rsidR="00D72C7A" w:rsidRPr="009420FA" w:rsidRDefault="00D72C7A" w:rsidP="00925304">
      <w:pPr>
        <w:pStyle w:val="NormalWeb"/>
        <w:spacing w:line="360" w:lineRule="auto"/>
        <w:jc w:val="both"/>
        <w:rPr>
          <w:rFonts w:ascii="Arial" w:hAnsi="Arial" w:cs="Arial"/>
        </w:rPr>
      </w:pPr>
      <w:r w:rsidRPr="009420FA">
        <w:rPr>
          <w:rFonts w:ascii="Arial" w:hAnsi="Arial" w:cs="Arial"/>
        </w:rPr>
        <w:t>Changes in eating goals, symptoms, and/or care arrangements should be documented, and who will review the plan? It can be a problem for families to have less monitoring after years of focus on control. It can be helpful to explain the new goal of treatment so they can understand the decision and know when it is time for professional advice (TREND Diabetes, 2024).</w:t>
      </w:r>
    </w:p>
    <w:p w14:paraId="5A85A237" w14:textId="67845615" w:rsidR="00D72C7A" w:rsidRPr="009420FA" w:rsidRDefault="00D72C7A" w:rsidP="00925304">
      <w:pPr>
        <w:pStyle w:val="Heading1"/>
        <w:shd w:val="clear" w:color="auto" w:fill="CCC0D9" w:themeFill="accent4" w:themeFillTint="66"/>
        <w:spacing w:line="360" w:lineRule="auto"/>
      </w:pPr>
      <w:bookmarkStart w:id="24" w:name="_Toc243349543"/>
      <w:r w:rsidRPr="009420FA">
        <w:t xml:space="preserve">Closing </w:t>
      </w:r>
      <w:r w:rsidR="00FF237A" w:rsidRPr="009420FA">
        <w:t>Judgement</w:t>
      </w:r>
      <w:bookmarkEnd w:id="24"/>
    </w:p>
    <w:p w14:paraId="53AD0813" w14:textId="77777777" w:rsidR="00D72C7A" w:rsidRPr="009420FA" w:rsidRDefault="00D72C7A" w:rsidP="00925304">
      <w:pPr>
        <w:pStyle w:val="NormalWeb"/>
        <w:spacing w:line="360" w:lineRule="auto"/>
        <w:jc w:val="both"/>
        <w:rPr>
          <w:rFonts w:ascii="Arial" w:hAnsi="Arial" w:cs="Arial"/>
        </w:rPr>
      </w:pPr>
      <w:r w:rsidRPr="009420FA">
        <w:rPr>
          <w:rFonts w:ascii="Arial" w:hAnsi="Arial" w:cs="Arial"/>
        </w:rPr>
        <w:t>Type 2 diabetes services should be designed to include both prevention of complications and education that is meaningful in the long-term. There is evidence that appropriate adults can be offered remission treatments; however, selective follow-up and recurrence result in no guarantees of long-term success. Evaluation of care should also cover metabolic outcomes, achievement of preventive care, emotional well-being, and equitable participation. The prime concern for LLR is to have a clear understanding of whether there is a need to reach those who do not currently receive as good a level of primary-care service as others and then maintain informed choice as the disease progresses.</w:t>
      </w:r>
    </w:p>
    <w:p w14:paraId="39ADE46A" w14:textId="77777777" w:rsidR="00192777" w:rsidRPr="009420FA" w:rsidRDefault="00A8607A" w:rsidP="00925304">
      <w:pPr>
        <w:rPr>
          <w:rFonts w:cs="Arial"/>
          <w:sz w:val="24"/>
          <w:szCs w:val="24"/>
        </w:rPr>
      </w:pPr>
      <w:r w:rsidRPr="009420FA">
        <w:rPr>
          <w:rFonts w:cs="Arial"/>
          <w:sz w:val="24"/>
          <w:szCs w:val="24"/>
        </w:rPr>
        <w:br w:type="page"/>
      </w:r>
    </w:p>
    <w:p w14:paraId="5F208735" w14:textId="77777777" w:rsidR="00192777" w:rsidRPr="009420FA" w:rsidRDefault="00A8607A" w:rsidP="00925304">
      <w:pPr>
        <w:pStyle w:val="Heading1"/>
        <w:shd w:val="clear" w:color="auto" w:fill="CCC0D9" w:themeFill="accent4" w:themeFillTint="66"/>
        <w:spacing w:line="360" w:lineRule="auto"/>
        <w:ind w:left="360"/>
        <w:jc w:val="both"/>
        <w:rPr>
          <w:rFonts w:ascii="Arial" w:hAnsi="Arial" w:cs="Arial"/>
          <w:sz w:val="24"/>
          <w:szCs w:val="24"/>
        </w:rPr>
      </w:pPr>
      <w:bookmarkStart w:id="25" w:name="_Toc243349544"/>
      <w:r w:rsidRPr="009420FA">
        <w:rPr>
          <w:rFonts w:ascii="Arial" w:hAnsi="Arial" w:cs="Arial"/>
          <w:sz w:val="24"/>
          <w:szCs w:val="24"/>
        </w:rPr>
        <w:lastRenderedPageBreak/>
        <w:t>References</w:t>
      </w:r>
      <w:bookmarkEnd w:id="25"/>
    </w:p>
    <w:p w14:paraId="7DEFD33E"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American Diabetes Association Professional Practice Committee for Diabetes (2026) ‘13. Older adults: Standards of Care in Diabetes—2026’, </w:t>
      </w:r>
      <w:r w:rsidRPr="009420FA">
        <w:rPr>
          <w:rFonts w:cs="Arial"/>
          <w:i/>
          <w:sz w:val="24"/>
          <w:szCs w:val="24"/>
        </w:rPr>
        <w:t>Diabetes Care</w:t>
      </w:r>
      <w:r w:rsidRPr="009420FA">
        <w:rPr>
          <w:rFonts w:cs="Arial"/>
          <w:sz w:val="24"/>
          <w:szCs w:val="24"/>
        </w:rPr>
        <w:t>, 49(Supplement 1), pp. S277–S296. Available at: https://doi.org/10.2337/dc26-S013 (Accessed: 17 October 2026).</w:t>
      </w:r>
    </w:p>
    <w:p w14:paraId="7487ED4D"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Association of Diabetes Care and Education Specialists (ADCES) (n.d.) </w:t>
      </w:r>
      <w:r w:rsidRPr="009420FA">
        <w:rPr>
          <w:rFonts w:cs="Arial"/>
          <w:i/>
          <w:sz w:val="24"/>
          <w:szCs w:val="24"/>
        </w:rPr>
        <w:t>Self-care tips ADCES7</w:t>
      </w:r>
      <w:r w:rsidRPr="009420FA">
        <w:rPr>
          <w:rFonts w:cs="Arial"/>
          <w:sz w:val="24"/>
          <w:szCs w:val="24"/>
        </w:rPr>
        <w:t>. Available at: https://www.adces.org/diabetes-education-dsmes/adces7-self-care-behaviors (Accessed: 17 October 2026).</w:t>
      </w:r>
    </w:p>
    <w:p w14:paraId="1DA7A5E0"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Association of Diabetes Care and Education Specialists (ADCES) and Kolb, L. (2021) ‘An effective model of diabetes care and education: the ADCES7 Self-Care Behaviors’, </w:t>
      </w:r>
      <w:r w:rsidRPr="009420FA">
        <w:rPr>
          <w:rFonts w:cs="Arial"/>
          <w:i/>
          <w:sz w:val="24"/>
          <w:szCs w:val="24"/>
        </w:rPr>
        <w:t>The Science of Diabetes Self-Management and Care</w:t>
      </w:r>
      <w:r w:rsidRPr="009420FA">
        <w:rPr>
          <w:rFonts w:cs="Arial"/>
          <w:sz w:val="24"/>
          <w:szCs w:val="24"/>
        </w:rPr>
        <w:t>, 47(1), pp. 30–53. Available at: https://doi.org/10.1177/0145721720978154 (Accessed: 17 October 2026).</w:t>
      </w:r>
    </w:p>
    <w:p w14:paraId="43934270"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Bellary, S., Kyrou, I., Brown, J.E. and Bailey, C.J. (2021) ‘Type 2 diabetes mellitus in older adults: clinical considerations and management’, </w:t>
      </w:r>
      <w:r w:rsidRPr="009420FA">
        <w:rPr>
          <w:rFonts w:cs="Arial"/>
          <w:i/>
          <w:sz w:val="24"/>
          <w:szCs w:val="24"/>
        </w:rPr>
        <w:t>Nature Reviews Endocrinology</w:t>
      </w:r>
      <w:r w:rsidRPr="009420FA">
        <w:rPr>
          <w:rFonts w:cs="Arial"/>
          <w:sz w:val="24"/>
          <w:szCs w:val="24"/>
        </w:rPr>
        <w:t>, 17, pp. 534–548. Available at: https://doi.org/10.1038/s41574-021-00512-2 (Accessed: 17 October 2026).</w:t>
      </w:r>
    </w:p>
    <w:p w14:paraId="0368A825"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Davies, M.J. et al. (2008) ‘Effectiveness of the diabetes education and </w:t>
      </w:r>
      <w:proofErr w:type="spellStart"/>
      <w:r w:rsidRPr="009420FA">
        <w:rPr>
          <w:rFonts w:cs="Arial"/>
          <w:sz w:val="24"/>
          <w:szCs w:val="24"/>
        </w:rPr>
        <w:t>self management</w:t>
      </w:r>
      <w:proofErr w:type="spellEnd"/>
      <w:r w:rsidRPr="009420FA">
        <w:rPr>
          <w:rFonts w:cs="Arial"/>
          <w:sz w:val="24"/>
          <w:szCs w:val="24"/>
        </w:rPr>
        <w:t xml:space="preserve"> for ongoing and newly diagnosed (DESMOND) </w:t>
      </w:r>
      <w:proofErr w:type="spellStart"/>
      <w:r w:rsidRPr="009420FA">
        <w:rPr>
          <w:rFonts w:cs="Arial"/>
          <w:sz w:val="24"/>
          <w:szCs w:val="24"/>
        </w:rPr>
        <w:t>programme</w:t>
      </w:r>
      <w:proofErr w:type="spellEnd"/>
      <w:r w:rsidRPr="009420FA">
        <w:rPr>
          <w:rFonts w:cs="Arial"/>
          <w:sz w:val="24"/>
          <w:szCs w:val="24"/>
        </w:rPr>
        <w:t xml:space="preserve"> for people with newly diagnosed type 2 diabetes: cluster </w:t>
      </w:r>
      <w:proofErr w:type="spellStart"/>
      <w:r w:rsidRPr="009420FA">
        <w:rPr>
          <w:rFonts w:cs="Arial"/>
          <w:sz w:val="24"/>
          <w:szCs w:val="24"/>
        </w:rPr>
        <w:t>randomised</w:t>
      </w:r>
      <w:proofErr w:type="spellEnd"/>
      <w:r w:rsidRPr="009420FA">
        <w:rPr>
          <w:rFonts w:cs="Arial"/>
          <w:sz w:val="24"/>
          <w:szCs w:val="24"/>
        </w:rPr>
        <w:t xml:space="preserve"> controlled trial’, </w:t>
      </w:r>
      <w:r w:rsidRPr="009420FA">
        <w:rPr>
          <w:rFonts w:cs="Arial"/>
          <w:i/>
          <w:sz w:val="24"/>
          <w:szCs w:val="24"/>
        </w:rPr>
        <w:t>BMJ</w:t>
      </w:r>
      <w:r w:rsidRPr="009420FA">
        <w:rPr>
          <w:rFonts w:cs="Arial"/>
          <w:sz w:val="24"/>
          <w:szCs w:val="24"/>
        </w:rPr>
        <w:t>, 336, pp. 491–495. Available at: https://doi.org/10.1136/bmj.39474.922025.BE (Accessed: 17 October 2026).</w:t>
      </w:r>
    </w:p>
    <w:p w14:paraId="610744AB"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Davies, M.J. et al. (2022) ‘Management of </w:t>
      </w:r>
      <w:proofErr w:type="spellStart"/>
      <w:r w:rsidRPr="009420FA">
        <w:rPr>
          <w:rFonts w:cs="Arial"/>
          <w:sz w:val="24"/>
          <w:szCs w:val="24"/>
        </w:rPr>
        <w:t>hyperglycaemia</w:t>
      </w:r>
      <w:proofErr w:type="spellEnd"/>
      <w:r w:rsidRPr="009420FA">
        <w:rPr>
          <w:rFonts w:cs="Arial"/>
          <w:sz w:val="24"/>
          <w:szCs w:val="24"/>
        </w:rPr>
        <w:t xml:space="preserve"> in type 2 diabetes, 2022. A consensus report by the American Diabetes Association (ADA) and the European Association for the Study of Diabetes (EASD)’, </w:t>
      </w:r>
      <w:proofErr w:type="spellStart"/>
      <w:r w:rsidRPr="009420FA">
        <w:rPr>
          <w:rFonts w:cs="Arial"/>
          <w:i/>
          <w:sz w:val="24"/>
          <w:szCs w:val="24"/>
        </w:rPr>
        <w:t>Diabetologia</w:t>
      </w:r>
      <w:proofErr w:type="spellEnd"/>
      <w:r w:rsidRPr="009420FA">
        <w:rPr>
          <w:rFonts w:cs="Arial"/>
          <w:sz w:val="24"/>
          <w:szCs w:val="24"/>
        </w:rPr>
        <w:t>, 65(12), pp. 1925–1966. Available at: https://doi.org/10.1007/s00125-022-05787-2 (Accessed: 17 October 2026).</w:t>
      </w:r>
    </w:p>
    <w:p w14:paraId="6EE23AEC"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Diabetes UK (n.d.) </w:t>
      </w:r>
      <w:r w:rsidRPr="009420FA">
        <w:rPr>
          <w:rFonts w:cs="Arial"/>
          <w:i/>
          <w:sz w:val="24"/>
          <w:szCs w:val="24"/>
        </w:rPr>
        <w:t xml:space="preserve">How many people in the UK have </w:t>
      </w:r>
      <w:proofErr w:type="gramStart"/>
      <w:r w:rsidRPr="009420FA">
        <w:rPr>
          <w:rFonts w:cs="Arial"/>
          <w:i/>
          <w:sz w:val="24"/>
          <w:szCs w:val="24"/>
        </w:rPr>
        <w:t>diabetes?</w:t>
      </w:r>
      <w:r w:rsidRPr="009420FA">
        <w:rPr>
          <w:rFonts w:cs="Arial"/>
          <w:sz w:val="24"/>
          <w:szCs w:val="24"/>
        </w:rPr>
        <w:t>.</w:t>
      </w:r>
      <w:proofErr w:type="gramEnd"/>
      <w:r w:rsidRPr="009420FA">
        <w:rPr>
          <w:rFonts w:cs="Arial"/>
          <w:sz w:val="24"/>
          <w:szCs w:val="24"/>
        </w:rPr>
        <w:t xml:space="preserve"> Available at: https://www.diabetes.org.uk/about-us/about-the-charity/our-strategy/statistics (Accessed: 17 October 2026).</w:t>
      </w:r>
    </w:p>
    <w:p w14:paraId="77FB51AA" w14:textId="77777777" w:rsidR="00192777" w:rsidRPr="009420FA" w:rsidRDefault="00A8607A" w:rsidP="00925304">
      <w:pPr>
        <w:keepLines/>
        <w:spacing w:after="200"/>
        <w:ind w:left="360"/>
        <w:rPr>
          <w:rFonts w:cs="Arial"/>
          <w:sz w:val="24"/>
          <w:szCs w:val="24"/>
        </w:rPr>
      </w:pPr>
      <w:r w:rsidRPr="009420FA">
        <w:rPr>
          <w:rFonts w:cs="Arial"/>
          <w:sz w:val="24"/>
          <w:szCs w:val="24"/>
        </w:rPr>
        <w:lastRenderedPageBreak/>
        <w:t xml:space="preserve">Doss, E.R. and Popejoy, L.L. (2023) ‘Informal family caregiving of patients with diabetic extremity wounds: an integrative review’, </w:t>
      </w:r>
      <w:r w:rsidRPr="009420FA">
        <w:rPr>
          <w:rFonts w:cs="Arial"/>
          <w:i/>
          <w:sz w:val="24"/>
          <w:szCs w:val="24"/>
        </w:rPr>
        <w:t>Western Journal of Nursing Research</w:t>
      </w:r>
      <w:r w:rsidRPr="009420FA">
        <w:rPr>
          <w:rFonts w:cs="Arial"/>
          <w:sz w:val="24"/>
          <w:szCs w:val="24"/>
        </w:rPr>
        <w:t>, 45(3), pp. 272–281. Available at: https://doi.org/10.1177/01939459221115694 (Accessed: 17 October 2026).</w:t>
      </w:r>
    </w:p>
    <w:p w14:paraId="7F78D02E"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Great Britain (2022) </w:t>
      </w:r>
      <w:r w:rsidRPr="009420FA">
        <w:rPr>
          <w:rFonts w:cs="Arial"/>
          <w:i/>
          <w:sz w:val="24"/>
          <w:szCs w:val="24"/>
        </w:rPr>
        <w:t>Health and Care Act 2022, c. 31, section 26</w:t>
      </w:r>
      <w:r w:rsidRPr="009420FA">
        <w:rPr>
          <w:rFonts w:cs="Arial"/>
          <w:sz w:val="24"/>
          <w:szCs w:val="24"/>
        </w:rPr>
        <w:t>. Available at: https://www.legislation.gov.uk/ukpga/2022/31/section/26 (Accessed: 17 October 2026).</w:t>
      </w:r>
    </w:p>
    <w:p w14:paraId="58D7646E" w14:textId="22B2ECDC" w:rsidR="00192777" w:rsidRPr="009420FA" w:rsidRDefault="00A8607A" w:rsidP="00925304">
      <w:pPr>
        <w:keepLines/>
        <w:spacing w:after="200"/>
        <w:ind w:left="360"/>
        <w:rPr>
          <w:rFonts w:cs="Arial"/>
          <w:sz w:val="24"/>
          <w:szCs w:val="24"/>
        </w:rPr>
      </w:pPr>
      <w:r w:rsidRPr="009420FA">
        <w:rPr>
          <w:rFonts w:cs="Arial"/>
          <w:sz w:val="24"/>
          <w:szCs w:val="24"/>
        </w:rPr>
        <w:t>Hill-Briggs, F. et al. (202</w:t>
      </w:r>
      <w:r w:rsidR="00692ADC" w:rsidRPr="009420FA">
        <w:rPr>
          <w:rFonts w:cs="Arial"/>
          <w:sz w:val="24"/>
          <w:szCs w:val="24"/>
        </w:rPr>
        <w:t>0</w:t>
      </w:r>
      <w:r w:rsidRPr="009420FA">
        <w:rPr>
          <w:rFonts w:cs="Arial"/>
          <w:sz w:val="24"/>
          <w:szCs w:val="24"/>
        </w:rPr>
        <w:t xml:space="preserve">) ‘Social determinants of health and diabetes: a scientific review’, </w:t>
      </w:r>
      <w:r w:rsidRPr="009420FA">
        <w:rPr>
          <w:rFonts w:cs="Arial"/>
          <w:i/>
          <w:sz w:val="24"/>
          <w:szCs w:val="24"/>
        </w:rPr>
        <w:t>Diabetes Care</w:t>
      </w:r>
      <w:r w:rsidRPr="009420FA">
        <w:rPr>
          <w:rFonts w:cs="Arial"/>
          <w:sz w:val="24"/>
          <w:szCs w:val="24"/>
        </w:rPr>
        <w:t>, 44(1), pp. 258–279. Available at: https://doi.org/10.2337/dci20-0053 (Accessed: 17 October 2026).</w:t>
      </w:r>
    </w:p>
    <w:p w14:paraId="5A34A334"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International Diabetes Federation (IDF) (2025) </w:t>
      </w:r>
      <w:r w:rsidRPr="009420FA">
        <w:rPr>
          <w:rFonts w:cs="Arial"/>
          <w:i/>
          <w:sz w:val="24"/>
          <w:szCs w:val="24"/>
        </w:rPr>
        <w:t>IDF Diabetes Atlas</w:t>
      </w:r>
      <w:r w:rsidRPr="009420FA">
        <w:rPr>
          <w:rFonts w:cs="Arial"/>
          <w:sz w:val="24"/>
          <w:szCs w:val="24"/>
        </w:rPr>
        <w:t xml:space="preserve">. 11th </w:t>
      </w:r>
      <w:proofErr w:type="spellStart"/>
      <w:r w:rsidRPr="009420FA">
        <w:rPr>
          <w:rFonts w:cs="Arial"/>
          <w:sz w:val="24"/>
          <w:szCs w:val="24"/>
        </w:rPr>
        <w:t>edn</w:t>
      </w:r>
      <w:proofErr w:type="spellEnd"/>
      <w:r w:rsidRPr="009420FA">
        <w:rPr>
          <w:rFonts w:cs="Arial"/>
          <w:sz w:val="24"/>
          <w:szCs w:val="24"/>
        </w:rPr>
        <w:t>. Brussels: International Diabetes Federation. Available at: https://diabetesatlas.org/media/uploads/sites/3/2025/04/IDF_Atlas_11th_Edition_2025.pdf (Accessed: 17 October 2026).</w:t>
      </w:r>
    </w:p>
    <w:p w14:paraId="3065FA87"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Kerr, D., Ahn, D., Waki, K., Wang, J., </w:t>
      </w:r>
      <w:proofErr w:type="spellStart"/>
      <w:r w:rsidRPr="009420FA">
        <w:rPr>
          <w:rFonts w:cs="Arial"/>
          <w:sz w:val="24"/>
          <w:szCs w:val="24"/>
        </w:rPr>
        <w:t>Breznen</w:t>
      </w:r>
      <w:proofErr w:type="spellEnd"/>
      <w:r w:rsidRPr="009420FA">
        <w:rPr>
          <w:rFonts w:cs="Arial"/>
          <w:sz w:val="24"/>
          <w:szCs w:val="24"/>
        </w:rPr>
        <w:t xml:space="preserve">, B. and </w:t>
      </w:r>
      <w:proofErr w:type="spellStart"/>
      <w:r w:rsidRPr="009420FA">
        <w:rPr>
          <w:rFonts w:cs="Arial"/>
          <w:sz w:val="24"/>
          <w:szCs w:val="24"/>
        </w:rPr>
        <w:t>Klonoff</w:t>
      </w:r>
      <w:proofErr w:type="spellEnd"/>
      <w:r w:rsidRPr="009420FA">
        <w:rPr>
          <w:rFonts w:cs="Arial"/>
          <w:sz w:val="24"/>
          <w:szCs w:val="24"/>
        </w:rPr>
        <w:t xml:space="preserve">, D.C. (2024) ‘Digital interventions for self-management of type 2 diabetes mellitus: systematic literature review and meta-analysis’, </w:t>
      </w:r>
      <w:r w:rsidRPr="009420FA">
        <w:rPr>
          <w:rFonts w:cs="Arial"/>
          <w:i/>
          <w:sz w:val="24"/>
          <w:szCs w:val="24"/>
        </w:rPr>
        <w:t>Journal of Medical Internet Research</w:t>
      </w:r>
      <w:r w:rsidRPr="009420FA">
        <w:rPr>
          <w:rFonts w:cs="Arial"/>
          <w:sz w:val="24"/>
          <w:szCs w:val="24"/>
        </w:rPr>
        <w:t>, 26, e55757. Available at: https://doi.org/10.2196/55757 (Accessed: 17 October 2026).</w:t>
      </w:r>
    </w:p>
    <w:p w14:paraId="5348D174" w14:textId="77777777" w:rsidR="00192777" w:rsidRPr="009420FA" w:rsidRDefault="00A8607A" w:rsidP="00925304">
      <w:pPr>
        <w:keepLines/>
        <w:spacing w:after="200"/>
        <w:ind w:left="360"/>
        <w:rPr>
          <w:rFonts w:cs="Arial"/>
          <w:sz w:val="24"/>
          <w:szCs w:val="24"/>
        </w:rPr>
      </w:pPr>
      <w:proofErr w:type="spellStart"/>
      <w:r w:rsidRPr="009420FA">
        <w:rPr>
          <w:rFonts w:cs="Arial"/>
          <w:sz w:val="24"/>
          <w:szCs w:val="24"/>
        </w:rPr>
        <w:t>Khunti</w:t>
      </w:r>
      <w:proofErr w:type="spellEnd"/>
      <w:r w:rsidRPr="009420FA">
        <w:rPr>
          <w:rFonts w:cs="Arial"/>
          <w:sz w:val="24"/>
          <w:szCs w:val="24"/>
        </w:rPr>
        <w:t xml:space="preserve">, K. et al. (2012) ‘Effectiveness of a diabetes education and </w:t>
      </w:r>
      <w:proofErr w:type="spellStart"/>
      <w:r w:rsidRPr="009420FA">
        <w:rPr>
          <w:rFonts w:cs="Arial"/>
          <w:sz w:val="24"/>
          <w:szCs w:val="24"/>
        </w:rPr>
        <w:t>self management</w:t>
      </w:r>
      <w:proofErr w:type="spellEnd"/>
      <w:r w:rsidRPr="009420FA">
        <w:rPr>
          <w:rFonts w:cs="Arial"/>
          <w:sz w:val="24"/>
          <w:szCs w:val="24"/>
        </w:rPr>
        <w:t xml:space="preserve"> </w:t>
      </w:r>
      <w:proofErr w:type="spellStart"/>
      <w:r w:rsidRPr="009420FA">
        <w:rPr>
          <w:rFonts w:cs="Arial"/>
          <w:sz w:val="24"/>
          <w:szCs w:val="24"/>
        </w:rPr>
        <w:t>programme</w:t>
      </w:r>
      <w:proofErr w:type="spellEnd"/>
      <w:r w:rsidRPr="009420FA">
        <w:rPr>
          <w:rFonts w:cs="Arial"/>
          <w:sz w:val="24"/>
          <w:szCs w:val="24"/>
        </w:rPr>
        <w:t xml:space="preserve"> (DESMOND) for people with newly diagnosed type 2 diabetes mellitus: </w:t>
      </w:r>
      <w:proofErr w:type="gramStart"/>
      <w:r w:rsidRPr="009420FA">
        <w:rPr>
          <w:rFonts w:cs="Arial"/>
          <w:sz w:val="24"/>
          <w:szCs w:val="24"/>
        </w:rPr>
        <w:t>three year</w:t>
      </w:r>
      <w:proofErr w:type="gramEnd"/>
      <w:r w:rsidRPr="009420FA">
        <w:rPr>
          <w:rFonts w:cs="Arial"/>
          <w:sz w:val="24"/>
          <w:szCs w:val="24"/>
        </w:rPr>
        <w:t xml:space="preserve"> follow-up of a cluster </w:t>
      </w:r>
      <w:proofErr w:type="spellStart"/>
      <w:r w:rsidRPr="009420FA">
        <w:rPr>
          <w:rFonts w:cs="Arial"/>
          <w:sz w:val="24"/>
          <w:szCs w:val="24"/>
        </w:rPr>
        <w:t>randomised</w:t>
      </w:r>
      <w:proofErr w:type="spellEnd"/>
      <w:r w:rsidRPr="009420FA">
        <w:rPr>
          <w:rFonts w:cs="Arial"/>
          <w:sz w:val="24"/>
          <w:szCs w:val="24"/>
        </w:rPr>
        <w:t xml:space="preserve"> controlled trial in primary care’, </w:t>
      </w:r>
      <w:r w:rsidRPr="009420FA">
        <w:rPr>
          <w:rFonts w:cs="Arial"/>
          <w:i/>
          <w:sz w:val="24"/>
          <w:szCs w:val="24"/>
        </w:rPr>
        <w:t>BMJ</w:t>
      </w:r>
      <w:r w:rsidRPr="009420FA">
        <w:rPr>
          <w:rFonts w:cs="Arial"/>
          <w:sz w:val="24"/>
          <w:szCs w:val="24"/>
        </w:rPr>
        <w:t>, 344, e2333. Available at: https://doi.org/10.1136/bmj.e2333 (Accessed: 17 October 2026).</w:t>
      </w:r>
    </w:p>
    <w:p w14:paraId="2B9822C3" w14:textId="77777777" w:rsidR="00192777" w:rsidRPr="009420FA" w:rsidRDefault="00A8607A" w:rsidP="00925304">
      <w:pPr>
        <w:keepLines/>
        <w:spacing w:after="200"/>
        <w:ind w:left="360"/>
        <w:rPr>
          <w:rFonts w:cs="Arial"/>
          <w:sz w:val="24"/>
          <w:szCs w:val="24"/>
        </w:rPr>
      </w:pPr>
      <w:r w:rsidRPr="009420FA">
        <w:rPr>
          <w:rFonts w:cs="Arial"/>
          <w:sz w:val="24"/>
          <w:szCs w:val="24"/>
        </w:rPr>
        <w:t>Lean, M.E.J. et al. (2018) ‘Primary care-led weight management for remission of type 2 diabetes (</w:t>
      </w:r>
      <w:proofErr w:type="spellStart"/>
      <w:r w:rsidRPr="009420FA">
        <w:rPr>
          <w:rFonts w:cs="Arial"/>
          <w:sz w:val="24"/>
          <w:szCs w:val="24"/>
        </w:rPr>
        <w:t>DiRECT</w:t>
      </w:r>
      <w:proofErr w:type="spellEnd"/>
      <w:r w:rsidRPr="009420FA">
        <w:rPr>
          <w:rFonts w:cs="Arial"/>
          <w:sz w:val="24"/>
          <w:szCs w:val="24"/>
        </w:rPr>
        <w:t>): an open-label, cluster-</w:t>
      </w:r>
      <w:proofErr w:type="spellStart"/>
      <w:r w:rsidRPr="009420FA">
        <w:rPr>
          <w:rFonts w:cs="Arial"/>
          <w:sz w:val="24"/>
          <w:szCs w:val="24"/>
        </w:rPr>
        <w:t>randomised</w:t>
      </w:r>
      <w:proofErr w:type="spellEnd"/>
      <w:r w:rsidRPr="009420FA">
        <w:rPr>
          <w:rFonts w:cs="Arial"/>
          <w:sz w:val="24"/>
          <w:szCs w:val="24"/>
        </w:rPr>
        <w:t xml:space="preserve"> trial’, </w:t>
      </w:r>
      <w:r w:rsidRPr="009420FA">
        <w:rPr>
          <w:rFonts w:cs="Arial"/>
          <w:i/>
          <w:sz w:val="24"/>
          <w:szCs w:val="24"/>
        </w:rPr>
        <w:t>The Lancet</w:t>
      </w:r>
      <w:r w:rsidRPr="009420FA">
        <w:rPr>
          <w:rFonts w:cs="Arial"/>
          <w:sz w:val="24"/>
          <w:szCs w:val="24"/>
        </w:rPr>
        <w:t>, 391(10120), pp. 541–551. Available at: https://doi.org/10.1016/S0140-6736(17)33102-1 (Accessed: 17 October 2026).</w:t>
      </w:r>
    </w:p>
    <w:p w14:paraId="067A6198"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Lean, M.E.J. et al. (2024) ‘5-year follow-up of the </w:t>
      </w:r>
      <w:proofErr w:type="spellStart"/>
      <w:r w:rsidRPr="009420FA">
        <w:rPr>
          <w:rFonts w:cs="Arial"/>
          <w:sz w:val="24"/>
          <w:szCs w:val="24"/>
        </w:rPr>
        <w:t>randomised</w:t>
      </w:r>
      <w:proofErr w:type="spellEnd"/>
      <w:r w:rsidRPr="009420FA">
        <w:rPr>
          <w:rFonts w:cs="Arial"/>
          <w:sz w:val="24"/>
          <w:szCs w:val="24"/>
        </w:rPr>
        <w:t xml:space="preserve"> Diabetes Remission Clinical Trial (</w:t>
      </w:r>
      <w:proofErr w:type="spellStart"/>
      <w:r w:rsidRPr="009420FA">
        <w:rPr>
          <w:rFonts w:cs="Arial"/>
          <w:sz w:val="24"/>
          <w:szCs w:val="24"/>
        </w:rPr>
        <w:t>DiRECT</w:t>
      </w:r>
      <w:proofErr w:type="spellEnd"/>
      <w:r w:rsidRPr="009420FA">
        <w:rPr>
          <w:rFonts w:cs="Arial"/>
          <w:sz w:val="24"/>
          <w:szCs w:val="24"/>
        </w:rPr>
        <w:t xml:space="preserve">) of continued support for weight loss maintenance in the UK: an extension study’, </w:t>
      </w:r>
      <w:r w:rsidRPr="009420FA">
        <w:rPr>
          <w:rFonts w:cs="Arial"/>
          <w:i/>
          <w:sz w:val="24"/>
          <w:szCs w:val="24"/>
        </w:rPr>
        <w:t>The Lancet Diabetes &amp; Endocrinology</w:t>
      </w:r>
      <w:r w:rsidRPr="009420FA">
        <w:rPr>
          <w:rFonts w:cs="Arial"/>
          <w:sz w:val="24"/>
          <w:szCs w:val="24"/>
        </w:rPr>
        <w:t>, 12(4), pp. 233–246. Available at: https://doi.org/10.1016/S2213-8587(23)00385-6 (Accessed: 17 October 2026).</w:t>
      </w:r>
    </w:p>
    <w:p w14:paraId="1FFEB406" w14:textId="77777777" w:rsidR="00192777" w:rsidRPr="009420FA" w:rsidRDefault="00A8607A" w:rsidP="00925304">
      <w:pPr>
        <w:keepLines/>
        <w:spacing w:after="200"/>
        <w:ind w:left="360"/>
        <w:rPr>
          <w:rFonts w:cs="Arial"/>
          <w:sz w:val="24"/>
          <w:szCs w:val="24"/>
        </w:rPr>
      </w:pPr>
      <w:r w:rsidRPr="009420FA">
        <w:rPr>
          <w:rFonts w:cs="Arial"/>
          <w:sz w:val="24"/>
          <w:szCs w:val="24"/>
        </w:rPr>
        <w:lastRenderedPageBreak/>
        <w:t xml:space="preserve">National Institute for Health and Care Excellence (NICE) (2023a) </w:t>
      </w:r>
      <w:r w:rsidRPr="009420FA">
        <w:rPr>
          <w:rFonts w:cs="Arial"/>
          <w:i/>
          <w:sz w:val="24"/>
          <w:szCs w:val="24"/>
        </w:rPr>
        <w:t>Diabetic foot problems: prevention and management. NG19</w:t>
      </w:r>
      <w:r w:rsidRPr="009420FA">
        <w:rPr>
          <w:rFonts w:cs="Arial"/>
          <w:sz w:val="24"/>
          <w:szCs w:val="24"/>
        </w:rPr>
        <w:t>. Guideline edition available through NCBI Bookshelf, 18 January 2023. Available at: https://www.ncbi.nlm.nih.gov/books/NBK553608/ (Accessed: 17 October 2026).</w:t>
      </w:r>
    </w:p>
    <w:p w14:paraId="094D1FAD"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National Institute for Health and Care Excellence (NICE) (2023b) </w:t>
      </w:r>
      <w:r w:rsidRPr="009420FA">
        <w:rPr>
          <w:rFonts w:cs="Arial"/>
          <w:i/>
          <w:sz w:val="24"/>
          <w:szCs w:val="24"/>
        </w:rPr>
        <w:t xml:space="preserve">Type 2 diabetes in adults. QS209. Quality statement 2: structured education </w:t>
      </w:r>
      <w:proofErr w:type="spellStart"/>
      <w:r w:rsidRPr="009420FA">
        <w:rPr>
          <w:rFonts w:cs="Arial"/>
          <w:i/>
          <w:sz w:val="24"/>
          <w:szCs w:val="24"/>
        </w:rPr>
        <w:t>programme</w:t>
      </w:r>
      <w:proofErr w:type="spellEnd"/>
      <w:r w:rsidRPr="009420FA">
        <w:rPr>
          <w:rFonts w:cs="Arial"/>
          <w:sz w:val="24"/>
          <w:szCs w:val="24"/>
        </w:rPr>
        <w:t>. Available at: https://www.nice.org.uk/guidance/qs209/chapter/Quality-statement-2-Structured-education-programme (Accessed: 17 October 2026).</w:t>
      </w:r>
    </w:p>
    <w:p w14:paraId="13C48825"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NHS (2024) </w:t>
      </w:r>
      <w:r w:rsidRPr="009420FA">
        <w:rPr>
          <w:rFonts w:cs="Arial"/>
          <w:i/>
          <w:sz w:val="24"/>
          <w:szCs w:val="24"/>
        </w:rPr>
        <w:t>Diabetic eye screening</w:t>
      </w:r>
      <w:r w:rsidRPr="009420FA">
        <w:rPr>
          <w:rFonts w:cs="Arial"/>
          <w:sz w:val="24"/>
          <w:szCs w:val="24"/>
        </w:rPr>
        <w:t>. Reviewed 25 October 2024. Available at: https://www.nhs.uk/tests-and-treatments/diabetic-eye-screening/ (Accessed: 17 October 2026).</w:t>
      </w:r>
    </w:p>
    <w:p w14:paraId="75A7AC02"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NHS (2025) </w:t>
      </w:r>
      <w:r w:rsidRPr="009420FA">
        <w:rPr>
          <w:rFonts w:cs="Arial"/>
          <w:i/>
          <w:sz w:val="24"/>
          <w:szCs w:val="24"/>
        </w:rPr>
        <w:t>Diabetes</w:t>
      </w:r>
      <w:r w:rsidRPr="009420FA">
        <w:rPr>
          <w:rFonts w:cs="Arial"/>
          <w:sz w:val="24"/>
          <w:szCs w:val="24"/>
        </w:rPr>
        <w:t>. Reviewed 26 June 2025. Available at: https://www.nhs.uk/conditions/diabetes/ (Accessed: 17 October 2026).</w:t>
      </w:r>
    </w:p>
    <w:p w14:paraId="3C7ECE40"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NHS England (2024) </w:t>
      </w:r>
      <w:r w:rsidRPr="009420FA">
        <w:rPr>
          <w:rFonts w:cs="Arial"/>
          <w:i/>
          <w:sz w:val="24"/>
          <w:szCs w:val="24"/>
        </w:rPr>
        <w:t xml:space="preserve">NHS Type 2 Diabetes Path to Remission </w:t>
      </w:r>
      <w:proofErr w:type="spellStart"/>
      <w:r w:rsidRPr="009420FA">
        <w:rPr>
          <w:rFonts w:cs="Arial"/>
          <w:i/>
          <w:sz w:val="24"/>
          <w:szCs w:val="24"/>
        </w:rPr>
        <w:t>Programme</w:t>
      </w:r>
      <w:proofErr w:type="spellEnd"/>
      <w:r w:rsidRPr="009420FA">
        <w:rPr>
          <w:rFonts w:cs="Arial"/>
          <w:i/>
          <w:sz w:val="24"/>
          <w:szCs w:val="24"/>
        </w:rPr>
        <w:t xml:space="preserve"> service specification 2023</w:t>
      </w:r>
      <w:r w:rsidRPr="009420FA">
        <w:rPr>
          <w:rFonts w:cs="Arial"/>
          <w:sz w:val="24"/>
          <w:szCs w:val="24"/>
        </w:rPr>
        <w:t>. Published 5 February 2024. Available at: https://www.england.nhs.uk/long-read/nhs-type-2-diabetes-path-to-remission-programme-service-specification-2023/ (Accessed: 17 October 2026).</w:t>
      </w:r>
    </w:p>
    <w:p w14:paraId="67BB3B19"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NHS England (2026) </w:t>
      </w:r>
      <w:r w:rsidRPr="009420FA">
        <w:rPr>
          <w:rFonts w:cs="Arial"/>
          <w:i/>
          <w:sz w:val="24"/>
          <w:szCs w:val="24"/>
        </w:rPr>
        <w:t>National Diabetes Audit Core Report 1: Care Processes and Treatment Targets 2024–25 underlying data</w:t>
      </w:r>
      <w:r w:rsidRPr="009420FA">
        <w:rPr>
          <w:rFonts w:cs="Arial"/>
          <w:sz w:val="24"/>
          <w:szCs w:val="24"/>
        </w:rPr>
        <w:t>. Published 12 February 2026. Available at: https://digital.nhs.uk/data-and-information/publications/statistical/national-diabetes-audit/report-1-cp-and-tt-data-release-2024-25/nda-report-1-cp-and-tt-data-release-2024-25 (Accessed: 17 October 2026).</w:t>
      </w:r>
    </w:p>
    <w:p w14:paraId="14D723B9"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NHS Leicester, Leicestershire and Rutland Integrated Care Board (LLR ICB) (2025) </w:t>
      </w:r>
      <w:r w:rsidRPr="009420FA">
        <w:rPr>
          <w:rFonts w:cs="Arial"/>
          <w:i/>
          <w:sz w:val="24"/>
          <w:szCs w:val="24"/>
        </w:rPr>
        <w:t>Annual report and accounts 2024–25</w:t>
      </w:r>
      <w:r w:rsidRPr="009420FA">
        <w:rPr>
          <w:rFonts w:cs="Arial"/>
          <w:sz w:val="24"/>
          <w:szCs w:val="24"/>
        </w:rPr>
        <w:t>. Available at: https://leicesterleicestershireandrutland.icb.nhs.uk/wp-content/uploads/2025/08/LLR-ICB-Annual-Report-and-Accounts-2024-25.pdf (Accessed: 17 October 2026).</w:t>
      </w:r>
    </w:p>
    <w:p w14:paraId="1C822A6E"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NHS Leicester, Leicestershire and Rutland Integrated Care Board (LLR ICB) (n.d.) </w:t>
      </w:r>
      <w:r w:rsidRPr="009420FA">
        <w:rPr>
          <w:rFonts w:cs="Arial"/>
          <w:i/>
          <w:sz w:val="24"/>
          <w:szCs w:val="24"/>
        </w:rPr>
        <w:t>Diabetes</w:t>
      </w:r>
      <w:r w:rsidRPr="009420FA">
        <w:rPr>
          <w:rFonts w:cs="Arial"/>
          <w:sz w:val="24"/>
          <w:szCs w:val="24"/>
        </w:rPr>
        <w:t>. Available at: https://leicesterleicestershireandrutland.icb.nhs.uk/your-health/long-term-conditions/diabetes/ (Accessed: 17 October 2026).</w:t>
      </w:r>
    </w:p>
    <w:p w14:paraId="48A2769B" w14:textId="77777777" w:rsidR="00192777" w:rsidRPr="009420FA" w:rsidRDefault="00A8607A" w:rsidP="00925304">
      <w:pPr>
        <w:keepLines/>
        <w:spacing w:after="200"/>
        <w:ind w:left="360"/>
        <w:rPr>
          <w:rFonts w:cs="Arial"/>
          <w:sz w:val="24"/>
          <w:szCs w:val="24"/>
        </w:rPr>
      </w:pPr>
      <w:r w:rsidRPr="009420FA">
        <w:rPr>
          <w:rFonts w:cs="Arial"/>
          <w:sz w:val="24"/>
          <w:szCs w:val="24"/>
        </w:rPr>
        <w:lastRenderedPageBreak/>
        <w:t xml:space="preserve">Niño-de-Guzman Quispe, E. et al. (2023) ‘Patients’ and informal caregivers’ perspectives on self-management interventions for type 2 diabetes mellitus outcomes: a mixed-methods overview of 14 years of reviews’, </w:t>
      </w:r>
      <w:r w:rsidRPr="009420FA">
        <w:rPr>
          <w:rFonts w:cs="Arial"/>
          <w:i/>
          <w:sz w:val="24"/>
          <w:szCs w:val="24"/>
        </w:rPr>
        <w:t>Archives of Public Health</w:t>
      </w:r>
      <w:r w:rsidRPr="009420FA">
        <w:rPr>
          <w:rFonts w:cs="Arial"/>
          <w:sz w:val="24"/>
          <w:szCs w:val="24"/>
        </w:rPr>
        <w:t>, 81, 140. Available at: https://doi.org/10.1186/s13690-023-01153-9 (Accessed: 17 October 2026).</w:t>
      </w:r>
    </w:p>
    <w:p w14:paraId="1BACFE70"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Northern, A. (2026) </w:t>
      </w:r>
      <w:r w:rsidRPr="009420FA">
        <w:rPr>
          <w:rFonts w:cs="Arial"/>
          <w:i/>
          <w:sz w:val="24"/>
          <w:szCs w:val="24"/>
        </w:rPr>
        <w:t>DESMOND launches major update to its type 2 diabetes education curriculum</w:t>
      </w:r>
      <w:r w:rsidRPr="009420FA">
        <w:rPr>
          <w:rFonts w:cs="Arial"/>
          <w:sz w:val="24"/>
          <w:szCs w:val="24"/>
        </w:rPr>
        <w:t>. DESMOND, 26 February. Available at: https://www.desmond.nhs.uk/news-articles/desmond-launches-major-update-to-its-type-2-diabetes-education-curriculum (Accessed: 17 October 2026).</w:t>
      </w:r>
    </w:p>
    <w:p w14:paraId="56A9D844"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Office for Health Improvement and Disparities (OHID) (2026) </w:t>
      </w:r>
      <w:r w:rsidRPr="009420FA">
        <w:rPr>
          <w:rFonts w:cs="Arial"/>
          <w:i/>
          <w:sz w:val="24"/>
          <w:szCs w:val="24"/>
        </w:rPr>
        <w:t>Diabetes profile update: April 2026</w:t>
      </w:r>
      <w:r w:rsidRPr="009420FA">
        <w:rPr>
          <w:rFonts w:cs="Arial"/>
          <w:sz w:val="24"/>
          <w:szCs w:val="24"/>
        </w:rPr>
        <w:t>. Available at: https://www.gov.uk/government/statistics/diabetes-profile-update-april-2026 (Accessed: 17 October 2026).</w:t>
      </w:r>
    </w:p>
    <w:p w14:paraId="4CDA90C7"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Powers, M.A. et al. (2020) ‘Diabetes self-management education and support in adults with type 2 diabetes: a consensus report of the American Diabetes Association, the Association of Diabetes Care &amp; Education Specialists, the Academy of Nutrition and Dietetics, the American Academy of Family Physicians, the American Academy of PAs, the American Association of Nurse Practitioners, and the American Pharmacists Association’, </w:t>
      </w:r>
      <w:r w:rsidRPr="009420FA">
        <w:rPr>
          <w:rFonts w:cs="Arial"/>
          <w:i/>
          <w:sz w:val="24"/>
          <w:szCs w:val="24"/>
        </w:rPr>
        <w:t>Diabetes Care</w:t>
      </w:r>
      <w:r w:rsidRPr="009420FA">
        <w:rPr>
          <w:rFonts w:cs="Arial"/>
          <w:sz w:val="24"/>
          <w:szCs w:val="24"/>
        </w:rPr>
        <w:t>, 43(7), pp. 1636–1649. Available at: https://doi.org/10.2337/dci20-0023 (Accessed: 17 October 2026).</w:t>
      </w:r>
    </w:p>
    <w:p w14:paraId="77F10798"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Riddle, M.C. et al. (2021) ‘Consensus report: definition and interpretation of remission in type 2 diabetes’, </w:t>
      </w:r>
      <w:r w:rsidRPr="009420FA">
        <w:rPr>
          <w:rFonts w:cs="Arial"/>
          <w:i/>
          <w:sz w:val="24"/>
          <w:szCs w:val="24"/>
        </w:rPr>
        <w:t>Diabetes Care</w:t>
      </w:r>
      <w:r w:rsidRPr="009420FA">
        <w:rPr>
          <w:rFonts w:cs="Arial"/>
          <w:sz w:val="24"/>
          <w:szCs w:val="24"/>
        </w:rPr>
        <w:t>, 44(10), pp. 2438–2444. Available at: https://doi.org/10.2337/dci21-0034 (Accessed: 17 October 2026).</w:t>
      </w:r>
    </w:p>
    <w:p w14:paraId="74BD423C"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Speight, J. et al. (2024) ‘Bringing an end to diabetes stigma and discrimination: an international consensus statement on evidence and recommendations’, </w:t>
      </w:r>
      <w:r w:rsidRPr="009420FA">
        <w:rPr>
          <w:rFonts w:cs="Arial"/>
          <w:i/>
          <w:sz w:val="24"/>
          <w:szCs w:val="24"/>
        </w:rPr>
        <w:t>The Lancet Diabetes &amp; Endocrinology</w:t>
      </w:r>
      <w:r w:rsidRPr="009420FA">
        <w:rPr>
          <w:rFonts w:cs="Arial"/>
          <w:sz w:val="24"/>
          <w:szCs w:val="24"/>
        </w:rPr>
        <w:t>, 12(1), pp. 61–82. Available at: https://doi.org/10.1016/S2213-8587(23)00347-9 (Accessed: 17 October 2026).</w:t>
      </w:r>
    </w:p>
    <w:p w14:paraId="1BA2E6EB"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TREND Diabetes (2024) </w:t>
      </w:r>
      <w:r w:rsidRPr="009420FA">
        <w:rPr>
          <w:rFonts w:cs="Arial"/>
          <w:i/>
          <w:sz w:val="24"/>
          <w:szCs w:val="24"/>
        </w:rPr>
        <w:t>End of life guidance for diabetes care</w:t>
      </w:r>
      <w:r w:rsidRPr="009420FA">
        <w:rPr>
          <w:rFonts w:cs="Arial"/>
          <w:sz w:val="24"/>
          <w:szCs w:val="24"/>
        </w:rPr>
        <w:t>. June. Available at: https://www.diabetes.org.uk/sites/default/files/2025-03/EoL_TREND_2024_v11-1.pdf (Accessed: 17 October 2026).</w:t>
      </w:r>
    </w:p>
    <w:p w14:paraId="5381873B" w14:textId="77777777" w:rsidR="00192777" w:rsidRPr="009420FA" w:rsidRDefault="00A8607A" w:rsidP="00925304">
      <w:pPr>
        <w:keepLines/>
        <w:spacing w:after="200"/>
        <w:ind w:left="360"/>
        <w:rPr>
          <w:rFonts w:cs="Arial"/>
          <w:sz w:val="24"/>
          <w:szCs w:val="24"/>
        </w:rPr>
      </w:pPr>
      <w:proofErr w:type="spellStart"/>
      <w:r w:rsidRPr="009420FA">
        <w:rPr>
          <w:rFonts w:cs="Arial"/>
          <w:sz w:val="24"/>
          <w:szCs w:val="24"/>
        </w:rPr>
        <w:lastRenderedPageBreak/>
        <w:t>Valabhji</w:t>
      </w:r>
      <w:proofErr w:type="spellEnd"/>
      <w:r w:rsidRPr="009420FA">
        <w:rPr>
          <w:rFonts w:cs="Arial"/>
          <w:sz w:val="24"/>
          <w:szCs w:val="24"/>
        </w:rPr>
        <w:t xml:space="preserve">, J. et al. (2024) ‘Early findings from the NHS Type 2 Diabetes Path to Remission </w:t>
      </w:r>
      <w:proofErr w:type="spellStart"/>
      <w:r w:rsidRPr="009420FA">
        <w:rPr>
          <w:rFonts w:cs="Arial"/>
          <w:sz w:val="24"/>
          <w:szCs w:val="24"/>
        </w:rPr>
        <w:t>Programme</w:t>
      </w:r>
      <w:proofErr w:type="spellEnd"/>
      <w:r w:rsidRPr="009420FA">
        <w:rPr>
          <w:rFonts w:cs="Arial"/>
          <w:sz w:val="24"/>
          <w:szCs w:val="24"/>
        </w:rPr>
        <w:t xml:space="preserve">: a prospective evaluation of real-world implementation’, </w:t>
      </w:r>
      <w:r w:rsidRPr="009420FA">
        <w:rPr>
          <w:rFonts w:cs="Arial"/>
          <w:i/>
          <w:sz w:val="24"/>
          <w:szCs w:val="24"/>
        </w:rPr>
        <w:t>The Lancet Diabetes &amp; Endocrinology</w:t>
      </w:r>
      <w:r w:rsidRPr="009420FA">
        <w:rPr>
          <w:rFonts w:cs="Arial"/>
          <w:sz w:val="24"/>
          <w:szCs w:val="24"/>
        </w:rPr>
        <w:t>, 12(9), pp. 653–663. Available at: https://doi.org/10.1016/S2213-8587(24)00194-3 (Accessed: 17 October 2026).</w:t>
      </w:r>
    </w:p>
    <w:p w14:paraId="2B2DD5AD" w14:textId="77777777" w:rsidR="00192777" w:rsidRPr="009420FA" w:rsidRDefault="00A8607A" w:rsidP="00925304">
      <w:pPr>
        <w:keepLines/>
        <w:spacing w:after="200"/>
        <w:ind w:left="360"/>
        <w:rPr>
          <w:rFonts w:cs="Arial"/>
          <w:sz w:val="24"/>
          <w:szCs w:val="24"/>
        </w:rPr>
      </w:pPr>
      <w:r w:rsidRPr="009420FA">
        <w:rPr>
          <w:rFonts w:cs="Arial"/>
          <w:sz w:val="24"/>
          <w:szCs w:val="24"/>
        </w:rPr>
        <w:t xml:space="preserve">Zu, W., Zhang, S., Du, L., Huang, X., Nie, W. and Wang, L. (2024) ‘The effectiveness of psychological interventions on diabetes distress and glycemic level in adults with type 2 diabetes: a systematic review and meta-analysis’, </w:t>
      </w:r>
      <w:r w:rsidRPr="009420FA">
        <w:rPr>
          <w:rFonts w:cs="Arial"/>
          <w:i/>
          <w:sz w:val="24"/>
          <w:szCs w:val="24"/>
        </w:rPr>
        <w:t>BMC Psychiatry</w:t>
      </w:r>
      <w:r w:rsidRPr="009420FA">
        <w:rPr>
          <w:rFonts w:cs="Arial"/>
          <w:sz w:val="24"/>
          <w:szCs w:val="24"/>
        </w:rPr>
        <w:t>, 24, 660. Available at: https://doi.org/10.1186/s12888-024-06125-z (Accessed: 17 October 2026).</w:t>
      </w:r>
    </w:p>
    <w:sectPr w:rsidR="00192777" w:rsidRPr="009420FA" w:rsidSect="00034616">
      <w:headerReference w:type="default" r:id="rId13"/>
      <w:footerReference w:type="default" r:id="rId14"/>
      <w:pgSz w:w="12240" w:h="15840"/>
      <w:pgMar w:top="1080" w:right="1224" w:bottom="1080" w:left="1224" w:header="432"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D2436" w14:textId="77777777" w:rsidR="00C65A90" w:rsidRDefault="00C65A90">
      <w:pPr>
        <w:spacing w:after="0" w:line="240" w:lineRule="auto"/>
      </w:pPr>
      <w:r>
        <w:separator/>
      </w:r>
    </w:p>
  </w:endnote>
  <w:endnote w:type="continuationSeparator" w:id="0">
    <w:p w14:paraId="28436359" w14:textId="77777777" w:rsidR="00C65A90" w:rsidRDefault="00C65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63460"/>
      <w:docPartObj>
        <w:docPartGallery w:val="Page Numbers (Bottom of Page)"/>
        <w:docPartUnique/>
      </w:docPartObj>
    </w:sdtPr>
    <w:sdtEndPr>
      <w:rPr>
        <w:noProof/>
      </w:rPr>
    </w:sdtEndPr>
    <w:sdtContent>
      <w:p w14:paraId="7E62B8CB" w14:textId="535E59FD" w:rsidR="009420FA" w:rsidRDefault="009420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5F4A06" w14:textId="5711D770" w:rsidR="00192777" w:rsidRDefault="0019277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F9E15" w14:textId="77777777" w:rsidR="00C65A90" w:rsidRDefault="00C65A90">
      <w:pPr>
        <w:spacing w:after="0" w:line="240" w:lineRule="auto"/>
      </w:pPr>
      <w:r>
        <w:separator/>
      </w:r>
    </w:p>
  </w:footnote>
  <w:footnote w:type="continuationSeparator" w:id="0">
    <w:p w14:paraId="2E1CB308" w14:textId="77777777" w:rsidR="00C65A90" w:rsidRDefault="00C65A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E9805" w14:textId="2E88F453" w:rsidR="00192777" w:rsidRDefault="00192777">
    <w:pPr>
      <w:pStyle w:val="Header"/>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A7D4063"/>
    <w:multiLevelType w:val="hybridMultilevel"/>
    <w:tmpl w:val="A2203D6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344A4658"/>
    <w:multiLevelType w:val="hybridMultilevel"/>
    <w:tmpl w:val="09F0AD92"/>
    <w:lvl w:ilvl="0" w:tplc="56B491F0">
      <w:start w:val="1"/>
      <w:numFmt w:val="decimal"/>
      <w:lvlText w:val="%1."/>
      <w:lvlJc w:val="left"/>
      <w:pPr>
        <w:ind w:left="720" w:hanging="360"/>
      </w:pPr>
      <w:rPr>
        <w:rFonts w:hint="default"/>
        <w:color w:val="000000"/>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650F5"/>
    <w:rsid w:val="00192777"/>
    <w:rsid w:val="002605CC"/>
    <w:rsid w:val="0029639D"/>
    <w:rsid w:val="00317E2A"/>
    <w:rsid w:val="00326F90"/>
    <w:rsid w:val="003B5002"/>
    <w:rsid w:val="00692ADC"/>
    <w:rsid w:val="00806E78"/>
    <w:rsid w:val="008A3572"/>
    <w:rsid w:val="00905538"/>
    <w:rsid w:val="00925304"/>
    <w:rsid w:val="009420FA"/>
    <w:rsid w:val="0095332A"/>
    <w:rsid w:val="0099354C"/>
    <w:rsid w:val="00A8607A"/>
    <w:rsid w:val="00AA1D8D"/>
    <w:rsid w:val="00B47730"/>
    <w:rsid w:val="00C04098"/>
    <w:rsid w:val="00C65A90"/>
    <w:rsid w:val="00CB0664"/>
    <w:rsid w:val="00D72C7A"/>
    <w:rsid w:val="00DC1821"/>
    <w:rsid w:val="00DF043F"/>
    <w:rsid w:val="00E9424F"/>
    <w:rsid w:val="00FC693F"/>
    <w:rsid w:val="00FF10C3"/>
    <w:rsid w:val="00FF237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D8D352"/>
  <w14:defaultImageDpi w14:val="300"/>
  <w15:docId w15:val="{E7682CDF-5B5C-417D-AB7F-7E1FB06C5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360" w:lineRule="auto"/>
      <w:jc w:val="both"/>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260" w:after="120" w:line="276" w:lineRule="auto"/>
      <w:jc w:val="left"/>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C693F"/>
    <w:pPr>
      <w:keepNext/>
      <w:keepLines/>
      <w:spacing w:before="260" w:after="120" w:line="276" w:lineRule="auto"/>
      <w:jc w:val="left"/>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jc w:val="left"/>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jc w:val="left"/>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99354C"/>
    <w:pPr>
      <w:spacing w:before="100" w:beforeAutospacing="1" w:after="100" w:afterAutospacing="1" w:line="240" w:lineRule="auto"/>
      <w:jc w:val="left"/>
    </w:pPr>
    <w:rPr>
      <w:rFonts w:ascii="Times New Roman" w:eastAsia="Times New Roman" w:hAnsi="Times New Roman" w:cs="Times New Roman"/>
      <w:color w:val="auto"/>
      <w:sz w:val="24"/>
      <w:szCs w:val="24"/>
      <w:lang w:val="en-PK" w:eastAsia="en-PK"/>
    </w:rPr>
  </w:style>
  <w:style w:type="paragraph" w:styleId="TOC1">
    <w:name w:val="toc 1"/>
    <w:basedOn w:val="Normal"/>
    <w:next w:val="Normal"/>
    <w:autoRedefine/>
    <w:uiPriority w:val="39"/>
    <w:unhideWhenUsed/>
    <w:rsid w:val="002605CC"/>
    <w:pPr>
      <w:spacing w:after="100"/>
    </w:pPr>
  </w:style>
  <w:style w:type="paragraph" w:styleId="TOC2">
    <w:name w:val="toc 2"/>
    <w:basedOn w:val="Normal"/>
    <w:next w:val="Normal"/>
    <w:autoRedefine/>
    <w:uiPriority w:val="39"/>
    <w:unhideWhenUsed/>
    <w:rsid w:val="002605CC"/>
    <w:pPr>
      <w:spacing w:after="100"/>
      <w:ind w:left="220"/>
    </w:pPr>
  </w:style>
  <w:style w:type="character" w:styleId="Hyperlink">
    <w:name w:val="Hyperlink"/>
    <w:basedOn w:val="DefaultParagraphFont"/>
    <w:uiPriority w:val="99"/>
    <w:unhideWhenUsed/>
    <w:rsid w:val="002605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8947">
      <w:bodyDiv w:val="1"/>
      <w:marLeft w:val="0"/>
      <w:marRight w:val="0"/>
      <w:marTop w:val="0"/>
      <w:marBottom w:val="0"/>
      <w:divBdr>
        <w:top w:val="none" w:sz="0" w:space="0" w:color="auto"/>
        <w:left w:val="none" w:sz="0" w:space="0" w:color="auto"/>
        <w:bottom w:val="none" w:sz="0" w:space="0" w:color="auto"/>
        <w:right w:val="none" w:sz="0" w:space="0" w:color="auto"/>
      </w:divBdr>
    </w:div>
    <w:div w:id="131409094">
      <w:bodyDiv w:val="1"/>
      <w:marLeft w:val="0"/>
      <w:marRight w:val="0"/>
      <w:marTop w:val="0"/>
      <w:marBottom w:val="0"/>
      <w:divBdr>
        <w:top w:val="none" w:sz="0" w:space="0" w:color="auto"/>
        <w:left w:val="none" w:sz="0" w:space="0" w:color="auto"/>
        <w:bottom w:val="none" w:sz="0" w:space="0" w:color="auto"/>
        <w:right w:val="none" w:sz="0" w:space="0" w:color="auto"/>
      </w:divBdr>
    </w:div>
    <w:div w:id="229196128">
      <w:bodyDiv w:val="1"/>
      <w:marLeft w:val="0"/>
      <w:marRight w:val="0"/>
      <w:marTop w:val="0"/>
      <w:marBottom w:val="0"/>
      <w:divBdr>
        <w:top w:val="none" w:sz="0" w:space="0" w:color="auto"/>
        <w:left w:val="none" w:sz="0" w:space="0" w:color="auto"/>
        <w:bottom w:val="none" w:sz="0" w:space="0" w:color="auto"/>
        <w:right w:val="none" w:sz="0" w:space="0" w:color="auto"/>
      </w:divBdr>
    </w:div>
    <w:div w:id="272522245">
      <w:bodyDiv w:val="1"/>
      <w:marLeft w:val="0"/>
      <w:marRight w:val="0"/>
      <w:marTop w:val="0"/>
      <w:marBottom w:val="0"/>
      <w:divBdr>
        <w:top w:val="none" w:sz="0" w:space="0" w:color="auto"/>
        <w:left w:val="none" w:sz="0" w:space="0" w:color="auto"/>
        <w:bottom w:val="none" w:sz="0" w:space="0" w:color="auto"/>
        <w:right w:val="none" w:sz="0" w:space="0" w:color="auto"/>
      </w:divBdr>
    </w:div>
    <w:div w:id="504169259">
      <w:bodyDiv w:val="1"/>
      <w:marLeft w:val="0"/>
      <w:marRight w:val="0"/>
      <w:marTop w:val="0"/>
      <w:marBottom w:val="0"/>
      <w:divBdr>
        <w:top w:val="none" w:sz="0" w:space="0" w:color="auto"/>
        <w:left w:val="none" w:sz="0" w:space="0" w:color="auto"/>
        <w:bottom w:val="none" w:sz="0" w:space="0" w:color="auto"/>
        <w:right w:val="none" w:sz="0" w:space="0" w:color="auto"/>
      </w:divBdr>
    </w:div>
    <w:div w:id="97815197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21</Pages>
  <Words>5364</Words>
  <Characters>30579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35872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CDC</cp:lastModifiedBy>
  <cp:revision>12</cp:revision>
  <dcterms:created xsi:type="dcterms:W3CDTF">2013-12-23T23:15:00Z</dcterms:created>
  <dcterms:modified xsi:type="dcterms:W3CDTF">2026-10-19T19:45:00Z</dcterms:modified>
  <cp:category/>
</cp:coreProperties>
</file>