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rPr>
        <w:id w:val="1381523858"/>
        <w:docPartObj>
          <w:docPartGallery w:val="Cover Pages"/>
          <w:docPartUnique/>
        </w:docPartObj>
      </w:sdtPr>
      <w:sdtEndPr>
        <w:rPr>
          <w:rFonts w:asciiTheme="minorHAnsi" w:eastAsiaTheme="minorHAnsi" w:hAnsiTheme="minorHAnsi" w:cstheme="minorBidi"/>
          <w:caps w:val="0"/>
          <w:lang w:val="en-GB" w:eastAsia="en-US"/>
        </w:rPr>
      </w:sdtEndPr>
      <w:sdtContent>
        <w:tbl>
          <w:tblPr>
            <w:tblW w:w="5000" w:type="pct"/>
            <w:jc w:val="center"/>
            <w:tblLook w:val="04A0" w:firstRow="1" w:lastRow="0" w:firstColumn="1" w:lastColumn="0" w:noHBand="0" w:noVBand="1"/>
          </w:tblPr>
          <w:tblGrid>
            <w:gridCol w:w="9242"/>
          </w:tblGrid>
          <w:tr w:rsidR="009634AA">
            <w:trPr>
              <w:trHeight w:val="2880"/>
              <w:jc w:val="center"/>
            </w:trPr>
            <w:tc>
              <w:tcPr>
                <w:tcW w:w="5000" w:type="pct"/>
              </w:tcPr>
              <w:p w:rsidR="009634AA" w:rsidRDefault="009634AA" w:rsidP="009634AA">
                <w:pPr>
                  <w:pStyle w:val="NoSpacing"/>
                  <w:jc w:val="center"/>
                  <w:rPr>
                    <w:rFonts w:asciiTheme="majorHAnsi" w:eastAsiaTheme="majorEastAsia" w:hAnsiTheme="majorHAnsi" w:cstheme="majorBidi"/>
                    <w:caps/>
                  </w:rPr>
                </w:pPr>
              </w:p>
            </w:tc>
          </w:tr>
          <w:tr w:rsidR="009634AA">
            <w:trPr>
              <w:trHeight w:val="1440"/>
              <w:jc w:val="center"/>
            </w:trPr>
            <w:sdt>
              <w:sdtPr>
                <w:rPr>
                  <w:rFonts w:asciiTheme="majorHAnsi" w:eastAsiaTheme="majorEastAsia" w:hAnsiTheme="majorHAnsi" w:cstheme="majorBidi"/>
                  <w:sz w:val="80"/>
                  <w:szCs w:val="80"/>
                </w:rPr>
                <w:alias w:val="Title"/>
                <w:id w:val="15524250"/>
                <w:placeholder>
                  <w:docPart w:val="37D403EACFEB4C8D907B4BCD9E86A1B6"/>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9634AA" w:rsidRDefault="0041346E" w:rsidP="0041346E">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Operationa</w:t>
                    </w:r>
                    <w:r w:rsidR="009634AA">
                      <w:rPr>
                        <w:rFonts w:asciiTheme="majorHAnsi" w:eastAsiaTheme="majorEastAsia" w:hAnsiTheme="majorHAnsi" w:cstheme="majorBidi"/>
                        <w:sz w:val="80"/>
                        <w:szCs w:val="80"/>
                      </w:rPr>
                      <w:t>l Policing-Exam</w:t>
                    </w:r>
                  </w:p>
                </w:tc>
              </w:sdtContent>
            </w:sdt>
          </w:tr>
          <w:tr w:rsidR="009634AA">
            <w:trPr>
              <w:trHeight w:val="720"/>
              <w:jc w:val="center"/>
            </w:trPr>
            <w:sdt>
              <w:sdtPr>
                <w:rPr>
                  <w:rFonts w:asciiTheme="majorHAnsi" w:eastAsiaTheme="majorEastAsia" w:hAnsiTheme="majorHAnsi" w:cstheme="majorBidi"/>
                  <w:sz w:val="44"/>
                  <w:szCs w:val="44"/>
                </w:rPr>
                <w:alias w:val="Subtitle"/>
                <w:id w:val="15524255"/>
                <w:placeholder>
                  <w:docPart w:val="950B926B99DF4A6FBCFDA72C700FCBA0"/>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9634AA" w:rsidRDefault="009634AA" w:rsidP="009634AA">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Ben Evans-1801275</w:t>
                    </w:r>
                  </w:p>
                </w:tc>
              </w:sdtContent>
            </w:sdt>
          </w:tr>
          <w:tr w:rsidR="009634AA">
            <w:trPr>
              <w:trHeight w:val="360"/>
              <w:jc w:val="center"/>
            </w:trPr>
            <w:tc>
              <w:tcPr>
                <w:tcW w:w="5000" w:type="pct"/>
                <w:vAlign w:val="center"/>
              </w:tcPr>
              <w:p w:rsidR="009634AA" w:rsidRDefault="009634AA">
                <w:pPr>
                  <w:pStyle w:val="NoSpacing"/>
                  <w:jc w:val="center"/>
                </w:pPr>
              </w:p>
            </w:tc>
          </w:tr>
          <w:tr w:rsidR="009634AA">
            <w:trPr>
              <w:trHeight w:val="360"/>
              <w:jc w:val="center"/>
            </w:trPr>
            <w:tc>
              <w:tcPr>
                <w:tcW w:w="5000" w:type="pct"/>
                <w:vAlign w:val="center"/>
              </w:tcPr>
              <w:p w:rsidR="009634AA" w:rsidRDefault="009634AA">
                <w:pPr>
                  <w:pStyle w:val="NoSpacing"/>
                  <w:jc w:val="center"/>
                  <w:rPr>
                    <w:b/>
                    <w:bCs/>
                  </w:rPr>
                </w:pPr>
              </w:p>
            </w:tc>
          </w:tr>
          <w:tr w:rsidR="009634AA">
            <w:trPr>
              <w:trHeight w:val="360"/>
              <w:jc w:val="center"/>
            </w:trPr>
            <w:tc>
              <w:tcPr>
                <w:tcW w:w="5000" w:type="pct"/>
                <w:vAlign w:val="center"/>
              </w:tcPr>
              <w:p w:rsidR="009634AA" w:rsidRDefault="009634AA">
                <w:pPr>
                  <w:pStyle w:val="NoSpacing"/>
                  <w:jc w:val="center"/>
                  <w:rPr>
                    <w:b/>
                    <w:bCs/>
                  </w:rPr>
                </w:pPr>
              </w:p>
            </w:tc>
          </w:tr>
        </w:tbl>
        <w:p w:rsidR="009634AA" w:rsidRDefault="009634AA"/>
        <w:p w:rsidR="009634AA" w:rsidRDefault="009634AA"/>
        <w:tbl>
          <w:tblPr>
            <w:tblpPr w:leftFromText="187" w:rightFromText="187" w:horzAnchor="margin" w:tblpXSpec="center" w:tblpYSpec="bottom"/>
            <w:tblW w:w="5000" w:type="pct"/>
            <w:tblLook w:val="04A0" w:firstRow="1" w:lastRow="0" w:firstColumn="1" w:lastColumn="0" w:noHBand="0" w:noVBand="1"/>
          </w:tblPr>
          <w:tblGrid>
            <w:gridCol w:w="9242"/>
          </w:tblGrid>
          <w:tr w:rsidR="009634AA">
            <w:tc>
              <w:tcPr>
                <w:tcW w:w="5000" w:type="pct"/>
              </w:tcPr>
              <w:p w:rsidR="009634AA" w:rsidRDefault="009634AA">
                <w:pPr>
                  <w:pStyle w:val="NoSpacing"/>
                </w:pPr>
              </w:p>
            </w:tc>
          </w:tr>
        </w:tbl>
        <w:p w:rsidR="009634AA" w:rsidRDefault="009634AA"/>
        <w:p w:rsidR="009634AA" w:rsidRDefault="009634AA">
          <w:r>
            <w:br w:type="page"/>
          </w:r>
        </w:p>
      </w:sdtContent>
    </w:sdt>
    <w:p w:rsidR="000A4935" w:rsidRDefault="003A3E0C">
      <w:pPr>
        <w:rPr>
          <w:rFonts w:ascii="Arial" w:hAnsi="Arial" w:cs="Arial"/>
          <w:sz w:val="28"/>
        </w:rPr>
      </w:pPr>
      <w:r w:rsidRPr="003A3E0C">
        <w:rPr>
          <w:rFonts w:ascii="Arial" w:hAnsi="Arial" w:cs="Arial"/>
          <w:sz w:val="28"/>
        </w:rPr>
        <w:lastRenderedPageBreak/>
        <w:t>1.</w:t>
      </w:r>
      <w:r>
        <w:rPr>
          <w:rFonts w:ascii="Arial" w:hAnsi="Arial" w:cs="Arial"/>
          <w:sz w:val="28"/>
        </w:rPr>
        <w:t xml:space="preserve"> Dishonesty under the theft act is defined as when a reasonable person would consider the actions dishonest and the defendant knew his/her actions would be viewed as dishonest by those standards.</w:t>
      </w:r>
      <w:r w:rsidR="006F60AB">
        <w:rPr>
          <w:rFonts w:ascii="Arial" w:hAnsi="Arial" w:cs="Arial"/>
          <w:sz w:val="28"/>
        </w:rPr>
        <w:t xml:space="preserve">  Dishonesty under the theft act also may be viewed as if the defendant appropriates property by believing he/she has the power to deprive the owner of it, when the defendant believes the owner would consent to the defendant taking the property. However under the theft act 1968 there is no defence for the defendant if he is willing to </w:t>
      </w:r>
      <w:r w:rsidR="00C528A8">
        <w:rPr>
          <w:rFonts w:ascii="Arial" w:hAnsi="Arial" w:cs="Arial"/>
          <w:sz w:val="28"/>
        </w:rPr>
        <w:t>p</w:t>
      </w:r>
      <w:r w:rsidR="006F60AB">
        <w:rPr>
          <w:rFonts w:ascii="Arial" w:hAnsi="Arial" w:cs="Arial"/>
          <w:sz w:val="28"/>
        </w:rPr>
        <w:t>ay for the property that he/she has already deprived the owner of.</w:t>
      </w:r>
      <w:r w:rsidR="00AD4A92">
        <w:rPr>
          <w:rFonts w:ascii="Arial" w:hAnsi="Arial" w:cs="Arial"/>
          <w:sz w:val="28"/>
        </w:rPr>
        <w:t xml:space="preserve"> Under R v Ivey which was a civil claim a new test for dishonesty occurred</w:t>
      </w:r>
      <w:r w:rsidR="009366BC">
        <w:rPr>
          <w:rFonts w:ascii="Arial" w:hAnsi="Arial" w:cs="Arial"/>
          <w:sz w:val="28"/>
        </w:rPr>
        <w:t xml:space="preserve"> for civil and criminal matters. Under R v Ivey the case followed dishones</w:t>
      </w:r>
      <w:r w:rsidR="006B4D78">
        <w:rPr>
          <w:rFonts w:ascii="Arial" w:hAnsi="Arial" w:cs="Arial"/>
          <w:sz w:val="28"/>
        </w:rPr>
        <w:t>t</w:t>
      </w:r>
      <w:r w:rsidR="009366BC">
        <w:rPr>
          <w:rFonts w:ascii="Arial" w:hAnsi="Arial" w:cs="Arial"/>
          <w:sz w:val="28"/>
        </w:rPr>
        <w:t>y within the gambling sector which wanted to prove dishonesty in players winning money.</w:t>
      </w:r>
      <w:r w:rsidR="006B4D78">
        <w:rPr>
          <w:rFonts w:ascii="Arial" w:hAnsi="Arial" w:cs="Arial"/>
          <w:sz w:val="28"/>
        </w:rPr>
        <w:t xml:space="preserve"> Under the theft act 1968 there is several defences for dishonesty. These defences include that the person had lawful right to claim that property for example if they were recovering their own property , that the owner gave consent for the defendant to take their property and also if the owner can</w:t>
      </w:r>
      <w:r w:rsidR="000A4935">
        <w:rPr>
          <w:rFonts w:ascii="Arial" w:hAnsi="Arial" w:cs="Arial"/>
          <w:sz w:val="28"/>
        </w:rPr>
        <w:t>’</w:t>
      </w:r>
      <w:r w:rsidR="006B4D78">
        <w:rPr>
          <w:rFonts w:ascii="Arial" w:hAnsi="Arial" w:cs="Arial"/>
          <w:sz w:val="28"/>
        </w:rPr>
        <w:t>t be discovered and therefore that property doesn’t belong to anyone.</w:t>
      </w:r>
    </w:p>
    <w:p w:rsidR="000A4935" w:rsidRDefault="000A4935">
      <w:pPr>
        <w:rPr>
          <w:rFonts w:ascii="Arial" w:hAnsi="Arial" w:cs="Arial"/>
          <w:sz w:val="28"/>
        </w:rPr>
      </w:pPr>
      <w:r>
        <w:rPr>
          <w:rFonts w:ascii="Arial" w:hAnsi="Arial" w:cs="Arial"/>
          <w:sz w:val="28"/>
        </w:rPr>
        <w:t xml:space="preserve">Belonging to another under the theft act must include property that shall be regarded as belonging to any person having possession or control of it. Therefore under the theft act 1968 belonging to another can be breached under the theft act if there is intention by the defendant to defeat trust by intentionally depriving property of the owner. Under the theft act belonging to another can also occur if he/she </w:t>
      </w:r>
      <w:r w:rsidR="007D67A9">
        <w:rPr>
          <w:rFonts w:ascii="Arial" w:hAnsi="Arial" w:cs="Arial"/>
          <w:sz w:val="28"/>
        </w:rPr>
        <w:t>receives</w:t>
      </w:r>
      <w:r>
        <w:rPr>
          <w:rFonts w:ascii="Arial" w:hAnsi="Arial" w:cs="Arial"/>
          <w:sz w:val="28"/>
        </w:rPr>
        <w:t xml:space="preserve"> property from an account or another person and is advised they shou</w:t>
      </w:r>
      <w:r w:rsidR="007D67A9">
        <w:rPr>
          <w:rFonts w:ascii="Arial" w:hAnsi="Arial" w:cs="Arial"/>
          <w:sz w:val="28"/>
        </w:rPr>
        <w:t xml:space="preserve">ld deal or retain the property </w:t>
      </w:r>
      <w:r>
        <w:rPr>
          <w:rFonts w:ascii="Arial" w:hAnsi="Arial" w:cs="Arial"/>
          <w:sz w:val="28"/>
        </w:rPr>
        <w:t>how</w:t>
      </w:r>
      <w:r w:rsidR="007D67A9">
        <w:rPr>
          <w:rFonts w:ascii="Arial" w:hAnsi="Arial" w:cs="Arial"/>
          <w:sz w:val="28"/>
        </w:rPr>
        <w:t>e</w:t>
      </w:r>
      <w:r>
        <w:rPr>
          <w:rFonts w:ascii="Arial" w:hAnsi="Arial" w:cs="Arial"/>
          <w:sz w:val="28"/>
        </w:rPr>
        <w:t>ver they chose to deprive the owner of that property.</w:t>
      </w:r>
      <w:r w:rsidR="007D67A9">
        <w:rPr>
          <w:rFonts w:ascii="Arial" w:hAnsi="Arial" w:cs="Arial"/>
          <w:sz w:val="28"/>
        </w:rPr>
        <w:t xml:space="preserve"> Also belonging to another can occur when he/she </w:t>
      </w:r>
      <w:r w:rsidR="000A4A80">
        <w:rPr>
          <w:rFonts w:ascii="Arial" w:hAnsi="Arial" w:cs="Arial"/>
          <w:sz w:val="28"/>
        </w:rPr>
        <w:t>receives</w:t>
      </w:r>
      <w:r w:rsidR="007D67A9">
        <w:rPr>
          <w:rFonts w:ascii="Arial" w:hAnsi="Arial" w:cs="Arial"/>
          <w:sz w:val="28"/>
        </w:rPr>
        <w:t xml:space="preserve"> property by mistake and instead of dealing and restoring that property they chose to </w:t>
      </w:r>
      <w:r w:rsidR="000A4A80">
        <w:rPr>
          <w:rFonts w:ascii="Arial" w:hAnsi="Arial" w:cs="Arial"/>
          <w:sz w:val="28"/>
        </w:rPr>
        <w:t>deprive</w:t>
      </w:r>
      <w:r w:rsidR="007D67A9">
        <w:rPr>
          <w:rFonts w:ascii="Arial" w:hAnsi="Arial" w:cs="Arial"/>
          <w:sz w:val="28"/>
        </w:rPr>
        <w:t xml:space="preserve"> that property which belong</w:t>
      </w:r>
      <w:r w:rsidR="00567707">
        <w:rPr>
          <w:rFonts w:ascii="Arial" w:hAnsi="Arial" w:cs="Arial"/>
          <w:sz w:val="28"/>
        </w:rPr>
        <w:t>s</w:t>
      </w:r>
      <w:r w:rsidR="007D67A9">
        <w:rPr>
          <w:rFonts w:ascii="Arial" w:hAnsi="Arial" w:cs="Arial"/>
          <w:sz w:val="28"/>
        </w:rPr>
        <w:t xml:space="preserve"> to another person.</w:t>
      </w:r>
    </w:p>
    <w:p w:rsidR="000A4935" w:rsidRDefault="00567707">
      <w:pPr>
        <w:rPr>
          <w:rFonts w:ascii="Arial" w:hAnsi="Arial" w:cs="Arial"/>
          <w:sz w:val="28"/>
        </w:rPr>
      </w:pPr>
      <w:r>
        <w:rPr>
          <w:rFonts w:ascii="Arial" w:hAnsi="Arial" w:cs="Arial"/>
          <w:sz w:val="28"/>
        </w:rPr>
        <w:t>2.</w:t>
      </w:r>
      <w:r w:rsidR="00A14504">
        <w:rPr>
          <w:rFonts w:ascii="Arial" w:hAnsi="Arial" w:cs="Arial"/>
          <w:sz w:val="28"/>
        </w:rPr>
        <w:t xml:space="preserve"> The first common element of burglary under the theft act 1968 is ‘enters’</w:t>
      </w:r>
      <w:r w:rsidR="00D91B9D">
        <w:rPr>
          <w:rFonts w:ascii="Arial" w:hAnsi="Arial" w:cs="Arial"/>
          <w:sz w:val="28"/>
        </w:rPr>
        <w:t xml:space="preserve">. In R v Collins (1973) a defendant can be convicted of burglary if they have entered a building effectively which was the case in R v Collins (1973). The importance of enters under the definition of burglary is to understand if the defendant has effectively entered a building and therefore under the element of enters if the defendant has entered the building </w:t>
      </w:r>
      <w:r w:rsidR="00ED230F">
        <w:rPr>
          <w:rFonts w:ascii="Arial" w:hAnsi="Arial" w:cs="Arial"/>
          <w:sz w:val="28"/>
        </w:rPr>
        <w:t>effectively</w:t>
      </w:r>
      <w:r w:rsidR="00D91B9D">
        <w:rPr>
          <w:rFonts w:ascii="Arial" w:hAnsi="Arial" w:cs="Arial"/>
          <w:sz w:val="28"/>
        </w:rPr>
        <w:t xml:space="preserve"> to </w:t>
      </w:r>
      <w:r w:rsidR="00ED230F">
        <w:rPr>
          <w:rFonts w:ascii="Arial" w:hAnsi="Arial" w:cs="Arial"/>
          <w:sz w:val="28"/>
        </w:rPr>
        <w:t>intentionally</w:t>
      </w:r>
      <w:r w:rsidR="00D91B9D">
        <w:rPr>
          <w:rFonts w:ascii="Arial" w:hAnsi="Arial" w:cs="Arial"/>
          <w:sz w:val="28"/>
        </w:rPr>
        <w:t xml:space="preserve"> commit a crime.</w:t>
      </w:r>
      <w:r w:rsidR="00ED230F">
        <w:rPr>
          <w:rFonts w:ascii="Arial" w:hAnsi="Arial" w:cs="Arial"/>
          <w:sz w:val="28"/>
        </w:rPr>
        <w:t xml:space="preserve"> Under the definition </w:t>
      </w:r>
      <w:r w:rsidR="00ED230F">
        <w:rPr>
          <w:rFonts w:ascii="Arial" w:hAnsi="Arial" w:cs="Arial"/>
          <w:sz w:val="28"/>
        </w:rPr>
        <w:lastRenderedPageBreak/>
        <w:t>of burglary the defendant must have entered the building or part of a building. There is no complete definition of a building however under the theft act in section 9(4) it includes that a building could be defined as a</w:t>
      </w:r>
      <w:r w:rsidR="00863AB5">
        <w:rPr>
          <w:rFonts w:ascii="Arial" w:hAnsi="Arial" w:cs="Arial"/>
          <w:sz w:val="28"/>
        </w:rPr>
        <w:t xml:space="preserve">n </w:t>
      </w:r>
      <w:r w:rsidR="00ED230F">
        <w:rPr>
          <w:rFonts w:ascii="Arial" w:hAnsi="Arial" w:cs="Arial"/>
          <w:sz w:val="28"/>
        </w:rPr>
        <w:t>inhabited vehicle or a vessel.</w:t>
      </w:r>
      <w:r w:rsidR="00863AB5">
        <w:rPr>
          <w:rFonts w:ascii="Arial" w:hAnsi="Arial" w:cs="Arial"/>
          <w:sz w:val="28"/>
        </w:rPr>
        <w:t xml:space="preserve"> Therefore anywhere that that contains property belonging to another may be classed as a building for example in B v </w:t>
      </w:r>
      <w:proofErr w:type="spellStart"/>
      <w:r w:rsidR="00863AB5">
        <w:rPr>
          <w:rFonts w:ascii="Arial" w:hAnsi="Arial" w:cs="Arial"/>
          <w:sz w:val="28"/>
        </w:rPr>
        <w:t>Leathley</w:t>
      </w:r>
      <w:proofErr w:type="spellEnd"/>
      <w:r w:rsidR="00863AB5">
        <w:rPr>
          <w:rFonts w:ascii="Arial" w:hAnsi="Arial" w:cs="Arial"/>
          <w:sz w:val="28"/>
        </w:rPr>
        <w:t xml:space="preserve"> (1979) that the definition provided by the theft act of a building was used to decide whether a container that held property </w:t>
      </w:r>
      <w:r w:rsidR="00410BE5">
        <w:rPr>
          <w:rFonts w:ascii="Arial" w:hAnsi="Arial" w:cs="Arial"/>
          <w:sz w:val="28"/>
        </w:rPr>
        <w:t>belonging</w:t>
      </w:r>
      <w:r w:rsidR="00863AB5">
        <w:rPr>
          <w:rFonts w:ascii="Arial" w:hAnsi="Arial" w:cs="Arial"/>
          <w:sz w:val="28"/>
        </w:rPr>
        <w:t xml:space="preserve"> to another was deemed as a building.</w:t>
      </w:r>
    </w:p>
    <w:p w:rsidR="00410BE5" w:rsidRDefault="00DD0581">
      <w:pPr>
        <w:rPr>
          <w:rFonts w:ascii="Arial" w:hAnsi="Arial" w:cs="Arial"/>
          <w:sz w:val="28"/>
        </w:rPr>
      </w:pPr>
      <w:r>
        <w:rPr>
          <w:rFonts w:ascii="Arial" w:hAnsi="Arial" w:cs="Arial"/>
          <w:sz w:val="28"/>
        </w:rPr>
        <w:t>3.</w:t>
      </w:r>
      <w:r w:rsidR="00D36E1F">
        <w:rPr>
          <w:rFonts w:ascii="Arial" w:hAnsi="Arial" w:cs="Arial"/>
          <w:sz w:val="28"/>
        </w:rPr>
        <w:t xml:space="preserve"> The Offence that has been committed in the scenario is under section 18 of the offences against the person act. The assault offense in this scenario is s.18 because the person has intended to wound or cause GBH by throwing a brick at a group of people</w:t>
      </w:r>
      <w:r w:rsidR="00A748F6">
        <w:rPr>
          <w:rFonts w:ascii="Arial" w:hAnsi="Arial" w:cs="Arial"/>
          <w:sz w:val="28"/>
        </w:rPr>
        <w:t>.</w:t>
      </w:r>
      <w:r w:rsidR="00664B4D">
        <w:rPr>
          <w:rFonts w:ascii="Arial" w:hAnsi="Arial" w:cs="Arial"/>
          <w:sz w:val="28"/>
        </w:rPr>
        <w:t xml:space="preserve"> The assault is this </w:t>
      </w:r>
      <w:r w:rsidR="00117292">
        <w:rPr>
          <w:rFonts w:ascii="Arial" w:hAnsi="Arial" w:cs="Arial"/>
          <w:sz w:val="28"/>
        </w:rPr>
        <w:t>scenario</w:t>
      </w:r>
      <w:r w:rsidR="00664B4D">
        <w:rPr>
          <w:rFonts w:ascii="Arial" w:hAnsi="Arial" w:cs="Arial"/>
          <w:sz w:val="28"/>
        </w:rPr>
        <w:t xml:space="preserve"> is not s.20 of the offences against the person act because that would mean that the person did not have the intent to wound or inflict GBH. Therefore under the offences against the person act it is classed as s.18 because the person had a planned the intention to throw that brick at the group of people.  The person in this scenario chose the brick as it had the capability to </w:t>
      </w:r>
      <w:r w:rsidR="00117292">
        <w:rPr>
          <w:rFonts w:ascii="Arial" w:hAnsi="Arial" w:cs="Arial"/>
          <w:sz w:val="28"/>
        </w:rPr>
        <w:t xml:space="preserve">cause </w:t>
      </w:r>
      <w:r w:rsidR="00664B4D">
        <w:rPr>
          <w:rFonts w:ascii="Arial" w:hAnsi="Arial" w:cs="Arial"/>
          <w:sz w:val="28"/>
        </w:rPr>
        <w:t>wounding or GBH and ther</w:t>
      </w:r>
      <w:r w:rsidR="00117292">
        <w:rPr>
          <w:rFonts w:ascii="Arial" w:hAnsi="Arial" w:cs="Arial"/>
          <w:sz w:val="28"/>
        </w:rPr>
        <w:t>e</w:t>
      </w:r>
      <w:r w:rsidR="00664B4D">
        <w:rPr>
          <w:rFonts w:ascii="Arial" w:hAnsi="Arial" w:cs="Arial"/>
          <w:sz w:val="28"/>
        </w:rPr>
        <w:t xml:space="preserve">fore in this </w:t>
      </w:r>
      <w:r w:rsidR="00117292">
        <w:rPr>
          <w:rFonts w:ascii="Arial" w:hAnsi="Arial" w:cs="Arial"/>
          <w:sz w:val="28"/>
        </w:rPr>
        <w:t>scenario</w:t>
      </w:r>
      <w:r w:rsidR="00664B4D">
        <w:rPr>
          <w:rFonts w:ascii="Arial" w:hAnsi="Arial" w:cs="Arial"/>
          <w:sz w:val="28"/>
        </w:rPr>
        <w:t xml:space="preserve"> due to the intent that the person shown in throwing the brick to cause or inflict wounding or GBH the offence that has been committed is under section 18 of the offences against the person act which is assault with the inten</w:t>
      </w:r>
      <w:r w:rsidR="00117292">
        <w:rPr>
          <w:rFonts w:ascii="Arial" w:hAnsi="Arial" w:cs="Arial"/>
          <w:sz w:val="28"/>
        </w:rPr>
        <w:t>tion of causing GBH or wounding</w:t>
      </w:r>
      <w:r w:rsidR="00664B4D">
        <w:rPr>
          <w:rFonts w:ascii="Arial" w:hAnsi="Arial" w:cs="Arial"/>
          <w:sz w:val="28"/>
        </w:rPr>
        <w:t>.</w:t>
      </w:r>
    </w:p>
    <w:p w:rsidR="00F95C6E" w:rsidRDefault="00F95C6E">
      <w:pPr>
        <w:rPr>
          <w:rFonts w:ascii="Arial" w:hAnsi="Arial" w:cs="Arial"/>
          <w:sz w:val="28"/>
        </w:rPr>
      </w:pPr>
      <w:r>
        <w:rPr>
          <w:rFonts w:ascii="Arial" w:hAnsi="Arial" w:cs="Arial"/>
          <w:sz w:val="28"/>
        </w:rPr>
        <w:t>4.</w:t>
      </w:r>
      <w:r w:rsidR="00200126">
        <w:rPr>
          <w:rFonts w:ascii="Arial" w:hAnsi="Arial" w:cs="Arial"/>
          <w:sz w:val="28"/>
        </w:rPr>
        <w:t xml:space="preserve"> The needs of victims can be met due a first response approach by police officers. The importance of the first response approach is to establish a rapport with the victim, treating them as individual and therefore offering support, while in the initial response phase it is important to communicate and listen to the victim and ther</w:t>
      </w:r>
      <w:r w:rsidR="006D4040">
        <w:rPr>
          <w:rFonts w:ascii="Arial" w:hAnsi="Arial" w:cs="Arial"/>
          <w:sz w:val="28"/>
        </w:rPr>
        <w:t>e</w:t>
      </w:r>
      <w:r w:rsidR="00200126">
        <w:rPr>
          <w:rFonts w:ascii="Arial" w:hAnsi="Arial" w:cs="Arial"/>
          <w:sz w:val="28"/>
        </w:rPr>
        <w:t xml:space="preserve">fore there is an importance for the police officers to establish </w:t>
      </w:r>
      <w:r w:rsidR="006D4040">
        <w:rPr>
          <w:rFonts w:ascii="Arial" w:hAnsi="Arial" w:cs="Arial"/>
          <w:sz w:val="28"/>
        </w:rPr>
        <w:t>whether</w:t>
      </w:r>
      <w:r w:rsidR="00200126">
        <w:rPr>
          <w:rFonts w:ascii="Arial" w:hAnsi="Arial" w:cs="Arial"/>
          <w:sz w:val="28"/>
        </w:rPr>
        <w:t xml:space="preserve"> the vi</w:t>
      </w:r>
      <w:r w:rsidR="006D4040">
        <w:rPr>
          <w:rFonts w:ascii="Arial" w:hAnsi="Arial" w:cs="Arial"/>
          <w:sz w:val="28"/>
        </w:rPr>
        <w:t>c</w:t>
      </w:r>
      <w:r w:rsidR="00200126">
        <w:rPr>
          <w:rFonts w:ascii="Arial" w:hAnsi="Arial" w:cs="Arial"/>
          <w:sz w:val="28"/>
        </w:rPr>
        <w:t>tim is vulnerable and whether they need to be offered more support in terms of medical help or if they need reassurance after being involved in a crime.</w:t>
      </w:r>
      <w:r w:rsidR="00811879">
        <w:rPr>
          <w:rFonts w:ascii="Arial" w:hAnsi="Arial" w:cs="Arial"/>
          <w:sz w:val="28"/>
        </w:rPr>
        <w:t xml:space="preserve"> While in this initial first response phase it is important for the police officer to make a log as it is important to understand how the victim and witnesses was communicating and if there is any indication of any problems that may arise.  </w:t>
      </w:r>
      <w:r w:rsidR="00B35081">
        <w:rPr>
          <w:rFonts w:ascii="Arial" w:hAnsi="Arial" w:cs="Arial"/>
          <w:sz w:val="28"/>
        </w:rPr>
        <w:t>Prioritising</w:t>
      </w:r>
      <w:r w:rsidR="00811879">
        <w:rPr>
          <w:rFonts w:ascii="Arial" w:hAnsi="Arial" w:cs="Arial"/>
          <w:sz w:val="28"/>
        </w:rPr>
        <w:t xml:space="preserve"> the victim is also important when meeting needs of any witnesses and victims and therefore during the process of the investigation it is important for officers to give the victims </w:t>
      </w:r>
      <w:r w:rsidR="00811879">
        <w:rPr>
          <w:rFonts w:ascii="Arial" w:hAnsi="Arial" w:cs="Arial"/>
          <w:sz w:val="28"/>
        </w:rPr>
        <w:lastRenderedPageBreak/>
        <w:t xml:space="preserve">a personal </w:t>
      </w:r>
      <w:r w:rsidR="00640B04">
        <w:rPr>
          <w:rFonts w:ascii="Arial" w:hAnsi="Arial" w:cs="Arial"/>
          <w:sz w:val="28"/>
        </w:rPr>
        <w:t>statement as</w:t>
      </w:r>
      <w:r w:rsidR="00811879">
        <w:rPr>
          <w:rFonts w:ascii="Arial" w:hAnsi="Arial" w:cs="Arial"/>
          <w:sz w:val="28"/>
        </w:rPr>
        <w:t xml:space="preserve"> this could take place at home and ther</w:t>
      </w:r>
      <w:r w:rsidR="00640B04">
        <w:rPr>
          <w:rFonts w:ascii="Arial" w:hAnsi="Arial" w:cs="Arial"/>
          <w:sz w:val="28"/>
        </w:rPr>
        <w:t>e</w:t>
      </w:r>
      <w:r w:rsidR="00811879">
        <w:rPr>
          <w:rFonts w:ascii="Arial" w:hAnsi="Arial" w:cs="Arial"/>
          <w:sz w:val="28"/>
        </w:rPr>
        <w:t xml:space="preserve">fore it is in a more </w:t>
      </w:r>
      <w:r w:rsidR="00640B04">
        <w:rPr>
          <w:rFonts w:ascii="Arial" w:hAnsi="Arial" w:cs="Arial"/>
          <w:sz w:val="28"/>
        </w:rPr>
        <w:t>comfortable</w:t>
      </w:r>
      <w:r w:rsidR="00811879">
        <w:rPr>
          <w:rFonts w:ascii="Arial" w:hAnsi="Arial" w:cs="Arial"/>
          <w:sz w:val="28"/>
        </w:rPr>
        <w:t xml:space="preserve"> environment for the victim.</w:t>
      </w:r>
      <w:r w:rsidR="00640B04">
        <w:rPr>
          <w:rFonts w:ascii="Arial" w:hAnsi="Arial" w:cs="Arial"/>
          <w:sz w:val="28"/>
        </w:rPr>
        <w:t xml:space="preserve"> There is also an </w:t>
      </w:r>
      <w:r w:rsidR="007F4CA6">
        <w:rPr>
          <w:rFonts w:ascii="Arial" w:hAnsi="Arial" w:cs="Arial"/>
          <w:sz w:val="28"/>
        </w:rPr>
        <w:t>opportunity</w:t>
      </w:r>
      <w:r w:rsidR="00640B04">
        <w:rPr>
          <w:rFonts w:ascii="Arial" w:hAnsi="Arial" w:cs="Arial"/>
          <w:sz w:val="28"/>
        </w:rPr>
        <w:t xml:space="preserve"> for police </w:t>
      </w:r>
      <w:r w:rsidR="007F4CA6">
        <w:rPr>
          <w:rFonts w:ascii="Arial" w:hAnsi="Arial" w:cs="Arial"/>
          <w:sz w:val="28"/>
        </w:rPr>
        <w:t>officers</w:t>
      </w:r>
      <w:r w:rsidR="00640B04">
        <w:rPr>
          <w:rFonts w:ascii="Arial" w:hAnsi="Arial" w:cs="Arial"/>
          <w:sz w:val="28"/>
        </w:rPr>
        <w:t xml:space="preserve"> to provide victims with the correct support services that will help victims with their</w:t>
      </w:r>
      <w:r w:rsidR="007F4CA6">
        <w:rPr>
          <w:rFonts w:ascii="Arial" w:hAnsi="Arial" w:cs="Arial"/>
          <w:sz w:val="28"/>
        </w:rPr>
        <w:t xml:space="preserve"> well-</w:t>
      </w:r>
      <w:r w:rsidR="00640B04">
        <w:rPr>
          <w:rFonts w:ascii="Arial" w:hAnsi="Arial" w:cs="Arial"/>
          <w:sz w:val="28"/>
        </w:rPr>
        <w:t xml:space="preserve">being. Also the importance of updating the victim with the investigation within five days of reporting a crime or arresting a suspect and therefore it is important to provide the victim with information on what has </w:t>
      </w:r>
      <w:r w:rsidR="007F4CA6">
        <w:rPr>
          <w:rFonts w:ascii="Arial" w:hAnsi="Arial" w:cs="Arial"/>
          <w:sz w:val="28"/>
        </w:rPr>
        <w:t>happened</w:t>
      </w:r>
      <w:r w:rsidR="00640B04">
        <w:rPr>
          <w:rFonts w:ascii="Arial" w:hAnsi="Arial" w:cs="Arial"/>
          <w:sz w:val="28"/>
        </w:rPr>
        <w:t xml:space="preserve"> to the suspect if they have been charged, interviewed with caution or </w:t>
      </w:r>
      <w:r w:rsidR="007F4CA6">
        <w:rPr>
          <w:rFonts w:ascii="Arial" w:hAnsi="Arial" w:cs="Arial"/>
          <w:sz w:val="28"/>
        </w:rPr>
        <w:t>released</w:t>
      </w:r>
      <w:r w:rsidR="00640B04">
        <w:rPr>
          <w:rFonts w:ascii="Arial" w:hAnsi="Arial" w:cs="Arial"/>
          <w:sz w:val="28"/>
        </w:rPr>
        <w:t xml:space="preserve"> on bail.</w:t>
      </w:r>
    </w:p>
    <w:p w:rsidR="00B35081" w:rsidRDefault="00B35081">
      <w:pPr>
        <w:rPr>
          <w:rFonts w:ascii="Arial" w:hAnsi="Arial" w:cs="Arial"/>
          <w:sz w:val="28"/>
        </w:rPr>
      </w:pPr>
      <w:r>
        <w:rPr>
          <w:rFonts w:ascii="Arial" w:hAnsi="Arial" w:cs="Arial"/>
          <w:sz w:val="28"/>
        </w:rPr>
        <w:t xml:space="preserve">5. The PEACE model is an approach to interviewing witnesses and suspect. The P within the Peace model stands for Planning and preparation. This is an important phase of the model as this is prior to the interview. Within this phase of the model it is important before interacting with the interview that the interviewer should know all details of the incident. This is important as it should allow the interviewer to organise interview in a way that is effective to gather information. It is also important within the planning phase to consider what resources is need for the interview and it is also important to know about the vulnerability of the suspect or witness and what role they played during the incident. </w:t>
      </w:r>
    </w:p>
    <w:p w:rsidR="00B35081" w:rsidRDefault="00B35081">
      <w:pPr>
        <w:rPr>
          <w:rFonts w:ascii="Arial" w:hAnsi="Arial" w:cs="Arial"/>
          <w:sz w:val="28"/>
        </w:rPr>
      </w:pPr>
      <w:r>
        <w:rPr>
          <w:rFonts w:ascii="Arial" w:hAnsi="Arial" w:cs="Arial"/>
          <w:sz w:val="28"/>
        </w:rPr>
        <w:t xml:space="preserve">The second part of the Peace model is Engage and Explain. It is important for the interviewer to have total honesty with the victim or witness </w:t>
      </w:r>
      <w:r w:rsidR="006235F2">
        <w:rPr>
          <w:rFonts w:ascii="Arial" w:hAnsi="Arial" w:cs="Arial"/>
          <w:sz w:val="28"/>
        </w:rPr>
        <w:t>and ther</w:t>
      </w:r>
      <w:r w:rsidR="00817519">
        <w:rPr>
          <w:rFonts w:ascii="Arial" w:hAnsi="Arial" w:cs="Arial"/>
          <w:sz w:val="28"/>
        </w:rPr>
        <w:t>e</w:t>
      </w:r>
      <w:r w:rsidR="006235F2">
        <w:rPr>
          <w:rFonts w:ascii="Arial" w:hAnsi="Arial" w:cs="Arial"/>
          <w:sz w:val="28"/>
        </w:rPr>
        <w:t>fore it is important to explain how the process is going to work and what objectives are trying to be met. This allows the interviewer to be approachable by being honest and ther</w:t>
      </w:r>
      <w:r w:rsidR="00817519">
        <w:rPr>
          <w:rFonts w:ascii="Arial" w:hAnsi="Arial" w:cs="Arial"/>
          <w:sz w:val="28"/>
        </w:rPr>
        <w:t>efore may be effective in</w:t>
      </w:r>
      <w:r w:rsidR="006235F2">
        <w:rPr>
          <w:rFonts w:ascii="Arial" w:hAnsi="Arial" w:cs="Arial"/>
          <w:sz w:val="28"/>
        </w:rPr>
        <w:t xml:space="preserve"> gathering information if the suspect and witness t</w:t>
      </w:r>
      <w:r w:rsidR="00817519">
        <w:rPr>
          <w:rFonts w:ascii="Arial" w:hAnsi="Arial" w:cs="Arial"/>
          <w:sz w:val="28"/>
        </w:rPr>
        <w:t>r</w:t>
      </w:r>
      <w:r w:rsidR="006235F2">
        <w:rPr>
          <w:rFonts w:ascii="Arial" w:hAnsi="Arial" w:cs="Arial"/>
          <w:sz w:val="28"/>
        </w:rPr>
        <w:t>ust you.</w:t>
      </w:r>
    </w:p>
    <w:p w:rsidR="00817519" w:rsidRDefault="009D2114">
      <w:pPr>
        <w:rPr>
          <w:rFonts w:ascii="Arial" w:hAnsi="Arial" w:cs="Arial"/>
          <w:sz w:val="28"/>
        </w:rPr>
      </w:pPr>
      <w:proofErr w:type="gramStart"/>
      <w:r>
        <w:rPr>
          <w:rFonts w:ascii="Arial" w:hAnsi="Arial" w:cs="Arial"/>
          <w:sz w:val="28"/>
        </w:rPr>
        <w:t>A under the PEACE model stands</w:t>
      </w:r>
      <w:r w:rsidR="00817519">
        <w:rPr>
          <w:rFonts w:ascii="Arial" w:hAnsi="Arial" w:cs="Arial"/>
          <w:sz w:val="28"/>
        </w:rPr>
        <w:t xml:space="preserve"> for Account.</w:t>
      </w:r>
      <w:proofErr w:type="gramEnd"/>
      <w:r w:rsidR="00817519">
        <w:rPr>
          <w:rFonts w:ascii="Arial" w:hAnsi="Arial" w:cs="Arial"/>
          <w:sz w:val="28"/>
        </w:rPr>
        <w:t xml:space="preserve"> During the account part of the PEACE model it is important to have a cognitive approach and therefore by doing this it allows the interviewer to listen and asses the information that is being provided effectively.  Therefore by using a cognitive approach it also allows for topics to be identified and clarity to occur from the information and therefore the scene is being set by the information that is being provided. Under this part of the model it is important to challenge</w:t>
      </w:r>
      <w:r w:rsidR="006E5FB5">
        <w:rPr>
          <w:rFonts w:ascii="Arial" w:hAnsi="Arial" w:cs="Arial"/>
          <w:sz w:val="28"/>
        </w:rPr>
        <w:t xml:space="preserve"> </w:t>
      </w:r>
      <w:r w:rsidR="00817519">
        <w:rPr>
          <w:rFonts w:ascii="Arial" w:hAnsi="Arial" w:cs="Arial"/>
          <w:sz w:val="28"/>
        </w:rPr>
        <w:t>when there is a good reason to believ</w:t>
      </w:r>
      <w:r w:rsidR="006E5FB5">
        <w:rPr>
          <w:rFonts w:ascii="Arial" w:hAnsi="Arial" w:cs="Arial"/>
          <w:sz w:val="28"/>
        </w:rPr>
        <w:t>e</w:t>
      </w:r>
      <w:r w:rsidR="00817519">
        <w:rPr>
          <w:rFonts w:ascii="Arial" w:hAnsi="Arial" w:cs="Arial"/>
          <w:sz w:val="28"/>
        </w:rPr>
        <w:t xml:space="preserve"> that the suspect or witness is </w:t>
      </w:r>
      <w:r w:rsidR="006E5FB5">
        <w:rPr>
          <w:rFonts w:ascii="Arial" w:hAnsi="Arial" w:cs="Arial"/>
          <w:sz w:val="28"/>
        </w:rPr>
        <w:t>withholding</w:t>
      </w:r>
      <w:r w:rsidR="00817519">
        <w:rPr>
          <w:rFonts w:ascii="Arial" w:hAnsi="Arial" w:cs="Arial"/>
          <w:sz w:val="28"/>
        </w:rPr>
        <w:t xml:space="preserve"> information that could help the investigation.</w:t>
      </w:r>
    </w:p>
    <w:p w:rsidR="002979DA" w:rsidRDefault="002C3420">
      <w:pPr>
        <w:rPr>
          <w:rFonts w:ascii="Arial" w:hAnsi="Arial" w:cs="Arial"/>
          <w:sz w:val="28"/>
        </w:rPr>
      </w:pPr>
      <w:r>
        <w:rPr>
          <w:rFonts w:ascii="Arial" w:hAnsi="Arial" w:cs="Arial"/>
          <w:sz w:val="28"/>
        </w:rPr>
        <w:lastRenderedPageBreak/>
        <w:t>C means Closure which is important as it allows the interviewer to provide correct documentation and inform the suspect or witness how the future contact will occur. It is also important to advise the suspect or witness to seek or put in contact with victim support and to advise w</w:t>
      </w:r>
      <w:r w:rsidR="002979DA">
        <w:rPr>
          <w:rFonts w:ascii="Arial" w:hAnsi="Arial" w:cs="Arial"/>
          <w:sz w:val="28"/>
        </w:rPr>
        <w:t>h</w:t>
      </w:r>
      <w:r>
        <w:rPr>
          <w:rFonts w:ascii="Arial" w:hAnsi="Arial" w:cs="Arial"/>
          <w:sz w:val="28"/>
        </w:rPr>
        <w:t>ether they should consider compensation</w:t>
      </w:r>
      <w:r w:rsidR="002979DA">
        <w:rPr>
          <w:rFonts w:ascii="Arial" w:hAnsi="Arial" w:cs="Arial"/>
          <w:sz w:val="28"/>
        </w:rPr>
        <w:t>.</w:t>
      </w:r>
    </w:p>
    <w:p w:rsidR="006E5FB5" w:rsidRDefault="002979DA">
      <w:pPr>
        <w:rPr>
          <w:rFonts w:ascii="Arial" w:hAnsi="Arial" w:cs="Arial"/>
          <w:sz w:val="28"/>
        </w:rPr>
      </w:pPr>
      <w:r>
        <w:rPr>
          <w:rFonts w:ascii="Arial" w:hAnsi="Arial" w:cs="Arial"/>
          <w:sz w:val="28"/>
        </w:rPr>
        <w:t xml:space="preserve">The last E under the peace model is important as this is where the interviewer evaluates the performance within the interview. It is important for the interviewer to consider if there </w:t>
      </w:r>
      <w:r w:rsidR="00D16C01">
        <w:rPr>
          <w:rFonts w:ascii="Arial" w:hAnsi="Arial" w:cs="Arial"/>
          <w:sz w:val="28"/>
        </w:rPr>
        <w:t>performance</w:t>
      </w:r>
      <w:r>
        <w:rPr>
          <w:rFonts w:ascii="Arial" w:hAnsi="Arial" w:cs="Arial"/>
          <w:sz w:val="28"/>
        </w:rPr>
        <w:t xml:space="preserve"> was effective en</w:t>
      </w:r>
      <w:r w:rsidR="00D16C01">
        <w:rPr>
          <w:rFonts w:ascii="Arial" w:hAnsi="Arial" w:cs="Arial"/>
          <w:sz w:val="28"/>
        </w:rPr>
        <w:t>ough to gather im</w:t>
      </w:r>
      <w:r>
        <w:rPr>
          <w:rFonts w:ascii="Arial" w:hAnsi="Arial" w:cs="Arial"/>
          <w:sz w:val="28"/>
        </w:rPr>
        <w:t xml:space="preserve">portant information and vital to evaluate if the </w:t>
      </w:r>
      <w:r w:rsidR="00D16C01">
        <w:rPr>
          <w:rFonts w:ascii="Arial" w:hAnsi="Arial" w:cs="Arial"/>
          <w:sz w:val="28"/>
        </w:rPr>
        <w:t>performance</w:t>
      </w:r>
      <w:r>
        <w:rPr>
          <w:rFonts w:ascii="Arial" w:hAnsi="Arial" w:cs="Arial"/>
          <w:sz w:val="28"/>
        </w:rPr>
        <w:t xml:space="preserve"> collected all the info that was available.</w:t>
      </w:r>
      <w:r w:rsidR="00D95975">
        <w:rPr>
          <w:rFonts w:ascii="Arial" w:hAnsi="Arial" w:cs="Arial"/>
          <w:sz w:val="28"/>
        </w:rPr>
        <w:t xml:space="preserve"> Most importantly is important to evaluate the honesty of the interview as total honesty from the interviewer is the most important part of any interview with suspects and witnesses.</w:t>
      </w:r>
    </w:p>
    <w:p w:rsidR="00A619D8" w:rsidRDefault="0046183B">
      <w:pPr>
        <w:rPr>
          <w:rFonts w:ascii="Arial" w:hAnsi="Arial" w:cs="Arial"/>
          <w:sz w:val="28"/>
        </w:rPr>
      </w:pPr>
      <w:r>
        <w:rPr>
          <w:rFonts w:ascii="Arial" w:hAnsi="Arial" w:cs="Arial"/>
          <w:sz w:val="28"/>
        </w:rPr>
        <w:t>The PEACE Model is effective as it is designed to gather information strategically. By structuring the PEACE model to make the suspect or witnesses to feel more engaged and therefore provide many details that could be vital for investigation</w:t>
      </w:r>
      <w:r w:rsidR="00BB68FD">
        <w:rPr>
          <w:rFonts w:ascii="Arial" w:hAnsi="Arial" w:cs="Arial"/>
          <w:sz w:val="28"/>
        </w:rPr>
        <w:t>. The PEACE model is efficient as it provides witness evidence such as SHACKS and provides an opportunity to describe possible offenders in establishing ADVOKATE</w:t>
      </w:r>
      <w:r w:rsidR="004D2F0A">
        <w:rPr>
          <w:rFonts w:ascii="Arial" w:hAnsi="Arial" w:cs="Arial"/>
          <w:sz w:val="28"/>
        </w:rPr>
        <w:t xml:space="preserve"> which was used in the case of R V Turnbull.</w:t>
      </w:r>
      <w:r w:rsidR="00954EB9">
        <w:rPr>
          <w:rFonts w:ascii="Arial" w:hAnsi="Arial" w:cs="Arial"/>
          <w:sz w:val="28"/>
        </w:rPr>
        <w:t xml:space="preserve"> The structure of the model also allows officers conducting the interview to use a cognitive approach which will allow the suspect or witnesses to </w:t>
      </w:r>
      <w:r w:rsidR="005A15FD">
        <w:rPr>
          <w:rFonts w:ascii="Arial" w:hAnsi="Arial" w:cs="Arial"/>
          <w:sz w:val="28"/>
        </w:rPr>
        <w:t>trust</w:t>
      </w:r>
      <w:r w:rsidR="00954EB9">
        <w:rPr>
          <w:rFonts w:ascii="Arial" w:hAnsi="Arial" w:cs="Arial"/>
          <w:sz w:val="28"/>
        </w:rPr>
        <w:t xml:space="preserve"> in the officer to be honest through the process. Therefore the model provides a structure for officers to gather information effectively and honesty while interviewing </w:t>
      </w:r>
      <w:r w:rsidR="005A15FD">
        <w:rPr>
          <w:rFonts w:ascii="Arial" w:hAnsi="Arial" w:cs="Arial"/>
          <w:sz w:val="28"/>
        </w:rPr>
        <w:t>suspects</w:t>
      </w:r>
      <w:r w:rsidR="00954EB9">
        <w:rPr>
          <w:rFonts w:ascii="Arial" w:hAnsi="Arial" w:cs="Arial"/>
          <w:sz w:val="28"/>
        </w:rPr>
        <w:t xml:space="preserve"> and witnesses.</w:t>
      </w:r>
      <w:bookmarkStart w:id="0" w:name="_GoBack"/>
      <w:bookmarkEnd w:id="0"/>
    </w:p>
    <w:p w:rsidR="00817519" w:rsidRPr="006F60AB" w:rsidRDefault="00817519"/>
    <w:sectPr w:rsidR="00817519" w:rsidRPr="006F60AB" w:rsidSect="009634A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D230F" w:rsidRDefault="00ED230F" w:rsidP="00ED230F">
      <w:pPr>
        <w:spacing w:after="0" w:line="240" w:lineRule="auto"/>
      </w:pPr>
      <w:r>
        <w:separator/>
      </w:r>
    </w:p>
  </w:endnote>
  <w:endnote w:type="continuationSeparator" w:id="0">
    <w:p w:rsidR="00ED230F" w:rsidRDefault="00ED230F" w:rsidP="00ED23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D230F" w:rsidRDefault="00ED230F" w:rsidP="00ED230F">
      <w:pPr>
        <w:spacing w:after="0" w:line="240" w:lineRule="auto"/>
      </w:pPr>
      <w:r>
        <w:separator/>
      </w:r>
    </w:p>
  </w:footnote>
  <w:footnote w:type="continuationSeparator" w:id="0">
    <w:p w:rsidR="00ED230F" w:rsidRDefault="00ED230F" w:rsidP="00ED23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634AA"/>
    <w:rsid w:val="000A4935"/>
    <w:rsid w:val="000A4A80"/>
    <w:rsid w:val="00117292"/>
    <w:rsid w:val="00200126"/>
    <w:rsid w:val="002979DA"/>
    <w:rsid w:val="002C3420"/>
    <w:rsid w:val="003A3E0C"/>
    <w:rsid w:val="00410BE5"/>
    <w:rsid w:val="0041346E"/>
    <w:rsid w:val="0046183B"/>
    <w:rsid w:val="004D2F0A"/>
    <w:rsid w:val="00567707"/>
    <w:rsid w:val="005A15FD"/>
    <w:rsid w:val="006235F2"/>
    <w:rsid w:val="00640B04"/>
    <w:rsid w:val="00664B4D"/>
    <w:rsid w:val="006B4D78"/>
    <w:rsid w:val="006D4040"/>
    <w:rsid w:val="006E5FB5"/>
    <w:rsid w:val="006F60AB"/>
    <w:rsid w:val="007D67A9"/>
    <w:rsid w:val="007F4CA6"/>
    <w:rsid w:val="00811879"/>
    <w:rsid w:val="00811A82"/>
    <w:rsid w:val="00817519"/>
    <w:rsid w:val="008267FD"/>
    <w:rsid w:val="00863AB5"/>
    <w:rsid w:val="009366BC"/>
    <w:rsid w:val="00954EB9"/>
    <w:rsid w:val="009634AA"/>
    <w:rsid w:val="009D2114"/>
    <w:rsid w:val="00A14504"/>
    <w:rsid w:val="00A619D8"/>
    <w:rsid w:val="00A748F6"/>
    <w:rsid w:val="00AD4A92"/>
    <w:rsid w:val="00B35081"/>
    <w:rsid w:val="00BB68FD"/>
    <w:rsid w:val="00C528A8"/>
    <w:rsid w:val="00D16C01"/>
    <w:rsid w:val="00D36E1F"/>
    <w:rsid w:val="00D913D9"/>
    <w:rsid w:val="00D91B9D"/>
    <w:rsid w:val="00D95975"/>
    <w:rsid w:val="00DD0581"/>
    <w:rsid w:val="00ED230F"/>
    <w:rsid w:val="00F4595B"/>
    <w:rsid w:val="00F95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34A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9634AA"/>
    <w:rPr>
      <w:rFonts w:eastAsiaTheme="minorEastAsia"/>
      <w:lang w:val="en-US" w:eastAsia="ja-JP"/>
    </w:rPr>
  </w:style>
  <w:style w:type="paragraph" w:styleId="BalloonText">
    <w:name w:val="Balloon Text"/>
    <w:basedOn w:val="Normal"/>
    <w:link w:val="BalloonTextChar"/>
    <w:uiPriority w:val="99"/>
    <w:semiHidden/>
    <w:unhideWhenUsed/>
    <w:rsid w:val="009634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34AA"/>
    <w:rPr>
      <w:rFonts w:ascii="Tahoma" w:hAnsi="Tahoma" w:cs="Tahoma"/>
      <w:sz w:val="16"/>
      <w:szCs w:val="16"/>
    </w:rPr>
  </w:style>
  <w:style w:type="paragraph" w:styleId="Header">
    <w:name w:val="header"/>
    <w:basedOn w:val="Normal"/>
    <w:link w:val="HeaderChar"/>
    <w:uiPriority w:val="99"/>
    <w:unhideWhenUsed/>
    <w:rsid w:val="00ED23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30F"/>
  </w:style>
  <w:style w:type="paragraph" w:styleId="Footer">
    <w:name w:val="footer"/>
    <w:basedOn w:val="Normal"/>
    <w:link w:val="FooterChar"/>
    <w:uiPriority w:val="99"/>
    <w:unhideWhenUsed/>
    <w:rsid w:val="00ED23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30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34A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9634AA"/>
    <w:rPr>
      <w:rFonts w:eastAsiaTheme="minorEastAsia"/>
      <w:lang w:val="en-US" w:eastAsia="ja-JP"/>
    </w:rPr>
  </w:style>
  <w:style w:type="paragraph" w:styleId="BalloonText">
    <w:name w:val="Balloon Text"/>
    <w:basedOn w:val="Normal"/>
    <w:link w:val="BalloonTextChar"/>
    <w:uiPriority w:val="99"/>
    <w:semiHidden/>
    <w:unhideWhenUsed/>
    <w:rsid w:val="009634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34AA"/>
    <w:rPr>
      <w:rFonts w:ascii="Tahoma" w:hAnsi="Tahoma" w:cs="Tahoma"/>
      <w:sz w:val="16"/>
      <w:szCs w:val="16"/>
    </w:rPr>
  </w:style>
  <w:style w:type="paragraph" w:styleId="Header">
    <w:name w:val="header"/>
    <w:basedOn w:val="Normal"/>
    <w:link w:val="HeaderChar"/>
    <w:uiPriority w:val="99"/>
    <w:unhideWhenUsed/>
    <w:rsid w:val="00ED23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30F"/>
  </w:style>
  <w:style w:type="paragraph" w:styleId="Footer">
    <w:name w:val="footer"/>
    <w:basedOn w:val="Normal"/>
    <w:link w:val="FooterChar"/>
    <w:uiPriority w:val="99"/>
    <w:unhideWhenUsed/>
    <w:rsid w:val="00ED23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3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37D403EACFEB4C8D907B4BCD9E86A1B6"/>
        <w:category>
          <w:name w:val="General"/>
          <w:gallery w:val="placeholder"/>
        </w:category>
        <w:types>
          <w:type w:val="bbPlcHdr"/>
        </w:types>
        <w:behaviors>
          <w:behavior w:val="content"/>
        </w:behaviors>
        <w:guid w:val="{4F03451D-7823-42F5-A30A-07BD233E3C0F}"/>
      </w:docPartPr>
      <w:docPartBody>
        <w:p w:rsidR="00000000" w:rsidRDefault="007A6AE4" w:rsidP="007A6AE4">
          <w:pPr>
            <w:pStyle w:val="37D403EACFEB4C8D907B4BCD9E86A1B6"/>
          </w:pPr>
          <w:r>
            <w:rPr>
              <w:rFonts w:asciiTheme="majorHAnsi" w:eastAsiaTheme="majorEastAsia" w:hAnsiTheme="majorHAnsi" w:cstheme="majorBidi"/>
              <w:sz w:val="80"/>
              <w:szCs w:val="80"/>
            </w:rPr>
            <w:t>[Type the document title]</w:t>
          </w:r>
        </w:p>
      </w:docPartBody>
    </w:docPart>
    <w:docPart>
      <w:docPartPr>
        <w:name w:val="950B926B99DF4A6FBCFDA72C700FCBA0"/>
        <w:category>
          <w:name w:val="General"/>
          <w:gallery w:val="placeholder"/>
        </w:category>
        <w:types>
          <w:type w:val="bbPlcHdr"/>
        </w:types>
        <w:behaviors>
          <w:behavior w:val="content"/>
        </w:behaviors>
        <w:guid w:val="{5BD05B56-4FB4-424F-83FE-807DA950EE78}"/>
      </w:docPartPr>
      <w:docPartBody>
        <w:p w:rsidR="00000000" w:rsidRDefault="007A6AE4" w:rsidP="007A6AE4">
          <w:pPr>
            <w:pStyle w:val="950B926B99DF4A6FBCFDA72C700FCBA0"/>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6AE4"/>
    <w:rsid w:val="007A6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FB869B2DFD495C9263CDA7479F5DD2">
    <w:name w:val="E0FB869B2DFD495C9263CDA7479F5DD2"/>
    <w:rsid w:val="007A6AE4"/>
  </w:style>
  <w:style w:type="paragraph" w:customStyle="1" w:styleId="37D403EACFEB4C8D907B4BCD9E86A1B6">
    <w:name w:val="37D403EACFEB4C8D907B4BCD9E86A1B6"/>
    <w:rsid w:val="007A6AE4"/>
  </w:style>
  <w:style w:type="paragraph" w:customStyle="1" w:styleId="950B926B99DF4A6FBCFDA72C700FCBA0">
    <w:name w:val="950B926B99DF4A6FBCFDA72C700FCBA0"/>
    <w:rsid w:val="007A6AE4"/>
  </w:style>
  <w:style w:type="paragraph" w:customStyle="1" w:styleId="3C05745252694685AE60FDB337C7538B">
    <w:name w:val="3C05745252694685AE60FDB337C7538B"/>
    <w:rsid w:val="007A6AE4"/>
  </w:style>
  <w:style w:type="paragraph" w:customStyle="1" w:styleId="362C0896390C483CA48DF505A85DD5C7">
    <w:name w:val="362C0896390C483CA48DF505A85DD5C7"/>
    <w:rsid w:val="007A6AE4"/>
  </w:style>
  <w:style w:type="paragraph" w:customStyle="1" w:styleId="363A0823CAEA40A49DF3A89DA3B1EB91">
    <w:name w:val="363A0823CAEA40A49DF3A89DA3B1EB91"/>
    <w:rsid w:val="007A6AE4"/>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FB869B2DFD495C9263CDA7479F5DD2">
    <w:name w:val="E0FB869B2DFD495C9263CDA7479F5DD2"/>
    <w:rsid w:val="007A6AE4"/>
  </w:style>
  <w:style w:type="paragraph" w:customStyle="1" w:styleId="37D403EACFEB4C8D907B4BCD9E86A1B6">
    <w:name w:val="37D403EACFEB4C8D907B4BCD9E86A1B6"/>
    <w:rsid w:val="007A6AE4"/>
  </w:style>
  <w:style w:type="paragraph" w:customStyle="1" w:styleId="950B926B99DF4A6FBCFDA72C700FCBA0">
    <w:name w:val="950B926B99DF4A6FBCFDA72C700FCBA0"/>
    <w:rsid w:val="007A6AE4"/>
  </w:style>
  <w:style w:type="paragraph" w:customStyle="1" w:styleId="3C05745252694685AE60FDB337C7538B">
    <w:name w:val="3C05745252694685AE60FDB337C7538B"/>
    <w:rsid w:val="007A6AE4"/>
  </w:style>
  <w:style w:type="paragraph" w:customStyle="1" w:styleId="362C0896390C483CA48DF505A85DD5C7">
    <w:name w:val="362C0896390C483CA48DF505A85DD5C7"/>
    <w:rsid w:val="007A6AE4"/>
  </w:style>
  <w:style w:type="paragraph" w:customStyle="1" w:styleId="363A0823CAEA40A49DF3A89DA3B1EB91">
    <w:name w:val="363A0823CAEA40A49DF3A89DA3B1EB91"/>
    <w:rsid w:val="007A6A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88</TotalTime>
  <Pages>5</Pages>
  <Words>1352</Words>
  <Characters>7713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Operational Policing-Exam</vt:lpstr>
    </vt:vector>
  </TitlesOfParts>
  <Company/>
  <LinksUpToDate>false</LinksUpToDate>
  <CharactersWithSpaces>9047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Policing-Exam</dc:title>
  <dc:subject>Ben Evans-1801275</dc:subject>
  <dc:creator>chloe evans</dc:creator>
  <cp:lastModifiedBy>chloe evans</cp:lastModifiedBy>
  <cp:revision>43</cp:revision>
  <dcterms:created xsi:type="dcterms:W3CDTF">2021-03-09T14:44:00Z</dcterms:created>
  <dcterms:modified xsi:type="dcterms:W3CDTF">2021-03-09T16:27:00Z</dcterms:modified>
</cp:coreProperties>
</file>