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D382C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58197B4E" wp14:editId="649C4277">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7948453B"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3D2F63AC"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8197B4E"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7948453B"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3D2F63AC"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9AEB4FB" wp14:editId="1E61F4A7">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1746FBA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9315D0F"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9AEB4FB"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1746FBAA"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19315D0F"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074DF022"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2EF35AA0" wp14:editId="48E86931">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878D0C8" w14:textId="77777777" w:rsidR="00530E16" w:rsidRDefault="004468F8">
                            <w:pPr>
                              <w:spacing w:after="0" w:line="240" w:lineRule="auto"/>
                              <w:textDirection w:val="btLr"/>
                            </w:pPr>
                            <w:r>
                              <w:rPr>
                                <w:rFonts w:ascii="Play" w:eastAsia="Play" w:hAnsi="Play" w:cs="Play"/>
                                <w:color w:val="262626"/>
                                <w:sz w:val="72"/>
                              </w:rPr>
                              <w:t>Individual Report</w:t>
                            </w:r>
                          </w:p>
                          <w:p w14:paraId="5DEE5B00" w14:textId="77777777" w:rsidR="00530E16" w:rsidRDefault="004468F8">
                            <w:pPr>
                              <w:spacing w:before="120" w:line="277" w:lineRule="auto"/>
                              <w:textDirection w:val="btLr"/>
                            </w:pPr>
                            <w:r>
                              <w:rPr>
                                <w:color w:val="404040"/>
                                <w:sz w:val="36"/>
                              </w:rPr>
                              <w:t>Module Name: Digital Skills and Research Methods</w:t>
                            </w:r>
                          </w:p>
                          <w:p w14:paraId="1C2600BE" w14:textId="77777777" w:rsidR="00530E16" w:rsidRDefault="004468F8">
                            <w:pPr>
                              <w:spacing w:before="120" w:line="277" w:lineRule="auto"/>
                              <w:textDirection w:val="btLr"/>
                            </w:pPr>
                            <w:r>
                              <w:rPr>
                                <w:color w:val="404040"/>
                                <w:sz w:val="36"/>
                              </w:rPr>
                              <w:t>Module Code: LCHS 4007</w:t>
                            </w:r>
                          </w:p>
                          <w:p w14:paraId="78F74885" w14:textId="6F744C1B" w:rsidR="00530E16" w:rsidRDefault="004468F8">
                            <w:pPr>
                              <w:spacing w:before="120" w:line="277" w:lineRule="auto"/>
                              <w:textDirection w:val="btLr"/>
                            </w:pPr>
                            <w:r>
                              <w:rPr>
                                <w:color w:val="404040"/>
                                <w:sz w:val="36"/>
                              </w:rPr>
                              <w:t xml:space="preserve">Student name: </w:t>
                            </w:r>
                            <w:r w:rsidR="00E92237">
                              <w:rPr>
                                <w:color w:val="404040"/>
                                <w:sz w:val="36"/>
                              </w:rPr>
                              <w:t xml:space="preserve"> Fatha Yusuf</w:t>
                            </w:r>
                          </w:p>
                          <w:p w14:paraId="41A60BCE" w14:textId="59C42582" w:rsidR="00530E16" w:rsidRDefault="004468F8">
                            <w:pPr>
                              <w:spacing w:before="120" w:line="277" w:lineRule="auto"/>
                              <w:textDirection w:val="btLr"/>
                            </w:pPr>
                            <w:r>
                              <w:rPr>
                                <w:color w:val="404040"/>
                                <w:sz w:val="36"/>
                              </w:rPr>
                              <w:t>Student ID:</w:t>
                            </w:r>
                            <w:r w:rsidR="00E92237">
                              <w:rPr>
                                <w:color w:val="404040"/>
                                <w:sz w:val="36"/>
                              </w:rPr>
                              <w:t xml:space="preserve">  </w:t>
                            </w:r>
                            <w:r w:rsidR="00AE5E92">
                              <w:rPr>
                                <w:color w:val="404040"/>
                                <w:sz w:val="36"/>
                              </w:rPr>
                              <w:t>2436088</w:t>
                            </w:r>
                          </w:p>
                          <w:p w14:paraId="1A1FB07C" w14:textId="59E44C4E" w:rsidR="00530E16" w:rsidRDefault="004468F8">
                            <w:pPr>
                              <w:spacing w:before="120" w:line="277" w:lineRule="auto"/>
                              <w:textDirection w:val="btLr"/>
                            </w:pPr>
                            <w:r>
                              <w:rPr>
                                <w:color w:val="404040"/>
                                <w:sz w:val="36"/>
                              </w:rPr>
                              <w:t xml:space="preserve">Lecturer’s Name: </w:t>
                            </w:r>
                            <w:r w:rsidR="00AE5E92">
                              <w:rPr>
                                <w:color w:val="404040"/>
                                <w:sz w:val="36"/>
                              </w:rPr>
                              <w:t xml:space="preserve"> Mr. </w:t>
                            </w:r>
                            <w:r w:rsidR="00AE5E92" w:rsidRPr="00AE5E92">
                              <w:rPr>
                                <w:color w:val="404040"/>
                                <w:sz w:val="36"/>
                              </w:rPr>
                              <w:t xml:space="preserve">Kwame </w:t>
                            </w:r>
                            <w:r w:rsidR="00AE5E92" w:rsidRPr="00AE5E92">
                              <w:rPr>
                                <w:color w:val="404040"/>
                                <w:sz w:val="36"/>
                              </w:rPr>
                              <w:t>Assa-Agyei</w:t>
                            </w:r>
                          </w:p>
                        </w:txbxContent>
                      </wps:txbx>
                      <wps:bodyPr spcFirstLastPara="1" wrap="square" lIns="0" tIns="0" rIns="0" bIns="0" anchor="t" anchorCtr="0">
                        <a:noAutofit/>
                      </wps:bodyPr>
                    </wps:wsp>
                  </a:graphicData>
                </a:graphic>
              </wp:anchor>
            </w:drawing>
          </mc:Choice>
          <mc:Fallback>
            <w:pict>
              <v:rect w14:anchorId="2EF35AA0"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4878D0C8" w14:textId="77777777" w:rsidR="00530E16" w:rsidRDefault="004468F8">
                      <w:pPr>
                        <w:spacing w:after="0" w:line="240" w:lineRule="auto"/>
                        <w:textDirection w:val="btLr"/>
                      </w:pPr>
                      <w:r>
                        <w:rPr>
                          <w:rFonts w:ascii="Play" w:eastAsia="Play" w:hAnsi="Play" w:cs="Play"/>
                          <w:color w:val="262626"/>
                          <w:sz w:val="72"/>
                        </w:rPr>
                        <w:t>Individual Report</w:t>
                      </w:r>
                    </w:p>
                    <w:p w14:paraId="5DEE5B00" w14:textId="77777777" w:rsidR="00530E16" w:rsidRDefault="004468F8">
                      <w:pPr>
                        <w:spacing w:before="120" w:line="277" w:lineRule="auto"/>
                        <w:textDirection w:val="btLr"/>
                      </w:pPr>
                      <w:r>
                        <w:rPr>
                          <w:color w:val="404040"/>
                          <w:sz w:val="36"/>
                        </w:rPr>
                        <w:t>Module Name: Digital Skills and Research Methods</w:t>
                      </w:r>
                    </w:p>
                    <w:p w14:paraId="1C2600BE" w14:textId="77777777" w:rsidR="00530E16" w:rsidRDefault="004468F8">
                      <w:pPr>
                        <w:spacing w:before="120" w:line="277" w:lineRule="auto"/>
                        <w:textDirection w:val="btLr"/>
                      </w:pPr>
                      <w:r>
                        <w:rPr>
                          <w:color w:val="404040"/>
                          <w:sz w:val="36"/>
                        </w:rPr>
                        <w:t>Module Code: LCHS 4007</w:t>
                      </w:r>
                    </w:p>
                    <w:p w14:paraId="78F74885" w14:textId="6F744C1B" w:rsidR="00530E16" w:rsidRDefault="004468F8">
                      <w:pPr>
                        <w:spacing w:before="120" w:line="277" w:lineRule="auto"/>
                        <w:textDirection w:val="btLr"/>
                      </w:pPr>
                      <w:r>
                        <w:rPr>
                          <w:color w:val="404040"/>
                          <w:sz w:val="36"/>
                        </w:rPr>
                        <w:t xml:space="preserve">Student name: </w:t>
                      </w:r>
                      <w:r w:rsidR="00E92237">
                        <w:rPr>
                          <w:color w:val="404040"/>
                          <w:sz w:val="36"/>
                        </w:rPr>
                        <w:t xml:space="preserve"> Fatha Yusuf</w:t>
                      </w:r>
                    </w:p>
                    <w:p w14:paraId="41A60BCE" w14:textId="59C42582" w:rsidR="00530E16" w:rsidRDefault="004468F8">
                      <w:pPr>
                        <w:spacing w:before="120" w:line="277" w:lineRule="auto"/>
                        <w:textDirection w:val="btLr"/>
                      </w:pPr>
                      <w:r>
                        <w:rPr>
                          <w:color w:val="404040"/>
                          <w:sz w:val="36"/>
                        </w:rPr>
                        <w:t>Student ID:</w:t>
                      </w:r>
                      <w:r w:rsidR="00E92237">
                        <w:rPr>
                          <w:color w:val="404040"/>
                          <w:sz w:val="36"/>
                        </w:rPr>
                        <w:t xml:space="preserve">  </w:t>
                      </w:r>
                      <w:r w:rsidR="00AE5E92">
                        <w:rPr>
                          <w:color w:val="404040"/>
                          <w:sz w:val="36"/>
                        </w:rPr>
                        <w:t>2436088</w:t>
                      </w:r>
                    </w:p>
                    <w:p w14:paraId="1A1FB07C" w14:textId="59E44C4E" w:rsidR="00530E16" w:rsidRDefault="004468F8">
                      <w:pPr>
                        <w:spacing w:before="120" w:line="277" w:lineRule="auto"/>
                        <w:textDirection w:val="btLr"/>
                      </w:pPr>
                      <w:r>
                        <w:rPr>
                          <w:color w:val="404040"/>
                          <w:sz w:val="36"/>
                        </w:rPr>
                        <w:t xml:space="preserve">Lecturer’s Name: </w:t>
                      </w:r>
                      <w:r w:rsidR="00AE5E92">
                        <w:rPr>
                          <w:color w:val="404040"/>
                          <w:sz w:val="36"/>
                        </w:rPr>
                        <w:t xml:space="preserve"> Mr. </w:t>
                      </w:r>
                      <w:r w:rsidR="00AE5E92" w:rsidRPr="00AE5E92">
                        <w:rPr>
                          <w:color w:val="404040"/>
                          <w:sz w:val="36"/>
                        </w:rPr>
                        <w:t xml:space="preserve">Kwame </w:t>
                      </w:r>
                      <w:r w:rsidR="00AE5E92" w:rsidRPr="00AE5E92">
                        <w:rPr>
                          <w:color w:val="404040"/>
                          <w:sz w:val="36"/>
                        </w:rPr>
                        <w:t>Assa-Agyei</w:t>
                      </w:r>
                    </w:p>
                  </w:txbxContent>
                </v:textbox>
                <w10:wrap anchorx="page" anchory="page"/>
              </v:rect>
            </w:pict>
          </mc:Fallback>
        </mc:AlternateContent>
      </w:r>
      <w:r>
        <w:br w:type="page"/>
      </w:r>
    </w:p>
    <w:p w14:paraId="5401ECEB" w14:textId="77777777" w:rsidR="00530E16" w:rsidRDefault="00530E16">
      <w:pPr>
        <w:rPr>
          <w:rFonts w:ascii="Arial" w:eastAsia="Arial" w:hAnsi="Arial" w:cs="Arial"/>
        </w:rPr>
      </w:pPr>
    </w:p>
    <w:p w14:paraId="68EAD66A"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1430965F" w14:textId="77777777"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Research Topic: &lt;Insert Research Topic Here&gt;</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270589A3"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1A7E04DD"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6F8D532C"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1BBCA45D"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2EFA547C"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w14:paraId="5487E493"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14:paraId="7C58B8D6"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w14:paraId="72B7D6FC"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w14:paraId="11BF7B75"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14:paraId="79EFFF5B"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14:paraId="07244DAF"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16C4DD5C"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196CE166" w14:textId="77777777" w:rsidR="00530E16" w:rsidRPr="00CF650B" w:rsidRDefault="004468F8">
          <w:r>
            <w:fldChar w:fldCharType="end"/>
          </w:r>
        </w:p>
      </w:sdtContent>
    </w:sdt>
    <w:p w14:paraId="010FCAC5" w14:textId="77777777" w:rsidR="00530E16" w:rsidRDefault="00530E16">
      <w:pPr>
        <w:rPr>
          <w:rFonts w:ascii="Arial" w:eastAsia="Arial" w:hAnsi="Arial" w:cs="Arial"/>
        </w:rPr>
      </w:pPr>
    </w:p>
    <w:p w14:paraId="55E28A55" w14:textId="77777777" w:rsidR="00530E16" w:rsidRDefault="00530E16">
      <w:pPr>
        <w:rPr>
          <w:rFonts w:ascii="Arial" w:eastAsia="Arial" w:hAnsi="Arial" w:cs="Arial"/>
        </w:rPr>
      </w:pPr>
    </w:p>
    <w:p w14:paraId="6EE1C382" w14:textId="77777777" w:rsidR="00530E16" w:rsidRDefault="00530E16">
      <w:pPr>
        <w:rPr>
          <w:rFonts w:ascii="Arial" w:eastAsia="Arial" w:hAnsi="Arial" w:cs="Arial"/>
        </w:rPr>
      </w:pPr>
    </w:p>
    <w:p w14:paraId="6616355B" w14:textId="77777777" w:rsidR="00530E16" w:rsidRDefault="00530E16">
      <w:pPr>
        <w:rPr>
          <w:rFonts w:ascii="Arial" w:eastAsia="Arial" w:hAnsi="Arial" w:cs="Arial"/>
        </w:rPr>
      </w:pPr>
    </w:p>
    <w:p w14:paraId="7D09C9E2" w14:textId="77777777" w:rsidR="00530E16" w:rsidRDefault="00530E16">
      <w:pPr>
        <w:rPr>
          <w:rFonts w:ascii="Arial" w:eastAsia="Arial" w:hAnsi="Arial" w:cs="Arial"/>
        </w:rPr>
      </w:pPr>
    </w:p>
    <w:p w14:paraId="7B92DD88" w14:textId="77777777" w:rsidR="00530E16" w:rsidRDefault="00530E16">
      <w:pPr>
        <w:rPr>
          <w:rFonts w:ascii="Arial" w:eastAsia="Arial" w:hAnsi="Arial" w:cs="Arial"/>
        </w:rPr>
      </w:pPr>
    </w:p>
    <w:p w14:paraId="4C49A31E" w14:textId="77777777" w:rsidR="00530E16" w:rsidRDefault="00530E16">
      <w:pPr>
        <w:rPr>
          <w:rFonts w:ascii="Arial" w:eastAsia="Arial" w:hAnsi="Arial" w:cs="Arial"/>
        </w:rPr>
      </w:pPr>
    </w:p>
    <w:p w14:paraId="4003815A" w14:textId="77777777" w:rsidR="00530E16" w:rsidRDefault="00530E16">
      <w:pPr>
        <w:rPr>
          <w:rFonts w:ascii="Arial" w:eastAsia="Arial" w:hAnsi="Arial" w:cs="Arial"/>
        </w:rPr>
      </w:pPr>
    </w:p>
    <w:p w14:paraId="61863029" w14:textId="77777777" w:rsidR="00530E16" w:rsidRDefault="00530E16">
      <w:pPr>
        <w:rPr>
          <w:rFonts w:ascii="Arial" w:eastAsia="Arial" w:hAnsi="Arial" w:cs="Arial"/>
        </w:rPr>
      </w:pPr>
    </w:p>
    <w:p w14:paraId="73F28642" w14:textId="77777777" w:rsidR="00530E16" w:rsidRDefault="00530E16">
      <w:pPr>
        <w:rPr>
          <w:rFonts w:ascii="Arial" w:eastAsia="Arial" w:hAnsi="Arial" w:cs="Arial"/>
        </w:rPr>
      </w:pPr>
    </w:p>
    <w:p w14:paraId="3A158B5C" w14:textId="77777777" w:rsidR="00530E16" w:rsidRDefault="00530E16">
      <w:pPr>
        <w:rPr>
          <w:rFonts w:ascii="Arial" w:eastAsia="Arial" w:hAnsi="Arial" w:cs="Arial"/>
        </w:rPr>
      </w:pPr>
    </w:p>
    <w:p w14:paraId="67902C26" w14:textId="77777777" w:rsidR="00530E16" w:rsidRDefault="00530E16">
      <w:pPr>
        <w:rPr>
          <w:rFonts w:ascii="Arial" w:eastAsia="Arial" w:hAnsi="Arial" w:cs="Arial"/>
        </w:rPr>
      </w:pPr>
    </w:p>
    <w:p w14:paraId="20FAA4F1" w14:textId="77777777" w:rsidR="00530E16" w:rsidRDefault="00530E16">
      <w:pPr>
        <w:rPr>
          <w:rFonts w:ascii="Arial" w:eastAsia="Arial" w:hAnsi="Arial" w:cs="Arial"/>
        </w:rPr>
      </w:pPr>
    </w:p>
    <w:p w14:paraId="4A96840C" w14:textId="77777777" w:rsidR="00530E16" w:rsidRDefault="00530E16">
      <w:pPr>
        <w:rPr>
          <w:rFonts w:ascii="Arial" w:eastAsia="Arial" w:hAnsi="Arial" w:cs="Arial"/>
        </w:rPr>
      </w:pPr>
    </w:p>
    <w:p w14:paraId="0B5499AD"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4798491B" w14:textId="77777777" w:rsidR="00530E16" w:rsidRDefault="00530E16">
      <w:pPr>
        <w:rPr>
          <w:rFonts w:ascii="Arial" w:eastAsia="Arial" w:hAnsi="Arial" w:cs="Arial"/>
        </w:rPr>
      </w:pPr>
    </w:p>
    <w:p w14:paraId="383960AF" w14:textId="77777777" w:rsidR="00530E16" w:rsidRDefault="004468F8">
      <w:pPr>
        <w:pStyle w:val="Heading1"/>
      </w:pPr>
      <w:bookmarkStart w:id="0" w:name="_Toc213674530"/>
      <w:r>
        <w:t>Research Topic: &lt;Insert Research Topic Here&gt;</w:t>
      </w:r>
      <w:bookmarkEnd w:id="0"/>
    </w:p>
    <w:p w14:paraId="0C3EE52E" w14:textId="77777777" w:rsidR="00530E16" w:rsidRPr="004468F8" w:rsidRDefault="00BA0043">
      <w:pPr>
        <w:pStyle w:val="Heading1"/>
        <w:rPr>
          <w:sz w:val="32"/>
          <w:szCs w:val="32"/>
        </w:rPr>
      </w:pPr>
      <w:bookmarkStart w:id="1" w:name="_Toc213674531"/>
      <w:r>
        <w:rPr>
          <w:sz w:val="32"/>
          <w:szCs w:val="32"/>
        </w:rPr>
        <w:t>Introduction</w:t>
      </w:r>
      <w:bookmarkEnd w:id="1"/>
    </w:p>
    <w:p w14:paraId="42CA55E0" w14:textId="2D6FF265" w:rsidR="004468F8" w:rsidRPr="00E92237" w:rsidRDefault="00E92237" w:rsidP="004468F8">
      <w:r w:rsidRPr="00E92237">
        <w:t>Hidden disabilities in children, such as Attention-Deficit/Hyperactivity Disorder (ADHD), autism spectrum conditions, dyslexia and other neurodevelopmental differences, are increasingly recognised within health, education and social care systems. These conditions are often not immediately visible and may be misunderstood as behavioural problems, lack of effort, or poor parenting rather than genuine disability-related needs. This research aims to explore how hidden disabilities affect children’s daily experiences, particularly in educational settings, and how a lack of awareness or support can impact their wellbeing, learning outcomes and social participation. The scope of the study focuses on school-age children and examines the intersection between diagnosis, support, stigma and inclusion.</w:t>
      </w:r>
    </w:p>
    <w:p w14:paraId="674D4625" w14:textId="77777777" w:rsidR="004468F8" w:rsidRDefault="004468F8" w:rsidP="004468F8"/>
    <w:p w14:paraId="1A88D621" w14:textId="77777777" w:rsidR="004468F8" w:rsidRDefault="004468F8" w:rsidP="004468F8"/>
    <w:p w14:paraId="0E8B7DEB" w14:textId="77777777" w:rsidR="004468F8" w:rsidRDefault="004468F8" w:rsidP="004468F8"/>
    <w:p w14:paraId="186A5041" w14:textId="77777777" w:rsidR="004468F8" w:rsidRDefault="004468F8" w:rsidP="004468F8"/>
    <w:p w14:paraId="419583B6" w14:textId="77777777" w:rsidR="00530E16" w:rsidRDefault="004468F8">
      <w:pPr>
        <w:pStyle w:val="Heading2"/>
        <w:jc w:val="both"/>
      </w:pPr>
      <w:bookmarkStart w:id="2" w:name="_Toc213674532"/>
      <w:r>
        <w:t>Problem Statement</w:t>
      </w:r>
      <w:bookmarkEnd w:id="2"/>
    </w:p>
    <w:p w14:paraId="0B4E5D1C" w14:textId="3310FFAF" w:rsidR="00D62A9C" w:rsidRPr="00E92237" w:rsidRDefault="00E92237" w:rsidP="004468F8">
      <w:pPr>
        <w:rPr>
          <w:sz w:val="28"/>
          <w:szCs w:val="28"/>
        </w:rPr>
      </w:pPr>
      <w:r w:rsidRPr="00E92237">
        <w:rPr>
          <w:rFonts w:ascii="Arial" w:hAnsi="Arial" w:cs="Arial"/>
        </w:rPr>
        <w:t>A key problem in the health and social care sector, especially in education and child services, is that many children with hidden disabilities remain undiagnosed, misdiagnosed or inadequately supported for long periods. ADHD, autism spectrum conditions and other neurodevelopmental differences are common, yet many children face long waiting times for assessment, inconsistent access to specialist support and environments that do not accommodate their needs. Recent UK data show significant delays in neurodevelopmental diagnoses, with many children waiting years before receiving formal recognition of autism or ADHD, which can postpone crucial interventions and adjustments in school and community life.</w:t>
      </w:r>
      <w:r>
        <w:rPr>
          <w:rFonts w:ascii="Arial" w:hAnsi="Arial" w:cs="Arial"/>
        </w:rPr>
        <w:t>(</w:t>
      </w:r>
      <w:hyperlink r:id="rId10" w:tgtFrame="_blank" w:history="1">
        <w:r w:rsidRPr="00E92237">
          <w:rPr>
            <w:rStyle w:val="Hyperlink"/>
            <w:rFonts w:ascii="Arial" w:hAnsi="Arial" w:cs="Arial"/>
            <w:color w:val="auto"/>
          </w:rPr>
          <w:t>assets.childrenscommissioner.gov.uk+1</w:t>
        </w:r>
      </w:hyperlink>
      <w:r>
        <w:rPr>
          <w:rFonts w:ascii="Arial" w:hAnsi="Arial" w:cs="Arial"/>
        </w:rPr>
        <w:t>)</w:t>
      </w:r>
      <w:r w:rsidRPr="00E92237">
        <w:rPr>
          <w:rFonts w:ascii="Arial" w:hAnsi="Arial" w:cs="Arial"/>
        </w:rPr>
        <w:t xml:space="preserve"> This issue affects multiple stakeholders: children experience distress, anxiety and exclusion; parents and carers are left to navigate complex systems; teachers struggle to meet diverse needs without adequate training or resources; and services face pressure to meet statutory duties under special educational needs and disability frameworks. As a result, hidden disabilities can contribute to school anxiety, non-attendance and, for some children, an increased risk of exclusion or contact with youth justice systems.</w:t>
      </w:r>
      <w:r>
        <w:rPr>
          <w:rFonts w:ascii="Arial" w:hAnsi="Arial" w:cs="Arial"/>
        </w:rPr>
        <w:t xml:space="preserve"> (</w:t>
      </w:r>
      <w:hyperlink r:id="rId11" w:tgtFrame="_blank" w:history="1">
        <w:r w:rsidRPr="00E92237">
          <w:rPr>
            <w:rStyle w:val="Hyperlink"/>
            <w:rFonts w:ascii="Arial" w:hAnsi="Arial" w:cs="Arial"/>
            <w:color w:val="auto"/>
          </w:rPr>
          <w:t>Taylor &amp; Francis Online+1</w:t>
        </w:r>
      </w:hyperlink>
      <w:r>
        <w:rPr>
          <w:rFonts w:ascii="Arial" w:hAnsi="Arial" w:cs="Arial"/>
        </w:rPr>
        <w:t>)</w:t>
      </w:r>
    </w:p>
    <w:p w14:paraId="5856B025" w14:textId="77777777" w:rsidR="004468F8" w:rsidRDefault="004468F8" w:rsidP="004468F8"/>
    <w:p w14:paraId="10B06565" w14:textId="77777777" w:rsidR="004468F8" w:rsidRDefault="004468F8" w:rsidP="004468F8"/>
    <w:p w14:paraId="5A2E8106" w14:textId="77777777" w:rsidR="004468F8" w:rsidRPr="004468F8" w:rsidRDefault="004468F8" w:rsidP="004468F8"/>
    <w:p w14:paraId="451898E6" w14:textId="77777777" w:rsidR="00530E16" w:rsidRDefault="004468F8">
      <w:pPr>
        <w:pStyle w:val="Heading2"/>
        <w:jc w:val="both"/>
      </w:pPr>
      <w:bookmarkStart w:id="3" w:name="_Toc213674533"/>
      <w:r>
        <w:t>Justification</w:t>
      </w:r>
      <w:bookmarkEnd w:id="3"/>
    </w:p>
    <w:p w14:paraId="50AEC6D0" w14:textId="4E8D91B9" w:rsidR="004468F8" w:rsidRDefault="00E92237" w:rsidP="004468F8">
      <w:r w:rsidRPr="00E92237">
        <w:t>Research on hidden disabilities in children is essential because the consequences of late identification and insufficient support are far-reaching. Early and appropriate recognition of conditions such as ADHD is associated with better educational, social and health outcomes, while delayed diagnosis can lead to persistent difficulties, low self-esteem and poorer long-term trajectories.</w:t>
      </w:r>
      <w:r>
        <w:t>(</w:t>
      </w:r>
      <w:hyperlink r:id="rId12" w:tgtFrame="_blank" w:history="1">
        <w:r w:rsidRPr="00E92237">
          <w:rPr>
            <w:rStyle w:val="Hyperlink"/>
          </w:rPr>
          <w:t>CDC+1</w:t>
        </w:r>
      </w:hyperlink>
      <w:r>
        <w:t xml:space="preserve">) </w:t>
      </w:r>
      <w:r w:rsidRPr="00E92237">
        <w:t xml:space="preserve"> In the UK, policy documents and national strategies emphasise the importance of supporting neurodivergent children, yet evidence suggests that practice on the ground is inconsistent and many families feel that systems respond only when a crisis has occurred.</w:t>
      </w:r>
      <w:r>
        <w:t>(</w:t>
      </w:r>
      <w:hyperlink r:id="rId13" w:tgtFrame="_blank" w:history="1">
        <w:r w:rsidRPr="00E92237">
          <w:rPr>
            <w:rStyle w:val="Hyperlink"/>
          </w:rPr>
          <w:t>GOV.UK+1</w:t>
        </w:r>
      </w:hyperlink>
      <w:r>
        <w:t>)</w:t>
      </w:r>
      <w:r w:rsidRPr="00E92237">
        <w:t xml:space="preserve"> By focusing on hidden disabilities, this research can highlight gaps between policy intentions and lived experiences, identify barriers to inclusion and inform practical recommendations for schools, health professionals and social care providers. The topic is also justified by growing recognition of neurodiversity, which challenges deficit-based views and calls for environments that value different ways of thinking, learning and interacting.</w:t>
      </w:r>
      <w:r>
        <w:t>(</w:t>
      </w:r>
      <w:hyperlink r:id="rId14" w:tgtFrame="_blank" w:history="1">
        <w:r w:rsidRPr="00E92237">
          <w:rPr>
            <w:rStyle w:val="Hyperlink"/>
          </w:rPr>
          <w:t>ResearchGate+1</w:t>
        </w:r>
      </w:hyperlink>
      <w:r>
        <w:t>)</w:t>
      </w:r>
    </w:p>
    <w:p w14:paraId="5C0DF98B" w14:textId="77777777" w:rsidR="004468F8" w:rsidRDefault="004468F8" w:rsidP="004468F8"/>
    <w:p w14:paraId="1F2B3D7D" w14:textId="77777777" w:rsidR="004468F8" w:rsidRPr="004468F8" w:rsidRDefault="004468F8" w:rsidP="004468F8"/>
    <w:p w14:paraId="58E29EC7" w14:textId="77777777" w:rsidR="00530E16" w:rsidRDefault="004468F8">
      <w:pPr>
        <w:pStyle w:val="Heading2"/>
        <w:jc w:val="both"/>
      </w:pPr>
      <w:bookmarkStart w:id="4" w:name="_Toc213674534"/>
      <w:r>
        <w:t>Information Sources and Justification</w:t>
      </w:r>
      <w:bookmarkEnd w:id="4"/>
    </w:p>
    <w:p w14:paraId="4C8B730B" w14:textId="748CB249" w:rsidR="00172AD1" w:rsidRDefault="00E92237" w:rsidP="004468F8">
      <w:r w:rsidRPr="00E92237">
        <w:t>This research will use a combination of academic literature, official statistics, policy documents and research reports from recognised organisations. Peer-reviewed journal articles provide detailed evidence on issues such as school experiences of neurodivergent children, the impact of hidden disabilities on attendance and mental health, and the relationship between exclusion and unmet needs.</w:t>
      </w:r>
      <w:r>
        <w:t>(</w:t>
      </w:r>
      <w:hyperlink r:id="rId15" w:tgtFrame="_blank" w:history="1">
        <w:r w:rsidRPr="00E92237">
          <w:rPr>
            <w:rStyle w:val="Hyperlink"/>
          </w:rPr>
          <w:t>PMC+2SAGE Journals+2</w:t>
        </w:r>
      </w:hyperlink>
      <w:r>
        <w:t>)</w:t>
      </w:r>
      <w:r w:rsidRPr="00E92237">
        <w:t xml:space="preserve"> Government and parliamentary publications, including UK national strategies, parliamentary research briefings and reports from the Children’s Commissioner, offer up-to-date information on prevalence, waiting times for assessment and the effectiveness of support pathways.</w:t>
      </w:r>
      <w:r>
        <w:t>(</w:t>
      </w:r>
      <w:hyperlink r:id="rId16" w:tgtFrame="_blank" w:history="1">
        <w:r w:rsidRPr="00E92237">
          <w:rPr>
            <w:rStyle w:val="Hyperlink"/>
          </w:rPr>
          <w:t>GOV.UK+2Research Briefings+2</w:t>
        </w:r>
      </w:hyperlink>
      <w:r>
        <w:t>)</w:t>
      </w:r>
      <w:r w:rsidRPr="00E92237">
        <w:t xml:space="preserve"> Public health sources, such as the </w:t>
      </w:r>
      <w:r w:rsidRPr="00E92237">
        <w:t>Centre’s</w:t>
      </w:r>
      <w:r w:rsidRPr="00E92237">
        <w:t xml:space="preserve"> for Disease Control and Prevention, provide robust statistical data on ADHD prevalence trends and diagnostic patterns, which help to situate the UK experience within a wider international context.</w:t>
      </w:r>
      <w:r>
        <w:t xml:space="preserve"> (</w:t>
      </w:r>
      <w:hyperlink r:id="rId17" w:tgtFrame="_blank" w:history="1">
        <w:r w:rsidRPr="00E92237">
          <w:rPr>
            <w:rStyle w:val="Hyperlink"/>
          </w:rPr>
          <w:t>CDC</w:t>
        </w:r>
      </w:hyperlink>
      <w:r>
        <w:t>)</w:t>
      </w:r>
      <w:r w:rsidRPr="00E92237">
        <w:t xml:space="preserve"> These sources have been selected because they are recent (within the last five years), evidence-based and directly relevant to the research problem. Together, they support a balanced and credible analysis of hidden disabilities in children.</w:t>
      </w:r>
    </w:p>
    <w:p w14:paraId="1CC95DB1" w14:textId="77777777" w:rsidR="004468F8" w:rsidRPr="004468F8" w:rsidRDefault="004468F8" w:rsidP="004468F8">
      <w:pPr>
        <w:pStyle w:val="Heading1"/>
        <w:jc w:val="both"/>
      </w:pPr>
      <w:bookmarkStart w:id="5" w:name="_Toc213674535"/>
      <w:r w:rsidRPr="004468F8">
        <w:lastRenderedPageBreak/>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741C09F7" w14:textId="77777777" w:rsidR="004468F8" w:rsidRDefault="004468F8" w:rsidP="004468F8">
      <w:pPr>
        <w:pStyle w:val="Heading2"/>
        <w:jc w:val="both"/>
        <w:rPr>
          <w:rFonts w:eastAsia="Aptos" w:cs="Arial"/>
          <w:kern w:val="2"/>
          <w:lang w:eastAsia="en-US"/>
          <w14:ligatures w14:val="standardContextual"/>
        </w:rPr>
      </w:pPr>
      <w:bookmarkStart w:id="6" w:name="_Toc213674536"/>
      <w:r w:rsidRPr="004468F8">
        <w:rPr>
          <w:rFonts w:eastAsia="Aptos" w:cs="Arial"/>
          <w:kern w:val="2"/>
          <w:lang w:eastAsia="en-US"/>
          <w14:ligatures w14:val="standardContextual"/>
        </w:rPr>
        <w:t>Give a brief overview of quantitative and qualitative research.</w:t>
      </w:r>
      <w:bookmarkEnd w:id="6"/>
    </w:p>
    <w:p w14:paraId="72B7518C" w14:textId="710B765F" w:rsidR="00DB181C" w:rsidRPr="00E92237" w:rsidRDefault="00E92237" w:rsidP="00DB181C">
      <w:pPr>
        <w:rPr>
          <w:rFonts w:ascii="Arial" w:hAnsi="Arial" w:cs="Arial"/>
          <w:lang w:eastAsia="en-US"/>
        </w:rPr>
      </w:pPr>
      <w:r w:rsidRPr="00E92237">
        <w:rPr>
          <w:rFonts w:ascii="Arial" w:hAnsi="Arial" w:cs="Arial"/>
          <w:lang w:eastAsia="en-US"/>
        </w:rPr>
        <w:t>Quantitative research is an approach that focuses on collecting and analysing numerical data in a systematic and structured way. It often uses tools such as questionnaires with closed questions, standardised tests or large datasets to measure variables, compare groups and identify statistical relationships. The goal is usually to produce objective findings that can be generalised to larger populations. In contrast, qualitative research is concerned with understanding people’s experiences, views and meanings in depth. It uses methods such as interviews, focus groups and open-ended observations to explore how individuals interpret their situations. Rather than generating statistics, qualitative research produces rich, descriptive data that can reveal complex processes, emotions and social dynamics that are not easily captured in numerical form.</w:t>
      </w:r>
    </w:p>
    <w:p w14:paraId="7DC05BC5" w14:textId="77777777" w:rsidR="004468F8" w:rsidRDefault="004468F8" w:rsidP="004468F8">
      <w:pPr>
        <w:rPr>
          <w:lang w:eastAsia="en-US"/>
        </w:rPr>
      </w:pPr>
    </w:p>
    <w:p w14:paraId="578D94C5" w14:textId="77777777" w:rsidR="004468F8" w:rsidRDefault="004468F8" w:rsidP="004468F8">
      <w:pPr>
        <w:rPr>
          <w:lang w:eastAsia="en-US"/>
        </w:rPr>
      </w:pPr>
    </w:p>
    <w:p w14:paraId="6D911B50" w14:textId="77777777" w:rsidR="004468F8" w:rsidRDefault="004468F8" w:rsidP="004468F8">
      <w:pPr>
        <w:rPr>
          <w:lang w:eastAsia="en-US"/>
        </w:rPr>
      </w:pPr>
    </w:p>
    <w:p w14:paraId="72D1AC6B" w14:textId="77777777" w:rsidR="004468F8" w:rsidRPr="004468F8" w:rsidRDefault="004468F8" w:rsidP="004468F8">
      <w:pPr>
        <w:rPr>
          <w:lang w:eastAsia="en-US"/>
        </w:rPr>
      </w:pPr>
    </w:p>
    <w:p w14:paraId="70D0757C" w14:textId="77777777" w:rsidR="004468F8" w:rsidRPr="0070379F" w:rsidRDefault="004468F8" w:rsidP="004468F8">
      <w:pPr>
        <w:pStyle w:val="Heading2"/>
        <w:rPr>
          <w:rFonts w:eastAsia="Aptos"/>
          <w:b/>
          <w:bCs/>
          <w:lang w:eastAsia="en-US"/>
        </w:rPr>
      </w:pPr>
      <w:bookmarkStart w:id="7" w:name="_Toc213674537"/>
      <w:r w:rsidRPr="00A37C5B">
        <w:rPr>
          <w:rFonts w:eastAsia="Aptos"/>
          <w:lang w:eastAsia="en-US"/>
        </w:rPr>
        <w:t>What type of research methodology will you use for your research and why?</w:t>
      </w:r>
      <w:bookmarkEnd w:id="7"/>
    </w:p>
    <w:p w14:paraId="6AC5E67A" w14:textId="11018EE1" w:rsidR="004468F8" w:rsidRPr="004468F8" w:rsidRDefault="00E92237" w:rsidP="004468F8">
      <w:r w:rsidRPr="00E92237">
        <w:t>For this topic, a qualitative research methodology is the most appropriate choice. Hidden disabilities, by their nature, involve subjective experiences, identity, stigma and interactions within families, schools and services. Understanding how children, parents and professionals perceive conditions such as ADHD, and how they experience assessment processes, support and inclusion, requires detailed narrative data rather than simple numerical measures. Qualitative methods, such as analysis of existing interview-based studies or thematic reviews of qualitative literature, allow the researcher to explore nuanced issues like masking, school anxiety, feelings of being misunderstood and the impact of labelling.</w:t>
      </w:r>
      <w:r>
        <w:t xml:space="preserve"> (</w:t>
      </w:r>
      <w:hyperlink r:id="rId18" w:tgtFrame="_blank" w:history="1">
        <w:r w:rsidRPr="00E92237">
          <w:rPr>
            <w:rStyle w:val="Hyperlink"/>
          </w:rPr>
          <w:t>SAGE Journals+1</w:t>
        </w:r>
      </w:hyperlink>
      <w:r>
        <w:t>)</w:t>
      </w:r>
      <w:r w:rsidRPr="00E92237">
        <w:t xml:space="preserve"> Quantitative data, such as prevalence rates and waiting-time statistics, are valuable for context but cannot fully explain why systems fail to respond promptly or how children feel about their hidden disabilities. A qualitative approach, therefore, is best suited to capturing the depth and complexity of lived experience in this area.</w:t>
      </w:r>
    </w:p>
    <w:p w14:paraId="4527CC8F" w14:textId="77777777" w:rsidR="004468F8" w:rsidRPr="004468F8" w:rsidRDefault="004468F8" w:rsidP="004468F8"/>
    <w:p w14:paraId="22DF55B4" w14:textId="77777777" w:rsidR="00530E16" w:rsidRDefault="00530E16">
      <w:pPr>
        <w:spacing w:line="360" w:lineRule="auto"/>
        <w:jc w:val="both"/>
      </w:pPr>
    </w:p>
    <w:p w14:paraId="6CE7A65E" w14:textId="77777777" w:rsidR="004468F8" w:rsidRDefault="004468F8">
      <w:pPr>
        <w:spacing w:line="360" w:lineRule="auto"/>
        <w:jc w:val="both"/>
      </w:pPr>
    </w:p>
    <w:p w14:paraId="0DE64509" w14:textId="77777777" w:rsidR="004468F8" w:rsidRDefault="004468F8">
      <w:pPr>
        <w:spacing w:line="360" w:lineRule="auto"/>
        <w:jc w:val="both"/>
        <w:rPr>
          <w:rFonts w:ascii="Arial" w:eastAsia="Arial" w:hAnsi="Arial" w:cs="Arial"/>
          <w:sz w:val="22"/>
          <w:szCs w:val="22"/>
        </w:rPr>
      </w:pPr>
    </w:p>
    <w:p w14:paraId="55F31880" w14:textId="77777777" w:rsidR="00530E16" w:rsidRDefault="004468F8">
      <w:pPr>
        <w:pStyle w:val="Heading1"/>
        <w:jc w:val="both"/>
      </w:pPr>
      <w:bookmarkStart w:id="8" w:name="_Toc213674538"/>
      <w:r>
        <w:t>Task 3: Data Collection</w:t>
      </w:r>
      <w:bookmarkEnd w:id="8"/>
      <w:r>
        <w:t xml:space="preserve"> </w:t>
      </w:r>
    </w:p>
    <w:p w14:paraId="69FFC31C" w14:textId="77777777" w:rsidR="004468F8" w:rsidRDefault="00BA0043" w:rsidP="004468F8">
      <w:pPr>
        <w:pStyle w:val="Heading2"/>
        <w:rPr>
          <w:rFonts w:eastAsia="Aptos"/>
          <w:lang w:eastAsia="en-US"/>
        </w:rPr>
      </w:pPr>
      <w:bookmarkStart w:id="9" w:name="_Toc213674539"/>
      <w:r>
        <w:rPr>
          <w:rFonts w:eastAsia="Aptos"/>
          <w:lang w:eastAsia="en-US"/>
        </w:rPr>
        <w:t>Overview of primary and secondary data collection</w:t>
      </w:r>
      <w:bookmarkEnd w:id="9"/>
    </w:p>
    <w:p w14:paraId="04B91A24" w14:textId="5408724F" w:rsidR="004468F8" w:rsidRDefault="00E92237" w:rsidP="004468F8">
      <w:pPr>
        <w:rPr>
          <w:lang w:eastAsia="en-US"/>
        </w:rPr>
      </w:pPr>
      <w:r w:rsidRPr="00E92237">
        <w:rPr>
          <w:lang w:eastAsia="en-US"/>
        </w:rPr>
        <w:t>Primary data collection involves gathering new information directly from original sources, specifically for the current research. In the context of hidden disabilities, this could include conducting interviews with parents of neurodivergent children, running focus groups with teachers or administering surveys to young people about their school experiences. The researcher designs the instruments, collects the data and then analyses it. Secondary data collection, on the other hand, uses information that already exists and was originally gathered for other purposes. This includes published academic studies, official statistics, policy documents, inspection reports and datasets compiled by government departments or research organisations. Secondary data are especially useful when time, access or ethical considerations make it difficult to collect primary information from vulnerable groups such as children.</w:t>
      </w:r>
    </w:p>
    <w:p w14:paraId="4C2C8CCD" w14:textId="77777777" w:rsidR="004468F8" w:rsidRDefault="004468F8" w:rsidP="004468F8">
      <w:pPr>
        <w:rPr>
          <w:lang w:eastAsia="en-US"/>
        </w:rPr>
      </w:pPr>
    </w:p>
    <w:p w14:paraId="64227760" w14:textId="77777777" w:rsidR="004468F8" w:rsidRPr="004468F8" w:rsidRDefault="004468F8" w:rsidP="004468F8">
      <w:pPr>
        <w:rPr>
          <w:lang w:eastAsia="en-US"/>
        </w:rPr>
      </w:pPr>
    </w:p>
    <w:p w14:paraId="194A9517" w14:textId="77777777" w:rsidR="004468F8" w:rsidRDefault="004468F8" w:rsidP="004468F8">
      <w:pPr>
        <w:pStyle w:val="Heading2"/>
        <w:rPr>
          <w:rFonts w:eastAsia="Aptos"/>
          <w:lang w:eastAsia="en-US"/>
        </w:rPr>
      </w:pPr>
      <w:bookmarkStart w:id="10" w:name="_Toc213674540"/>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6C09CBB2" w14:textId="4AA277DD" w:rsidR="004468F8" w:rsidRPr="00E92237" w:rsidRDefault="00E92237" w:rsidP="004468F8">
      <w:r w:rsidRPr="00E92237">
        <w:t>This project will primarily rely on secondary data. There is a substantial and growing body of recent research, policy analysis and official reporting on neurodivergent children, ADHD, autism and related hidden disabilities, including detailed studies of school experiences, exclusion, anxiety and access to assessment.</w:t>
      </w:r>
      <w:r>
        <w:t xml:space="preserve"> (</w:t>
      </w:r>
      <w:hyperlink r:id="rId19" w:tgtFrame="_blank" w:history="1">
        <w:r w:rsidRPr="00E92237">
          <w:rPr>
            <w:rStyle w:val="Hyperlink"/>
          </w:rPr>
          <w:t>Taylor &amp; Francis Online+3Research Briefings+3assets.childrenscommissioner.gov.uk+3</w:t>
        </w:r>
      </w:hyperlink>
      <w:r>
        <w:t xml:space="preserve">) </w:t>
      </w:r>
      <w:r w:rsidRPr="00E92237">
        <w:t xml:space="preserve"> Drawing on these existing sources allows the researcher to synthesise a wide range of evidence without directly involving children or families, which would require more extensive ethical approval, safeguarding processes and time. Secondary qualitative studies, such as those exploring lived experience of school anxiety or barriers to inclusive pedagogy, offer rich material that can be re-analysed or compared to identify recurring themes and gaps.</w:t>
      </w:r>
      <w:r>
        <w:t xml:space="preserve"> (</w:t>
      </w:r>
      <w:hyperlink r:id="rId20" w:tgtFrame="_blank" w:history="1">
        <w:r w:rsidRPr="00E92237">
          <w:rPr>
            <w:rStyle w:val="Hyperlink"/>
          </w:rPr>
          <w:t>SAGE Journals+2ResearchGate+2</w:t>
        </w:r>
      </w:hyperlink>
      <w:r>
        <w:t>)</w:t>
      </w:r>
      <w:r w:rsidRPr="00E92237">
        <w:t xml:space="preserve"> Secondary quantitative data, such as ADHD prevalence figures and waiting-time statistics, provide important context about scale and trends.</w:t>
      </w:r>
      <w:r>
        <w:t>(</w:t>
      </w:r>
      <w:hyperlink r:id="rId21" w:tgtFrame="_blank" w:history="1">
        <w:r w:rsidRPr="00E92237">
          <w:rPr>
            <w:rStyle w:val="Hyperlink"/>
          </w:rPr>
          <w:t>CDC+1</w:t>
        </w:r>
      </w:hyperlink>
      <w:r>
        <w:t>)</w:t>
      </w:r>
      <w:r w:rsidRPr="00E92237">
        <w:t xml:space="preserve"> Using secondary data is therefore both practical and methodologically appropriate for addressing the research question at this level.</w:t>
      </w:r>
    </w:p>
    <w:p w14:paraId="4ED859A9" w14:textId="77777777" w:rsidR="004468F8" w:rsidRDefault="004468F8" w:rsidP="004468F8"/>
    <w:p w14:paraId="5CF474BF" w14:textId="77777777" w:rsidR="004468F8" w:rsidRDefault="004468F8" w:rsidP="004468F8"/>
    <w:p w14:paraId="292FA0C0" w14:textId="77777777" w:rsidR="00530E16" w:rsidRDefault="004468F8">
      <w:pPr>
        <w:pStyle w:val="Heading1"/>
        <w:jc w:val="both"/>
      </w:pPr>
      <w:bookmarkStart w:id="11" w:name="_Toc213674541"/>
      <w:r>
        <w:lastRenderedPageBreak/>
        <w:t>Conclusion</w:t>
      </w:r>
      <w:bookmarkEnd w:id="11"/>
    </w:p>
    <w:p w14:paraId="027E4247" w14:textId="18E7E43A" w:rsidR="004468F8" w:rsidRPr="00E92237" w:rsidRDefault="00E92237" w:rsidP="004468F8">
      <w:r w:rsidRPr="00E92237">
        <w:t>In summary, this research focuses on hidden disabilities in children, with a particular emphasis on conditions such as ADHD and other neurodevelopmental differences that are often not immediately visible to others. The problem centres on delayed identification, limited access to timely support and the risk of children being misunderstood, stigmatised or excluded rather than accommodated. The study is justified by recent evidence showing long waiting times for assessment, growing school anxiety among neurodivergent children, and concerns that current systems often respond only at the point of crisis. A qualitative methodology, using secondary data from recent research and policy documents, offers an effective way to explore lived experiences and systemic barriers without directly involving vulnerable participants. By synthesising findings from multiple high-quality sources, the research can contribute to a deeper understanding of how hidden disabilities shape children’s lives and highlight opportunities to improve early recognition, inclusive practice and coordinated support in health, education and social care.</w:t>
      </w:r>
    </w:p>
    <w:p w14:paraId="40C15743" w14:textId="77777777" w:rsidR="00530E16" w:rsidRDefault="004468F8">
      <w:pPr>
        <w:pStyle w:val="Heading1"/>
      </w:pPr>
      <w:bookmarkStart w:id="12" w:name="_Toc213674542"/>
      <w:r>
        <w:t>References</w:t>
      </w:r>
      <w:bookmarkEnd w:id="12"/>
    </w:p>
    <w:p w14:paraId="5D7E26D6" w14:textId="538C9223" w:rsidR="00E92237" w:rsidRPr="00E92237" w:rsidRDefault="00E92237" w:rsidP="00E92237">
      <w:pPr>
        <w:pStyle w:val="ListParagraph"/>
        <w:numPr>
          <w:ilvl w:val="0"/>
          <w:numId w:val="9"/>
        </w:numPr>
        <w:rPr>
          <w:rFonts w:ascii="Arial" w:eastAsia="Arial" w:hAnsi="Arial" w:cs="Arial"/>
        </w:rPr>
      </w:pPr>
      <w:proofErr w:type="gramStart"/>
      <w:r w:rsidRPr="00E92237">
        <w:rPr>
          <w:rFonts w:ascii="Arial" w:eastAsia="Arial" w:hAnsi="Arial" w:cs="Arial"/>
        </w:rPr>
        <w:t>Centre’s</w:t>
      </w:r>
      <w:proofErr w:type="gramEnd"/>
      <w:r w:rsidRPr="00E92237">
        <w:rPr>
          <w:rFonts w:ascii="Arial" w:eastAsia="Arial" w:hAnsi="Arial" w:cs="Arial"/>
        </w:rPr>
        <w:t xml:space="preserve"> for Disease Control and Prevention (CDC) (2024) </w:t>
      </w:r>
      <w:r w:rsidRPr="00E92237">
        <w:rPr>
          <w:rFonts w:ascii="Arial" w:eastAsia="Arial" w:hAnsi="Arial" w:cs="Arial"/>
          <w:i/>
          <w:iCs/>
        </w:rPr>
        <w:t>Data and statistics on ADHD</w:t>
      </w:r>
      <w:r w:rsidRPr="00E92237">
        <w:rPr>
          <w:rFonts w:ascii="Arial" w:eastAsia="Arial" w:hAnsi="Arial" w:cs="Arial"/>
        </w:rPr>
        <w:t xml:space="preserve">. Atlanta: CDC. Available at: </w:t>
      </w:r>
      <w:hyperlink r:id="rId22" w:tgtFrame="_new" w:history="1">
        <w:r w:rsidRPr="00E92237">
          <w:rPr>
            <w:rStyle w:val="Hyperlink"/>
            <w:rFonts w:ascii="Arial" w:eastAsia="Arial" w:hAnsi="Arial" w:cs="Arial"/>
          </w:rPr>
          <w:t>https://www.cdc.gov/adhd/data/index.html</w:t>
        </w:r>
      </w:hyperlink>
      <w:r w:rsidRPr="00E92237">
        <w:rPr>
          <w:rFonts w:ascii="Arial" w:eastAsia="Arial" w:hAnsi="Arial" w:cs="Arial"/>
        </w:rPr>
        <w:t xml:space="preserve"> (Accessed 11 December 2025). </w:t>
      </w:r>
      <w:hyperlink r:id="rId23" w:tgtFrame="_blank" w:history="1">
        <w:r w:rsidRPr="00E92237">
          <w:rPr>
            <w:rStyle w:val="Hyperlink"/>
            <w:rFonts w:ascii="Arial" w:eastAsia="Arial" w:hAnsi="Arial" w:cs="Arial"/>
          </w:rPr>
          <w:t>CDC</w:t>
        </w:r>
      </w:hyperlink>
    </w:p>
    <w:p w14:paraId="4BA4C725" w14:textId="77777777" w:rsidR="00E92237" w:rsidRPr="00E92237" w:rsidRDefault="00E92237" w:rsidP="00E92237">
      <w:pPr>
        <w:pStyle w:val="ListParagraph"/>
        <w:numPr>
          <w:ilvl w:val="0"/>
          <w:numId w:val="9"/>
        </w:numPr>
        <w:rPr>
          <w:rFonts w:ascii="Arial" w:eastAsia="Arial" w:hAnsi="Arial" w:cs="Arial"/>
        </w:rPr>
      </w:pPr>
      <w:r w:rsidRPr="00E92237">
        <w:rPr>
          <w:rFonts w:ascii="Arial" w:eastAsia="Arial" w:hAnsi="Arial" w:cs="Arial"/>
        </w:rPr>
        <w:t xml:space="preserve">Children’s Commissioner for England (2024) </w:t>
      </w:r>
      <w:r w:rsidRPr="00E92237">
        <w:rPr>
          <w:rFonts w:ascii="Arial" w:eastAsia="Arial" w:hAnsi="Arial" w:cs="Arial"/>
          <w:i/>
          <w:iCs/>
        </w:rPr>
        <w:t>Waiting times for assessment and support for autism, ADHD and other neurodevelopmental conditions</w:t>
      </w:r>
      <w:r w:rsidRPr="00E92237">
        <w:rPr>
          <w:rFonts w:ascii="Arial" w:eastAsia="Arial" w:hAnsi="Arial" w:cs="Arial"/>
        </w:rPr>
        <w:t xml:space="preserve">. London: Children’s Commissioner. Available at: </w:t>
      </w:r>
      <w:hyperlink r:id="rId24" w:tgtFrame="_new" w:history="1">
        <w:r w:rsidRPr="00E92237">
          <w:rPr>
            <w:rStyle w:val="Hyperlink"/>
            <w:rFonts w:ascii="Arial" w:eastAsia="Arial" w:hAnsi="Arial" w:cs="Arial"/>
          </w:rPr>
          <w:t>https://www.childrenscommissioner.gov.uk</w:t>
        </w:r>
      </w:hyperlink>
      <w:r w:rsidRPr="00E92237">
        <w:rPr>
          <w:rFonts w:ascii="Arial" w:eastAsia="Arial" w:hAnsi="Arial" w:cs="Arial"/>
        </w:rPr>
        <w:t xml:space="preserve"> (Accessed 11 December 2025). </w:t>
      </w:r>
      <w:hyperlink r:id="rId25" w:tgtFrame="_blank" w:history="1">
        <w:r w:rsidRPr="00E92237">
          <w:rPr>
            <w:rStyle w:val="Hyperlink"/>
            <w:rFonts w:ascii="Arial" w:eastAsia="Arial" w:hAnsi="Arial" w:cs="Arial"/>
          </w:rPr>
          <w:t>assets.childrenscommissioner.gov.uk</w:t>
        </w:r>
      </w:hyperlink>
    </w:p>
    <w:p w14:paraId="0B78A365" w14:textId="77777777" w:rsidR="00E92237" w:rsidRPr="00E92237" w:rsidRDefault="00E92237" w:rsidP="00E92237">
      <w:pPr>
        <w:pStyle w:val="ListParagraph"/>
        <w:numPr>
          <w:ilvl w:val="0"/>
          <w:numId w:val="9"/>
        </w:numPr>
        <w:rPr>
          <w:rFonts w:ascii="Arial" w:eastAsia="Arial" w:hAnsi="Arial" w:cs="Arial"/>
        </w:rPr>
      </w:pPr>
      <w:r w:rsidRPr="00E92237">
        <w:rPr>
          <w:rFonts w:ascii="Arial" w:eastAsia="Arial" w:hAnsi="Arial" w:cs="Arial"/>
        </w:rPr>
        <w:t xml:space="preserve">Cook, A. (2024) ‘Conceptualisations of neurodiversity and barriers to inclusive pedagogy in schools: a perspective article’, </w:t>
      </w:r>
      <w:r w:rsidRPr="00E92237">
        <w:rPr>
          <w:rFonts w:ascii="Arial" w:eastAsia="Arial" w:hAnsi="Arial" w:cs="Arial"/>
          <w:i/>
          <w:iCs/>
        </w:rPr>
        <w:t>Journal of Research in Special Educational Needs</w:t>
      </w:r>
      <w:r w:rsidRPr="00E92237">
        <w:rPr>
          <w:rFonts w:ascii="Arial" w:eastAsia="Arial" w:hAnsi="Arial" w:cs="Arial"/>
        </w:rPr>
        <w:t xml:space="preserve">, 24, pp. 627–636. https://doi.org/10.1111/1471-3802.12656. </w:t>
      </w:r>
      <w:hyperlink r:id="rId26" w:tgtFrame="_blank" w:history="1">
        <w:r w:rsidRPr="00E92237">
          <w:rPr>
            <w:rStyle w:val="Hyperlink"/>
            <w:rFonts w:ascii="Arial" w:eastAsia="Arial" w:hAnsi="Arial" w:cs="Arial"/>
          </w:rPr>
          <w:t>ResearchGate+1</w:t>
        </w:r>
      </w:hyperlink>
    </w:p>
    <w:p w14:paraId="2E212213" w14:textId="77777777" w:rsidR="00E92237" w:rsidRPr="00E92237" w:rsidRDefault="00E92237" w:rsidP="00E92237">
      <w:pPr>
        <w:pStyle w:val="ListParagraph"/>
        <w:numPr>
          <w:ilvl w:val="0"/>
          <w:numId w:val="9"/>
        </w:numPr>
        <w:rPr>
          <w:rFonts w:ascii="Arial" w:eastAsia="Arial" w:hAnsi="Arial" w:cs="Arial"/>
        </w:rPr>
      </w:pPr>
      <w:r w:rsidRPr="00E92237">
        <w:rPr>
          <w:rFonts w:ascii="Arial" w:eastAsia="Arial" w:hAnsi="Arial" w:cs="Arial"/>
        </w:rPr>
        <w:t xml:space="preserve">Day, A.-M. (2025) ‘Kids “at risk” of school exclusion and youth justice involvement? Or neurodivergent children and families in need of trauma-informed support?’, </w:t>
      </w:r>
      <w:r w:rsidRPr="00E92237">
        <w:rPr>
          <w:rFonts w:ascii="Arial" w:eastAsia="Arial" w:hAnsi="Arial" w:cs="Arial"/>
          <w:i/>
          <w:iCs/>
        </w:rPr>
        <w:t>Emotional and Behavioural Difficulties</w:t>
      </w:r>
      <w:r w:rsidRPr="00E92237">
        <w:rPr>
          <w:rFonts w:ascii="Arial" w:eastAsia="Arial" w:hAnsi="Arial" w:cs="Arial"/>
        </w:rPr>
        <w:t xml:space="preserve">, 30(3), pp. 1–16. </w:t>
      </w:r>
      <w:hyperlink r:id="rId27" w:tgtFrame="_new" w:history="1">
        <w:r w:rsidRPr="00E92237">
          <w:rPr>
            <w:rStyle w:val="Hyperlink"/>
            <w:rFonts w:ascii="Arial" w:eastAsia="Arial" w:hAnsi="Arial" w:cs="Arial"/>
          </w:rPr>
          <w:t>https://doi.org/10.1080/13632752.2025.2499788</w:t>
        </w:r>
      </w:hyperlink>
      <w:r w:rsidRPr="00E92237">
        <w:rPr>
          <w:rFonts w:ascii="Arial" w:eastAsia="Arial" w:hAnsi="Arial" w:cs="Arial"/>
        </w:rPr>
        <w:t xml:space="preserve">. </w:t>
      </w:r>
      <w:hyperlink r:id="rId28" w:tgtFrame="_blank" w:history="1">
        <w:r w:rsidRPr="00E92237">
          <w:rPr>
            <w:rStyle w:val="Hyperlink"/>
            <w:rFonts w:ascii="Arial" w:eastAsia="Arial" w:hAnsi="Arial" w:cs="Arial"/>
          </w:rPr>
          <w:t>Taylor &amp; Francis Online+1</w:t>
        </w:r>
      </w:hyperlink>
    </w:p>
    <w:p w14:paraId="4824F836" w14:textId="77777777" w:rsidR="00E92237" w:rsidRPr="00E92237" w:rsidRDefault="00E92237" w:rsidP="00E92237">
      <w:pPr>
        <w:pStyle w:val="ListParagraph"/>
        <w:numPr>
          <w:ilvl w:val="0"/>
          <w:numId w:val="9"/>
        </w:numPr>
        <w:rPr>
          <w:rFonts w:ascii="Arial" w:eastAsia="Arial" w:hAnsi="Arial" w:cs="Arial"/>
        </w:rPr>
      </w:pPr>
      <w:r w:rsidRPr="00E92237">
        <w:rPr>
          <w:rFonts w:ascii="Arial" w:eastAsia="Arial" w:hAnsi="Arial" w:cs="Arial"/>
        </w:rPr>
        <w:t xml:space="preserve">Department of Health and Social Care (2021) </w:t>
      </w:r>
      <w:r w:rsidRPr="00E92237">
        <w:rPr>
          <w:rFonts w:ascii="Arial" w:eastAsia="Arial" w:hAnsi="Arial" w:cs="Arial"/>
          <w:i/>
          <w:iCs/>
        </w:rPr>
        <w:t>The national strategy for autistic children, young people and adults: 2021 to 2026</w:t>
      </w:r>
      <w:r w:rsidRPr="00E92237">
        <w:rPr>
          <w:rFonts w:ascii="Arial" w:eastAsia="Arial" w:hAnsi="Arial" w:cs="Arial"/>
        </w:rPr>
        <w:t xml:space="preserve">. London: DHSC. Available at: </w:t>
      </w:r>
      <w:hyperlink r:id="rId29" w:tgtFrame="_new" w:history="1">
        <w:r w:rsidRPr="00E92237">
          <w:rPr>
            <w:rStyle w:val="Hyperlink"/>
            <w:rFonts w:ascii="Arial" w:eastAsia="Arial" w:hAnsi="Arial" w:cs="Arial"/>
          </w:rPr>
          <w:t>https://www.gov.uk/government/publications/national-strategy-for-autistic-children-young-people-and-adults-2021-to-2026</w:t>
        </w:r>
      </w:hyperlink>
      <w:r w:rsidRPr="00E92237">
        <w:rPr>
          <w:rFonts w:ascii="Arial" w:eastAsia="Arial" w:hAnsi="Arial" w:cs="Arial"/>
        </w:rPr>
        <w:t xml:space="preserve"> (Accessed 11 December 2025). </w:t>
      </w:r>
      <w:hyperlink r:id="rId30" w:tgtFrame="_blank" w:history="1">
        <w:r w:rsidRPr="00E92237">
          <w:rPr>
            <w:rStyle w:val="Hyperlink"/>
            <w:rFonts w:ascii="Arial" w:eastAsia="Arial" w:hAnsi="Arial" w:cs="Arial"/>
          </w:rPr>
          <w:t>GOV.UK</w:t>
        </w:r>
      </w:hyperlink>
    </w:p>
    <w:p w14:paraId="4D530A21" w14:textId="77777777" w:rsidR="00E92237" w:rsidRPr="00E92237" w:rsidRDefault="00E92237" w:rsidP="00E92237">
      <w:pPr>
        <w:pStyle w:val="ListParagraph"/>
        <w:numPr>
          <w:ilvl w:val="0"/>
          <w:numId w:val="9"/>
        </w:numPr>
        <w:rPr>
          <w:rFonts w:ascii="Arial" w:eastAsia="Arial" w:hAnsi="Arial" w:cs="Arial"/>
        </w:rPr>
      </w:pPr>
      <w:r w:rsidRPr="00E92237">
        <w:rPr>
          <w:rFonts w:ascii="Arial" w:eastAsia="Arial" w:hAnsi="Arial" w:cs="Arial"/>
        </w:rPr>
        <w:lastRenderedPageBreak/>
        <w:t xml:space="preserve">Fisher, E., MacLennan, K., Mullally, S., Rodgers, J. and </w:t>
      </w:r>
      <w:proofErr w:type="spellStart"/>
      <w:r w:rsidRPr="00E92237">
        <w:rPr>
          <w:rFonts w:ascii="Arial" w:eastAsia="Arial" w:hAnsi="Arial" w:cs="Arial"/>
        </w:rPr>
        <w:t>Tzemou</w:t>
      </w:r>
      <w:proofErr w:type="spellEnd"/>
      <w:r w:rsidRPr="00E92237">
        <w:rPr>
          <w:rFonts w:ascii="Arial" w:eastAsia="Arial" w:hAnsi="Arial" w:cs="Arial"/>
        </w:rPr>
        <w:t xml:space="preserve">, E. (2025) ‘“I Can’t Go to School, It Isn’t a Won’t”: Lived experiences of neurodivergent children’s school anxiety within the UK’s systemic crisis’, </w:t>
      </w:r>
      <w:r w:rsidRPr="00E92237">
        <w:rPr>
          <w:rFonts w:ascii="Arial" w:eastAsia="Arial" w:hAnsi="Arial" w:cs="Arial"/>
          <w:i/>
          <w:iCs/>
        </w:rPr>
        <w:t>Neurodiversity</w:t>
      </w:r>
      <w:r w:rsidRPr="00E92237">
        <w:rPr>
          <w:rFonts w:ascii="Arial" w:eastAsia="Arial" w:hAnsi="Arial" w:cs="Arial"/>
        </w:rPr>
        <w:t xml:space="preserve">, 3 (advance online publication). https://doi.org/10.1177/27546330251385325. </w:t>
      </w:r>
      <w:hyperlink r:id="rId31" w:tgtFrame="_blank" w:history="1">
        <w:r w:rsidRPr="00E92237">
          <w:rPr>
            <w:rStyle w:val="Hyperlink"/>
            <w:rFonts w:ascii="Arial" w:eastAsia="Arial" w:hAnsi="Arial" w:cs="Arial"/>
          </w:rPr>
          <w:t>SAGE Journals</w:t>
        </w:r>
      </w:hyperlink>
    </w:p>
    <w:p w14:paraId="05B87E04" w14:textId="77777777" w:rsidR="00E92237" w:rsidRPr="00E92237" w:rsidRDefault="00E92237" w:rsidP="00E92237">
      <w:pPr>
        <w:pStyle w:val="ListParagraph"/>
        <w:numPr>
          <w:ilvl w:val="0"/>
          <w:numId w:val="9"/>
        </w:numPr>
        <w:rPr>
          <w:rFonts w:ascii="Arial" w:eastAsia="Arial" w:hAnsi="Arial" w:cs="Arial"/>
        </w:rPr>
      </w:pPr>
      <w:r w:rsidRPr="00E92237">
        <w:rPr>
          <w:rFonts w:ascii="Arial" w:eastAsia="Arial" w:hAnsi="Arial" w:cs="Arial"/>
        </w:rPr>
        <w:t xml:space="preserve">Hasson, L. (2022) ‘Inclusivity in education for autism spectrum disorders: experiences of support from the perspective of parent carers, school teaching staff and young people’, </w:t>
      </w:r>
      <w:r w:rsidRPr="00E92237">
        <w:rPr>
          <w:rFonts w:ascii="Arial" w:eastAsia="Arial" w:hAnsi="Arial" w:cs="Arial"/>
          <w:i/>
          <w:iCs/>
        </w:rPr>
        <w:t>Journal of Research in Special Educational Needs</w:t>
      </w:r>
      <w:r w:rsidRPr="00E92237">
        <w:rPr>
          <w:rFonts w:ascii="Arial" w:eastAsia="Arial" w:hAnsi="Arial" w:cs="Arial"/>
        </w:rPr>
        <w:t xml:space="preserve">. Available at: </w:t>
      </w:r>
      <w:hyperlink r:id="rId32" w:tgtFrame="_new" w:history="1">
        <w:r w:rsidRPr="00E92237">
          <w:rPr>
            <w:rStyle w:val="Hyperlink"/>
            <w:rFonts w:ascii="Arial" w:eastAsia="Arial" w:hAnsi="Arial" w:cs="Arial"/>
          </w:rPr>
          <w:t>https://pmc.ncbi.nlm.nih.gov/articles/PMC10930116/</w:t>
        </w:r>
      </w:hyperlink>
      <w:r w:rsidRPr="00E92237">
        <w:rPr>
          <w:rFonts w:ascii="Arial" w:eastAsia="Arial" w:hAnsi="Arial" w:cs="Arial"/>
        </w:rPr>
        <w:t xml:space="preserve"> (Accessed 11 December 2025). </w:t>
      </w:r>
      <w:hyperlink r:id="rId33" w:tgtFrame="_blank" w:history="1">
        <w:r w:rsidRPr="00E92237">
          <w:rPr>
            <w:rStyle w:val="Hyperlink"/>
            <w:rFonts w:ascii="Arial" w:eastAsia="Arial" w:hAnsi="Arial" w:cs="Arial"/>
          </w:rPr>
          <w:t>PMC+1</w:t>
        </w:r>
      </w:hyperlink>
    </w:p>
    <w:p w14:paraId="11C713C2" w14:textId="77777777" w:rsidR="00E92237" w:rsidRPr="00E92237" w:rsidRDefault="00E92237" w:rsidP="00E92237">
      <w:pPr>
        <w:pStyle w:val="ListParagraph"/>
        <w:numPr>
          <w:ilvl w:val="0"/>
          <w:numId w:val="9"/>
        </w:numPr>
        <w:rPr>
          <w:rFonts w:ascii="Arial" w:eastAsia="Arial" w:hAnsi="Arial" w:cs="Arial"/>
        </w:rPr>
      </w:pPr>
      <w:r w:rsidRPr="00E92237">
        <w:rPr>
          <w:rFonts w:ascii="Arial" w:eastAsia="Arial" w:hAnsi="Arial" w:cs="Arial"/>
        </w:rPr>
        <w:t xml:space="preserve">Ward, B. (2024) </w:t>
      </w:r>
      <w:r w:rsidRPr="00E92237">
        <w:rPr>
          <w:rFonts w:ascii="Arial" w:eastAsia="Arial" w:hAnsi="Arial" w:cs="Arial"/>
          <w:i/>
          <w:iCs/>
        </w:rPr>
        <w:t>Support for neurodivergent children and young people</w:t>
      </w:r>
      <w:r w:rsidRPr="00E92237">
        <w:rPr>
          <w:rFonts w:ascii="Arial" w:eastAsia="Arial" w:hAnsi="Arial" w:cs="Arial"/>
        </w:rPr>
        <w:t xml:space="preserve">. </w:t>
      </w:r>
      <w:proofErr w:type="spellStart"/>
      <w:r w:rsidRPr="00E92237">
        <w:rPr>
          <w:rFonts w:ascii="Arial" w:eastAsia="Arial" w:hAnsi="Arial" w:cs="Arial"/>
        </w:rPr>
        <w:t>POSTnote</w:t>
      </w:r>
      <w:proofErr w:type="spellEnd"/>
      <w:r w:rsidRPr="00E92237">
        <w:rPr>
          <w:rFonts w:ascii="Arial" w:eastAsia="Arial" w:hAnsi="Arial" w:cs="Arial"/>
        </w:rPr>
        <w:t xml:space="preserve"> 733. London: UK Parliament Parliamentary Office of Science and Technology. Available at: </w:t>
      </w:r>
      <w:hyperlink r:id="rId34" w:tgtFrame="_new" w:history="1">
        <w:r w:rsidRPr="00E92237">
          <w:rPr>
            <w:rStyle w:val="Hyperlink"/>
            <w:rFonts w:ascii="Arial" w:eastAsia="Arial" w:hAnsi="Arial" w:cs="Arial"/>
          </w:rPr>
          <w:t>https://researchbriefings.parliament.uk</w:t>
        </w:r>
      </w:hyperlink>
      <w:r w:rsidRPr="00E92237">
        <w:rPr>
          <w:rFonts w:ascii="Arial" w:eastAsia="Arial" w:hAnsi="Arial" w:cs="Arial"/>
        </w:rPr>
        <w:t xml:space="preserve"> (Accessed 11 December 2025). </w:t>
      </w:r>
      <w:hyperlink r:id="rId35" w:tgtFrame="_blank" w:history="1">
        <w:r w:rsidRPr="00E92237">
          <w:rPr>
            <w:rStyle w:val="Hyperlink"/>
            <w:rFonts w:ascii="Arial" w:eastAsia="Arial" w:hAnsi="Arial" w:cs="Arial"/>
          </w:rPr>
          <w:t>Research Briefings</w:t>
        </w:r>
      </w:hyperlink>
    </w:p>
    <w:p w14:paraId="1D4DA4B6" w14:textId="77777777" w:rsidR="00E92237" w:rsidRPr="00E92237" w:rsidRDefault="00E92237" w:rsidP="00E92237">
      <w:pPr>
        <w:pStyle w:val="ListParagraph"/>
        <w:numPr>
          <w:ilvl w:val="0"/>
          <w:numId w:val="9"/>
        </w:numPr>
        <w:rPr>
          <w:rFonts w:ascii="Arial" w:eastAsia="Arial" w:hAnsi="Arial" w:cs="Arial"/>
        </w:rPr>
      </w:pPr>
      <w:r w:rsidRPr="00E92237">
        <w:rPr>
          <w:rFonts w:ascii="Arial" w:eastAsia="Arial" w:hAnsi="Arial" w:cs="Arial"/>
        </w:rPr>
        <w:t xml:space="preserve">NHS England (2024) </w:t>
      </w:r>
      <w:proofErr w:type="gramStart"/>
      <w:r w:rsidRPr="00E92237">
        <w:rPr>
          <w:rFonts w:ascii="Arial" w:eastAsia="Arial" w:hAnsi="Arial" w:cs="Arial"/>
          <w:i/>
          <w:iCs/>
        </w:rPr>
        <w:t>Attention Deficit Hyperactivity Disorder</w:t>
      </w:r>
      <w:proofErr w:type="gramEnd"/>
      <w:r w:rsidRPr="00E92237">
        <w:rPr>
          <w:rFonts w:ascii="Arial" w:eastAsia="Arial" w:hAnsi="Arial" w:cs="Arial"/>
          <w:i/>
          <w:iCs/>
        </w:rPr>
        <w:t xml:space="preserve"> (ADHD) programme update</w:t>
      </w:r>
      <w:r w:rsidRPr="00E92237">
        <w:rPr>
          <w:rFonts w:ascii="Arial" w:eastAsia="Arial" w:hAnsi="Arial" w:cs="Arial"/>
        </w:rPr>
        <w:t xml:space="preserve">. London: NHS England. Available at: </w:t>
      </w:r>
      <w:hyperlink r:id="rId36" w:tgtFrame="_new" w:history="1">
        <w:r w:rsidRPr="00E92237">
          <w:rPr>
            <w:rStyle w:val="Hyperlink"/>
            <w:rFonts w:ascii="Arial" w:eastAsia="Arial" w:hAnsi="Arial" w:cs="Arial"/>
          </w:rPr>
          <w:t>https://www.england.nhs.uk/long-read/attention-deficit-hyperactivity-disorder-adhd-programme-update/</w:t>
        </w:r>
      </w:hyperlink>
      <w:r w:rsidRPr="00E92237">
        <w:rPr>
          <w:rFonts w:ascii="Arial" w:eastAsia="Arial" w:hAnsi="Arial" w:cs="Arial"/>
        </w:rPr>
        <w:t xml:space="preserve"> (Accessed 11 December 2025). </w:t>
      </w:r>
      <w:hyperlink r:id="rId37" w:tgtFrame="_blank" w:history="1">
        <w:r w:rsidRPr="00E92237">
          <w:rPr>
            <w:rStyle w:val="Hyperlink"/>
            <w:rFonts w:ascii="Arial" w:eastAsia="Arial" w:hAnsi="Arial" w:cs="Arial"/>
          </w:rPr>
          <w:t>NHS England</w:t>
        </w:r>
      </w:hyperlink>
    </w:p>
    <w:p w14:paraId="543D8B65" w14:textId="1D5194F3" w:rsidR="00530E16" w:rsidRPr="00E92237" w:rsidRDefault="00530E16">
      <w:pPr>
        <w:rPr>
          <w:rFonts w:ascii="Arial" w:eastAsia="Arial" w:hAnsi="Arial" w:cs="Arial"/>
        </w:rPr>
      </w:pPr>
    </w:p>
    <w:sectPr w:rsidR="00530E16" w:rsidRPr="00E92237" w:rsidSect="00722EFE">
      <w:footerReference w:type="first" r:id="rId38"/>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B5E44E" w14:textId="77777777" w:rsidR="007242C5" w:rsidRDefault="007242C5" w:rsidP="002A1842">
      <w:pPr>
        <w:spacing w:after="0" w:line="240" w:lineRule="auto"/>
      </w:pPr>
      <w:r>
        <w:separator/>
      </w:r>
    </w:p>
  </w:endnote>
  <w:endnote w:type="continuationSeparator" w:id="0">
    <w:p w14:paraId="167B6316" w14:textId="77777777" w:rsidR="007242C5" w:rsidRDefault="007242C5"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23472C5"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0123BB40"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093B4A33"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429A3FC6"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FF38FD" w14:textId="77777777" w:rsidR="007242C5" w:rsidRDefault="007242C5" w:rsidP="002A1842">
      <w:pPr>
        <w:spacing w:after="0" w:line="240" w:lineRule="auto"/>
      </w:pPr>
      <w:r>
        <w:separator/>
      </w:r>
    </w:p>
  </w:footnote>
  <w:footnote w:type="continuationSeparator" w:id="0">
    <w:p w14:paraId="554791EE" w14:textId="77777777" w:rsidR="007242C5" w:rsidRDefault="007242C5"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CC90962"/>
    <w:multiLevelType w:val="hybridMultilevel"/>
    <w:tmpl w:val="248694F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08933389">
    <w:abstractNumId w:val="5"/>
  </w:num>
  <w:num w:numId="2" w16cid:durableId="226841605">
    <w:abstractNumId w:val="3"/>
  </w:num>
  <w:num w:numId="3" w16cid:durableId="153960580">
    <w:abstractNumId w:val="2"/>
  </w:num>
  <w:num w:numId="4" w16cid:durableId="2046757378">
    <w:abstractNumId w:val="1"/>
  </w:num>
  <w:num w:numId="5" w16cid:durableId="1990554228">
    <w:abstractNumId w:val="4"/>
  </w:num>
  <w:num w:numId="6" w16cid:durableId="988904796">
    <w:abstractNumId w:val="0"/>
  </w:num>
  <w:num w:numId="7" w16cid:durableId="393817733">
    <w:abstractNumId w:val="8"/>
  </w:num>
  <w:num w:numId="8" w16cid:durableId="1040015384">
    <w:abstractNumId w:val="6"/>
  </w:num>
  <w:num w:numId="9" w16cid:durableId="12231732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A1717"/>
    <w:rsid w:val="00172AD1"/>
    <w:rsid w:val="001813E7"/>
    <w:rsid w:val="002A1842"/>
    <w:rsid w:val="004468F8"/>
    <w:rsid w:val="00530E16"/>
    <w:rsid w:val="00722EFE"/>
    <w:rsid w:val="007242C5"/>
    <w:rsid w:val="007637E9"/>
    <w:rsid w:val="007807A4"/>
    <w:rsid w:val="008E7834"/>
    <w:rsid w:val="0099476D"/>
    <w:rsid w:val="009F60D1"/>
    <w:rsid w:val="00A75B15"/>
    <w:rsid w:val="00AE06EA"/>
    <w:rsid w:val="00AE5E92"/>
    <w:rsid w:val="00B65ED6"/>
    <w:rsid w:val="00BA0043"/>
    <w:rsid w:val="00CF650B"/>
    <w:rsid w:val="00D62A9C"/>
    <w:rsid w:val="00DB181C"/>
    <w:rsid w:val="00E92237"/>
    <w:rsid w:val="00EC65FA"/>
    <w:rsid w:val="00F61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F1A83"/>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E922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national-strategy-for-autistic-children-young-people-and-adults-2021-to-2026/the-national-strategy-for-autistic-children-young-people-and-adults-2021-to-2026?utm_source=chatgpt.com" TargetMode="External"/><Relationship Id="rId18" Type="http://schemas.openxmlformats.org/officeDocument/2006/relationships/hyperlink" Target="https://journals.sagepub.com/doi/10.1177/27546330251385325?utm_source=chatgpt.com" TargetMode="External"/><Relationship Id="rId26" Type="http://schemas.openxmlformats.org/officeDocument/2006/relationships/hyperlink" Target="https://www.researchgate.net/publication/378884530_Conceptualisations_of_neurodiversity_and_barriers_to_inclusive_pedagogy_in_schools_A_perspective_article?utm_source=chatgpt.com" TargetMode="External"/><Relationship Id="rId39" Type="http://schemas.openxmlformats.org/officeDocument/2006/relationships/fontTable" Target="fontTable.xml"/><Relationship Id="rId21" Type="http://schemas.openxmlformats.org/officeDocument/2006/relationships/hyperlink" Target="https://www.cdc.gov/adhd/data/index.html?utm_source=chatgpt.com" TargetMode="External"/><Relationship Id="rId34" Type="http://schemas.openxmlformats.org/officeDocument/2006/relationships/hyperlink" Target="https://researchbriefings.parliament.uk" TargetMode="External"/><Relationship Id="rId7" Type="http://schemas.openxmlformats.org/officeDocument/2006/relationships/footnotes" Target="footnotes.xml"/><Relationship Id="rId12" Type="http://schemas.openxmlformats.org/officeDocument/2006/relationships/hyperlink" Target="https://www.cdc.gov/adhd/data/index.html?utm_source=chatgpt.com" TargetMode="External"/><Relationship Id="rId17" Type="http://schemas.openxmlformats.org/officeDocument/2006/relationships/hyperlink" Target="https://www.cdc.gov/adhd/data/index.html?utm_source=chatgpt.com" TargetMode="External"/><Relationship Id="rId25" Type="http://schemas.openxmlformats.org/officeDocument/2006/relationships/hyperlink" Target="https://assets.childrenscommissioner.gov.uk/wpuploads/2024/10/CCo-report-on-ND-waiting-times_final.pdf?utm_source=chatgpt.com" TargetMode="External"/><Relationship Id="rId33" Type="http://schemas.openxmlformats.org/officeDocument/2006/relationships/hyperlink" Target="https://pmc.ncbi.nlm.nih.gov/articles/PMC10930116/?utm_source=chatgpt.com" TargetMode="External"/><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gov.uk/government/publications/national-strategy-for-autistic-children-young-people-and-adults-2021-to-2026/the-national-strategy-for-autistic-children-young-people-and-adults-2021-to-2026?utm_source=chatgpt.com" TargetMode="External"/><Relationship Id="rId20" Type="http://schemas.openxmlformats.org/officeDocument/2006/relationships/hyperlink" Target="https://journals.sagepub.com/doi/10.1177/27546330251385325?utm_source=chatgpt.com" TargetMode="External"/><Relationship Id="rId29" Type="http://schemas.openxmlformats.org/officeDocument/2006/relationships/hyperlink" Target="https://www.gov.uk/government/publications/national-strategy-for-autistic-children-young-people-and-adults-2021-to-202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andfonline.com/doi/full/10.1080/13632752.2025.2499788?utm_source=chatgpt.com" TargetMode="External"/><Relationship Id="rId24" Type="http://schemas.openxmlformats.org/officeDocument/2006/relationships/hyperlink" Target="https://www.childrenscommissioner.gov.uk" TargetMode="External"/><Relationship Id="rId32" Type="http://schemas.openxmlformats.org/officeDocument/2006/relationships/hyperlink" Target="https://pmc.ncbi.nlm.nih.gov/articles/PMC10930116/?utm_source=chatgpt.com" TargetMode="External"/><Relationship Id="rId37" Type="http://schemas.openxmlformats.org/officeDocument/2006/relationships/hyperlink" Target="https://www.england.nhs.uk/long-read/attention-deficit-hyperactivity-disorder-adhd-programme-update/?utm_source=chatgpt.com"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pmc.ncbi.nlm.nih.gov/articles/PMC10930116/?utm_source=chatgpt.com" TargetMode="External"/><Relationship Id="rId23" Type="http://schemas.openxmlformats.org/officeDocument/2006/relationships/hyperlink" Target="https://www.cdc.gov/adhd/data/index.html?utm_source=chatgpt.com" TargetMode="External"/><Relationship Id="rId28" Type="http://schemas.openxmlformats.org/officeDocument/2006/relationships/hyperlink" Target="https://www.tandfonline.com/doi/full/10.1080/13632752.2025.2499788?utm_source=chatgpt.com" TargetMode="External"/><Relationship Id="rId36" Type="http://schemas.openxmlformats.org/officeDocument/2006/relationships/hyperlink" Target="https://www.england.nhs.uk/long-read/attention-deficit-hyperactivity-disorder-adhd-programme-update/?utm_source=chatgpt.com" TargetMode="External"/><Relationship Id="rId10" Type="http://schemas.openxmlformats.org/officeDocument/2006/relationships/hyperlink" Target="https://assets.childrenscommissioner.gov.uk/wpuploads/2024/10/CCo-report-on-ND-waiting-times_final.pdf?utm_source=chatgpt.com" TargetMode="External"/><Relationship Id="rId19" Type="http://schemas.openxmlformats.org/officeDocument/2006/relationships/hyperlink" Target="https://researchbriefings.files.parliament.uk/documents/POST-PN-0733/POST-PN-0733.pdf?utm_source=chatgpt.com" TargetMode="External"/><Relationship Id="rId31" Type="http://schemas.openxmlformats.org/officeDocument/2006/relationships/hyperlink" Target="https://journals.sagepub.com/doi/10.1177/27546330251385325?utm_source=chatgpt.com"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researchgate.net/publication/378884530_Conceptualisations_of_neurodiversity_and_barriers_to_inclusive_pedagogy_in_schools_A_perspective_article?utm_source=chatgpt.com" TargetMode="External"/><Relationship Id="rId22" Type="http://schemas.openxmlformats.org/officeDocument/2006/relationships/hyperlink" Target="https://www.cdc.gov/adhd/data/index.html?utm_source=chatgpt.com" TargetMode="External"/><Relationship Id="rId27" Type="http://schemas.openxmlformats.org/officeDocument/2006/relationships/hyperlink" Target="https://doi.org/10.1080/13632752.2025.2499788" TargetMode="External"/><Relationship Id="rId30" Type="http://schemas.openxmlformats.org/officeDocument/2006/relationships/hyperlink" Target="https://www.gov.uk/government/publications/national-strategy-for-autistic-children-young-people-and-adults-2021-to-2026/the-national-strategy-for-autistic-children-young-people-and-adults-2021-to-2026?utm_source=chatgpt.com" TargetMode="External"/><Relationship Id="rId35" Type="http://schemas.openxmlformats.org/officeDocument/2006/relationships/hyperlink" Target="https://researchbriefings.files.parliament.uk/documents/POST-PN-0733/POST-PN-0733.pdf?utm_source=chatgpt.com"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2672</Words>
  <Characters>14992</Characters>
  <Application>Microsoft Office Word</Application>
  <DocSecurity>0</DocSecurity>
  <Lines>881</Lines>
  <Paragraphs>401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Sidiq Yusuf</cp:lastModifiedBy>
  <cp:revision>2</cp:revision>
  <dcterms:created xsi:type="dcterms:W3CDTF">2025-12-11T21:57:00Z</dcterms:created>
  <dcterms:modified xsi:type="dcterms:W3CDTF">2025-12-11T21:57:00Z</dcterms:modified>
</cp:coreProperties>
</file>