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27DE4" w14:textId="77777777" w:rsidR="00756136" w:rsidRPr="00A343CD" w:rsidRDefault="00756136" w:rsidP="00756136">
      <w:pPr>
        <w:spacing w:line="259" w:lineRule="auto"/>
        <w:jc w:val="center"/>
        <w:rPr>
          <w:rFonts w:ascii="Arial" w:hAnsi="Arial" w:cs="Arial"/>
          <w:b/>
          <w:bCs/>
          <w:sz w:val="32"/>
          <w:szCs w:val="32"/>
        </w:rPr>
      </w:pPr>
      <w:r w:rsidRPr="00A343CD">
        <w:rPr>
          <w:rFonts w:ascii="Arial" w:hAnsi="Arial" w:cs="Arial"/>
          <w:b/>
          <w:bCs/>
          <w:noProof/>
          <w:sz w:val="32"/>
          <w:szCs w:val="32"/>
        </w:rPr>
        <w:drawing>
          <wp:inline distT="0" distB="0" distL="0" distR="0" wp14:anchorId="1B8742B9" wp14:editId="2F17784B">
            <wp:extent cx="3383280" cy="1353185"/>
            <wp:effectExtent l="0" t="0" r="7620" b="0"/>
            <wp:docPr id="645932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3185"/>
                    </a:xfrm>
                    <a:prstGeom prst="rect">
                      <a:avLst/>
                    </a:prstGeom>
                    <a:noFill/>
                  </pic:spPr>
                </pic:pic>
              </a:graphicData>
            </a:graphic>
          </wp:inline>
        </w:drawing>
      </w:r>
    </w:p>
    <w:p w14:paraId="6DD46160" w14:textId="77777777" w:rsidR="00756136" w:rsidRPr="00A343CD" w:rsidRDefault="00756136" w:rsidP="00756136">
      <w:pPr>
        <w:spacing w:line="259" w:lineRule="auto"/>
        <w:jc w:val="center"/>
        <w:rPr>
          <w:rFonts w:ascii="Arial" w:hAnsi="Arial" w:cs="Arial"/>
          <w:b/>
          <w:bCs/>
          <w:szCs w:val="24"/>
        </w:rPr>
      </w:pPr>
    </w:p>
    <w:p w14:paraId="07A8A002" w14:textId="77777777" w:rsidR="00756136" w:rsidRPr="005F52BE" w:rsidRDefault="00756136" w:rsidP="00756136">
      <w:pPr>
        <w:spacing w:line="259" w:lineRule="auto"/>
        <w:jc w:val="center"/>
        <w:rPr>
          <w:rFonts w:ascii="Arial" w:hAnsi="Arial" w:cs="Arial"/>
          <w:b/>
          <w:bCs/>
          <w:sz w:val="28"/>
          <w:szCs w:val="28"/>
        </w:rPr>
      </w:pPr>
      <w:r w:rsidRPr="005F52BE">
        <w:rPr>
          <w:rFonts w:ascii="Arial" w:hAnsi="Arial" w:cs="Arial"/>
          <w:b/>
          <w:bCs/>
          <w:sz w:val="28"/>
          <w:szCs w:val="28"/>
        </w:rPr>
        <w:t>Assignment on</w:t>
      </w:r>
    </w:p>
    <w:p w14:paraId="3C14566E" w14:textId="1A5F9711" w:rsidR="00756136" w:rsidRPr="005F52BE" w:rsidRDefault="00A343CD" w:rsidP="00756136">
      <w:pPr>
        <w:spacing w:line="259" w:lineRule="auto"/>
        <w:jc w:val="center"/>
        <w:rPr>
          <w:rFonts w:ascii="Arial" w:hAnsi="Arial" w:cs="Arial"/>
          <w:b/>
          <w:sz w:val="32"/>
          <w:szCs w:val="32"/>
        </w:rPr>
      </w:pPr>
      <w:r w:rsidRPr="005F52BE">
        <w:rPr>
          <w:rFonts w:ascii="Arial" w:hAnsi="Arial" w:cs="Arial"/>
          <w:b/>
          <w:sz w:val="32"/>
          <w:szCs w:val="32"/>
        </w:rPr>
        <w:t>Financial Performance and Management: General Electronics</w:t>
      </w:r>
    </w:p>
    <w:p w14:paraId="73447FB7" w14:textId="77777777" w:rsidR="00756136" w:rsidRDefault="00756136" w:rsidP="00756136">
      <w:pPr>
        <w:spacing w:line="259" w:lineRule="auto"/>
        <w:jc w:val="center"/>
        <w:rPr>
          <w:rFonts w:ascii="Arial" w:hAnsi="Arial" w:cs="Arial"/>
          <w:b/>
          <w:bCs/>
          <w:szCs w:val="24"/>
        </w:rPr>
      </w:pPr>
    </w:p>
    <w:p w14:paraId="4949E4F1" w14:textId="77777777" w:rsidR="00E5099E" w:rsidRPr="00A343CD" w:rsidRDefault="00E5099E" w:rsidP="00756136">
      <w:pPr>
        <w:spacing w:line="259" w:lineRule="auto"/>
        <w:jc w:val="center"/>
        <w:rPr>
          <w:rFonts w:ascii="Arial" w:hAnsi="Arial" w:cs="Arial"/>
          <w:b/>
          <w:bCs/>
          <w:szCs w:val="24"/>
        </w:rPr>
      </w:pPr>
    </w:p>
    <w:p w14:paraId="25E493CE" w14:textId="77777777" w:rsidR="00756136" w:rsidRPr="005F52BE" w:rsidRDefault="00756136" w:rsidP="00756136">
      <w:pPr>
        <w:spacing w:line="259" w:lineRule="auto"/>
        <w:jc w:val="center"/>
        <w:rPr>
          <w:rFonts w:ascii="Arial" w:hAnsi="Arial" w:cs="Arial"/>
          <w:b/>
          <w:bCs/>
          <w:sz w:val="28"/>
          <w:szCs w:val="28"/>
        </w:rPr>
      </w:pPr>
      <w:r w:rsidRPr="005F52BE">
        <w:rPr>
          <w:rFonts w:ascii="Arial" w:hAnsi="Arial" w:cs="Arial"/>
          <w:b/>
          <w:bCs/>
          <w:sz w:val="28"/>
          <w:szCs w:val="28"/>
        </w:rPr>
        <w:t>Programme: Master of Business Administration</w:t>
      </w:r>
    </w:p>
    <w:p w14:paraId="4D071748" w14:textId="3A02DCA5" w:rsidR="00756136" w:rsidRPr="005F52BE" w:rsidRDefault="00756136" w:rsidP="00756136">
      <w:pPr>
        <w:spacing w:line="259" w:lineRule="auto"/>
        <w:jc w:val="center"/>
        <w:rPr>
          <w:rFonts w:ascii="Arial" w:hAnsi="Arial" w:cs="Arial"/>
          <w:b/>
          <w:bCs/>
          <w:sz w:val="28"/>
          <w:szCs w:val="28"/>
        </w:rPr>
      </w:pPr>
      <w:r w:rsidRPr="005F52BE">
        <w:rPr>
          <w:rFonts w:ascii="Arial" w:hAnsi="Arial" w:cs="Arial"/>
          <w:b/>
          <w:bCs/>
          <w:sz w:val="28"/>
          <w:szCs w:val="28"/>
        </w:rPr>
        <w:t xml:space="preserve">Module Name: </w:t>
      </w:r>
      <w:r w:rsidR="007E127A" w:rsidRPr="005F52BE">
        <w:rPr>
          <w:rFonts w:ascii="Arial" w:hAnsi="Arial" w:cs="Arial"/>
          <w:b/>
          <w:bCs/>
          <w:sz w:val="28"/>
          <w:szCs w:val="28"/>
        </w:rPr>
        <w:t>Financial</w:t>
      </w:r>
      <w:r w:rsidRPr="005F52BE">
        <w:rPr>
          <w:rFonts w:ascii="Arial" w:hAnsi="Arial" w:cs="Arial"/>
          <w:b/>
          <w:bCs/>
          <w:sz w:val="28"/>
          <w:szCs w:val="28"/>
        </w:rPr>
        <w:t xml:space="preserve"> Management</w:t>
      </w:r>
    </w:p>
    <w:p w14:paraId="24151002" w14:textId="1D508A82" w:rsidR="00756136" w:rsidRPr="005F52BE" w:rsidRDefault="00756136" w:rsidP="00756136">
      <w:pPr>
        <w:spacing w:line="259" w:lineRule="auto"/>
        <w:jc w:val="center"/>
        <w:rPr>
          <w:rFonts w:ascii="Arial" w:hAnsi="Arial" w:cs="Arial"/>
          <w:b/>
          <w:bCs/>
          <w:sz w:val="28"/>
          <w:szCs w:val="28"/>
        </w:rPr>
      </w:pPr>
      <w:r w:rsidRPr="005F52BE">
        <w:rPr>
          <w:rFonts w:ascii="Arial" w:hAnsi="Arial" w:cs="Arial"/>
          <w:b/>
          <w:bCs/>
          <w:sz w:val="28"/>
          <w:szCs w:val="28"/>
        </w:rPr>
        <w:t>Module Code: LCMB70</w:t>
      </w:r>
      <w:r w:rsidR="00B50419" w:rsidRPr="005F52BE">
        <w:rPr>
          <w:rFonts w:ascii="Arial" w:hAnsi="Arial" w:cs="Arial"/>
          <w:b/>
          <w:bCs/>
          <w:sz w:val="28"/>
          <w:szCs w:val="28"/>
        </w:rPr>
        <w:t>0</w:t>
      </w:r>
      <w:r w:rsidRPr="005F52BE">
        <w:rPr>
          <w:rFonts w:ascii="Arial" w:hAnsi="Arial" w:cs="Arial"/>
          <w:b/>
          <w:bCs/>
          <w:sz w:val="28"/>
          <w:szCs w:val="28"/>
        </w:rPr>
        <w:t>2</w:t>
      </w:r>
    </w:p>
    <w:p w14:paraId="5713D0F3" w14:textId="77777777" w:rsidR="00756136" w:rsidRPr="005F52BE" w:rsidRDefault="00756136" w:rsidP="00756136">
      <w:pPr>
        <w:spacing w:line="259" w:lineRule="auto"/>
        <w:rPr>
          <w:rFonts w:ascii="Arial" w:hAnsi="Arial" w:cs="Arial"/>
          <w:b/>
          <w:bCs/>
          <w:sz w:val="28"/>
          <w:szCs w:val="28"/>
        </w:rPr>
      </w:pPr>
    </w:p>
    <w:p w14:paraId="2E43EB45" w14:textId="77777777" w:rsidR="00756136" w:rsidRPr="005F52BE" w:rsidRDefault="00756136" w:rsidP="00756136">
      <w:pPr>
        <w:spacing w:line="259" w:lineRule="auto"/>
        <w:rPr>
          <w:rFonts w:ascii="Arial" w:hAnsi="Arial" w:cs="Arial"/>
          <w:b/>
          <w:bCs/>
          <w:sz w:val="28"/>
          <w:szCs w:val="28"/>
        </w:rPr>
      </w:pPr>
    </w:p>
    <w:p w14:paraId="7EA58C9B" w14:textId="6A551CF6" w:rsidR="00756136" w:rsidRPr="005F52BE" w:rsidRDefault="00756136" w:rsidP="00756136">
      <w:pPr>
        <w:spacing w:line="259" w:lineRule="auto"/>
        <w:jc w:val="center"/>
        <w:rPr>
          <w:rFonts w:ascii="Arial" w:hAnsi="Arial" w:cs="Arial"/>
          <w:b/>
          <w:bCs/>
          <w:sz w:val="28"/>
          <w:szCs w:val="28"/>
        </w:rPr>
      </w:pPr>
      <w:r w:rsidRPr="005F52BE">
        <w:rPr>
          <w:rFonts w:ascii="Arial" w:hAnsi="Arial" w:cs="Arial"/>
          <w:b/>
          <w:bCs/>
          <w:sz w:val="28"/>
          <w:szCs w:val="28"/>
        </w:rPr>
        <w:t xml:space="preserve">Lecturer’s Name: </w:t>
      </w:r>
      <w:r w:rsidR="00862C13" w:rsidRPr="005F52BE">
        <w:rPr>
          <w:rFonts w:ascii="Arial" w:hAnsi="Arial" w:cs="Arial"/>
          <w:b/>
          <w:bCs/>
          <w:sz w:val="28"/>
          <w:szCs w:val="28"/>
        </w:rPr>
        <w:t>Dr</w:t>
      </w:r>
      <w:r w:rsidR="00532B43" w:rsidRPr="005F52BE">
        <w:rPr>
          <w:rFonts w:ascii="Arial" w:hAnsi="Arial" w:cs="Arial"/>
          <w:b/>
          <w:bCs/>
          <w:sz w:val="28"/>
          <w:szCs w:val="28"/>
        </w:rPr>
        <w:t xml:space="preserve"> </w:t>
      </w:r>
      <w:proofErr w:type="spellStart"/>
      <w:r w:rsidR="00D059D7" w:rsidRPr="005F52BE">
        <w:rPr>
          <w:rFonts w:ascii="Arial" w:hAnsi="Arial" w:cs="Arial"/>
          <w:b/>
          <w:bCs/>
          <w:sz w:val="28"/>
          <w:szCs w:val="28"/>
        </w:rPr>
        <w:t>Shengfeng</w:t>
      </w:r>
      <w:proofErr w:type="spellEnd"/>
      <w:r w:rsidR="00D059D7" w:rsidRPr="005F52BE">
        <w:rPr>
          <w:rFonts w:ascii="Arial" w:hAnsi="Arial" w:cs="Arial"/>
          <w:b/>
          <w:bCs/>
          <w:sz w:val="28"/>
          <w:szCs w:val="28"/>
        </w:rPr>
        <w:t xml:space="preserve"> </w:t>
      </w:r>
      <w:r w:rsidR="00005BEF" w:rsidRPr="005F52BE">
        <w:rPr>
          <w:rFonts w:ascii="Arial" w:hAnsi="Arial" w:cs="Arial"/>
          <w:b/>
          <w:bCs/>
          <w:sz w:val="28"/>
          <w:szCs w:val="28"/>
        </w:rPr>
        <w:t>Mei</w:t>
      </w:r>
    </w:p>
    <w:p w14:paraId="30100EA5" w14:textId="77777777" w:rsidR="00756136" w:rsidRPr="005F52BE" w:rsidRDefault="00756136" w:rsidP="00756136">
      <w:pPr>
        <w:spacing w:line="259" w:lineRule="auto"/>
        <w:jc w:val="center"/>
        <w:rPr>
          <w:rFonts w:ascii="Arial" w:hAnsi="Arial" w:cs="Arial"/>
          <w:b/>
          <w:bCs/>
          <w:sz w:val="28"/>
          <w:szCs w:val="28"/>
        </w:rPr>
      </w:pPr>
    </w:p>
    <w:p w14:paraId="730E9EFD" w14:textId="77777777" w:rsidR="00756136" w:rsidRPr="005F52BE" w:rsidRDefault="00756136" w:rsidP="00756136">
      <w:pPr>
        <w:spacing w:line="259" w:lineRule="auto"/>
        <w:rPr>
          <w:rFonts w:ascii="Arial" w:hAnsi="Arial" w:cs="Arial"/>
          <w:b/>
          <w:bCs/>
          <w:sz w:val="28"/>
          <w:szCs w:val="28"/>
        </w:rPr>
      </w:pPr>
    </w:p>
    <w:p w14:paraId="12F641F4" w14:textId="77777777" w:rsidR="00756136" w:rsidRPr="005F52BE" w:rsidRDefault="00756136" w:rsidP="00756136">
      <w:pPr>
        <w:spacing w:line="259" w:lineRule="auto"/>
        <w:jc w:val="center"/>
        <w:rPr>
          <w:rFonts w:ascii="Arial" w:hAnsi="Arial" w:cs="Arial"/>
          <w:b/>
          <w:bCs/>
          <w:sz w:val="28"/>
          <w:szCs w:val="28"/>
        </w:rPr>
      </w:pPr>
      <w:r w:rsidRPr="005F52BE">
        <w:rPr>
          <w:rFonts w:ascii="Arial" w:hAnsi="Arial" w:cs="Arial"/>
          <w:b/>
          <w:bCs/>
          <w:sz w:val="28"/>
          <w:szCs w:val="28"/>
        </w:rPr>
        <w:t>Student Name: Durjoy Kumar Kundu</w:t>
      </w:r>
    </w:p>
    <w:p w14:paraId="0C4CF2CE" w14:textId="77777777" w:rsidR="00756136" w:rsidRPr="005F52BE" w:rsidRDefault="00756136" w:rsidP="00756136">
      <w:pPr>
        <w:spacing w:line="259" w:lineRule="auto"/>
        <w:jc w:val="center"/>
        <w:rPr>
          <w:rFonts w:ascii="Arial" w:hAnsi="Arial" w:cs="Arial"/>
          <w:b/>
          <w:bCs/>
          <w:sz w:val="28"/>
          <w:szCs w:val="28"/>
        </w:rPr>
      </w:pPr>
      <w:r w:rsidRPr="005F52BE">
        <w:rPr>
          <w:rFonts w:ascii="Arial" w:hAnsi="Arial" w:cs="Arial"/>
          <w:b/>
          <w:bCs/>
          <w:sz w:val="28"/>
          <w:szCs w:val="28"/>
        </w:rPr>
        <w:t>Student ID: 2503600</w:t>
      </w:r>
    </w:p>
    <w:p w14:paraId="7F0B6F0C" w14:textId="77777777" w:rsidR="00756136" w:rsidRPr="005F52BE" w:rsidRDefault="00756136" w:rsidP="00756136">
      <w:pPr>
        <w:spacing w:line="259" w:lineRule="auto"/>
        <w:jc w:val="center"/>
        <w:rPr>
          <w:rFonts w:ascii="Arial" w:hAnsi="Arial" w:cs="Arial"/>
          <w:b/>
          <w:bCs/>
          <w:sz w:val="28"/>
          <w:szCs w:val="28"/>
        </w:rPr>
      </w:pPr>
    </w:p>
    <w:p w14:paraId="74B0119F" w14:textId="77777777" w:rsidR="00756136" w:rsidRPr="005F52BE" w:rsidRDefault="00756136" w:rsidP="00756136">
      <w:pPr>
        <w:spacing w:line="259" w:lineRule="auto"/>
        <w:jc w:val="center"/>
        <w:rPr>
          <w:rFonts w:ascii="Arial" w:hAnsi="Arial" w:cs="Arial"/>
          <w:b/>
          <w:bCs/>
          <w:sz w:val="28"/>
          <w:szCs w:val="28"/>
        </w:rPr>
      </w:pPr>
    </w:p>
    <w:p w14:paraId="21A1011E" w14:textId="77777777" w:rsidR="00756136" w:rsidRPr="005F52BE" w:rsidRDefault="00756136" w:rsidP="00756136">
      <w:pPr>
        <w:spacing w:line="259" w:lineRule="auto"/>
        <w:jc w:val="center"/>
        <w:rPr>
          <w:rFonts w:ascii="Arial" w:hAnsi="Arial" w:cs="Arial"/>
          <w:b/>
          <w:bCs/>
          <w:sz w:val="28"/>
          <w:szCs w:val="28"/>
        </w:rPr>
      </w:pPr>
    </w:p>
    <w:p w14:paraId="38B49538" w14:textId="73247498" w:rsidR="00756136" w:rsidRPr="005F52BE" w:rsidRDefault="00756136" w:rsidP="00756136">
      <w:pPr>
        <w:spacing w:line="259" w:lineRule="auto"/>
        <w:jc w:val="center"/>
        <w:rPr>
          <w:rFonts w:ascii="Arial" w:hAnsi="Arial" w:cs="Arial"/>
          <w:b/>
          <w:bCs/>
          <w:sz w:val="28"/>
          <w:szCs w:val="28"/>
        </w:rPr>
      </w:pPr>
      <w:r w:rsidRPr="005F52BE">
        <w:rPr>
          <w:rFonts w:ascii="Arial" w:hAnsi="Arial" w:cs="Arial"/>
          <w:b/>
          <w:bCs/>
          <w:sz w:val="28"/>
          <w:szCs w:val="28"/>
        </w:rPr>
        <w:t>Word Count:</w:t>
      </w:r>
      <w:r w:rsidR="00B97329" w:rsidRPr="005F52BE">
        <w:rPr>
          <w:rFonts w:ascii="Arial" w:hAnsi="Arial" w:cs="Arial"/>
          <w:b/>
          <w:bCs/>
          <w:sz w:val="28"/>
          <w:szCs w:val="28"/>
        </w:rPr>
        <w:t xml:space="preserve"> 5320</w:t>
      </w:r>
    </w:p>
    <w:p w14:paraId="02CD5D77" w14:textId="49640985" w:rsidR="00756136" w:rsidRPr="005F52BE" w:rsidRDefault="00756136" w:rsidP="00756136">
      <w:pPr>
        <w:spacing w:line="259" w:lineRule="auto"/>
        <w:jc w:val="center"/>
        <w:rPr>
          <w:rFonts w:ascii="Arial" w:hAnsi="Arial" w:cs="Arial"/>
          <w:b/>
          <w:bCs/>
          <w:sz w:val="28"/>
          <w:szCs w:val="28"/>
        </w:rPr>
      </w:pPr>
      <w:r w:rsidRPr="005F52BE">
        <w:rPr>
          <w:rFonts w:ascii="Arial" w:hAnsi="Arial" w:cs="Arial"/>
          <w:b/>
          <w:bCs/>
          <w:sz w:val="28"/>
          <w:szCs w:val="28"/>
        </w:rPr>
        <w:t xml:space="preserve">Submission Date: </w:t>
      </w:r>
      <w:r w:rsidR="00AC7BD4" w:rsidRPr="005F52BE">
        <w:rPr>
          <w:rFonts w:ascii="Arial" w:hAnsi="Arial" w:cs="Arial"/>
          <w:b/>
          <w:bCs/>
          <w:sz w:val="28"/>
          <w:szCs w:val="28"/>
        </w:rPr>
        <w:t>22</w:t>
      </w:r>
      <w:r w:rsidR="00FA390B" w:rsidRPr="005F52BE">
        <w:rPr>
          <w:rFonts w:ascii="Arial" w:hAnsi="Arial" w:cs="Arial"/>
          <w:b/>
          <w:bCs/>
          <w:sz w:val="28"/>
          <w:szCs w:val="28"/>
          <w:vertAlign w:val="superscript"/>
        </w:rPr>
        <w:t>nd</w:t>
      </w:r>
      <w:r w:rsidRPr="005F52BE">
        <w:rPr>
          <w:rFonts w:ascii="Arial" w:hAnsi="Arial" w:cs="Arial"/>
          <w:b/>
          <w:bCs/>
          <w:sz w:val="28"/>
          <w:szCs w:val="28"/>
        </w:rPr>
        <w:t xml:space="preserve"> </w:t>
      </w:r>
      <w:r w:rsidR="00FA390B" w:rsidRPr="005F52BE">
        <w:rPr>
          <w:rFonts w:ascii="Arial" w:hAnsi="Arial" w:cs="Arial"/>
          <w:b/>
          <w:bCs/>
          <w:sz w:val="28"/>
          <w:szCs w:val="28"/>
        </w:rPr>
        <w:t>Dec</w:t>
      </w:r>
      <w:r w:rsidRPr="005F52BE">
        <w:rPr>
          <w:rFonts w:ascii="Arial" w:hAnsi="Arial" w:cs="Arial"/>
          <w:b/>
          <w:bCs/>
          <w:sz w:val="28"/>
          <w:szCs w:val="28"/>
        </w:rPr>
        <w:t>ember 2025</w:t>
      </w:r>
    </w:p>
    <w:p w14:paraId="7CCBB3A5" w14:textId="717B943B" w:rsidR="00095B2B" w:rsidRPr="005F52BE" w:rsidRDefault="00095B2B">
      <w:pPr>
        <w:rPr>
          <w:rFonts w:ascii="Arial" w:hAnsi="Arial" w:cs="Arial"/>
          <w:sz w:val="28"/>
          <w:szCs w:val="28"/>
        </w:rPr>
      </w:pPr>
    </w:p>
    <w:p w14:paraId="3C5600A0" w14:textId="77777777" w:rsidR="00756136" w:rsidRPr="00A343CD" w:rsidRDefault="00756136">
      <w:pPr>
        <w:rPr>
          <w:rFonts w:ascii="Arial" w:hAnsi="Arial" w:cs="Arial"/>
        </w:rPr>
      </w:pPr>
    </w:p>
    <w:bookmarkStart w:id="0" w:name="_Toc217294999" w:displacedByCustomXml="next"/>
    <w:sdt>
      <w:sdtPr>
        <w:rPr>
          <w:rFonts w:ascii="Arial" w:eastAsiaTheme="minorHAnsi" w:hAnsi="Arial" w:cs="Arial"/>
          <w:b w:val="0"/>
          <w:bCs w:val="0"/>
          <w:color w:val="auto"/>
          <w:sz w:val="24"/>
          <w:szCs w:val="22"/>
        </w:rPr>
        <w:id w:val="1216928178"/>
        <w:docPartObj>
          <w:docPartGallery w:val="Table of Contents"/>
          <w:docPartUnique/>
        </w:docPartObj>
      </w:sdtPr>
      <w:sdtContent>
        <w:p w14:paraId="6C705E44" w14:textId="70310972" w:rsidR="00047D0B" w:rsidRPr="00A343CD" w:rsidRDefault="00047D0B">
          <w:pPr>
            <w:pStyle w:val="TOCHeading"/>
            <w:rPr>
              <w:rFonts w:ascii="Arial" w:hAnsi="Arial" w:cs="Arial"/>
            </w:rPr>
          </w:pPr>
          <w:r w:rsidRPr="00A343CD">
            <w:rPr>
              <w:rFonts w:ascii="Arial" w:hAnsi="Arial" w:cs="Arial"/>
            </w:rPr>
            <w:t>Table of Contents</w:t>
          </w:r>
        </w:p>
        <w:p w14:paraId="4152DE13" w14:textId="3A5C4951" w:rsidR="00520413" w:rsidRDefault="00047D0B">
          <w:pPr>
            <w:pStyle w:val="TOC1"/>
            <w:tabs>
              <w:tab w:val="right" w:leader="dot" w:pos="9016"/>
            </w:tabs>
            <w:rPr>
              <w:rFonts w:asciiTheme="minorHAnsi" w:hAnsiTheme="minorHAnsi"/>
              <w:noProof/>
              <w:kern w:val="2"/>
              <w:szCs w:val="24"/>
              <w:lang w:eastAsia="en-GB"/>
              <w14:ligatures w14:val="standardContextual"/>
            </w:rPr>
          </w:pPr>
          <w:r w:rsidRPr="00A343CD">
            <w:rPr>
              <w:rFonts w:ascii="Arial" w:hAnsi="Arial" w:cs="Arial"/>
            </w:rPr>
            <w:fldChar w:fldCharType="begin"/>
          </w:r>
          <w:r w:rsidRPr="00A343CD">
            <w:rPr>
              <w:rFonts w:ascii="Arial" w:hAnsi="Arial" w:cs="Arial"/>
            </w:rPr>
            <w:instrText xml:space="preserve"> TOC \o "1-3" \h \z \u </w:instrText>
          </w:r>
          <w:r w:rsidRPr="00A343CD">
            <w:rPr>
              <w:rFonts w:ascii="Arial" w:hAnsi="Arial" w:cs="Arial"/>
            </w:rPr>
            <w:fldChar w:fldCharType="separate"/>
          </w:r>
          <w:hyperlink w:anchor="_Toc217298607" w:history="1">
            <w:r w:rsidR="00520413" w:rsidRPr="00C40F1E">
              <w:rPr>
                <w:rStyle w:val="Hyperlink"/>
                <w:rFonts w:ascii="Arial" w:hAnsi="Arial" w:cs="Arial"/>
                <w:noProof/>
              </w:rPr>
              <w:t>1. Financial Health Check</w:t>
            </w:r>
            <w:r w:rsidR="00520413">
              <w:rPr>
                <w:noProof/>
                <w:webHidden/>
              </w:rPr>
              <w:tab/>
            </w:r>
            <w:r w:rsidR="00520413">
              <w:rPr>
                <w:noProof/>
                <w:webHidden/>
              </w:rPr>
              <w:fldChar w:fldCharType="begin"/>
            </w:r>
            <w:r w:rsidR="00520413">
              <w:rPr>
                <w:noProof/>
                <w:webHidden/>
              </w:rPr>
              <w:instrText xml:space="preserve"> PAGEREF _Toc217298607 \h </w:instrText>
            </w:r>
            <w:r w:rsidR="00520413">
              <w:rPr>
                <w:noProof/>
                <w:webHidden/>
              </w:rPr>
            </w:r>
            <w:r w:rsidR="00520413">
              <w:rPr>
                <w:noProof/>
                <w:webHidden/>
              </w:rPr>
              <w:fldChar w:fldCharType="separate"/>
            </w:r>
            <w:r w:rsidR="00520413">
              <w:rPr>
                <w:noProof/>
                <w:webHidden/>
              </w:rPr>
              <w:t>4</w:t>
            </w:r>
            <w:r w:rsidR="00520413">
              <w:rPr>
                <w:noProof/>
                <w:webHidden/>
              </w:rPr>
              <w:fldChar w:fldCharType="end"/>
            </w:r>
          </w:hyperlink>
        </w:p>
        <w:p w14:paraId="231E6914" w14:textId="132786FC"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08" w:history="1">
            <w:r w:rsidRPr="00C40F1E">
              <w:rPr>
                <w:rStyle w:val="Hyperlink"/>
                <w:rFonts w:ascii="Arial" w:hAnsi="Arial" w:cs="Arial"/>
                <w:noProof/>
              </w:rPr>
              <w:t>1.1 Analysis of the firm’s financial statements</w:t>
            </w:r>
            <w:r>
              <w:rPr>
                <w:noProof/>
                <w:webHidden/>
              </w:rPr>
              <w:tab/>
            </w:r>
            <w:r>
              <w:rPr>
                <w:noProof/>
                <w:webHidden/>
              </w:rPr>
              <w:fldChar w:fldCharType="begin"/>
            </w:r>
            <w:r>
              <w:rPr>
                <w:noProof/>
                <w:webHidden/>
              </w:rPr>
              <w:instrText xml:space="preserve"> PAGEREF _Toc217298608 \h </w:instrText>
            </w:r>
            <w:r>
              <w:rPr>
                <w:noProof/>
                <w:webHidden/>
              </w:rPr>
            </w:r>
            <w:r>
              <w:rPr>
                <w:noProof/>
                <w:webHidden/>
              </w:rPr>
              <w:fldChar w:fldCharType="separate"/>
            </w:r>
            <w:r>
              <w:rPr>
                <w:noProof/>
                <w:webHidden/>
              </w:rPr>
              <w:t>4</w:t>
            </w:r>
            <w:r>
              <w:rPr>
                <w:noProof/>
                <w:webHidden/>
              </w:rPr>
              <w:fldChar w:fldCharType="end"/>
            </w:r>
          </w:hyperlink>
        </w:p>
        <w:p w14:paraId="60B1E680" w14:textId="2AD841CE"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09" w:history="1">
            <w:r w:rsidRPr="00C40F1E">
              <w:rPr>
                <w:rStyle w:val="Hyperlink"/>
                <w:rFonts w:ascii="Arial" w:hAnsi="Arial" w:cs="Arial"/>
                <w:noProof/>
              </w:rPr>
              <w:t>1.2. Ratio Analysis</w:t>
            </w:r>
            <w:r>
              <w:rPr>
                <w:noProof/>
                <w:webHidden/>
              </w:rPr>
              <w:tab/>
            </w:r>
            <w:r>
              <w:rPr>
                <w:noProof/>
                <w:webHidden/>
              </w:rPr>
              <w:fldChar w:fldCharType="begin"/>
            </w:r>
            <w:r>
              <w:rPr>
                <w:noProof/>
                <w:webHidden/>
              </w:rPr>
              <w:instrText xml:space="preserve"> PAGEREF _Toc217298609 \h </w:instrText>
            </w:r>
            <w:r>
              <w:rPr>
                <w:noProof/>
                <w:webHidden/>
              </w:rPr>
            </w:r>
            <w:r>
              <w:rPr>
                <w:noProof/>
                <w:webHidden/>
              </w:rPr>
              <w:fldChar w:fldCharType="separate"/>
            </w:r>
            <w:r>
              <w:rPr>
                <w:noProof/>
                <w:webHidden/>
              </w:rPr>
              <w:t>6</w:t>
            </w:r>
            <w:r>
              <w:rPr>
                <w:noProof/>
                <w:webHidden/>
              </w:rPr>
              <w:fldChar w:fldCharType="end"/>
            </w:r>
          </w:hyperlink>
        </w:p>
        <w:p w14:paraId="23E4AC38" w14:textId="3F7FFDC8" w:rsidR="00520413" w:rsidRDefault="00520413">
          <w:pPr>
            <w:pStyle w:val="TOC3"/>
            <w:tabs>
              <w:tab w:val="right" w:leader="dot" w:pos="9016"/>
            </w:tabs>
            <w:rPr>
              <w:rFonts w:asciiTheme="minorHAnsi" w:hAnsiTheme="minorHAnsi"/>
              <w:noProof/>
              <w:kern w:val="2"/>
              <w:szCs w:val="24"/>
              <w:lang w:eastAsia="en-GB"/>
              <w14:ligatures w14:val="standardContextual"/>
            </w:rPr>
          </w:pPr>
          <w:hyperlink w:anchor="_Toc217298610" w:history="1">
            <w:r w:rsidRPr="00C40F1E">
              <w:rPr>
                <w:rStyle w:val="Hyperlink"/>
                <w:rFonts w:ascii="Arial" w:hAnsi="Arial" w:cs="Arial"/>
                <w:noProof/>
              </w:rPr>
              <w:t>1.2.1 Profitability</w:t>
            </w:r>
            <w:r>
              <w:rPr>
                <w:noProof/>
                <w:webHidden/>
              </w:rPr>
              <w:tab/>
            </w:r>
            <w:r>
              <w:rPr>
                <w:noProof/>
                <w:webHidden/>
              </w:rPr>
              <w:fldChar w:fldCharType="begin"/>
            </w:r>
            <w:r>
              <w:rPr>
                <w:noProof/>
                <w:webHidden/>
              </w:rPr>
              <w:instrText xml:space="preserve"> PAGEREF _Toc217298610 \h </w:instrText>
            </w:r>
            <w:r>
              <w:rPr>
                <w:noProof/>
                <w:webHidden/>
              </w:rPr>
            </w:r>
            <w:r>
              <w:rPr>
                <w:noProof/>
                <w:webHidden/>
              </w:rPr>
              <w:fldChar w:fldCharType="separate"/>
            </w:r>
            <w:r>
              <w:rPr>
                <w:noProof/>
                <w:webHidden/>
              </w:rPr>
              <w:t>6</w:t>
            </w:r>
            <w:r>
              <w:rPr>
                <w:noProof/>
                <w:webHidden/>
              </w:rPr>
              <w:fldChar w:fldCharType="end"/>
            </w:r>
          </w:hyperlink>
        </w:p>
        <w:p w14:paraId="16AFB384" w14:textId="71D8C087" w:rsidR="00520413" w:rsidRDefault="00520413">
          <w:pPr>
            <w:pStyle w:val="TOC3"/>
            <w:tabs>
              <w:tab w:val="right" w:leader="dot" w:pos="9016"/>
            </w:tabs>
            <w:rPr>
              <w:rFonts w:asciiTheme="minorHAnsi" w:hAnsiTheme="minorHAnsi"/>
              <w:noProof/>
              <w:kern w:val="2"/>
              <w:szCs w:val="24"/>
              <w:lang w:eastAsia="en-GB"/>
              <w14:ligatures w14:val="standardContextual"/>
            </w:rPr>
          </w:pPr>
          <w:hyperlink w:anchor="_Toc217298611" w:history="1">
            <w:r w:rsidRPr="00C40F1E">
              <w:rPr>
                <w:rStyle w:val="Hyperlink"/>
                <w:rFonts w:ascii="Arial" w:hAnsi="Arial" w:cs="Arial"/>
                <w:noProof/>
              </w:rPr>
              <w:t>1.2.2 Liquidity</w:t>
            </w:r>
            <w:r>
              <w:rPr>
                <w:noProof/>
                <w:webHidden/>
              </w:rPr>
              <w:tab/>
            </w:r>
            <w:r>
              <w:rPr>
                <w:noProof/>
                <w:webHidden/>
              </w:rPr>
              <w:fldChar w:fldCharType="begin"/>
            </w:r>
            <w:r>
              <w:rPr>
                <w:noProof/>
                <w:webHidden/>
              </w:rPr>
              <w:instrText xml:space="preserve"> PAGEREF _Toc217298611 \h </w:instrText>
            </w:r>
            <w:r>
              <w:rPr>
                <w:noProof/>
                <w:webHidden/>
              </w:rPr>
            </w:r>
            <w:r>
              <w:rPr>
                <w:noProof/>
                <w:webHidden/>
              </w:rPr>
              <w:fldChar w:fldCharType="separate"/>
            </w:r>
            <w:r>
              <w:rPr>
                <w:noProof/>
                <w:webHidden/>
              </w:rPr>
              <w:t>7</w:t>
            </w:r>
            <w:r>
              <w:rPr>
                <w:noProof/>
                <w:webHidden/>
              </w:rPr>
              <w:fldChar w:fldCharType="end"/>
            </w:r>
          </w:hyperlink>
        </w:p>
        <w:p w14:paraId="6D869A41" w14:textId="0E802A23" w:rsidR="00520413" w:rsidRDefault="00520413">
          <w:pPr>
            <w:pStyle w:val="TOC3"/>
            <w:tabs>
              <w:tab w:val="right" w:leader="dot" w:pos="9016"/>
            </w:tabs>
            <w:rPr>
              <w:rFonts w:asciiTheme="minorHAnsi" w:hAnsiTheme="minorHAnsi"/>
              <w:noProof/>
              <w:kern w:val="2"/>
              <w:szCs w:val="24"/>
              <w:lang w:eastAsia="en-GB"/>
              <w14:ligatures w14:val="standardContextual"/>
            </w:rPr>
          </w:pPr>
          <w:hyperlink w:anchor="_Toc217298612" w:history="1">
            <w:r w:rsidRPr="00C40F1E">
              <w:rPr>
                <w:rStyle w:val="Hyperlink"/>
                <w:rFonts w:ascii="Arial" w:hAnsi="Arial" w:cs="Arial"/>
                <w:noProof/>
              </w:rPr>
              <w:t>1.2.3 Asset efficiency</w:t>
            </w:r>
            <w:r>
              <w:rPr>
                <w:noProof/>
                <w:webHidden/>
              </w:rPr>
              <w:tab/>
            </w:r>
            <w:r>
              <w:rPr>
                <w:noProof/>
                <w:webHidden/>
              </w:rPr>
              <w:fldChar w:fldCharType="begin"/>
            </w:r>
            <w:r>
              <w:rPr>
                <w:noProof/>
                <w:webHidden/>
              </w:rPr>
              <w:instrText xml:space="preserve"> PAGEREF _Toc217298612 \h </w:instrText>
            </w:r>
            <w:r>
              <w:rPr>
                <w:noProof/>
                <w:webHidden/>
              </w:rPr>
            </w:r>
            <w:r>
              <w:rPr>
                <w:noProof/>
                <w:webHidden/>
              </w:rPr>
              <w:fldChar w:fldCharType="separate"/>
            </w:r>
            <w:r>
              <w:rPr>
                <w:noProof/>
                <w:webHidden/>
              </w:rPr>
              <w:t>7</w:t>
            </w:r>
            <w:r>
              <w:rPr>
                <w:noProof/>
                <w:webHidden/>
              </w:rPr>
              <w:fldChar w:fldCharType="end"/>
            </w:r>
          </w:hyperlink>
        </w:p>
        <w:p w14:paraId="5FD89E81" w14:textId="71CEF17B" w:rsidR="00520413" w:rsidRDefault="00520413">
          <w:pPr>
            <w:pStyle w:val="TOC3"/>
            <w:tabs>
              <w:tab w:val="right" w:leader="dot" w:pos="9016"/>
            </w:tabs>
            <w:rPr>
              <w:rFonts w:asciiTheme="minorHAnsi" w:hAnsiTheme="minorHAnsi"/>
              <w:noProof/>
              <w:kern w:val="2"/>
              <w:szCs w:val="24"/>
              <w:lang w:eastAsia="en-GB"/>
              <w14:ligatures w14:val="standardContextual"/>
            </w:rPr>
          </w:pPr>
          <w:hyperlink w:anchor="_Toc217298613" w:history="1">
            <w:r w:rsidRPr="00C40F1E">
              <w:rPr>
                <w:rStyle w:val="Hyperlink"/>
                <w:rFonts w:ascii="Arial" w:hAnsi="Arial" w:cs="Arial"/>
                <w:noProof/>
              </w:rPr>
              <w:t>1.2.4 Gearing, interest cover and solvency risk.</w:t>
            </w:r>
            <w:r>
              <w:rPr>
                <w:noProof/>
                <w:webHidden/>
              </w:rPr>
              <w:tab/>
            </w:r>
            <w:r>
              <w:rPr>
                <w:noProof/>
                <w:webHidden/>
              </w:rPr>
              <w:fldChar w:fldCharType="begin"/>
            </w:r>
            <w:r>
              <w:rPr>
                <w:noProof/>
                <w:webHidden/>
              </w:rPr>
              <w:instrText xml:space="preserve"> PAGEREF _Toc217298613 \h </w:instrText>
            </w:r>
            <w:r>
              <w:rPr>
                <w:noProof/>
                <w:webHidden/>
              </w:rPr>
            </w:r>
            <w:r>
              <w:rPr>
                <w:noProof/>
                <w:webHidden/>
              </w:rPr>
              <w:fldChar w:fldCharType="separate"/>
            </w:r>
            <w:r>
              <w:rPr>
                <w:noProof/>
                <w:webHidden/>
              </w:rPr>
              <w:t>7</w:t>
            </w:r>
            <w:r>
              <w:rPr>
                <w:noProof/>
                <w:webHidden/>
              </w:rPr>
              <w:fldChar w:fldCharType="end"/>
            </w:r>
          </w:hyperlink>
        </w:p>
        <w:p w14:paraId="1445B47A" w14:textId="0E6AD26D"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14" w:history="1">
            <w:r w:rsidRPr="00C40F1E">
              <w:rPr>
                <w:rStyle w:val="Hyperlink"/>
                <w:rFonts w:ascii="Arial" w:hAnsi="Arial" w:cs="Arial"/>
                <w:noProof/>
              </w:rPr>
              <w:t>1.3.  Strengths, and Threats</w:t>
            </w:r>
            <w:r>
              <w:rPr>
                <w:noProof/>
                <w:webHidden/>
              </w:rPr>
              <w:tab/>
            </w:r>
            <w:r>
              <w:rPr>
                <w:noProof/>
                <w:webHidden/>
              </w:rPr>
              <w:fldChar w:fldCharType="begin"/>
            </w:r>
            <w:r>
              <w:rPr>
                <w:noProof/>
                <w:webHidden/>
              </w:rPr>
              <w:instrText xml:space="preserve"> PAGEREF _Toc217298614 \h </w:instrText>
            </w:r>
            <w:r>
              <w:rPr>
                <w:noProof/>
                <w:webHidden/>
              </w:rPr>
            </w:r>
            <w:r>
              <w:rPr>
                <w:noProof/>
                <w:webHidden/>
              </w:rPr>
              <w:fldChar w:fldCharType="separate"/>
            </w:r>
            <w:r>
              <w:rPr>
                <w:noProof/>
                <w:webHidden/>
              </w:rPr>
              <w:t>8</w:t>
            </w:r>
            <w:r>
              <w:rPr>
                <w:noProof/>
                <w:webHidden/>
              </w:rPr>
              <w:fldChar w:fldCharType="end"/>
            </w:r>
          </w:hyperlink>
        </w:p>
        <w:p w14:paraId="5129583A" w14:textId="1FF1FC0D" w:rsidR="00520413" w:rsidRDefault="00520413">
          <w:pPr>
            <w:pStyle w:val="TOC3"/>
            <w:tabs>
              <w:tab w:val="right" w:leader="dot" w:pos="9016"/>
            </w:tabs>
            <w:rPr>
              <w:rFonts w:asciiTheme="minorHAnsi" w:hAnsiTheme="minorHAnsi"/>
              <w:noProof/>
              <w:kern w:val="2"/>
              <w:szCs w:val="24"/>
              <w:lang w:eastAsia="en-GB"/>
              <w14:ligatures w14:val="standardContextual"/>
            </w:rPr>
          </w:pPr>
          <w:hyperlink w:anchor="_Toc217298615" w:history="1">
            <w:r w:rsidRPr="00C40F1E">
              <w:rPr>
                <w:rStyle w:val="Hyperlink"/>
                <w:rFonts w:ascii="Arial" w:hAnsi="Arial" w:cs="Arial"/>
                <w:noProof/>
              </w:rPr>
              <w:t>1.3.1 SWOT</w:t>
            </w:r>
            <w:r>
              <w:rPr>
                <w:noProof/>
                <w:webHidden/>
              </w:rPr>
              <w:tab/>
            </w:r>
            <w:r>
              <w:rPr>
                <w:noProof/>
                <w:webHidden/>
              </w:rPr>
              <w:fldChar w:fldCharType="begin"/>
            </w:r>
            <w:r>
              <w:rPr>
                <w:noProof/>
                <w:webHidden/>
              </w:rPr>
              <w:instrText xml:space="preserve"> PAGEREF _Toc217298615 \h </w:instrText>
            </w:r>
            <w:r>
              <w:rPr>
                <w:noProof/>
                <w:webHidden/>
              </w:rPr>
            </w:r>
            <w:r>
              <w:rPr>
                <w:noProof/>
                <w:webHidden/>
              </w:rPr>
              <w:fldChar w:fldCharType="separate"/>
            </w:r>
            <w:r>
              <w:rPr>
                <w:noProof/>
                <w:webHidden/>
              </w:rPr>
              <w:t>8</w:t>
            </w:r>
            <w:r>
              <w:rPr>
                <w:noProof/>
                <w:webHidden/>
              </w:rPr>
              <w:fldChar w:fldCharType="end"/>
            </w:r>
          </w:hyperlink>
        </w:p>
        <w:p w14:paraId="3A2A93D8" w14:textId="600C528C"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16" w:history="1">
            <w:r w:rsidRPr="00C40F1E">
              <w:rPr>
                <w:rStyle w:val="Hyperlink"/>
                <w:rFonts w:ascii="Arial" w:hAnsi="Arial" w:cs="Arial"/>
                <w:noProof/>
              </w:rPr>
              <w:t>1.4. Altman Z</w:t>
            </w:r>
            <w:r w:rsidRPr="00C40F1E">
              <w:rPr>
                <w:rStyle w:val="Hyperlink"/>
                <w:rFonts w:ascii="Cambria Math" w:hAnsi="Cambria Math" w:cs="Cambria Math"/>
                <w:noProof/>
              </w:rPr>
              <w:t>‑</w:t>
            </w:r>
            <w:r w:rsidRPr="00C40F1E">
              <w:rPr>
                <w:rStyle w:val="Hyperlink"/>
                <w:rFonts w:ascii="Arial" w:hAnsi="Arial" w:cs="Arial"/>
                <w:noProof/>
              </w:rPr>
              <w:t>Score</w:t>
            </w:r>
            <w:r>
              <w:rPr>
                <w:noProof/>
                <w:webHidden/>
              </w:rPr>
              <w:tab/>
            </w:r>
            <w:r>
              <w:rPr>
                <w:noProof/>
                <w:webHidden/>
              </w:rPr>
              <w:fldChar w:fldCharType="begin"/>
            </w:r>
            <w:r>
              <w:rPr>
                <w:noProof/>
                <w:webHidden/>
              </w:rPr>
              <w:instrText xml:space="preserve"> PAGEREF _Toc217298616 \h </w:instrText>
            </w:r>
            <w:r>
              <w:rPr>
                <w:noProof/>
                <w:webHidden/>
              </w:rPr>
            </w:r>
            <w:r>
              <w:rPr>
                <w:noProof/>
                <w:webHidden/>
              </w:rPr>
              <w:fldChar w:fldCharType="separate"/>
            </w:r>
            <w:r>
              <w:rPr>
                <w:noProof/>
                <w:webHidden/>
              </w:rPr>
              <w:t>8</w:t>
            </w:r>
            <w:r>
              <w:rPr>
                <w:noProof/>
                <w:webHidden/>
              </w:rPr>
              <w:fldChar w:fldCharType="end"/>
            </w:r>
          </w:hyperlink>
        </w:p>
        <w:p w14:paraId="0E769918" w14:textId="2C84A62D" w:rsidR="00520413" w:rsidRDefault="00520413">
          <w:pPr>
            <w:pStyle w:val="TOC1"/>
            <w:tabs>
              <w:tab w:val="right" w:leader="dot" w:pos="9016"/>
            </w:tabs>
            <w:rPr>
              <w:rFonts w:asciiTheme="minorHAnsi" w:hAnsiTheme="minorHAnsi"/>
              <w:noProof/>
              <w:kern w:val="2"/>
              <w:szCs w:val="24"/>
              <w:lang w:eastAsia="en-GB"/>
              <w14:ligatures w14:val="standardContextual"/>
            </w:rPr>
          </w:pPr>
          <w:hyperlink w:anchor="_Toc217298617" w:history="1">
            <w:r w:rsidRPr="00C40F1E">
              <w:rPr>
                <w:rStyle w:val="Hyperlink"/>
                <w:rFonts w:ascii="Arial" w:hAnsi="Arial" w:cs="Arial"/>
                <w:noProof/>
              </w:rPr>
              <w:t>2. Working Capital Management Analysis</w:t>
            </w:r>
            <w:r>
              <w:rPr>
                <w:noProof/>
                <w:webHidden/>
              </w:rPr>
              <w:tab/>
            </w:r>
            <w:r>
              <w:rPr>
                <w:noProof/>
                <w:webHidden/>
              </w:rPr>
              <w:fldChar w:fldCharType="begin"/>
            </w:r>
            <w:r>
              <w:rPr>
                <w:noProof/>
                <w:webHidden/>
              </w:rPr>
              <w:instrText xml:space="preserve"> PAGEREF _Toc217298617 \h </w:instrText>
            </w:r>
            <w:r>
              <w:rPr>
                <w:noProof/>
                <w:webHidden/>
              </w:rPr>
            </w:r>
            <w:r>
              <w:rPr>
                <w:noProof/>
                <w:webHidden/>
              </w:rPr>
              <w:fldChar w:fldCharType="separate"/>
            </w:r>
            <w:r>
              <w:rPr>
                <w:noProof/>
                <w:webHidden/>
              </w:rPr>
              <w:t>10</w:t>
            </w:r>
            <w:r>
              <w:rPr>
                <w:noProof/>
                <w:webHidden/>
              </w:rPr>
              <w:fldChar w:fldCharType="end"/>
            </w:r>
          </w:hyperlink>
        </w:p>
        <w:p w14:paraId="76DBD61A" w14:textId="12072432"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18" w:history="1">
            <w:r w:rsidRPr="00C40F1E">
              <w:rPr>
                <w:rStyle w:val="Hyperlink"/>
                <w:rFonts w:ascii="Arial" w:hAnsi="Arial" w:cs="Arial"/>
                <w:noProof/>
              </w:rPr>
              <w:t>2.1 Cash Operating Cycle</w:t>
            </w:r>
            <w:r>
              <w:rPr>
                <w:noProof/>
                <w:webHidden/>
              </w:rPr>
              <w:tab/>
            </w:r>
            <w:r>
              <w:rPr>
                <w:noProof/>
                <w:webHidden/>
              </w:rPr>
              <w:fldChar w:fldCharType="begin"/>
            </w:r>
            <w:r>
              <w:rPr>
                <w:noProof/>
                <w:webHidden/>
              </w:rPr>
              <w:instrText xml:space="preserve"> PAGEREF _Toc217298618 \h </w:instrText>
            </w:r>
            <w:r>
              <w:rPr>
                <w:noProof/>
                <w:webHidden/>
              </w:rPr>
            </w:r>
            <w:r>
              <w:rPr>
                <w:noProof/>
                <w:webHidden/>
              </w:rPr>
              <w:fldChar w:fldCharType="separate"/>
            </w:r>
            <w:r>
              <w:rPr>
                <w:noProof/>
                <w:webHidden/>
              </w:rPr>
              <w:t>10</w:t>
            </w:r>
            <w:r>
              <w:rPr>
                <w:noProof/>
                <w:webHidden/>
              </w:rPr>
              <w:fldChar w:fldCharType="end"/>
            </w:r>
          </w:hyperlink>
        </w:p>
        <w:p w14:paraId="6AB19FF9" w14:textId="3C5D5A51"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19" w:history="1">
            <w:r w:rsidRPr="00C40F1E">
              <w:rPr>
                <w:rStyle w:val="Hyperlink"/>
                <w:rFonts w:ascii="Arial" w:hAnsi="Arial" w:cs="Arial"/>
                <w:noProof/>
              </w:rPr>
              <w:t>2.2 Working Capital</w:t>
            </w:r>
            <w:r>
              <w:rPr>
                <w:noProof/>
                <w:webHidden/>
              </w:rPr>
              <w:tab/>
            </w:r>
            <w:r>
              <w:rPr>
                <w:noProof/>
                <w:webHidden/>
              </w:rPr>
              <w:fldChar w:fldCharType="begin"/>
            </w:r>
            <w:r>
              <w:rPr>
                <w:noProof/>
                <w:webHidden/>
              </w:rPr>
              <w:instrText xml:space="preserve"> PAGEREF _Toc217298619 \h </w:instrText>
            </w:r>
            <w:r>
              <w:rPr>
                <w:noProof/>
                <w:webHidden/>
              </w:rPr>
            </w:r>
            <w:r>
              <w:rPr>
                <w:noProof/>
                <w:webHidden/>
              </w:rPr>
              <w:fldChar w:fldCharType="separate"/>
            </w:r>
            <w:r>
              <w:rPr>
                <w:noProof/>
                <w:webHidden/>
              </w:rPr>
              <w:t>11</w:t>
            </w:r>
            <w:r>
              <w:rPr>
                <w:noProof/>
                <w:webHidden/>
              </w:rPr>
              <w:fldChar w:fldCharType="end"/>
            </w:r>
          </w:hyperlink>
        </w:p>
        <w:p w14:paraId="3B530F77" w14:textId="1E3A639A"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20" w:history="1">
            <w:r w:rsidRPr="00C40F1E">
              <w:rPr>
                <w:rStyle w:val="Hyperlink"/>
                <w:rFonts w:ascii="Arial" w:hAnsi="Arial" w:cs="Arial"/>
                <w:noProof/>
              </w:rPr>
              <w:t>2.3 Strategies to Improve Liquidity through Working Capital Reforms</w:t>
            </w:r>
            <w:r>
              <w:rPr>
                <w:noProof/>
                <w:webHidden/>
              </w:rPr>
              <w:tab/>
            </w:r>
            <w:r>
              <w:rPr>
                <w:noProof/>
                <w:webHidden/>
              </w:rPr>
              <w:fldChar w:fldCharType="begin"/>
            </w:r>
            <w:r>
              <w:rPr>
                <w:noProof/>
                <w:webHidden/>
              </w:rPr>
              <w:instrText xml:space="preserve"> PAGEREF _Toc217298620 \h </w:instrText>
            </w:r>
            <w:r>
              <w:rPr>
                <w:noProof/>
                <w:webHidden/>
              </w:rPr>
            </w:r>
            <w:r>
              <w:rPr>
                <w:noProof/>
                <w:webHidden/>
              </w:rPr>
              <w:fldChar w:fldCharType="separate"/>
            </w:r>
            <w:r>
              <w:rPr>
                <w:noProof/>
                <w:webHidden/>
              </w:rPr>
              <w:t>12</w:t>
            </w:r>
            <w:r>
              <w:rPr>
                <w:noProof/>
                <w:webHidden/>
              </w:rPr>
              <w:fldChar w:fldCharType="end"/>
            </w:r>
          </w:hyperlink>
        </w:p>
        <w:p w14:paraId="7C85134E" w14:textId="7F35519F"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21" w:history="1">
            <w:r w:rsidRPr="00C40F1E">
              <w:rPr>
                <w:rStyle w:val="Hyperlink"/>
                <w:rFonts w:ascii="Arial" w:hAnsi="Arial" w:cs="Arial"/>
                <w:noProof/>
              </w:rPr>
              <w:t>2.4 Comparison of Short-Term vs Long-Term Financing Options</w:t>
            </w:r>
            <w:r>
              <w:rPr>
                <w:noProof/>
                <w:webHidden/>
              </w:rPr>
              <w:tab/>
            </w:r>
            <w:r>
              <w:rPr>
                <w:noProof/>
                <w:webHidden/>
              </w:rPr>
              <w:fldChar w:fldCharType="begin"/>
            </w:r>
            <w:r>
              <w:rPr>
                <w:noProof/>
                <w:webHidden/>
              </w:rPr>
              <w:instrText xml:space="preserve"> PAGEREF _Toc217298621 \h </w:instrText>
            </w:r>
            <w:r>
              <w:rPr>
                <w:noProof/>
                <w:webHidden/>
              </w:rPr>
            </w:r>
            <w:r>
              <w:rPr>
                <w:noProof/>
                <w:webHidden/>
              </w:rPr>
              <w:fldChar w:fldCharType="separate"/>
            </w:r>
            <w:r>
              <w:rPr>
                <w:noProof/>
                <w:webHidden/>
              </w:rPr>
              <w:t>12</w:t>
            </w:r>
            <w:r>
              <w:rPr>
                <w:noProof/>
                <w:webHidden/>
              </w:rPr>
              <w:fldChar w:fldCharType="end"/>
            </w:r>
          </w:hyperlink>
        </w:p>
        <w:p w14:paraId="184297B1" w14:textId="1A016754" w:rsidR="00520413" w:rsidRDefault="00520413">
          <w:pPr>
            <w:pStyle w:val="TOC1"/>
            <w:tabs>
              <w:tab w:val="right" w:leader="dot" w:pos="9016"/>
            </w:tabs>
            <w:rPr>
              <w:rFonts w:asciiTheme="minorHAnsi" w:hAnsiTheme="minorHAnsi"/>
              <w:noProof/>
              <w:kern w:val="2"/>
              <w:szCs w:val="24"/>
              <w:lang w:eastAsia="en-GB"/>
              <w14:ligatures w14:val="standardContextual"/>
            </w:rPr>
          </w:pPr>
          <w:hyperlink w:anchor="_Toc217298622" w:history="1">
            <w:r w:rsidRPr="00C40F1E">
              <w:rPr>
                <w:rStyle w:val="Hyperlink"/>
                <w:rFonts w:ascii="Arial" w:hAnsi="Arial" w:cs="Arial"/>
                <w:noProof/>
              </w:rPr>
              <w:t>3. Strategic Financial Restructuring Plan</w:t>
            </w:r>
            <w:r>
              <w:rPr>
                <w:noProof/>
                <w:webHidden/>
              </w:rPr>
              <w:tab/>
            </w:r>
            <w:r>
              <w:rPr>
                <w:noProof/>
                <w:webHidden/>
              </w:rPr>
              <w:fldChar w:fldCharType="begin"/>
            </w:r>
            <w:r>
              <w:rPr>
                <w:noProof/>
                <w:webHidden/>
              </w:rPr>
              <w:instrText xml:space="preserve"> PAGEREF _Toc217298622 \h </w:instrText>
            </w:r>
            <w:r>
              <w:rPr>
                <w:noProof/>
                <w:webHidden/>
              </w:rPr>
            </w:r>
            <w:r>
              <w:rPr>
                <w:noProof/>
                <w:webHidden/>
              </w:rPr>
              <w:fldChar w:fldCharType="separate"/>
            </w:r>
            <w:r>
              <w:rPr>
                <w:noProof/>
                <w:webHidden/>
              </w:rPr>
              <w:t>13</w:t>
            </w:r>
            <w:r>
              <w:rPr>
                <w:noProof/>
                <w:webHidden/>
              </w:rPr>
              <w:fldChar w:fldCharType="end"/>
            </w:r>
          </w:hyperlink>
        </w:p>
        <w:p w14:paraId="4DC21A9F" w14:textId="0154A656"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23" w:history="1">
            <w:r w:rsidRPr="00C40F1E">
              <w:rPr>
                <w:rStyle w:val="Hyperlink"/>
                <w:rFonts w:ascii="Arial" w:hAnsi="Arial" w:cs="Arial"/>
                <w:noProof/>
              </w:rPr>
              <w:t>3.1. Pillar A: Portfolio Rationalization through divestiture (selloffs and carve-outs)</w:t>
            </w:r>
            <w:r>
              <w:rPr>
                <w:noProof/>
                <w:webHidden/>
              </w:rPr>
              <w:tab/>
            </w:r>
            <w:r>
              <w:rPr>
                <w:noProof/>
                <w:webHidden/>
              </w:rPr>
              <w:fldChar w:fldCharType="begin"/>
            </w:r>
            <w:r>
              <w:rPr>
                <w:noProof/>
                <w:webHidden/>
              </w:rPr>
              <w:instrText xml:space="preserve"> PAGEREF _Toc217298623 \h </w:instrText>
            </w:r>
            <w:r>
              <w:rPr>
                <w:noProof/>
                <w:webHidden/>
              </w:rPr>
            </w:r>
            <w:r>
              <w:rPr>
                <w:noProof/>
                <w:webHidden/>
              </w:rPr>
              <w:fldChar w:fldCharType="separate"/>
            </w:r>
            <w:r>
              <w:rPr>
                <w:noProof/>
                <w:webHidden/>
              </w:rPr>
              <w:t>14</w:t>
            </w:r>
            <w:r>
              <w:rPr>
                <w:noProof/>
                <w:webHidden/>
              </w:rPr>
              <w:fldChar w:fldCharType="end"/>
            </w:r>
          </w:hyperlink>
        </w:p>
        <w:p w14:paraId="2A841DE1" w14:textId="258543F5"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24" w:history="1">
            <w:r w:rsidRPr="00C40F1E">
              <w:rPr>
                <w:rStyle w:val="Hyperlink"/>
                <w:rFonts w:ascii="Arial" w:hAnsi="Arial" w:cs="Arial"/>
                <w:noProof/>
                <w:lang w:bidi="bn-BD"/>
              </w:rPr>
              <w:t>3.2 Pillar B: Debt restructuring—reprofiling maturities, reducing cash interest, and resetting covenants.</w:t>
            </w:r>
            <w:r>
              <w:rPr>
                <w:noProof/>
                <w:webHidden/>
              </w:rPr>
              <w:tab/>
            </w:r>
            <w:r>
              <w:rPr>
                <w:noProof/>
                <w:webHidden/>
              </w:rPr>
              <w:fldChar w:fldCharType="begin"/>
            </w:r>
            <w:r>
              <w:rPr>
                <w:noProof/>
                <w:webHidden/>
              </w:rPr>
              <w:instrText xml:space="preserve"> PAGEREF _Toc217298624 \h </w:instrText>
            </w:r>
            <w:r>
              <w:rPr>
                <w:noProof/>
                <w:webHidden/>
              </w:rPr>
            </w:r>
            <w:r>
              <w:rPr>
                <w:noProof/>
                <w:webHidden/>
              </w:rPr>
              <w:fldChar w:fldCharType="separate"/>
            </w:r>
            <w:r>
              <w:rPr>
                <w:noProof/>
                <w:webHidden/>
              </w:rPr>
              <w:t>14</w:t>
            </w:r>
            <w:r>
              <w:rPr>
                <w:noProof/>
                <w:webHidden/>
              </w:rPr>
              <w:fldChar w:fldCharType="end"/>
            </w:r>
          </w:hyperlink>
        </w:p>
        <w:p w14:paraId="297B0B98" w14:textId="28197F96"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25" w:history="1">
            <w:r w:rsidRPr="00C40F1E">
              <w:rPr>
                <w:rStyle w:val="Hyperlink"/>
                <w:rFonts w:ascii="Arial" w:hAnsi="Arial" w:cs="Arial"/>
                <w:noProof/>
                <w:lang w:bidi="bn-BD"/>
              </w:rPr>
              <w:t>3.3 Pillar C: Equity Recapitalization—rights issue or strategic equity injection</w:t>
            </w:r>
            <w:r>
              <w:rPr>
                <w:noProof/>
                <w:webHidden/>
              </w:rPr>
              <w:tab/>
            </w:r>
            <w:r>
              <w:rPr>
                <w:noProof/>
                <w:webHidden/>
              </w:rPr>
              <w:fldChar w:fldCharType="begin"/>
            </w:r>
            <w:r>
              <w:rPr>
                <w:noProof/>
                <w:webHidden/>
              </w:rPr>
              <w:instrText xml:space="preserve"> PAGEREF _Toc217298625 \h </w:instrText>
            </w:r>
            <w:r>
              <w:rPr>
                <w:noProof/>
                <w:webHidden/>
              </w:rPr>
            </w:r>
            <w:r>
              <w:rPr>
                <w:noProof/>
                <w:webHidden/>
              </w:rPr>
              <w:fldChar w:fldCharType="separate"/>
            </w:r>
            <w:r>
              <w:rPr>
                <w:noProof/>
                <w:webHidden/>
              </w:rPr>
              <w:t>15</w:t>
            </w:r>
            <w:r>
              <w:rPr>
                <w:noProof/>
                <w:webHidden/>
              </w:rPr>
              <w:fldChar w:fldCharType="end"/>
            </w:r>
          </w:hyperlink>
        </w:p>
        <w:p w14:paraId="70788B4D" w14:textId="3FB57899"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26" w:history="1">
            <w:r w:rsidRPr="00C40F1E">
              <w:rPr>
                <w:rStyle w:val="Hyperlink"/>
                <w:rFonts w:ascii="Arial" w:hAnsi="Arial" w:cs="Arial"/>
                <w:noProof/>
                <w:lang w:bidi="bn-BD"/>
              </w:rPr>
              <w:t>3.4 Strategic combination option: merger, acquisition, or joint venture (selective, not “rescue” driven)</w:t>
            </w:r>
            <w:r>
              <w:rPr>
                <w:noProof/>
                <w:webHidden/>
              </w:rPr>
              <w:tab/>
            </w:r>
            <w:r>
              <w:rPr>
                <w:noProof/>
                <w:webHidden/>
              </w:rPr>
              <w:fldChar w:fldCharType="begin"/>
            </w:r>
            <w:r>
              <w:rPr>
                <w:noProof/>
                <w:webHidden/>
              </w:rPr>
              <w:instrText xml:space="preserve"> PAGEREF _Toc217298626 \h </w:instrText>
            </w:r>
            <w:r>
              <w:rPr>
                <w:noProof/>
                <w:webHidden/>
              </w:rPr>
            </w:r>
            <w:r>
              <w:rPr>
                <w:noProof/>
                <w:webHidden/>
              </w:rPr>
              <w:fldChar w:fldCharType="separate"/>
            </w:r>
            <w:r>
              <w:rPr>
                <w:noProof/>
                <w:webHidden/>
              </w:rPr>
              <w:t>16</w:t>
            </w:r>
            <w:r>
              <w:rPr>
                <w:noProof/>
                <w:webHidden/>
              </w:rPr>
              <w:fldChar w:fldCharType="end"/>
            </w:r>
          </w:hyperlink>
        </w:p>
        <w:p w14:paraId="5B84F4F1" w14:textId="4CEA8D38"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27" w:history="1">
            <w:r w:rsidRPr="00C40F1E">
              <w:rPr>
                <w:rStyle w:val="Hyperlink"/>
                <w:rFonts w:ascii="Arial" w:hAnsi="Arial" w:cs="Arial"/>
                <w:noProof/>
                <w:lang w:bidi="bn-BD"/>
              </w:rPr>
              <w:t>3.5 International macro</w:t>
            </w:r>
            <w:r w:rsidRPr="00C40F1E">
              <w:rPr>
                <w:rStyle w:val="Hyperlink"/>
                <w:rFonts w:ascii="Arial" w:hAnsi="Arial" w:cs="Arial"/>
                <w:noProof/>
                <w:lang w:bidi="bn-BD"/>
              </w:rPr>
              <w:noBreakHyphen/>
              <w:t>financial risk management: taxation, currency risk, and inflation</w:t>
            </w:r>
            <w:r>
              <w:rPr>
                <w:noProof/>
                <w:webHidden/>
              </w:rPr>
              <w:tab/>
            </w:r>
            <w:r>
              <w:rPr>
                <w:noProof/>
                <w:webHidden/>
              </w:rPr>
              <w:fldChar w:fldCharType="begin"/>
            </w:r>
            <w:r>
              <w:rPr>
                <w:noProof/>
                <w:webHidden/>
              </w:rPr>
              <w:instrText xml:space="preserve"> PAGEREF _Toc217298627 \h </w:instrText>
            </w:r>
            <w:r>
              <w:rPr>
                <w:noProof/>
                <w:webHidden/>
              </w:rPr>
            </w:r>
            <w:r>
              <w:rPr>
                <w:noProof/>
                <w:webHidden/>
              </w:rPr>
              <w:fldChar w:fldCharType="separate"/>
            </w:r>
            <w:r>
              <w:rPr>
                <w:noProof/>
                <w:webHidden/>
              </w:rPr>
              <w:t>16</w:t>
            </w:r>
            <w:r>
              <w:rPr>
                <w:noProof/>
                <w:webHidden/>
              </w:rPr>
              <w:fldChar w:fldCharType="end"/>
            </w:r>
          </w:hyperlink>
        </w:p>
        <w:p w14:paraId="16B5B804" w14:textId="58A8EA1C"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28" w:history="1">
            <w:r w:rsidRPr="00C40F1E">
              <w:rPr>
                <w:rStyle w:val="Hyperlink"/>
                <w:rFonts w:ascii="Arial" w:hAnsi="Arial" w:cs="Arial"/>
                <w:noProof/>
                <w:lang w:bidi="bn-BD"/>
              </w:rPr>
              <w:t>3.6 Governance and CSR integration (ethical restructuring as a financial enabler)</w:t>
            </w:r>
            <w:r>
              <w:rPr>
                <w:noProof/>
                <w:webHidden/>
              </w:rPr>
              <w:tab/>
            </w:r>
            <w:r>
              <w:rPr>
                <w:noProof/>
                <w:webHidden/>
              </w:rPr>
              <w:fldChar w:fldCharType="begin"/>
            </w:r>
            <w:r>
              <w:rPr>
                <w:noProof/>
                <w:webHidden/>
              </w:rPr>
              <w:instrText xml:space="preserve"> PAGEREF _Toc217298628 \h </w:instrText>
            </w:r>
            <w:r>
              <w:rPr>
                <w:noProof/>
                <w:webHidden/>
              </w:rPr>
            </w:r>
            <w:r>
              <w:rPr>
                <w:noProof/>
                <w:webHidden/>
              </w:rPr>
              <w:fldChar w:fldCharType="separate"/>
            </w:r>
            <w:r>
              <w:rPr>
                <w:noProof/>
                <w:webHidden/>
              </w:rPr>
              <w:t>17</w:t>
            </w:r>
            <w:r>
              <w:rPr>
                <w:noProof/>
                <w:webHidden/>
              </w:rPr>
              <w:fldChar w:fldCharType="end"/>
            </w:r>
          </w:hyperlink>
        </w:p>
        <w:p w14:paraId="54612B99" w14:textId="60CCCAB9"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29" w:history="1">
            <w:r w:rsidRPr="00C40F1E">
              <w:rPr>
                <w:rStyle w:val="Hyperlink"/>
                <w:rFonts w:ascii="Arial" w:hAnsi="Arial" w:cs="Arial"/>
                <w:noProof/>
                <w:lang w:bidi="bn-BD"/>
              </w:rPr>
              <w:t>3.7 Implementation roadmap and expected outcomes (shareholder value, debt structure, flexibility)</w:t>
            </w:r>
            <w:r>
              <w:rPr>
                <w:noProof/>
                <w:webHidden/>
              </w:rPr>
              <w:tab/>
            </w:r>
            <w:r>
              <w:rPr>
                <w:noProof/>
                <w:webHidden/>
              </w:rPr>
              <w:fldChar w:fldCharType="begin"/>
            </w:r>
            <w:r>
              <w:rPr>
                <w:noProof/>
                <w:webHidden/>
              </w:rPr>
              <w:instrText xml:space="preserve"> PAGEREF _Toc217298629 \h </w:instrText>
            </w:r>
            <w:r>
              <w:rPr>
                <w:noProof/>
                <w:webHidden/>
              </w:rPr>
            </w:r>
            <w:r>
              <w:rPr>
                <w:noProof/>
                <w:webHidden/>
              </w:rPr>
              <w:fldChar w:fldCharType="separate"/>
            </w:r>
            <w:r>
              <w:rPr>
                <w:noProof/>
                <w:webHidden/>
              </w:rPr>
              <w:t>18</w:t>
            </w:r>
            <w:r>
              <w:rPr>
                <w:noProof/>
                <w:webHidden/>
              </w:rPr>
              <w:fldChar w:fldCharType="end"/>
            </w:r>
          </w:hyperlink>
        </w:p>
        <w:p w14:paraId="2ED264A0" w14:textId="6A61B2CD" w:rsidR="00520413" w:rsidRDefault="00520413">
          <w:pPr>
            <w:pStyle w:val="TOC1"/>
            <w:tabs>
              <w:tab w:val="right" w:leader="dot" w:pos="9016"/>
            </w:tabs>
            <w:rPr>
              <w:rFonts w:asciiTheme="minorHAnsi" w:hAnsiTheme="minorHAnsi"/>
              <w:noProof/>
              <w:kern w:val="2"/>
              <w:szCs w:val="24"/>
              <w:lang w:eastAsia="en-GB"/>
              <w14:ligatures w14:val="standardContextual"/>
            </w:rPr>
          </w:pPr>
          <w:hyperlink w:anchor="_Toc217298630" w:history="1">
            <w:r w:rsidRPr="00C40F1E">
              <w:rPr>
                <w:rStyle w:val="Hyperlink"/>
                <w:rFonts w:ascii="Arial" w:hAnsi="Arial" w:cs="Arial"/>
                <w:noProof/>
              </w:rPr>
              <w:t>4. Investment Appraisal and Capital Budgeting</w:t>
            </w:r>
            <w:r>
              <w:rPr>
                <w:noProof/>
                <w:webHidden/>
              </w:rPr>
              <w:tab/>
            </w:r>
            <w:r>
              <w:rPr>
                <w:noProof/>
                <w:webHidden/>
              </w:rPr>
              <w:fldChar w:fldCharType="begin"/>
            </w:r>
            <w:r>
              <w:rPr>
                <w:noProof/>
                <w:webHidden/>
              </w:rPr>
              <w:instrText xml:space="preserve"> PAGEREF _Toc217298630 \h </w:instrText>
            </w:r>
            <w:r>
              <w:rPr>
                <w:noProof/>
                <w:webHidden/>
              </w:rPr>
            </w:r>
            <w:r>
              <w:rPr>
                <w:noProof/>
                <w:webHidden/>
              </w:rPr>
              <w:fldChar w:fldCharType="separate"/>
            </w:r>
            <w:r>
              <w:rPr>
                <w:noProof/>
                <w:webHidden/>
              </w:rPr>
              <w:t>18</w:t>
            </w:r>
            <w:r>
              <w:rPr>
                <w:noProof/>
                <w:webHidden/>
              </w:rPr>
              <w:fldChar w:fldCharType="end"/>
            </w:r>
          </w:hyperlink>
        </w:p>
        <w:p w14:paraId="586B1202" w14:textId="68278A2E"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31" w:history="1">
            <w:r w:rsidRPr="00C40F1E">
              <w:rPr>
                <w:rStyle w:val="Hyperlink"/>
                <w:rFonts w:ascii="Arial" w:hAnsi="Arial" w:cs="Arial"/>
                <w:noProof/>
              </w:rPr>
              <w:t>4.1 Calculation</w:t>
            </w:r>
            <w:r>
              <w:rPr>
                <w:noProof/>
                <w:webHidden/>
              </w:rPr>
              <w:tab/>
            </w:r>
            <w:r>
              <w:rPr>
                <w:noProof/>
                <w:webHidden/>
              </w:rPr>
              <w:fldChar w:fldCharType="begin"/>
            </w:r>
            <w:r>
              <w:rPr>
                <w:noProof/>
                <w:webHidden/>
              </w:rPr>
              <w:instrText xml:space="preserve"> PAGEREF _Toc217298631 \h </w:instrText>
            </w:r>
            <w:r>
              <w:rPr>
                <w:noProof/>
                <w:webHidden/>
              </w:rPr>
            </w:r>
            <w:r>
              <w:rPr>
                <w:noProof/>
                <w:webHidden/>
              </w:rPr>
              <w:fldChar w:fldCharType="separate"/>
            </w:r>
            <w:r>
              <w:rPr>
                <w:noProof/>
                <w:webHidden/>
              </w:rPr>
              <w:t>18</w:t>
            </w:r>
            <w:r>
              <w:rPr>
                <w:noProof/>
                <w:webHidden/>
              </w:rPr>
              <w:fldChar w:fldCharType="end"/>
            </w:r>
          </w:hyperlink>
        </w:p>
        <w:p w14:paraId="1E9EC64C" w14:textId="4ECE031E"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32" w:history="1">
            <w:r w:rsidRPr="00C40F1E">
              <w:rPr>
                <w:rStyle w:val="Hyperlink"/>
                <w:rFonts w:ascii="Arial" w:hAnsi="Arial" w:cs="Arial"/>
                <w:noProof/>
              </w:rPr>
              <w:t>4.2. Financial Metrics: Some of the key factors.</w:t>
            </w:r>
            <w:r>
              <w:rPr>
                <w:noProof/>
                <w:webHidden/>
              </w:rPr>
              <w:tab/>
            </w:r>
            <w:r>
              <w:rPr>
                <w:noProof/>
                <w:webHidden/>
              </w:rPr>
              <w:fldChar w:fldCharType="begin"/>
            </w:r>
            <w:r>
              <w:rPr>
                <w:noProof/>
                <w:webHidden/>
              </w:rPr>
              <w:instrText xml:space="preserve"> PAGEREF _Toc217298632 \h </w:instrText>
            </w:r>
            <w:r>
              <w:rPr>
                <w:noProof/>
                <w:webHidden/>
              </w:rPr>
            </w:r>
            <w:r>
              <w:rPr>
                <w:noProof/>
                <w:webHidden/>
              </w:rPr>
              <w:fldChar w:fldCharType="separate"/>
            </w:r>
            <w:r>
              <w:rPr>
                <w:noProof/>
                <w:webHidden/>
              </w:rPr>
              <w:t>19</w:t>
            </w:r>
            <w:r>
              <w:rPr>
                <w:noProof/>
                <w:webHidden/>
              </w:rPr>
              <w:fldChar w:fldCharType="end"/>
            </w:r>
          </w:hyperlink>
        </w:p>
        <w:p w14:paraId="4C2A16D8" w14:textId="37D0FF18" w:rsidR="00520413" w:rsidRDefault="00520413">
          <w:pPr>
            <w:pStyle w:val="TOC2"/>
            <w:tabs>
              <w:tab w:val="right" w:leader="dot" w:pos="9016"/>
            </w:tabs>
            <w:rPr>
              <w:rFonts w:asciiTheme="minorHAnsi" w:hAnsiTheme="minorHAnsi"/>
              <w:noProof/>
              <w:kern w:val="2"/>
              <w:szCs w:val="24"/>
              <w:lang w:eastAsia="en-GB"/>
              <w14:ligatures w14:val="standardContextual"/>
            </w:rPr>
          </w:pPr>
          <w:hyperlink w:anchor="_Toc217298633" w:history="1">
            <w:r w:rsidRPr="00C40F1E">
              <w:rPr>
                <w:rStyle w:val="Hyperlink"/>
                <w:rFonts w:ascii="Arial" w:hAnsi="Arial" w:cs="Arial"/>
                <w:noProof/>
              </w:rPr>
              <w:t>4.3 Investment Allocation and Ratios of capital.</w:t>
            </w:r>
            <w:r>
              <w:rPr>
                <w:noProof/>
                <w:webHidden/>
              </w:rPr>
              <w:tab/>
            </w:r>
            <w:r>
              <w:rPr>
                <w:noProof/>
                <w:webHidden/>
              </w:rPr>
              <w:fldChar w:fldCharType="begin"/>
            </w:r>
            <w:r>
              <w:rPr>
                <w:noProof/>
                <w:webHidden/>
              </w:rPr>
              <w:instrText xml:space="preserve"> PAGEREF _Toc217298633 \h </w:instrText>
            </w:r>
            <w:r>
              <w:rPr>
                <w:noProof/>
                <w:webHidden/>
              </w:rPr>
            </w:r>
            <w:r>
              <w:rPr>
                <w:noProof/>
                <w:webHidden/>
              </w:rPr>
              <w:fldChar w:fldCharType="separate"/>
            </w:r>
            <w:r>
              <w:rPr>
                <w:noProof/>
                <w:webHidden/>
              </w:rPr>
              <w:t>22</w:t>
            </w:r>
            <w:r>
              <w:rPr>
                <w:noProof/>
                <w:webHidden/>
              </w:rPr>
              <w:fldChar w:fldCharType="end"/>
            </w:r>
          </w:hyperlink>
        </w:p>
        <w:p w14:paraId="05BB3005" w14:textId="3E214620" w:rsidR="00520413" w:rsidRDefault="00520413">
          <w:pPr>
            <w:pStyle w:val="TOC1"/>
            <w:tabs>
              <w:tab w:val="right" w:leader="dot" w:pos="9016"/>
            </w:tabs>
            <w:rPr>
              <w:rFonts w:asciiTheme="minorHAnsi" w:hAnsiTheme="minorHAnsi"/>
              <w:noProof/>
              <w:kern w:val="2"/>
              <w:szCs w:val="24"/>
              <w:lang w:eastAsia="en-GB"/>
              <w14:ligatures w14:val="standardContextual"/>
            </w:rPr>
          </w:pPr>
          <w:hyperlink w:anchor="_Toc217298634" w:history="1">
            <w:r w:rsidRPr="00C40F1E">
              <w:rPr>
                <w:rStyle w:val="Hyperlink"/>
                <w:rFonts w:ascii="Arial" w:hAnsi="Arial" w:cs="Arial"/>
                <w:noProof/>
              </w:rPr>
              <w:t>5. References</w:t>
            </w:r>
            <w:r>
              <w:rPr>
                <w:noProof/>
                <w:webHidden/>
              </w:rPr>
              <w:tab/>
            </w:r>
            <w:r>
              <w:rPr>
                <w:noProof/>
                <w:webHidden/>
              </w:rPr>
              <w:fldChar w:fldCharType="begin"/>
            </w:r>
            <w:r>
              <w:rPr>
                <w:noProof/>
                <w:webHidden/>
              </w:rPr>
              <w:instrText xml:space="preserve"> PAGEREF _Toc217298634 \h </w:instrText>
            </w:r>
            <w:r>
              <w:rPr>
                <w:noProof/>
                <w:webHidden/>
              </w:rPr>
            </w:r>
            <w:r>
              <w:rPr>
                <w:noProof/>
                <w:webHidden/>
              </w:rPr>
              <w:fldChar w:fldCharType="separate"/>
            </w:r>
            <w:r>
              <w:rPr>
                <w:noProof/>
                <w:webHidden/>
              </w:rPr>
              <w:t>23</w:t>
            </w:r>
            <w:r>
              <w:rPr>
                <w:noProof/>
                <w:webHidden/>
              </w:rPr>
              <w:fldChar w:fldCharType="end"/>
            </w:r>
          </w:hyperlink>
        </w:p>
        <w:p w14:paraId="792DD13B" w14:textId="22A28498" w:rsidR="00520413" w:rsidRDefault="00520413">
          <w:pPr>
            <w:pStyle w:val="TOC1"/>
            <w:tabs>
              <w:tab w:val="right" w:leader="dot" w:pos="9016"/>
            </w:tabs>
            <w:rPr>
              <w:rFonts w:asciiTheme="minorHAnsi" w:hAnsiTheme="minorHAnsi"/>
              <w:noProof/>
              <w:kern w:val="2"/>
              <w:szCs w:val="24"/>
              <w:lang w:eastAsia="en-GB"/>
              <w14:ligatures w14:val="standardContextual"/>
            </w:rPr>
          </w:pPr>
          <w:hyperlink w:anchor="_Toc217298635" w:history="1">
            <w:r w:rsidRPr="00C40F1E">
              <w:rPr>
                <w:rStyle w:val="Hyperlink"/>
                <w:rFonts w:ascii="Arial" w:hAnsi="Arial" w:cs="Arial"/>
                <w:noProof/>
              </w:rPr>
              <w:t>6. Appendix</w:t>
            </w:r>
            <w:r>
              <w:rPr>
                <w:noProof/>
                <w:webHidden/>
              </w:rPr>
              <w:tab/>
            </w:r>
            <w:r>
              <w:rPr>
                <w:noProof/>
                <w:webHidden/>
              </w:rPr>
              <w:fldChar w:fldCharType="begin"/>
            </w:r>
            <w:r>
              <w:rPr>
                <w:noProof/>
                <w:webHidden/>
              </w:rPr>
              <w:instrText xml:space="preserve"> PAGEREF _Toc217298635 \h </w:instrText>
            </w:r>
            <w:r>
              <w:rPr>
                <w:noProof/>
                <w:webHidden/>
              </w:rPr>
            </w:r>
            <w:r>
              <w:rPr>
                <w:noProof/>
                <w:webHidden/>
              </w:rPr>
              <w:fldChar w:fldCharType="separate"/>
            </w:r>
            <w:r>
              <w:rPr>
                <w:noProof/>
                <w:webHidden/>
              </w:rPr>
              <w:t>25</w:t>
            </w:r>
            <w:r>
              <w:rPr>
                <w:noProof/>
                <w:webHidden/>
              </w:rPr>
              <w:fldChar w:fldCharType="end"/>
            </w:r>
          </w:hyperlink>
        </w:p>
        <w:p w14:paraId="2DDD55B5" w14:textId="6DC0C515" w:rsidR="00047D0B" w:rsidRPr="00A343CD" w:rsidRDefault="00047D0B">
          <w:pPr>
            <w:rPr>
              <w:rFonts w:ascii="Arial" w:hAnsi="Arial" w:cs="Arial"/>
            </w:rPr>
          </w:pPr>
          <w:r w:rsidRPr="00A343CD">
            <w:rPr>
              <w:rFonts w:ascii="Arial" w:hAnsi="Arial" w:cs="Arial"/>
              <w:b/>
              <w:bCs/>
            </w:rPr>
            <w:fldChar w:fldCharType="end"/>
          </w:r>
        </w:p>
      </w:sdtContent>
    </w:sdt>
    <w:p w14:paraId="4EEF6A7E" w14:textId="77777777" w:rsidR="00047D0B" w:rsidRPr="00A343CD" w:rsidRDefault="00047D0B">
      <w:pPr>
        <w:spacing w:line="259" w:lineRule="auto"/>
        <w:jc w:val="left"/>
        <w:rPr>
          <w:rFonts w:ascii="Arial" w:eastAsiaTheme="majorEastAsia" w:hAnsi="Arial" w:cs="Arial"/>
          <w:b/>
          <w:bCs/>
          <w:color w:val="2F5496" w:themeColor="accent1" w:themeShade="BF"/>
          <w:sz w:val="32"/>
          <w:szCs w:val="28"/>
        </w:rPr>
      </w:pPr>
      <w:r w:rsidRPr="00A343CD">
        <w:rPr>
          <w:rFonts w:ascii="Arial" w:hAnsi="Arial" w:cs="Arial"/>
        </w:rPr>
        <w:br w:type="page"/>
      </w:r>
    </w:p>
    <w:p w14:paraId="5504FE8A" w14:textId="07908949" w:rsidR="00047D0B" w:rsidRPr="00A343CD" w:rsidRDefault="00047D0B" w:rsidP="00047D0B">
      <w:pPr>
        <w:pStyle w:val="Heading1"/>
        <w:spacing w:line="276" w:lineRule="auto"/>
        <w:rPr>
          <w:rFonts w:ascii="Arial" w:hAnsi="Arial" w:cs="Arial"/>
        </w:rPr>
      </w:pPr>
      <w:bookmarkStart w:id="1" w:name="_Toc217298607"/>
      <w:r w:rsidRPr="00A343CD">
        <w:rPr>
          <w:rFonts w:ascii="Arial" w:hAnsi="Arial" w:cs="Arial"/>
        </w:rPr>
        <w:lastRenderedPageBreak/>
        <w:t>1. Financial Health Check</w:t>
      </w:r>
      <w:bookmarkEnd w:id="0"/>
      <w:bookmarkEnd w:id="1"/>
    </w:p>
    <w:p w14:paraId="3BA5DA7C" w14:textId="77777777" w:rsidR="00047D0B" w:rsidRPr="00A343CD" w:rsidRDefault="00047D0B" w:rsidP="00047D0B">
      <w:pPr>
        <w:pStyle w:val="Heading2"/>
        <w:spacing w:line="276" w:lineRule="auto"/>
        <w:rPr>
          <w:rFonts w:ascii="Arial" w:hAnsi="Arial" w:cs="Arial"/>
        </w:rPr>
      </w:pPr>
      <w:bookmarkStart w:id="2" w:name="_Toc217295000"/>
      <w:bookmarkStart w:id="3" w:name="_Toc217298608"/>
      <w:r w:rsidRPr="00A343CD">
        <w:rPr>
          <w:rFonts w:ascii="Arial" w:hAnsi="Arial" w:cs="Arial"/>
        </w:rPr>
        <w:t>1.1 Analysis of the firm’s financial statements</w:t>
      </w:r>
      <w:bookmarkEnd w:id="2"/>
      <w:bookmarkEnd w:id="3"/>
    </w:p>
    <w:p w14:paraId="64BBA588" w14:textId="77777777" w:rsidR="00047D0B" w:rsidRPr="00A343CD" w:rsidRDefault="00047D0B" w:rsidP="00047D0B">
      <w:pPr>
        <w:spacing w:after="0" w:line="276" w:lineRule="auto"/>
        <w:rPr>
          <w:rFonts w:ascii="Arial" w:hAnsi="Arial" w:cs="Arial"/>
          <w:b/>
          <w:bCs/>
        </w:rPr>
      </w:pPr>
      <w:r w:rsidRPr="00A343CD">
        <w:rPr>
          <w:rFonts w:ascii="Arial" w:hAnsi="Arial" w:cs="Arial"/>
          <w:b/>
          <w:bCs/>
        </w:rPr>
        <w:t xml:space="preserve">Income Statement Analysis: </w:t>
      </w:r>
    </w:p>
    <w:p w14:paraId="0DCA2E1F" w14:textId="77777777" w:rsidR="00047D0B" w:rsidRPr="00A343CD" w:rsidRDefault="00047D0B" w:rsidP="00047D0B">
      <w:pPr>
        <w:rPr>
          <w:rFonts w:ascii="Arial" w:hAnsi="Arial" w:cs="Arial"/>
        </w:rPr>
      </w:pPr>
      <w:r w:rsidRPr="00A343CD">
        <w:rPr>
          <w:rFonts w:ascii="Arial" w:hAnsi="Arial" w:cs="Arial"/>
        </w:rPr>
        <w:t>General Electronics has been seriously falling behind in terms of profitability during the five years period. The net sales in 2020 stood at PS 614,680 million and those in 2024 were PS 394,879 million, and this has reduced by a percentage of about 36. The trend will imply a drop in demand or market share in the consumer electronics industry.</w:t>
      </w:r>
    </w:p>
    <w:p w14:paraId="20581B54" w14:textId="77777777" w:rsidR="00047D0B" w:rsidRPr="00A343CD" w:rsidRDefault="00047D0B" w:rsidP="00047D0B">
      <w:pPr>
        <w:spacing w:after="0" w:line="276" w:lineRule="auto"/>
        <w:rPr>
          <w:rFonts w:ascii="Arial" w:hAnsi="Arial" w:cs="Arial"/>
          <w:bCs/>
        </w:rPr>
      </w:pPr>
      <w:r w:rsidRPr="00A343CD">
        <w:rPr>
          <w:rFonts w:ascii="Arial" w:hAnsi="Arial" w:cs="Arial"/>
          <w:noProof/>
        </w:rPr>
        <w:drawing>
          <wp:inline distT="0" distB="0" distL="0" distR="0" wp14:anchorId="312FD737" wp14:editId="13601440">
            <wp:extent cx="5824855" cy="4250267"/>
            <wp:effectExtent l="0" t="0" r="4445" b="17145"/>
            <wp:docPr id="1562019033" name="Chart 1">
              <a:extLst xmlns:a="http://schemas.openxmlformats.org/drawingml/2006/main">
                <a:ext uri="{FF2B5EF4-FFF2-40B4-BE49-F238E27FC236}">
                  <a16:creationId xmlns:a16="http://schemas.microsoft.com/office/drawing/2014/main" id="{852A1820-9C4C-0CC5-1D36-37612B0E1D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F1D249A" w14:textId="77777777" w:rsidR="00047D0B" w:rsidRPr="00A343CD" w:rsidRDefault="00047D0B" w:rsidP="00047D0B">
      <w:pPr>
        <w:spacing w:after="0" w:line="276" w:lineRule="auto"/>
        <w:rPr>
          <w:rFonts w:ascii="Arial" w:hAnsi="Arial" w:cs="Arial"/>
          <w:b/>
          <w:bCs/>
        </w:rPr>
      </w:pPr>
    </w:p>
    <w:p w14:paraId="4C1225E6" w14:textId="77777777" w:rsidR="00047D0B" w:rsidRPr="00A343CD" w:rsidRDefault="00047D0B" w:rsidP="00047D0B">
      <w:pPr>
        <w:spacing w:after="0" w:line="276" w:lineRule="auto"/>
        <w:rPr>
          <w:rFonts w:ascii="Arial" w:hAnsi="Arial" w:cs="Arial"/>
          <w:b/>
          <w:bCs/>
        </w:rPr>
      </w:pPr>
      <w:r w:rsidRPr="00A343CD">
        <w:rPr>
          <w:rFonts w:ascii="Arial" w:hAnsi="Arial" w:cs="Arial"/>
          <w:b/>
          <w:bCs/>
        </w:rPr>
        <w:t>Balance Sheet Analysis:</w:t>
      </w:r>
    </w:p>
    <w:p w14:paraId="6F44CF6E" w14:textId="77777777" w:rsidR="00047D0B" w:rsidRPr="00A343CD" w:rsidRDefault="00047D0B" w:rsidP="00047D0B">
      <w:pPr>
        <w:rPr>
          <w:rFonts w:ascii="Arial" w:hAnsi="Arial" w:cs="Arial"/>
        </w:rPr>
      </w:pPr>
      <w:r w:rsidRPr="00A343CD">
        <w:rPr>
          <w:rFonts w:ascii="Arial" w:hAnsi="Arial" w:cs="Arial"/>
        </w:rPr>
        <w:t>In the past five years, General Electronics has been grossly losing out in the aspect of profitability. In 2020, its net sales were PS 614,680 million and it was PS 394,879 million in 2024, and this has decreased by approximately 36 percentage.</w:t>
      </w:r>
    </w:p>
    <w:p w14:paraId="3DD697DC" w14:textId="77777777" w:rsidR="00047D0B" w:rsidRPr="00A343CD" w:rsidRDefault="00047D0B" w:rsidP="00047D0B">
      <w:pPr>
        <w:spacing w:after="0" w:line="276" w:lineRule="auto"/>
        <w:rPr>
          <w:rFonts w:ascii="Arial" w:hAnsi="Arial" w:cs="Arial"/>
          <w:bCs/>
        </w:rPr>
      </w:pPr>
    </w:p>
    <w:p w14:paraId="6C8CB826" w14:textId="77777777" w:rsidR="00047D0B" w:rsidRPr="00A343CD" w:rsidRDefault="00047D0B" w:rsidP="00047D0B">
      <w:pPr>
        <w:spacing w:after="0" w:line="276" w:lineRule="auto"/>
        <w:rPr>
          <w:rFonts w:ascii="Arial" w:hAnsi="Arial" w:cs="Arial"/>
          <w:bCs/>
        </w:rPr>
      </w:pPr>
    </w:p>
    <w:p w14:paraId="6D8172DA" w14:textId="77777777" w:rsidR="00047D0B" w:rsidRPr="00A343CD" w:rsidRDefault="00047D0B" w:rsidP="00047D0B">
      <w:pPr>
        <w:spacing w:after="0" w:line="276" w:lineRule="auto"/>
        <w:rPr>
          <w:rFonts w:ascii="Arial" w:hAnsi="Arial" w:cs="Arial"/>
          <w:bCs/>
        </w:rPr>
      </w:pPr>
      <w:r w:rsidRPr="00A343CD">
        <w:rPr>
          <w:rFonts w:ascii="Arial" w:hAnsi="Arial" w:cs="Arial"/>
          <w:noProof/>
        </w:rPr>
        <w:lastRenderedPageBreak/>
        <w:drawing>
          <wp:inline distT="0" distB="0" distL="0" distR="0" wp14:anchorId="67F5A8B9" wp14:editId="5656BA5D">
            <wp:extent cx="5731510" cy="3733800"/>
            <wp:effectExtent l="0" t="0" r="2540" b="0"/>
            <wp:docPr id="1777313124" name="Chart 1">
              <a:extLst xmlns:a="http://schemas.openxmlformats.org/drawingml/2006/main">
                <a:ext uri="{FF2B5EF4-FFF2-40B4-BE49-F238E27FC236}">
                  <a16:creationId xmlns:a16="http://schemas.microsoft.com/office/drawing/2014/main" id="{463DA82B-423A-7C27-0FCC-B5D2CAE53A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A200883" w14:textId="77777777" w:rsidR="00047D0B" w:rsidRPr="00A343CD" w:rsidRDefault="00047D0B" w:rsidP="00047D0B">
      <w:pPr>
        <w:rPr>
          <w:rFonts w:ascii="Arial" w:hAnsi="Arial" w:cs="Arial"/>
        </w:rPr>
      </w:pPr>
      <w:r w:rsidRPr="00A343CD">
        <w:rPr>
          <w:rFonts w:ascii="Arial" w:hAnsi="Arial" w:cs="Arial"/>
        </w:rPr>
        <w:t>The current assets that were PS 331,672 million in 2020 was reduced to PS 248,877 million in 2024 mainly because of the decreased cash and inventory. Cash and cash equivalents have reduced to PS 33,166 million down to PS 68,810 million indicating reduced liquidity buffers. In 2024, the accounts receivable stood at PS 114,182 million indicating slow collection and a likelihood of credit risk.</w:t>
      </w:r>
    </w:p>
    <w:p w14:paraId="59F3520B" w14:textId="77777777" w:rsidR="00047D0B" w:rsidRPr="00A343CD" w:rsidRDefault="00047D0B" w:rsidP="00047D0B">
      <w:pPr>
        <w:rPr>
          <w:rFonts w:ascii="Arial" w:hAnsi="Arial" w:cs="Arial"/>
        </w:rPr>
      </w:pPr>
      <w:r w:rsidRPr="00A343CD">
        <w:rPr>
          <w:rFonts w:ascii="Arial" w:hAnsi="Arial" w:cs="Arial"/>
        </w:rPr>
        <w:t xml:space="preserve">Total liabilities on the liabilities side declined slight in terms of PS 193,162 million of 2020 to PS 168,088 million of 2024 but equity dropped drastically with PS 313,301 million to PS 153,105 million. </w:t>
      </w:r>
    </w:p>
    <w:p w14:paraId="669F62A2" w14:textId="77777777" w:rsidR="00047D0B" w:rsidRPr="00A343CD" w:rsidRDefault="00047D0B" w:rsidP="00047D0B">
      <w:pPr>
        <w:spacing w:after="200"/>
        <w:rPr>
          <w:rFonts w:ascii="Arial" w:hAnsi="Arial" w:cs="Arial"/>
          <w:b/>
        </w:rPr>
      </w:pPr>
      <w:r w:rsidRPr="00A343CD">
        <w:rPr>
          <w:rFonts w:ascii="Arial" w:hAnsi="Arial" w:cs="Arial"/>
          <w:b/>
        </w:rPr>
        <w:t>Cash Flow Analysis</w:t>
      </w:r>
    </w:p>
    <w:p w14:paraId="0B97DD9C" w14:textId="77777777" w:rsidR="00047D0B" w:rsidRPr="00A343CD" w:rsidRDefault="00047D0B" w:rsidP="00047D0B">
      <w:pPr>
        <w:rPr>
          <w:rFonts w:ascii="Arial" w:hAnsi="Arial" w:cs="Arial"/>
        </w:rPr>
      </w:pPr>
      <w:r w:rsidRPr="00A343CD">
        <w:rPr>
          <w:rFonts w:ascii="Arial" w:hAnsi="Arial" w:cs="Arial"/>
        </w:rPr>
        <w:t xml:space="preserve">The statement of cash flow comes out with indicators of serious liquidity issues. The net cash change in operating activities decreased drastically by more than PS 81,458 million in 2020 and 14,822 million in 2024. This crash is associated with the drop in profitability, and this shows that profitability has worsened. </w:t>
      </w:r>
    </w:p>
    <w:p w14:paraId="5C1D6DB5" w14:textId="77777777" w:rsidR="00047D0B" w:rsidRPr="00A343CD" w:rsidRDefault="00047D0B" w:rsidP="00047D0B">
      <w:pPr>
        <w:rPr>
          <w:rFonts w:ascii="Arial" w:hAnsi="Arial" w:cs="Arial"/>
        </w:rPr>
      </w:pPr>
      <w:r w:rsidRPr="00A343CD">
        <w:rPr>
          <w:rFonts w:ascii="Arial" w:hAnsi="Arial" w:cs="Arial"/>
        </w:rPr>
        <w:t>The investment activities always involved cash outlaid, property, plant and equipment outlay and intangible outlay. Even though such outflows reduced with time, which demonstrates the reduced capital expenditure, the trend can also be indicative of underinvestment in innovation that is a key risk to a technology company. There might be poor reinvestment in the long-term competitiveness (Hargrave, 2025).</w:t>
      </w:r>
    </w:p>
    <w:p w14:paraId="70068FE5" w14:textId="77777777" w:rsidR="00047D0B" w:rsidRPr="00A343CD" w:rsidRDefault="00047D0B" w:rsidP="00047D0B">
      <w:pPr>
        <w:spacing w:after="0" w:line="276" w:lineRule="auto"/>
        <w:rPr>
          <w:rFonts w:ascii="Arial" w:hAnsi="Arial" w:cs="Arial"/>
          <w:bCs/>
        </w:rPr>
      </w:pPr>
      <w:r w:rsidRPr="00A343CD">
        <w:rPr>
          <w:rFonts w:ascii="Arial" w:hAnsi="Arial" w:cs="Arial"/>
          <w:noProof/>
        </w:rPr>
        <w:lastRenderedPageBreak/>
        <w:drawing>
          <wp:inline distT="0" distB="0" distL="0" distR="0" wp14:anchorId="583876F9" wp14:editId="09390B99">
            <wp:extent cx="5731510" cy="4371975"/>
            <wp:effectExtent l="0" t="0" r="2540" b="9525"/>
            <wp:docPr id="683446707" name="Chart 1">
              <a:extLst xmlns:a="http://schemas.openxmlformats.org/drawingml/2006/main">
                <a:ext uri="{FF2B5EF4-FFF2-40B4-BE49-F238E27FC236}">
                  <a16:creationId xmlns:a16="http://schemas.microsoft.com/office/drawing/2014/main" id="{AE3B1DE0-4DCE-D9B8-D5E3-9B4196306C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CB278C" w14:textId="77777777" w:rsidR="00047D0B" w:rsidRPr="00A343CD" w:rsidRDefault="00047D0B" w:rsidP="00047D0B">
      <w:pPr>
        <w:pStyle w:val="Heading2"/>
        <w:rPr>
          <w:rFonts w:ascii="Arial" w:hAnsi="Arial" w:cs="Arial"/>
        </w:rPr>
      </w:pPr>
      <w:bookmarkStart w:id="4" w:name="_Toc217295001"/>
      <w:bookmarkStart w:id="5" w:name="_Toc217298609"/>
      <w:r w:rsidRPr="00A343CD">
        <w:rPr>
          <w:rFonts w:ascii="Arial" w:hAnsi="Arial" w:cs="Arial"/>
        </w:rPr>
        <w:t>1.2. Ratio Analysis</w:t>
      </w:r>
      <w:bookmarkEnd w:id="4"/>
      <w:bookmarkEnd w:id="5"/>
    </w:p>
    <w:p w14:paraId="7AB8FA4D" w14:textId="77777777" w:rsidR="00047D0B" w:rsidRPr="00A343CD" w:rsidRDefault="00047D0B" w:rsidP="00047D0B">
      <w:pPr>
        <w:pStyle w:val="Heading3"/>
        <w:rPr>
          <w:rFonts w:ascii="Arial" w:hAnsi="Arial" w:cs="Arial"/>
        </w:rPr>
      </w:pPr>
      <w:bookmarkStart w:id="6" w:name="_Toc217295002"/>
      <w:bookmarkStart w:id="7" w:name="_Toc217298610"/>
      <w:r w:rsidRPr="00A343CD">
        <w:rPr>
          <w:rFonts w:ascii="Arial" w:hAnsi="Arial" w:cs="Arial"/>
        </w:rPr>
        <w:t>1.2.1 Profitability</w:t>
      </w:r>
      <w:bookmarkEnd w:id="6"/>
      <w:bookmarkEnd w:id="7"/>
    </w:p>
    <w:p w14:paraId="25675103" w14:textId="77777777" w:rsidR="00047D0B" w:rsidRPr="00A343CD" w:rsidRDefault="00047D0B" w:rsidP="00047D0B">
      <w:pPr>
        <w:rPr>
          <w:rFonts w:ascii="Arial" w:hAnsi="Arial" w:cs="Arial"/>
        </w:rPr>
      </w:pPr>
      <w:r w:rsidRPr="00A343CD">
        <w:rPr>
          <w:rFonts w:ascii="Arial" w:hAnsi="Arial" w:cs="Arial"/>
        </w:rPr>
        <w:t xml:space="preserve">The ratios of profitability indicate a business that left a relatively healthy footing in terms of profitability margin in 2020 into a de facto profitability shock in 2023 (which will subsequently be partially but not entirely corrected in 2024). Gross margin is generally at around of 28-29% rates throughout the period of 2020-2022 and again at 28.87% in 2024 following a tighter squeeze in 2023 to 23.20% that was observed but temporary in nature. Nevertheless, the most significant decline is below the gross line: operating margin has dropped to 2.68% in 2022 and then dropped to -20.29% in 2023 and only slightly above is -3.87% in 2024. The implication of this profile is that the operating expense base and cost structure of the firm was not aligned with its revenue magnitude, which is in line with the reported operating losses in 2023-2024 (Altman, 1968). </w:t>
      </w:r>
    </w:p>
    <w:p w14:paraId="079BAF71" w14:textId="77777777" w:rsidR="00047D0B" w:rsidRPr="00A343CD" w:rsidRDefault="00047D0B" w:rsidP="00047D0B">
      <w:pPr>
        <w:rPr>
          <w:rFonts w:ascii="Arial" w:hAnsi="Arial" w:cs="Arial"/>
        </w:rPr>
      </w:pPr>
      <w:r w:rsidRPr="00A343CD">
        <w:rPr>
          <w:rFonts w:ascii="Arial" w:hAnsi="Arial" w:cs="Arial"/>
        </w:rPr>
        <w:t xml:space="preserve">The value destruction is further supported by the return on capital employed (ROCE): ROCE dropped to -19.04 in 2023 (it was 7.34 the year before) and in 2024, it is indicating a negative (-3.66). </w:t>
      </w:r>
    </w:p>
    <w:p w14:paraId="7AA6433C" w14:textId="77777777" w:rsidR="00047D0B" w:rsidRPr="00A343CD" w:rsidRDefault="00047D0B" w:rsidP="00047D0B">
      <w:pPr>
        <w:pStyle w:val="Heading3"/>
        <w:rPr>
          <w:rFonts w:ascii="Arial" w:hAnsi="Arial" w:cs="Arial"/>
        </w:rPr>
      </w:pPr>
      <w:bookmarkStart w:id="8" w:name="_Toc217295003"/>
      <w:bookmarkStart w:id="9" w:name="_Toc217298611"/>
      <w:r w:rsidRPr="00A343CD">
        <w:rPr>
          <w:rFonts w:ascii="Arial" w:hAnsi="Arial" w:cs="Arial"/>
        </w:rPr>
        <w:lastRenderedPageBreak/>
        <w:t>1.2.2 Liquidity</w:t>
      </w:r>
      <w:bookmarkEnd w:id="8"/>
      <w:bookmarkEnd w:id="9"/>
    </w:p>
    <w:p w14:paraId="576E560C" w14:textId="77777777" w:rsidR="00047D0B" w:rsidRPr="00A343CD" w:rsidRDefault="00047D0B" w:rsidP="00047D0B">
      <w:pPr>
        <w:rPr>
          <w:rFonts w:ascii="Arial" w:hAnsi="Arial" w:cs="Arial"/>
        </w:rPr>
      </w:pPr>
      <w:r w:rsidRPr="00A343CD">
        <w:rPr>
          <w:rFonts w:ascii="Arial" w:hAnsi="Arial" w:cs="Arial"/>
        </w:rPr>
        <w:t xml:space="preserve">The liquidity ratios make a mixed picture: although the company seems to have no troubles with fulfilling the near term liabilities on a balance sheet level, its cash cushion appears to be diminishing gradually. Current ratio dropped to approximately 1.58-1.66 compared to 1.88:1 in 2020, meaning that there is less headroom, though current assets remain higher than current liabilities. Quick ratio rebounded to values above one in 2023-2024 (1.11 and 1.09) after falling below, indicating that some additional protection against revenue or some sort of collection shock may be in place, however a quick ratio value that is slightly above one tends to show limited safeguarding. </w:t>
      </w:r>
    </w:p>
    <w:p w14:paraId="3EE7F0F0" w14:textId="7CB6F81D" w:rsidR="00047D0B" w:rsidRPr="00A343CD" w:rsidRDefault="00047D0B" w:rsidP="00047D0B">
      <w:pPr>
        <w:rPr>
          <w:rFonts w:ascii="Arial" w:hAnsi="Arial" w:cs="Arial"/>
        </w:rPr>
      </w:pPr>
      <w:r w:rsidRPr="00A343CD">
        <w:rPr>
          <w:rFonts w:ascii="Arial" w:hAnsi="Arial" w:cs="Arial"/>
        </w:rPr>
        <w:t xml:space="preserve">The cash ratio is the most warning sign as the ratio had dropped to 0.21:1 (2024) as compared to 0.39:1 (2020). The decreasing cash ratio means that the company is getting increasingly less cash per unit or short-term liability and will need to convert working capital more in order to meet its obligations or alternatively as an external source of liquidity. </w:t>
      </w:r>
    </w:p>
    <w:p w14:paraId="6312F436" w14:textId="77777777" w:rsidR="00047D0B" w:rsidRPr="00A343CD" w:rsidRDefault="00047D0B" w:rsidP="00047D0B">
      <w:pPr>
        <w:pStyle w:val="Heading3"/>
        <w:rPr>
          <w:rFonts w:ascii="Arial" w:hAnsi="Arial" w:cs="Arial"/>
        </w:rPr>
      </w:pPr>
      <w:bookmarkStart w:id="10" w:name="_Toc217295004"/>
      <w:bookmarkStart w:id="11" w:name="_Toc217298612"/>
      <w:r w:rsidRPr="00A343CD">
        <w:rPr>
          <w:rFonts w:ascii="Arial" w:hAnsi="Arial" w:cs="Arial"/>
        </w:rPr>
        <w:t>1.2.3 Asset efficiency</w:t>
      </w:r>
      <w:bookmarkEnd w:id="10"/>
      <w:bookmarkEnd w:id="11"/>
    </w:p>
    <w:p w14:paraId="692FB154" w14:textId="77777777" w:rsidR="00047D0B" w:rsidRPr="00A343CD" w:rsidRDefault="00047D0B" w:rsidP="00047D0B">
      <w:pPr>
        <w:rPr>
          <w:rFonts w:ascii="Arial" w:hAnsi="Arial" w:cs="Arial"/>
        </w:rPr>
      </w:pPr>
      <w:r w:rsidRPr="00A343CD">
        <w:rPr>
          <w:rFonts w:ascii="Arial" w:hAnsi="Arial" w:cs="Arial"/>
        </w:rPr>
        <w:t>The asset turnover ratio now stands at 0.69 times as compared to the previous 0.77 times in 2020, which means that the company would generate less income per unit of assets in the long term. This increase in the fixed asset turnover (7.04 to 11.54) extends the negative indicators of the ROCE and would be attributed to less efficient utilization of capital into generating sales than in the past, consistent with the negative ROCE trends.</w:t>
      </w:r>
    </w:p>
    <w:p w14:paraId="65B2CB11" w14:textId="77777777" w:rsidR="00047D0B" w:rsidRPr="00A343CD" w:rsidRDefault="00047D0B" w:rsidP="00047D0B">
      <w:pPr>
        <w:pStyle w:val="Heading3"/>
        <w:rPr>
          <w:rFonts w:ascii="Arial" w:hAnsi="Arial" w:cs="Arial"/>
        </w:rPr>
      </w:pPr>
      <w:bookmarkStart w:id="12" w:name="_Toc217295005"/>
      <w:bookmarkStart w:id="13" w:name="_Toc217298613"/>
      <w:r w:rsidRPr="00A343CD">
        <w:rPr>
          <w:rFonts w:ascii="Arial" w:hAnsi="Arial" w:cs="Arial"/>
        </w:rPr>
        <w:t>1.2.4 Gearing, interest cover and solvency risk.</w:t>
      </w:r>
      <w:bookmarkEnd w:id="12"/>
      <w:bookmarkEnd w:id="13"/>
    </w:p>
    <w:p w14:paraId="17252611" w14:textId="77777777" w:rsidR="00047D0B" w:rsidRPr="00A343CD" w:rsidRDefault="00047D0B" w:rsidP="00047D0B">
      <w:pPr>
        <w:rPr>
          <w:rFonts w:ascii="Arial" w:hAnsi="Arial" w:cs="Arial"/>
        </w:rPr>
      </w:pPr>
      <w:r w:rsidRPr="00A343CD">
        <w:rPr>
          <w:rFonts w:ascii="Arial" w:hAnsi="Arial" w:cs="Arial"/>
        </w:rPr>
        <w:t>The gearing ratios show that the capital structure is structurally more risky as at 2024. The debt to equity has increased to 1.10:1 in 2024 compared to 0.62:1 in 2020, and debt to capital has increased to 52.33% as compared to 38.14% indicating that the company relies on debt financing. Interest coverage ratio (TIE) became negative in 2023 (-20.30), and it was also negative in 2024 (-4.53), meaning that the EBIT is incapable of covering interest expense and indicating increased credit risk, which interests coverage is often used by lenders to determine the riskiness of lending, lower ratios (and particularly negative ones) indicating the likelihood of the business becoming unmanageable.</w:t>
      </w:r>
    </w:p>
    <w:p w14:paraId="07321A51" w14:textId="77777777" w:rsidR="00047D0B" w:rsidRPr="00A343CD" w:rsidRDefault="00047D0B" w:rsidP="00047D0B">
      <w:pPr>
        <w:pStyle w:val="Heading2"/>
        <w:spacing w:line="276" w:lineRule="auto"/>
        <w:rPr>
          <w:rFonts w:ascii="Arial" w:hAnsi="Arial" w:cs="Arial"/>
        </w:rPr>
      </w:pPr>
      <w:bookmarkStart w:id="14" w:name="_Toc217295006"/>
      <w:bookmarkStart w:id="15" w:name="_Hlk215924527"/>
      <w:bookmarkStart w:id="16" w:name="_Toc217298614"/>
      <w:r w:rsidRPr="00A343CD">
        <w:rPr>
          <w:rFonts w:ascii="Arial" w:hAnsi="Arial" w:cs="Arial"/>
        </w:rPr>
        <w:lastRenderedPageBreak/>
        <w:t>1.3.  Strengths, and Threats</w:t>
      </w:r>
      <w:bookmarkEnd w:id="14"/>
      <w:bookmarkEnd w:id="16"/>
    </w:p>
    <w:p w14:paraId="28285B7C" w14:textId="77777777" w:rsidR="00047D0B" w:rsidRPr="00A343CD" w:rsidRDefault="00047D0B" w:rsidP="00047D0B">
      <w:pPr>
        <w:pStyle w:val="Heading3"/>
        <w:spacing w:line="276" w:lineRule="auto"/>
        <w:rPr>
          <w:rFonts w:ascii="Arial" w:hAnsi="Arial" w:cs="Arial"/>
        </w:rPr>
      </w:pPr>
      <w:bookmarkStart w:id="17" w:name="_Toc217295007"/>
      <w:bookmarkStart w:id="18" w:name="_Toc217298615"/>
      <w:r w:rsidRPr="00A343CD">
        <w:rPr>
          <w:rFonts w:ascii="Arial" w:hAnsi="Arial" w:cs="Arial"/>
        </w:rPr>
        <w:t xml:space="preserve">1.3.1 </w:t>
      </w:r>
      <w:bookmarkEnd w:id="15"/>
      <w:r w:rsidRPr="00A343CD">
        <w:rPr>
          <w:rFonts w:ascii="Arial" w:hAnsi="Arial" w:cs="Arial"/>
        </w:rPr>
        <w:t>SWOT</w:t>
      </w:r>
      <w:bookmarkEnd w:id="17"/>
      <w:bookmarkEnd w:id="18"/>
    </w:p>
    <w:p w14:paraId="2F4A7785" w14:textId="77777777" w:rsidR="00047D0B" w:rsidRPr="00A343CD" w:rsidRDefault="00047D0B" w:rsidP="00047D0B">
      <w:pPr>
        <w:pStyle w:val="ListBullet"/>
        <w:numPr>
          <w:ilvl w:val="0"/>
          <w:numId w:val="0"/>
        </w:numPr>
        <w:spacing w:after="0" w:line="276" w:lineRule="auto"/>
        <w:ind w:left="360"/>
        <w:rPr>
          <w:rFonts w:ascii="Arial" w:hAnsi="Arial" w:cs="Arial"/>
        </w:rPr>
      </w:pPr>
    </w:p>
    <w:tbl>
      <w:tblPr>
        <w:tblStyle w:val="GridTable1Light-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9"/>
        <w:gridCol w:w="4469"/>
      </w:tblGrid>
      <w:tr w:rsidR="00047D0B" w:rsidRPr="00A343CD" w14:paraId="42BD67CC" w14:textId="77777777" w:rsidTr="00C563B5">
        <w:trPr>
          <w:cnfStyle w:val="100000000000" w:firstRow="1" w:lastRow="0" w:firstColumn="0" w:lastColumn="0" w:oddVBand="0" w:evenVBand="0" w:oddHBand="0"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4469" w:type="dxa"/>
            <w:tcBorders>
              <w:bottom w:val="none" w:sz="0" w:space="0" w:color="auto"/>
            </w:tcBorders>
          </w:tcPr>
          <w:p w14:paraId="56D7EA21" w14:textId="77777777" w:rsidR="00047D0B" w:rsidRPr="00A343CD" w:rsidRDefault="00047D0B" w:rsidP="00C563B5">
            <w:pPr>
              <w:rPr>
                <w:rFonts w:ascii="Arial" w:hAnsi="Arial" w:cs="Arial"/>
                <w:b w:val="0"/>
                <w:bCs w:val="0"/>
              </w:rPr>
            </w:pPr>
            <w:r w:rsidRPr="00A343CD">
              <w:rPr>
                <w:rFonts w:ascii="Arial" w:hAnsi="Arial" w:cs="Arial"/>
              </w:rPr>
              <w:t>Strengths</w:t>
            </w:r>
          </w:p>
        </w:tc>
        <w:tc>
          <w:tcPr>
            <w:tcW w:w="4469" w:type="dxa"/>
            <w:tcBorders>
              <w:bottom w:val="none" w:sz="0" w:space="0" w:color="auto"/>
            </w:tcBorders>
          </w:tcPr>
          <w:p w14:paraId="343DD266" w14:textId="77777777" w:rsidR="00047D0B" w:rsidRPr="00A343CD" w:rsidRDefault="00047D0B" w:rsidP="00C563B5">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A343CD">
              <w:rPr>
                <w:rFonts w:ascii="Arial" w:hAnsi="Arial" w:cs="Arial"/>
              </w:rPr>
              <w:t>Weaknesses</w:t>
            </w:r>
          </w:p>
        </w:tc>
      </w:tr>
      <w:tr w:rsidR="00047D0B" w:rsidRPr="00A343CD" w14:paraId="7B702E99" w14:textId="77777777" w:rsidTr="00C563B5">
        <w:trPr>
          <w:trHeight w:val="1339"/>
        </w:trPr>
        <w:tc>
          <w:tcPr>
            <w:cnfStyle w:val="001000000000" w:firstRow="0" w:lastRow="0" w:firstColumn="1" w:lastColumn="0" w:oddVBand="0" w:evenVBand="0" w:oddHBand="0" w:evenHBand="0" w:firstRowFirstColumn="0" w:firstRowLastColumn="0" w:lastRowFirstColumn="0" w:lastRowLastColumn="0"/>
            <w:tcW w:w="4469" w:type="dxa"/>
          </w:tcPr>
          <w:p w14:paraId="7743E7A8" w14:textId="77777777" w:rsidR="00047D0B" w:rsidRPr="00A343CD" w:rsidRDefault="00047D0B" w:rsidP="00835637">
            <w:pPr>
              <w:pStyle w:val="ListParagraph"/>
              <w:numPr>
                <w:ilvl w:val="0"/>
                <w:numId w:val="7"/>
              </w:numPr>
              <w:spacing w:after="0"/>
              <w:rPr>
                <w:rFonts w:ascii="Arial" w:hAnsi="Arial" w:cs="Arial"/>
                <w:b w:val="0"/>
                <w:bCs w:val="0"/>
              </w:rPr>
            </w:pPr>
            <w:r w:rsidRPr="00A343CD">
              <w:rPr>
                <w:rFonts w:ascii="Arial" w:hAnsi="Arial" w:cs="Arial"/>
                <w:b w:val="0"/>
                <w:bCs w:val="0"/>
              </w:rPr>
              <w:t>Gross margin is strong again (28.87% in 2024).</w:t>
            </w:r>
          </w:p>
          <w:p w14:paraId="031AFD1D" w14:textId="77777777" w:rsidR="00047D0B" w:rsidRPr="00A343CD" w:rsidRDefault="00047D0B" w:rsidP="00835637">
            <w:pPr>
              <w:pStyle w:val="ListParagraph"/>
              <w:numPr>
                <w:ilvl w:val="0"/>
                <w:numId w:val="7"/>
              </w:numPr>
              <w:spacing w:after="0"/>
              <w:rPr>
                <w:rFonts w:ascii="Arial" w:hAnsi="Arial" w:cs="Arial"/>
                <w:b w:val="0"/>
                <w:bCs w:val="0"/>
              </w:rPr>
            </w:pPr>
            <w:r w:rsidRPr="00A343CD">
              <w:rPr>
                <w:rFonts w:ascii="Arial" w:hAnsi="Arial" w:cs="Arial"/>
                <w:b w:val="0"/>
                <w:bCs w:val="0"/>
              </w:rPr>
              <w:t>Current and quick ratios are above 1 (CR 1.59; QR 1.09 in 2024)</w:t>
            </w:r>
          </w:p>
          <w:p w14:paraId="3D6CF65C" w14:textId="77777777" w:rsidR="00047D0B" w:rsidRPr="00A343CD" w:rsidRDefault="00047D0B" w:rsidP="00835637">
            <w:pPr>
              <w:pStyle w:val="ListParagraph"/>
              <w:numPr>
                <w:ilvl w:val="0"/>
                <w:numId w:val="7"/>
              </w:numPr>
              <w:spacing w:after="0"/>
              <w:rPr>
                <w:rFonts w:ascii="Arial" w:hAnsi="Arial" w:cs="Arial"/>
                <w:b w:val="0"/>
                <w:bCs w:val="0"/>
              </w:rPr>
            </w:pPr>
            <w:r w:rsidRPr="00A343CD">
              <w:rPr>
                <w:rFonts w:ascii="Arial" w:hAnsi="Arial" w:cs="Arial"/>
                <w:b w:val="0"/>
                <w:bCs w:val="0"/>
              </w:rPr>
              <w:t>. Free cash flow is still positive (€23,250 in 2024</w:t>
            </w:r>
          </w:p>
          <w:p w14:paraId="18340370" w14:textId="77777777" w:rsidR="00047D0B" w:rsidRPr="00A343CD" w:rsidRDefault="00047D0B" w:rsidP="00835637">
            <w:pPr>
              <w:pStyle w:val="ListParagraph"/>
              <w:numPr>
                <w:ilvl w:val="0"/>
                <w:numId w:val="7"/>
              </w:numPr>
              <w:spacing w:after="0"/>
              <w:rPr>
                <w:rFonts w:ascii="Arial" w:hAnsi="Arial" w:cs="Arial"/>
              </w:rPr>
            </w:pPr>
            <w:r w:rsidRPr="00A343CD">
              <w:rPr>
                <w:rFonts w:ascii="Arial" w:hAnsi="Arial" w:cs="Arial"/>
                <w:b w:val="0"/>
                <w:bCs w:val="0"/>
              </w:rPr>
              <w:t>CCC improved in 2024 (15.48 days) versus 2023 (36.93 days).</w:t>
            </w:r>
          </w:p>
        </w:tc>
        <w:tc>
          <w:tcPr>
            <w:tcW w:w="4469" w:type="dxa"/>
          </w:tcPr>
          <w:p w14:paraId="1E74AC44" w14:textId="77777777" w:rsidR="00047D0B" w:rsidRPr="00A343CD" w:rsidRDefault="00047D0B" w:rsidP="00835637">
            <w:pPr>
              <w:pStyle w:val="ListParagraph"/>
              <w:numPr>
                <w:ilvl w:val="0"/>
                <w:numId w:val="7"/>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A343CD">
              <w:rPr>
                <w:rFonts w:ascii="Arial" w:hAnsi="Arial" w:cs="Arial"/>
              </w:rPr>
              <w:t>Operating and net margins are still negative (–3.87% OM, –6.09% NM in 2024)</w:t>
            </w:r>
          </w:p>
          <w:p w14:paraId="7D01789A" w14:textId="77777777" w:rsidR="00047D0B" w:rsidRPr="00A343CD" w:rsidRDefault="00047D0B" w:rsidP="00835637">
            <w:pPr>
              <w:pStyle w:val="ListParagraph"/>
              <w:numPr>
                <w:ilvl w:val="0"/>
                <w:numId w:val="7"/>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A343CD">
              <w:rPr>
                <w:rFonts w:ascii="Arial" w:hAnsi="Arial" w:cs="Arial"/>
              </w:rPr>
              <w:t>. Cash buffer is weak (cash ratio 0.21 in 2024).</w:t>
            </w:r>
          </w:p>
          <w:p w14:paraId="3C7CAC39" w14:textId="77777777" w:rsidR="00047D0B" w:rsidRPr="00A343CD" w:rsidRDefault="00047D0B" w:rsidP="00835637">
            <w:pPr>
              <w:pStyle w:val="ListParagraph"/>
              <w:numPr>
                <w:ilvl w:val="0"/>
                <w:numId w:val="7"/>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A343CD">
              <w:rPr>
                <w:rFonts w:ascii="Arial" w:hAnsi="Arial" w:cs="Arial"/>
              </w:rPr>
              <w:t>Cash generation has weakened (cash flow margin 3.75% in 2024, down from 13.25% in 2020).</w:t>
            </w:r>
          </w:p>
          <w:p w14:paraId="15E7DF5A" w14:textId="77777777" w:rsidR="00047D0B" w:rsidRPr="00A343CD" w:rsidRDefault="00047D0B" w:rsidP="00835637">
            <w:pPr>
              <w:pStyle w:val="ListParagraph"/>
              <w:numPr>
                <w:ilvl w:val="0"/>
                <w:numId w:val="7"/>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A343CD">
              <w:rPr>
                <w:rFonts w:ascii="Arial" w:hAnsi="Arial" w:cs="Arial"/>
              </w:rPr>
              <w:t>ROCE and ROE are negative (ROCE –3.66%, ROE –15.69% in 2024).</w:t>
            </w:r>
          </w:p>
        </w:tc>
      </w:tr>
      <w:tr w:rsidR="00047D0B" w:rsidRPr="00A343CD" w14:paraId="5B705EF6" w14:textId="77777777" w:rsidTr="00C563B5">
        <w:trPr>
          <w:trHeight w:val="209"/>
        </w:trPr>
        <w:tc>
          <w:tcPr>
            <w:cnfStyle w:val="001000000000" w:firstRow="0" w:lastRow="0" w:firstColumn="1" w:lastColumn="0" w:oddVBand="0" w:evenVBand="0" w:oddHBand="0" w:evenHBand="0" w:firstRowFirstColumn="0" w:firstRowLastColumn="0" w:lastRowFirstColumn="0" w:lastRowLastColumn="0"/>
            <w:tcW w:w="4469" w:type="dxa"/>
          </w:tcPr>
          <w:p w14:paraId="19B8988C" w14:textId="77777777" w:rsidR="00047D0B" w:rsidRPr="00A343CD" w:rsidRDefault="00047D0B" w:rsidP="00C563B5">
            <w:pPr>
              <w:rPr>
                <w:rFonts w:ascii="Arial" w:hAnsi="Arial" w:cs="Arial"/>
              </w:rPr>
            </w:pPr>
            <w:r w:rsidRPr="00A343CD">
              <w:rPr>
                <w:rFonts w:ascii="Arial" w:hAnsi="Arial" w:cs="Arial"/>
              </w:rPr>
              <w:t>Opportunities</w:t>
            </w:r>
          </w:p>
        </w:tc>
        <w:tc>
          <w:tcPr>
            <w:tcW w:w="4469" w:type="dxa"/>
          </w:tcPr>
          <w:p w14:paraId="59C0FB2A"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A343CD">
              <w:rPr>
                <w:rFonts w:ascii="Arial" w:hAnsi="Arial" w:cs="Arial"/>
              </w:rPr>
              <w:t>Threats</w:t>
            </w:r>
          </w:p>
        </w:tc>
      </w:tr>
      <w:tr w:rsidR="00047D0B" w:rsidRPr="00A343CD" w14:paraId="5B560A80" w14:textId="77777777" w:rsidTr="00C563B5">
        <w:trPr>
          <w:trHeight w:val="1451"/>
        </w:trPr>
        <w:tc>
          <w:tcPr>
            <w:cnfStyle w:val="001000000000" w:firstRow="0" w:lastRow="0" w:firstColumn="1" w:lastColumn="0" w:oddVBand="0" w:evenVBand="0" w:oddHBand="0" w:evenHBand="0" w:firstRowFirstColumn="0" w:firstRowLastColumn="0" w:lastRowFirstColumn="0" w:lastRowLastColumn="0"/>
            <w:tcW w:w="4469" w:type="dxa"/>
          </w:tcPr>
          <w:p w14:paraId="00F7E201" w14:textId="77777777" w:rsidR="00047D0B" w:rsidRPr="00A343CD" w:rsidRDefault="00047D0B" w:rsidP="00835637">
            <w:pPr>
              <w:pStyle w:val="ListParagraph"/>
              <w:numPr>
                <w:ilvl w:val="0"/>
                <w:numId w:val="8"/>
              </w:numPr>
              <w:spacing w:after="0"/>
              <w:rPr>
                <w:rFonts w:ascii="Arial" w:hAnsi="Arial" w:cs="Arial"/>
                <w:b w:val="0"/>
                <w:bCs w:val="0"/>
              </w:rPr>
            </w:pPr>
            <w:r w:rsidRPr="00A343CD">
              <w:rPr>
                <w:rFonts w:ascii="Arial" w:hAnsi="Arial" w:cs="Arial"/>
                <w:b w:val="0"/>
                <w:bCs w:val="0"/>
              </w:rPr>
              <w:t>Improve cash by collecting receivables faster (DSO 105.54 days in 2024).</w:t>
            </w:r>
          </w:p>
          <w:p w14:paraId="40A603A6" w14:textId="77777777" w:rsidR="00047D0B" w:rsidRPr="00A343CD" w:rsidRDefault="00047D0B" w:rsidP="00835637">
            <w:pPr>
              <w:pStyle w:val="ListParagraph"/>
              <w:numPr>
                <w:ilvl w:val="0"/>
                <w:numId w:val="8"/>
              </w:numPr>
              <w:spacing w:after="0"/>
              <w:rPr>
                <w:rFonts w:ascii="Arial" w:hAnsi="Arial" w:cs="Arial"/>
                <w:b w:val="0"/>
                <w:bCs w:val="0"/>
              </w:rPr>
            </w:pPr>
            <w:r w:rsidRPr="00A343CD">
              <w:rPr>
                <w:rFonts w:ascii="Arial" w:hAnsi="Arial" w:cs="Arial"/>
                <w:b w:val="0"/>
                <w:bCs w:val="0"/>
              </w:rPr>
              <w:t xml:space="preserve">Choose only valued projects. </w:t>
            </w:r>
          </w:p>
          <w:p w14:paraId="3BE6D57E" w14:textId="77777777" w:rsidR="00047D0B" w:rsidRPr="00A343CD" w:rsidRDefault="00047D0B" w:rsidP="00835637">
            <w:pPr>
              <w:pStyle w:val="ListParagraph"/>
              <w:numPr>
                <w:ilvl w:val="0"/>
                <w:numId w:val="8"/>
              </w:numPr>
              <w:spacing w:after="0"/>
              <w:rPr>
                <w:rFonts w:ascii="Arial" w:hAnsi="Arial" w:cs="Arial"/>
                <w:b w:val="0"/>
                <w:bCs w:val="0"/>
              </w:rPr>
            </w:pPr>
            <w:r w:rsidRPr="00A343CD">
              <w:rPr>
                <w:rFonts w:ascii="Arial" w:hAnsi="Arial" w:cs="Arial"/>
                <w:b w:val="0"/>
                <w:bCs w:val="0"/>
              </w:rPr>
              <w:t>Reduce financing stress by improving EBIT (this would lift interest cover and Z</w:t>
            </w:r>
            <w:r w:rsidRPr="00A343CD">
              <w:rPr>
                <w:rFonts w:ascii="Cambria Math" w:hAnsi="Cambria Math" w:cs="Cambria Math"/>
                <w:b w:val="0"/>
                <w:bCs w:val="0"/>
              </w:rPr>
              <w:t>‑</w:t>
            </w:r>
            <w:r w:rsidRPr="00A343CD">
              <w:rPr>
                <w:rFonts w:ascii="Arial" w:hAnsi="Arial" w:cs="Arial"/>
                <w:b w:val="0"/>
                <w:bCs w:val="0"/>
              </w:rPr>
              <w:t>Score).</w:t>
            </w:r>
          </w:p>
          <w:p w14:paraId="21990E14" w14:textId="77777777" w:rsidR="00047D0B" w:rsidRPr="00A343CD" w:rsidRDefault="00047D0B" w:rsidP="00835637">
            <w:pPr>
              <w:pStyle w:val="ListParagraph"/>
              <w:numPr>
                <w:ilvl w:val="0"/>
                <w:numId w:val="8"/>
              </w:numPr>
              <w:spacing w:after="0"/>
              <w:rPr>
                <w:rFonts w:ascii="Arial" w:hAnsi="Arial" w:cs="Arial"/>
              </w:rPr>
            </w:pPr>
            <w:r w:rsidRPr="00A343CD">
              <w:rPr>
                <w:rFonts w:ascii="Arial" w:hAnsi="Arial" w:cs="Arial"/>
                <w:b w:val="0"/>
                <w:bCs w:val="0"/>
              </w:rPr>
              <w:t>Strengthen liquidity by lowering inventory/receivables and not relying on supplier delays.</w:t>
            </w:r>
          </w:p>
        </w:tc>
        <w:tc>
          <w:tcPr>
            <w:tcW w:w="4469" w:type="dxa"/>
          </w:tcPr>
          <w:p w14:paraId="07BDDDCD" w14:textId="77777777" w:rsidR="00047D0B" w:rsidRPr="00A343CD" w:rsidRDefault="00047D0B" w:rsidP="00835637">
            <w:pPr>
              <w:pStyle w:val="ListParagraph"/>
              <w:numPr>
                <w:ilvl w:val="0"/>
                <w:numId w:val="8"/>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A343CD">
              <w:rPr>
                <w:rFonts w:ascii="Arial" w:hAnsi="Arial" w:cs="Arial"/>
              </w:rPr>
              <w:t>Distress risk remains high (Altman Z = 1.85 in 2024, near distress zone).</w:t>
            </w:r>
          </w:p>
          <w:p w14:paraId="19F2AE5B" w14:textId="77777777" w:rsidR="00047D0B" w:rsidRPr="00A343CD" w:rsidRDefault="00047D0B" w:rsidP="00835637">
            <w:pPr>
              <w:pStyle w:val="ListParagraph"/>
              <w:numPr>
                <w:ilvl w:val="0"/>
                <w:numId w:val="8"/>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A343CD">
              <w:rPr>
                <w:rFonts w:ascii="Arial" w:hAnsi="Arial" w:cs="Arial"/>
              </w:rPr>
              <w:t>Debt pressure is rising (D/E 1.10 in 2024).</w:t>
            </w:r>
          </w:p>
          <w:p w14:paraId="0E17AB55" w14:textId="77777777" w:rsidR="00047D0B" w:rsidRPr="00A343CD" w:rsidRDefault="00047D0B" w:rsidP="00835637">
            <w:pPr>
              <w:pStyle w:val="ListParagraph"/>
              <w:numPr>
                <w:ilvl w:val="0"/>
                <w:numId w:val="8"/>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A343CD">
              <w:rPr>
                <w:rFonts w:ascii="Arial" w:hAnsi="Arial" w:cs="Arial"/>
              </w:rPr>
              <w:t>Interest cover is negative (–4.53 in 2024), so debt service risk is high.</w:t>
            </w:r>
          </w:p>
          <w:p w14:paraId="3D14A04A" w14:textId="77777777" w:rsidR="00047D0B" w:rsidRPr="00A343CD" w:rsidRDefault="00047D0B" w:rsidP="00835637">
            <w:pPr>
              <w:pStyle w:val="ListParagraph"/>
              <w:numPr>
                <w:ilvl w:val="0"/>
                <w:numId w:val="8"/>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A343CD">
              <w:rPr>
                <w:rFonts w:ascii="Arial" w:hAnsi="Arial" w:cs="Arial"/>
              </w:rPr>
              <w:t>Any delay in customer payments can trigger liquidity shock due to low cash ratio.</w:t>
            </w:r>
          </w:p>
        </w:tc>
      </w:tr>
    </w:tbl>
    <w:p w14:paraId="0EDDC59E" w14:textId="77777777" w:rsidR="00047D0B" w:rsidRPr="00A343CD" w:rsidRDefault="00047D0B" w:rsidP="00047D0B">
      <w:pPr>
        <w:pStyle w:val="ListBullet"/>
        <w:numPr>
          <w:ilvl w:val="0"/>
          <w:numId w:val="0"/>
        </w:numPr>
        <w:spacing w:after="0" w:line="276" w:lineRule="auto"/>
        <w:rPr>
          <w:rFonts w:ascii="Arial" w:hAnsi="Arial" w:cs="Arial"/>
        </w:rPr>
      </w:pPr>
    </w:p>
    <w:p w14:paraId="6CF2EE33" w14:textId="77777777" w:rsidR="00047D0B" w:rsidRPr="00A343CD" w:rsidRDefault="00047D0B" w:rsidP="00047D0B">
      <w:pPr>
        <w:pStyle w:val="Heading2"/>
        <w:spacing w:line="276" w:lineRule="auto"/>
        <w:rPr>
          <w:rFonts w:ascii="Arial" w:hAnsi="Arial" w:cs="Arial"/>
        </w:rPr>
      </w:pPr>
      <w:bookmarkStart w:id="19" w:name="_Toc217295008"/>
      <w:bookmarkStart w:id="20" w:name="_Toc217298616"/>
      <w:r w:rsidRPr="00A343CD">
        <w:rPr>
          <w:rFonts w:ascii="Arial" w:hAnsi="Arial" w:cs="Arial"/>
        </w:rPr>
        <w:t>1.4. Altman Z</w:t>
      </w:r>
      <w:r w:rsidRPr="00A343CD">
        <w:rPr>
          <w:rFonts w:ascii="Cambria Math" w:hAnsi="Cambria Math" w:cs="Cambria Math"/>
        </w:rPr>
        <w:t>‑</w:t>
      </w:r>
      <w:r w:rsidRPr="00A343CD">
        <w:rPr>
          <w:rFonts w:ascii="Arial" w:hAnsi="Arial" w:cs="Arial"/>
        </w:rPr>
        <w:t>Score</w:t>
      </w:r>
      <w:bookmarkEnd w:id="19"/>
      <w:bookmarkEnd w:id="20"/>
      <w:r w:rsidRPr="00A343CD">
        <w:rPr>
          <w:rFonts w:ascii="Arial" w:hAnsi="Arial" w:cs="Arial"/>
        </w:rPr>
        <w:t xml:space="preserve"> </w:t>
      </w:r>
    </w:p>
    <w:p w14:paraId="3EA91662" w14:textId="77777777" w:rsidR="00047D0B" w:rsidRPr="00A343CD" w:rsidRDefault="00047D0B" w:rsidP="00047D0B">
      <w:pPr>
        <w:spacing w:after="0" w:line="276" w:lineRule="auto"/>
        <w:rPr>
          <w:rFonts w:ascii="Arial" w:hAnsi="Arial" w:cs="Arial"/>
        </w:rPr>
      </w:pPr>
      <w:r w:rsidRPr="00A343CD">
        <w:rPr>
          <w:rFonts w:ascii="Arial" w:hAnsi="Arial" w:cs="Arial"/>
          <w:b/>
        </w:rPr>
        <w:t xml:space="preserve">Model choice. </w:t>
      </w:r>
      <w:r w:rsidRPr="00A343CD">
        <w:rPr>
          <w:rFonts w:ascii="Arial" w:hAnsi="Arial" w:cs="Arial"/>
        </w:rPr>
        <w:t xml:space="preserve">Given the firm’s profile and available values value, the Altman Z″ model is applied: </w:t>
      </w:r>
    </w:p>
    <w:p w14:paraId="77CC912E" w14:textId="77777777" w:rsidR="00047D0B" w:rsidRPr="00A343CD" w:rsidRDefault="00047D0B" w:rsidP="00047D0B">
      <w:pPr>
        <w:spacing w:after="0" w:line="276" w:lineRule="auto"/>
        <w:rPr>
          <w:rFonts w:ascii="Arial" w:hAnsi="Arial" w:cs="Arial"/>
        </w:rPr>
      </w:pPr>
      <m:oMathPara>
        <m:oMath>
          <m:r>
            <w:rPr>
              <w:rFonts w:ascii="Cambria Math" w:hAnsi="Cambria Math" w:cs="Arial"/>
            </w:rPr>
            <m:t>Z= 1.2×</m:t>
          </m:r>
          <m:d>
            <m:dPr>
              <m:ctrlPr>
                <w:rPr>
                  <w:rFonts w:ascii="Cambria Math" w:hAnsi="Cambria Math" w:cs="Arial"/>
                  <w:i/>
                </w:rPr>
              </m:ctrlPr>
            </m:dPr>
            <m:e>
              <m:f>
                <m:fPr>
                  <m:ctrlPr>
                    <w:rPr>
                      <w:rFonts w:ascii="Cambria Math" w:hAnsi="Cambria Math" w:cs="Arial"/>
                      <w:i/>
                    </w:rPr>
                  </m:ctrlPr>
                </m:fPr>
                <m:num>
                  <m:r>
                    <w:rPr>
                      <w:rFonts w:ascii="Cambria Math" w:hAnsi="Cambria Math" w:cs="Arial"/>
                    </w:rPr>
                    <m:t>WC</m:t>
                  </m:r>
                </m:num>
                <m:den>
                  <m:r>
                    <w:rPr>
                      <w:rFonts w:ascii="Cambria Math" w:hAnsi="Cambria Math" w:cs="Arial"/>
                    </w:rPr>
                    <m:t>TA</m:t>
                  </m:r>
                </m:den>
              </m:f>
            </m:e>
          </m:d>
          <m:r>
            <w:rPr>
              <w:rFonts w:ascii="Cambria Math" w:hAnsi="Cambria Math" w:cs="Arial"/>
            </w:rPr>
            <m:t>+ 1.4×</m:t>
          </m:r>
          <m:d>
            <m:dPr>
              <m:ctrlPr>
                <w:rPr>
                  <w:rFonts w:ascii="Cambria Math" w:hAnsi="Cambria Math" w:cs="Arial"/>
                  <w:i/>
                </w:rPr>
              </m:ctrlPr>
            </m:dPr>
            <m:e>
              <m:f>
                <m:fPr>
                  <m:ctrlPr>
                    <w:rPr>
                      <w:rFonts w:ascii="Cambria Math" w:hAnsi="Cambria Math" w:cs="Arial"/>
                      <w:i/>
                    </w:rPr>
                  </m:ctrlPr>
                </m:fPr>
                <m:num>
                  <m:r>
                    <w:rPr>
                      <w:rFonts w:ascii="Cambria Math" w:hAnsi="Cambria Math" w:cs="Arial"/>
                    </w:rPr>
                    <m:t>RE</m:t>
                  </m:r>
                </m:num>
                <m:den>
                  <m:r>
                    <w:rPr>
                      <w:rFonts w:ascii="Cambria Math" w:hAnsi="Cambria Math" w:cs="Arial"/>
                    </w:rPr>
                    <m:t>TA</m:t>
                  </m:r>
                </m:den>
              </m:f>
            </m:e>
          </m:d>
          <m:r>
            <w:rPr>
              <w:rFonts w:ascii="Cambria Math" w:hAnsi="Cambria Math" w:cs="Arial"/>
            </w:rPr>
            <m:t>+ 3.3×</m:t>
          </m:r>
          <m:d>
            <m:dPr>
              <m:ctrlPr>
                <w:rPr>
                  <w:rFonts w:ascii="Cambria Math" w:hAnsi="Cambria Math" w:cs="Arial"/>
                  <w:i/>
                </w:rPr>
              </m:ctrlPr>
            </m:dPr>
            <m:e>
              <m:f>
                <m:fPr>
                  <m:ctrlPr>
                    <w:rPr>
                      <w:rFonts w:ascii="Cambria Math" w:hAnsi="Cambria Math" w:cs="Arial"/>
                      <w:i/>
                    </w:rPr>
                  </m:ctrlPr>
                </m:fPr>
                <m:num>
                  <m:r>
                    <w:rPr>
                      <w:rFonts w:ascii="Cambria Math" w:hAnsi="Cambria Math" w:cs="Arial"/>
                    </w:rPr>
                    <m:t>EBIT</m:t>
                  </m:r>
                </m:num>
                <m:den>
                  <m:r>
                    <w:rPr>
                      <w:rFonts w:ascii="Cambria Math" w:hAnsi="Cambria Math" w:cs="Arial"/>
                    </w:rPr>
                    <m:t>TA</m:t>
                  </m:r>
                </m:den>
              </m:f>
            </m:e>
          </m:d>
          <m:r>
            <w:rPr>
              <w:rFonts w:ascii="Cambria Math" w:hAnsi="Cambria Math" w:cs="Arial"/>
            </w:rPr>
            <m:t>+ 0.6×</m:t>
          </m:r>
          <m:d>
            <m:dPr>
              <m:ctrlPr>
                <w:rPr>
                  <w:rFonts w:ascii="Cambria Math" w:hAnsi="Cambria Math" w:cs="Arial"/>
                  <w:i/>
                </w:rPr>
              </m:ctrlPr>
            </m:dPr>
            <m:e>
              <m:f>
                <m:fPr>
                  <m:ctrlPr>
                    <w:rPr>
                      <w:rFonts w:ascii="Cambria Math" w:hAnsi="Cambria Math" w:cs="Arial"/>
                      <w:i/>
                    </w:rPr>
                  </m:ctrlPr>
                </m:fPr>
                <m:num>
                  <m:r>
                    <w:rPr>
                      <w:rFonts w:ascii="Cambria Math" w:hAnsi="Cambria Math" w:cs="Arial"/>
                    </w:rPr>
                    <m:t>BVE</m:t>
                  </m:r>
                </m:num>
                <m:den>
                  <m:r>
                    <w:rPr>
                      <w:rFonts w:ascii="Cambria Math" w:hAnsi="Cambria Math" w:cs="Arial"/>
                    </w:rPr>
                    <m:t>TL</m:t>
                  </m:r>
                </m:den>
              </m:f>
            </m:e>
          </m:d>
          <m:r>
            <w:rPr>
              <w:rFonts w:ascii="Cambria Math" w:hAnsi="Cambria Math" w:cs="Arial"/>
            </w:rPr>
            <m:t>+1.0×</m:t>
          </m:r>
          <m:d>
            <m:dPr>
              <m:ctrlPr>
                <w:rPr>
                  <w:rFonts w:ascii="Cambria Math" w:hAnsi="Cambria Math" w:cs="Arial"/>
                  <w:i/>
                </w:rPr>
              </m:ctrlPr>
            </m:dPr>
            <m:e>
              <m:f>
                <m:fPr>
                  <m:ctrlPr>
                    <w:rPr>
                      <w:rFonts w:ascii="Cambria Math" w:hAnsi="Cambria Math" w:cs="Arial"/>
                      <w:i/>
                    </w:rPr>
                  </m:ctrlPr>
                </m:fPr>
                <m:num>
                  <m:r>
                    <w:rPr>
                      <w:rFonts w:ascii="Cambria Math" w:hAnsi="Cambria Math" w:cs="Arial"/>
                    </w:rPr>
                    <m:t>SV</m:t>
                  </m:r>
                </m:num>
                <m:den>
                  <m:r>
                    <w:rPr>
                      <w:rFonts w:ascii="Cambria Math" w:hAnsi="Cambria Math" w:cs="Arial"/>
                    </w:rPr>
                    <m:t>TA</m:t>
                  </m:r>
                </m:den>
              </m:f>
            </m:e>
          </m:d>
        </m:oMath>
      </m:oMathPara>
    </w:p>
    <w:p w14:paraId="7DEA7AE8" w14:textId="77777777" w:rsidR="00047D0B" w:rsidRPr="00A343CD" w:rsidRDefault="00047D0B" w:rsidP="00047D0B">
      <w:pPr>
        <w:spacing w:after="0" w:line="276" w:lineRule="auto"/>
        <w:rPr>
          <w:rFonts w:ascii="Arial" w:hAnsi="Arial" w:cs="Arial"/>
        </w:rPr>
      </w:pPr>
      <w:r w:rsidRPr="00A343CD">
        <w:rPr>
          <w:rFonts w:ascii="Arial" w:hAnsi="Arial" w:cs="Arial"/>
        </w:rPr>
        <w:t xml:space="preserve"> </w:t>
      </w:r>
    </w:p>
    <w:tbl>
      <w:tblPr>
        <w:tblW w:w="0" w:type="auto"/>
        <w:tblCellMar>
          <w:left w:w="0" w:type="dxa"/>
          <w:right w:w="0" w:type="dxa"/>
        </w:tblCellMar>
        <w:tblLook w:val="04A0" w:firstRow="1" w:lastRow="0" w:firstColumn="1" w:lastColumn="0" w:noHBand="0" w:noVBand="1"/>
      </w:tblPr>
      <w:tblGrid>
        <w:gridCol w:w="3029"/>
        <w:gridCol w:w="1212"/>
        <w:gridCol w:w="1214"/>
        <w:gridCol w:w="1187"/>
        <w:gridCol w:w="1187"/>
        <w:gridCol w:w="1187"/>
      </w:tblGrid>
      <w:tr w:rsidR="00047D0B" w:rsidRPr="00A343CD" w14:paraId="44CF3F31" w14:textId="77777777" w:rsidTr="00C563B5">
        <w:trPr>
          <w:trHeight w:val="288"/>
        </w:trPr>
        <w:tc>
          <w:tcPr>
            <w:tcW w:w="314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77A1762" w14:textId="77777777" w:rsidR="00047D0B" w:rsidRPr="00A343CD" w:rsidRDefault="00047D0B" w:rsidP="00C563B5">
            <w:pPr>
              <w:rPr>
                <w:rFonts w:ascii="Arial" w:hAnsi="Arial" w:cs="Arial"/>
              </w:rPr>
            </w:pPr>
            <w:r w:rsidRPr="00A343CD">
              <w:rPr>
                <w:rFonts w:ascii="Arial" w:hAnsi="Arial" w:cs="Arial"/>
              </w:rPr>
              <w:lastRenderedPageBreak/>
              <w:t>Metric</w:t>
            </w:r>
          </w:p>
        </w:tc>
        <w:tc>
          <w:tcPr>
            <w:tcW w:w="1170"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center"/>
            <w:hideMark/>
          </w:tcPr>
          <w:p w14:paraId="11DFE33F" w14:textId="77777777" w:rsidR="00047D0B" w:rsidRPr="00A343CD" w:rsidRDefault="00047D0B" w:rsidP="00C563B5">
            <w:pPr>
              <w:rPr>
                <w:rFonts w:ascii="Arial" w:hAnsi="Arial" w:cs="Arial"/>
              </w:rPr>
            </w:pPr>
            <w:r w:rsidRPr="00A343CD">
              <w:rPr>
                <w:rFonts w:ascii="Arial" w:hAnsi="Arial" w:cs="Arial"/>
              </w:rPr>
              <w:t>2024</w:t>
            </w:r>
          </w:p>
        </w:tc>
        <w:tc>
          <w:tcPr>
            <w:tcW w:w="1260"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center"/>
            <w:hideMark/>
          </w:tcPr>
          <w:p w14:paraId="551D96CA" w14:textId="77777777" w:rsidR="00047D0B" w:rsidRPr="00A343CD" w:rsidRDefault="00047D0B" w:rsidP="00C563B5">
            <w:pPr>
              <w:rPr>
                <w:rFonts w:ascii="Arial" w:hAnsi="Arial" w:cs="Arial"/>
              </w:rPr>
            </w:pPr>
            <w:r w:rsidRPr="00A343CD">
              <w:rPr>
                <w:rFonts w:ascii="Arial" w:hAnsi="Arial" w:cs="Arial"/>
              </w:rPr>
              <w:t>2023</w:t>
            </w:r>
          </w:p>
        </w:tc>
        <w:tc>
          <w:tcPr>
            <w:tcW w:w="1080"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center"/>
            <w:hideMark/>
          </w:tcPr>
          <w:p w14:paraId="6B2EB858" w14:textId="77777777" w:rsidR="00047D0B" w:rsidRPr="00A343CD" w:rsidRDefault="00047D0B" w:rsidP="00C563B5">
            <w:pPr>
              <w:rPr>
                <w:rFonts w:ascii="Arial" w:hAnsi="Arial" w:cs="Arial"/>
              </w:rPr>
            </w:pPr>
            <w:r w:rsidRPr="00A343CD">
              <w:rPr>
                <w:rFonts w:ascii="Arial" w:hAnsi="Arial" w:cs="Arial"/>
              </w:rPr>
              <w:t>2022</w:t>
            </w:r>
          </w:p>
        </w:tc>
        <w:tc>
          <w:tcPr>
            <w:tcW w:w="1037"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center"/>
            <w:hideMark/>
          </w:tcPr>
          <w:p w14:paraId="7A62F68F" w14:textId="77777777" w:rsidR="00047D0B" w:rsidRPr="00A343CD" w:rsidRDefault="00047D0B" w:rsidP="00C563B5">
            <w:pPr>
              <w:rPr>
                <w:rFonts w:ascii="Arial" w:hAnsi="Arial" w:cs="Arial"/>
              </w:rPr>
            </w:pPr>
            <w:r w:rsidRPr="00A343CD">
              <w:rPr>
                <w:rFonts w:ascii="Arial" w:hAnsi="Arial" w:cs="Arial"/>
              </w:rPr>
              <w:t>2021</w:t>
            </w:r>
          </w:p>
        </w:tc>
        <w:tc>
          <w:tcPr>
            <w:tcW w:w="0" w:type="auto"/>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center"/>
            <w:hideMark/>
          </w:tcPr>
          <w:p w14:paraId="4199D00C" w14:textId="77777777" w:rsidR="00047D0B" w:rsidRPr="00A343CD" w:rsidRDefault="00047D0B" w:rsidP="00C563B5">
            <w:pPr>
              <w:rPr>
                <w:rFonts w:ascii="Arial" w:hAnsi="Arial" w:cs="Arial"/>
              </w:rPr>
            </w:pPr>
            <w:r w:rsidRPr="00A343CD">
              <w:rPr>
                <w:rFonts w:ascii="Arial" w:hAnsi="Arial" w:cs="Arial"/>
              </w:rPr>
              <w:t>2020</w:t>
            </w:r>
          </w:p>
        </w:tc>
      </w:tr>
      <w:tr w:rsidR="00047D0B" w:rsidRPr="00A343CD" w14:paraId="64882B2D"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DB804AE" w14:textId="77777777" w:rsidR="00047D0B" w:rsidRPr="00A343CD" w:rsidRDefault="00047D0B" w:rsidP="00C563B5">
            <w:pPr>
              <w:rPr>
                <w:rFonts w:ascii="Arial" w:hAnsi="Arial" w:cs="Arial"/>
              </w:rPr>
            </w:pPr>
            <w:r w:rsidRPr="00A343CD">
              <w:rPr>
                <w:rFonts w:ascii="Arial" w:hAnsi="Arial" w:cs="Arial"/>
              </w:rPr>
              <w:t>Total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79864CB" w14:textId="77777777" w:rsidR="00047D0B" w:rsidRPr="00A343CD" w:rsidRDefault="00047D0B" w:rsidP="00C563B5">
            <w:pPr>
              <w:rPr>
                <w:rFonts w:ascii="Arial" w:hAnsi="Arial" w:cs="Arial"/>
                <w:color w:val="000000"/>
              </w:rPr>
            </w:pPr>
            <w:r w:rsidRPr="00A343CD">
              <w:rPr>
                <w:rFonts w:ascii="Arial" w:hAnsi="Arial" w:cs="Arial"/>
                <w:color w:val="000000"/>
              </w:rPr>
              <w:t>572,231.00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C5FBAEE" w14:textId="77777777" w:rsidR="00047D0B" w:rsidRPr="00A343CD" w:rsidRDefault="00047D0B" w:rsidP="00C563B5">
            <w:pPr>
              <w:rPr>
                <w:rFonts w:ascii="Arial" w:hAnsi="Arial" w:cs="Arial"/>
                <w:color w:val="000000"/>
              </w:rPr>
            </w:pPr>
            <w:r w:rsidRPr="00A343CD">
              <w:rPr>
                <w:rFonts w:ascii="Arial" w:hAnsi="Arial" w:cs="Arial"/>
                <w:color w:val="000000"/>
              </w:rPr>
              <w:t>621,106.00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F93079D" w14:textId="77777777" w:rsidR="00047D0B" w:rsidRPr="00A343CD" w:rsidRDefault="00047D0B" w:rsidP="00C563B5">
            <w:pPr>
              <w:rPr>
                <w:rFonts w:ascii="Arial" w:hAnsi="Arial" w:cs="Arial"/>
                <w:color w:val="000000"/>
              </w:rPr>
            </w:pPr>
            <w:r w:rsidRPr="00A343CD">
              <w:rPr>
                <w:rFonts w:ascii="Arial" w:hAnsi="Arial" w:cs="Arial"/>
                <w:color w:val="000000"/>
              </w:rPr>
              <w:t>792,854.00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697F2FD" w14:textId="77777777" w:rsidR="00047D0B" w:rsidRPr="00A343CD" w:rsidRDefault="00047D0B" w:rsidP="00C563B5">
            <w:pPr>
              <w:rPr>
                <w:rFonts w:ascii="Arial" w:hAnsi="Arial" w:cs="Arial"/>
                <w:color w:val="000000"/>
              </w:rPr>
            </w:pPr>
            <w:r w:rsidRPr="00A343CD">
              <w:rPr>
                <w:rFonts w:ascii="Arial" w:hAnsi="Arial" w:cs="Arial"/>
                <w:color w:val="000000"/>
              </w:rPr>
              <w:t>798,125.00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E51D5E9" w14:textId="77777777" w:rsidR="00047D0B" w:rsidRPr="00A343CD" w:rsidRDefault="00047D0B" w:rsidP="00C563B5">
            <w:pPr>
              <w:rPr>
                <w:rFonts w:ascii="Arial" w:hAnsi="Arial" w:cs="Arial"/>
                <w:color w:val="000000"/>
              </w:rPr>
            </w:pPr>
            <w:r w:rsidRPr="00A343CD">
              <w:rPr>
                <w:rFonts w:ascii="Arial" w:hAnsi="Arial" w:cs="Arial"/>
                <w:color w:val="000000"/>
              </w:rPr>
              <w:t>793,348.00</w:t>
            </w:r>
          </w:p>
        </w:tc>
      </w:tr>
      <w:tr w:rsidR="00047D0B" w:rsidRPr="00A343CD" w14:paraId="7F599A79"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6ED4DE4" w14:textId="77777777" w:rsidR="00047D0B" w:rsidRPr="00A343CD" w:rsidRDefault="00047D0B" w:rsidP="00C563B5">
            <w:pPr>
              <w:rPr>
                <w:rFonts w:ascii="Arial" w:hAnsi="Arial" w:cs="Arial"/>
              </w:rPr>
            </w:pPr>
            <w:r w:rsidRPr="00A343CD">
              <w:rPr>
                <w:rFonts w:ascii="Arial" w:hAnsi="Arial" w:cs="Arial"/>
              </w:rPr>
              <w:t>Current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8D1F6EC" w14:textId="77777777" w:rsidR="00047D0B" w:rsidRPr="00A343CD" w:rsidRDefault="00047D0B" w:rsidP="00C563B5">
            <w:pPr>
              <w:rPr>
                <w:rFonts w:ascii="Arial" w:hAnsi="Arial" w:cs="Arial"/>
                <w:color w:val="000000"/>
              </w:rPr>
            </w:pPr>
            <w:r w:rsidRPr="00A343CD">
              <w:rPr>
                <w:rFonts w:ascii="Arial" w:hAnsi="Arial" w:cs="Arial"/>
                <w:color w:val="000000"/>
              </w:rPr>
              <w:t>248,877.00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9FAA66E" w14:textId="77777777" w:rsidR="00047D0B" w:rsidRPr="00A343CD" w:rsidRDefault="00047D0B" w:rsidP="00C563B5">
            <w:pPr>
              <w:rPr>
                <w:rFonts w:ascii="Arial" w:hAnsi="Arial" w:cs="Arial"/>
                <w:color w:val="000000"/>
              </w:rPr>
            </w:pPr>
            <w:r w:rsidRPr="00A343CD">
              <w:rPr>
                <w:rFonts w:ascii="Arial" w:hAnsi="Arial" w:cs="Arial"/>
                <w:color w:val="000000"/>
              </w:rPr>
              <w:t>265,234.00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FCFBCF9" w14:textId="77777777" w:rsidR="00047D0B" w:rsidRPr="00A343CD" w:rsidRDefault="00047D0B" w:rsidP="00C563B5">
            <w:pPr>
              <w:rPr>
                <w:rFonts w:ascii="Arial" w:hAnsi="Arial" w:cs="Arial"/>
                <w:color w:val="000000"/>
              </w:rPr>
            </w:pPr>
            <w:r w:rsidRPr="00A343CD">
              <w:rPr>
                <w:rFonts w:ascii="Arial" w:hAnsi="Arial" w:cs="Arial"/>
                <w:color w:val="000000"/>
              </w:rPr>
              <w:t>337,776.00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F9195B0" w14:textId="77777777" w:rsidR="00047D0B" w:rsidRPr="00A343CD" w:rsidRDefault="00047D0B" w:rsidP="00C563B5">
            <w:pPr>
              <w:rPr>
                <w:rFonts w:ascii="Arial" w:hAnsi="Arial" w:cs="Arial"/>
                <w:color w:val="000000"/>
              </w:rPr>
            </w:pPr>
            <w:r w:rsidRPr="00A343CD">
              <w:rPr>
                <w:rFonts w:ascii="Arial" w:hAnsi="Arial" w:cs="Arial"/>
                <w:color w:val="000000"/>
              </w:rPr>
              <w:t>336,240.00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F287D3E" w14:textId="77777777" w:rsidR="00047D0B" w:rsidRPr="00A343CD" w:rsidRDefault="00047D0B" w:rsidP="00C563B5">
            <w:pPr>
              <w:rPr>
                <w:rFonts w:ascii="Arial" w:hAnsi="Arial" w:cs="Arial"/>
                <w:color w:val="000000"/>
              </w:rPr>
            </w:pPr>
            <w:r w:rsidRPr="00A343CD">
              <w:rPr>
                <w:rFonts w:ascii="Arial" w:hAnsi="Arial" w:cs="Arial"/>
                <w:color w:val="000000"/>
              </w:rPr>
              <w:t>331,672.00</w:t>
            </w:r>
          </w:p>
        </w:tc>
      </w:tr>
      <w:tr w:rsidR="00047D0B" w:rsidRPr="00A343CD" w14:paraId="10AF71CC"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B8803FA" w14:textId="77777777" w:rsidR="00047D0B" w:rsidRPr="00A343CD" w:rsidRDefault="00047D0B" w:rsidP="00C563B5">
            <w:pPr>
              <w:rPr>
                <w:rFonts w:ascii="Arial" w:hAnsi="Arial" w:cs="Arial"/>
              </w:rPr>
            </w:pPr>
            <w:r w:rsidRPr="00A343CD">
              <w:rPr>
                <w:rFonts w:ascii="Arial" w:hAnsi="Arial" w:cs="Arial"/>
              </w:rPr>
              <w:t>Current Liabilities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0D5694" w14:textId="77777777" w:rsidR="00047D0B" w:rsidRPr="00A343CD" w:rsidRDefault="00047D0B" w:rsidP="00C563B5">
            <w:pPr>
              <w:rPr>
                <w:rFonts w:ascii="Arial" w:hAnsi="Arial" w:cs="Arial"/>
                <w:color w:val="000000"/>
              </w:rPr>
            </w:pPr>
            <w:r w:rsidRPr="00A343CD">
              <w:rPr>
                <w:rFonts w:ascii="Arial" w:hAnsi="Arial" w:cs="Arial"/>
                <w:color w:val="000000"/>
              </w:rPr>
              <w:t>156,130.00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6BF2D8D" w14:textId="77777777" w:rsidR="00047D0B" w:rsidRPr="00A343CD" w:rsidRDefault="00047D0B" w:rsidP="00C563B5">
            <w:pPr>
              <w:rPr>
                <w:rFonts w:ascii="Arial" w:hAnsi="Arial" w:cs="Arial"/>
                <w:color w:val="000000"/>
              </w:rPr>
            </w:pPr>
            <w:r w:rsidRPr="00A343CD">
              <w:rPr>
                <w:rFonts w:ascii="Arial" w:hAnsi="Arial" w:cs="Arial"/>
                <w:color w:val="000000"/>
              </w:rPr>
              <w:t>159,315.00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F43667F" w14:textId="77777777" w:rsidR="00047D0B" w:rsidRPr="00A343CD" w:rsidRDefault="00047D0B" w:rsidP="00C563B5">
            <w:pPr>
              <w:rPr>
                <w:rFonts w:ascii="Arial" w:hAnsi="Arial" w:cs="Arial"/>
                <w:color w:val="000000"/>
              </w:rPr>
            </w:pPr>
            <w:r w:rsidRPr="00A343CD">
              <w:rPr>
                <w:rFonts w:ascii="Arial" w:hAnsi="Arial" w:cs="Arial"/>
                <w:color w:val="000000"/>
              </w:rPr>
              <w:t>210,888.00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7BFDBAC" w14:textId="77777777" w:rsidR="00047D0B" w:rsidRPr="00A343CD" w:rsidRDefault="00047D0B" w:rsidP="00C563B5">
            <w:pPr>
              <w:rPr>
                <w:rFonts w:ascii="Arial" w:hAnsi="Arial" w:cs="Arial"/>
                <w:color w:val="000000"/>
              </w:rPr>
            </w:pPr>
            <w:r w:rsidRPr="00A343CD">
              <w:rPr>
                <w:rFonts w:ascii="Arial" w:hAnsi="Arial" w:cs="Arial"/>
                <w:color w:val="000000"/>
              </w:rPr>
              <w:t>213,050.00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65B1E8B" w14:textId="77777777" w:rsidR="00047D0B" w:rsidRPr="00A343CD" w:rsidRDefault="00047D0B" w:rsidP="00C563B5">
            <w:pPr>
              <w:rPr>
                <w:rFonts w:ascii="Arial" w:hAnsi="Arial" w:cs="Arial"/>
                <w:color w:val="000000"/>
              </w:rPr>
            </w:pPr>
            <w:r w:rsidRPr="00A343CD">
              <w:rPr>
                <w:rFonts w:ascii="Arial" w:hAnsi="Arial" w:cs="Arial"/>
                <w:color w:val="000000"/>
              </w:rPr>
              <w:t>175,975.00</w:t>
            </w:r>
          </w:p>
        </w:tc>
      </w:tr>
      <w:tr w:rsidR="00047D0B" w:rsidRPr="00A343CD" w14:paraId="2CE37CE9"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5AD5489" w14:textId="77777777" w:rsidR="00047D0B" w:rsidRPr="00A343CD" w:rsidRDefault="00047D0B" w:rsidP="00C563B5">
            <w:pPr>
              <w:rPr>
                <w:rFonts w:ascii="Arial" w:hAnsi="Arial" w:cs="Arial"/>
              </w:rPr>
            </w:pPr>
            <w:r w:rsidRPr="00A343CD">
              <w:rPr>
                <w:rFonts w:ascii="Arial" w:hAnsi="Arial" w:cs="Arial"/>
              </w:rPr>
              <w:t>Retained Earnings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90D2CD" w14:textId="77777777" w:rsidR="00047D0B" w:rsidRPr="00A343CD" w:rsidRDefault="00047D0B" w:rsidP="00C563B5">
            <w:pPr>
              <w:rPr>
                <w:rFonts w:ascii="Arial" w:hAnsi="Arial" w:cs="Arial"/>
                <w:color w:val="000000"/>
              </w:rPr>
            </w:pPr>
            <w:r w:rsidRPr="00A343CD">
              <w:rPr>
                <w:rFonts w:ascii="Arial" w:hAnsi="Arial" w:cs="Arial"/>
                <w:color w:val="000000"/>
              </w:rPr>
              <w:t>208,431.00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FF3E3CE" w14:textId="77777777" w:rsidR="00047D0B" w:rsidRPr="00A343CD" w:rsidRDefault="00047D0B" w:rsidP="00C563B5">
            <w:pPr>
              <w:rPr>
                <w:rFonts w:ascii="Arial" w:hAnsi="Arial" w:cs="Arial"/>
                <w:color w:val="000000"/>
              </w:rPr>
            </w:pPr>
            <w:r w:rsidRPr="00A343CD">
              <w:rPr>
                <w:rFonts w:ascii="Arial" w:hAnsi="Arial" w:cs="Arial"/>
                <w:color w:val="000000"/>
              </w:rPr>
              <w:t>232,460.00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772DCD" w14:textId="77777777" w:rsidR="00047D0B" w:rsidRPr="00A343CD" w:rsidRDefault="00047D0B" w:rsidP="00C563B5">
            <w:pPr>
              <w:rPr>
                <w:rFonts w:ascii="Arial" w:hAnsi="Arial" w:cs="Arial"/>
                <w:color w:val="000000"/>
              </w:rPr>
            </w:pPr>
            <w:r w:rsidRPr="00A343CD">
              <w:rPr>
                <w:rFonts w:ascii="Arial" w:hAnsi="Arial" w:cs="Arial"/>
                <w:color w:val="000000"/>
              </w:rPr>
              <w:t>330,698.00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924F4C2" w14:textId="77777777" w:rsidR="00047D0B" w:rsidRPr="00A343CD" w:rsidRDefault="00047D0B" w:rsidP="00C563B5">
            <w:pPr>
              <w:rPr>
                <w:rFonts w:ascii="Arial" w:hAnsi="Arial" w:cs="Arial"/>
                <w:color w:val="000000"/>
              </w:rPr>
            </w:pPr>
            <w:r w:rsidRPr="00A343CD">
              <w:rPr>
                <w:rFonts w:ascii="Arial" w:hAnsi="Arial" w:cs="Arial"/>
                <w:color w:val="000000"/>
              </w:rPr>
              <w:t>330,291.00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9CE5D70" w14:textId="77777777" w:rsidR="00047D0B" w:rsidRPr="00A343CD" w:rsidRDefault="00047D0B" w:rsidP="00C563B5">
            <w:pPr>
              <w:rPr>
                <w:rFonts w:ascii="Arial" w:hAnsi="Arial" w:cs="Arial"/>
                <w:color w:val="000000"/>
              </w:rPr>
            </w:pPr>
            <w:r w:rsidRPr="00A343CD">
              <w:rPr>
                <w:rFonts w:ascii="Arial" w:hAnsi="Arial" w:cs="Arial"/>
                <w:color w:val="000000"/>
              </w:rPr>
              <w:t>324,990.00</w:t>
            </w:r>
          </w:p>
        </w:tc>
      </w:tr>
      <w:tr w:rsidR="00047D0B" w:rsidRPr="00A343CD" w14:paraId="1F7B5EA4"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E3BCDB6" w14:textId="77777777" w:rsidR="00047D0B" w:rsidRPr="00A343CD" w:rsidRDefault="00047D0B" w:rsidP="00C563B5">
            <w:pPr>
              <w:rPr>
                <w:rFonts w:ascii="Arial" w:hAnsi="Arial" w:cs="Arial"/>
              </w:rPr>
            </w:pPr>
            <w:r w:rsidRPr="00A343CD">
              <w:rPr>
                <w:rFonts w:ascii="Arial" w:hAnsi="Arial" w:cs="Arial"/>
              </w:rPr>
              <w:t>EBIT</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74F9B81" w14:textId="77777777" w:rsidR="00047D0B" w:rsidRPr="00A343CD" w:rsidRDefault="00047D0B" w:rsidP="00C563B5">
            <w:pPr>
              <w:rPr>
                <w:rFonts w:ascii="Arial" w:hAnsi="Arial" w:cs="Arial"/>
                <w:color w:val="000000"/>
              </w:rPr>
            </w:pPr>
            <w:r w:rsidRPr="00A343CD">
              <w:rPr>
                <w:rFonts w:ascii="Arial" w:hAnsi="Arial" w:cs="Arial"/>
                <w:color w:val="000000"/>
              </w:rPr>
              <w:t>(15,297.00)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40D7C47" w14:textId="77777777" w:rsidR="00047D0B" w:rsidRPr="00A343CD" w:rsidRDefault="00047D0B" w:rsidP="00C563B5">
            <w:pPr>
              <w:rPr>
                <w:rFonts w:ascii="Arial" w:hAnsi="Arial" w:cs="Arial"/>
                <w:color w:val="000000"/>
              </w:rPr>
            </w:pPr>
            <w:r w:rsidRPr="00A343CD">
              <w:rPr>
                <w:rFonts w:ascii="Arial" w:hAnsi="Arial" w:cs="Arial"/>
                <w:color w:val="000000"/>
              </w:rPr>
              <w:t>(85,301.00)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659686" w14:textId="77777777" w:rsidR="00047D0B" w:rsidRPr="00A343CD" w:rsidRDefault="00047D0B" w:rsidP="00C563B5">
            <w:pPr>
              <w:rPr>
                <w:rFonts w:ascii="Arial" w:hAnsi="Arial" w:cs="Arial"/>
                <w:color w:val="000000"/>
              </w:rPr>
            </w:pPr>
            <w:r w:rsidRPr="00A343CD">
              <w:rPr>
                <w:rFonts w:ascii="Arial" w:hAnsi="Arial" w:cs="Arial"/>
                <w:color w:val="000000"/>
              </w:rPr>
              <w:t>14,548.00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84C4747" w14:textId="77777777" w:rsidR="00047D0B" w:rsidRPr="00A343CD" w:rsidRDefault="00047D0B" w:rsidP="00C563B5">
            <w:pPr>
              <w:rPr>
                <w:rFonts w:ascii="Arial" w:hAnsi="Arial" w:cs="Arial"/>
                <w:color w:val="000000"/>
              </w:rPr>
            </w:pPr>
            <w:r w:rsidRPr="00A343CD">
              <w:rPr>
                <w:rFonts w:ascii="Arial" w:hAnsi="Arial" w:cs="Arial"/>
                <w:color w:val="000000"/>
              </w:rPr>
              <w:t>23,253.00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1575C43" w14:textId="77777777" w:rsidR="00047D0B" w:rsidRPr="00A343CD" w:rsidRDefault="00047D0B" w:rsidP="00C563B5">
            <w:pPr>
              <w:rPr>
                <w:rFonts w:ascii="Arial" w:hAnsi="Arial" w:cs="Arial"/>
                <w:color w:val="000000"/>
              </w:rPr>
            </w:pPr>
            <w:r w:rsidRPr="00A343CD">
              <w:rPr>
                <w:rFonts w:ascii="Arial" w:hAnsi="Arial" w:cs="Arial"/>
                <w:color w:val="000000"/>
              </w:rPr>
              <w:t>37,267.00</w:t>
            </w:r>
          </w:p>
        </w:tc>
      </w:tr>
      <w:tr w:rsidR="00047D0B" w:rsidRPr="00A343CD" w14:paraId="0BE9A18B"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AEA8D6C" w14:textId="77777777" w:rsidR="00047D0B" w:rsidRPr="00A343CD" w:rsidRDefault="00047D0B" w:rsidP="00C563B5">
            <w:pPr>
              <w:rPr>
                <w:rFonts w:ascii="Arial" w:hAnsi="Arial" w:cs="Arial"/>
              </w:rPr>
            </w:pPr>
            <w:r w:rsidRPr="00A343CD">
              <w:rPr>
                <w:rFonts w:ascii="Arial" w:hAnsi="Arial" w:cs="Arial"/>
              </w:rPr>
              <w:t>Total Liabilities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3404BE3" w14:textId="77777777" w:rsidR="00047D0B" w:rsidRPr="00A343CD" w:rsidRDefault="00047D0B" w:rsidP="00C563B5">
            <w:pPr>
              <w:rPr>
                <w:rFonts w:ascii="Arial" w:hAnsi="Arial" w:cs="Arial"/>
                <w:color w:val="000000"/>
              </w:rPr>
            </w:pPr>
            <w:r w:rsidRPr="00A343CD">
              <w:rPr>
                <w:rFonts w:ascii="Arial" w:hAnsi="Arial" w:cs="Arial"/>
                <w:color w:val="000000"/>
              </w:rPr>
              <w:t>168,088.00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4AC33A3" w14:textId="77777777" w:rsidR="00047D0B" w:rsidRPr="00A343CD" w:rsidRDefault="00047D0B" w:rsidP="00C563B5">
            <w:pPr>
              <w:rPr>
                <w:rFonts w:ascii="Arial" w:hAnsi="Arial" w:cs="Arial"/>
                <w:color w:val="000000"/>
              </w:rPr>
            </w:pPr>
            <w:r w:rsidRPr="00A343CD">
              <w:rPr>
                <w:rFonts w:ascii="Arial" w:hAnsi="Arial" w:cs="Arial"/>
                <w:color w:val="000000"/>
              </w:rPr>
              <w:t>175,119.00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45A48B" w14:textId="77777777" w:rsidR="00047D0B" w:rsidRPr="00A343CD" w:rsidRDefault="00047D0B" w:rsidP="00C563B5">
            <w:pPr>
              <w:rPr>
                <w:rFonts w:ascii="Arial" w:hAnsi="Arial" w:cs="Arial"/>
                <w:color w:val="000000"/>
              </w:rPr>
            </w:pPr>
            <w:r w:rsidRPr="00A343CD">
              <w:rPr>
                <w:rFonts w:ascii="Arial" w:hAnsi="Arial" w:cs="Arial"/>
                <w:color w:val="000000"/>
              </w:rPr>
              <w:t>230,172.00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3C64867" w14:textId="77777777" w:rsidR="00047D0B" w:rsidRPr="00A343CD" w:rsidRDefault="00047D0B" w:rsidP="00C563B5">
            <w:pPr>
              <w:rPr>
                <w:rFonts w:ascii="Arial" w:hAnsi="Arial" w:cs="Arial"/>
                <w:color w:val="000000"/>
              </w:rPr>
            </w:pPr>
            <w:r w:rsidRPr="00A343CD">
              <w:rPr>
                <w:rFonts w:ascii="Arial" w:hAnsi="Arial" w:cs="Arial"/>
                <w:color w:val="000000"/>
              </w:rPr>
              <w:t>230,662.00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D4846F" w14:textId="77777777" w:rsidR="00047D0B" w:rsidRPr="00A343CD" w:rsidRDefault="00047D0B" w:rsidP="00C563B5">
            <w:pPr>
              <w:rPr>
                <w:rFonts w:ascii="Arial" w:hAnsi="Arial" w:cs="Arial"/>
                <w:color w:val="000000"/>
              </w:rPr>
            </w:pPr>
            <w:r w:rsidRPr="00A343CD">
              <w:rPr>
                <w:rFonts w:ascii="Arial" w:hAnsi="Arial" w:cs="Arial"/>
                <w:color w:val="000000"/>
              </w:rPr>
              <w:t>193,162.00</w:t>
            </w:r>
          </w:p>
        </w:tc>
      </w:tr>
      <w:tr w:rsidR="00047D0B" w:rsidRPr="00A343CD" w14:paraId="5C36FB7C"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CE717DB" w14:textId="77777777" w:rsidR="00047D0B" w:rsidRPr="00A343CD" w:rsidRDefault="00047D0B" w:rsidP="00C563B5">
            <w:pPr>
              <w:rPr>
                <w:rFonts w:ascii="Arial" w:hAnsi="Arial" w:cs="Arial"/>
              </w:rPr>
            </w:pPr>
            <w:r w:rsidRPr="00A343CD">
              <w:rPr>
                <w:rFonts w:ascii="Arial" w:hAnsi="Arial" w:cs="Arial"/>
              </w:rPr>
              <w:t>Sales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88AF589" w14:textId="77777777" w:rsidR="00047D0B" w:rsidRPr="00A343CD" w:rsidRDefault="00047D0B" w:rsidP="00C563B5">
            <w:pPr>
              <w:rPr>
                <w:rFonts w:ascii="Arial" w:hAnsi="Arial" w:cs="Arial"/>
                <w:color w:val="000000"/>
              </w:rPr>
            </w:pPr>
            <w:r w:rsidRPr="00A343CD">
              <w:rPr>
                <w:rFonts w:ascii="Arial" w:hAnsi="Arial" w:cs="Arial"/>
                <w:color w:val="000000"/>
              </w:rPr>
              <w:t>394,879.00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5FA85D3" w14:textId="77777777" w:rsidR="00047D0B" w:rsidRPr="00A343CD" w:rsidRDefault="00047D0B" w:rsidP="00C563B5">
            <w:pPr>
              <w:rPr>
                <w:rFonts w:ascii="Arial" w:hAnsi="Arial" w:cs="Arial"/>
                <w:color w:val="000000"/>
              </w:rPr>
            </w:pPr>
            <w:r w:rsidRPr="00A343CD">
              <w:rPr>
                <w:rFonts w:ascii="Arial" w:hAnsi="Arial" w:cs="Arial"/>
                <w:color w:val="000000"/>
              </w:rPr>
              <w:t>420,457.00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6ECCF8F" w14:textId="77777777" w:rsidR="00047D0B" w:rsidRPr="00A343CD" w:rsidRDefault="00047D0B" w:rsidP="00C563B5">
            <w:pPr>
              <w:rPr>
                <w:rFonts w:ascii="Arial" w:hAnsi="Arial" w:cs="Arial"/>
                <w:color w:val="000000"/>
              </w:rPr>
            </w:pPr>
            <w:r w:rsidRPr="00A343CD">
              <w:rPr>
                <w:rFonts w:ascii="Arial" w:hAnsi="Arial" w:cs="Arial"/>
                <w:color w:val="000000"/>
              </w:rPr>
              <w:t>542,751.00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E38DF9" w14:textId="77777777" w:rsidR="00047D0B" w:rsidRPr="00A343CD" w:rsidRDefault="00047D0B" w:rsidP="00C563B5">
            <w:pPr>
              <w:rPr>
                <w:rFonts w:ascii="Arial" w:hAnsi="Arial" w:cs="Arial"/>
                <w:color w:val="000000"/>
              </w:rPr>
            </w:pPr>
            <w:r w:rsidRPr="00A343CD">
              <w:rPr>
                <w:rFonts w:ascii="Arial" w:hAnsi="Arial" w:cs="Arial"/>
                <w:color w:val="000000"/>
              </w:rPr>
              <w:t>601,602.00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CA47F3" w14:textId="77777777" w:rsidR="00047D0B" w:rsidRPr="00A343CD" w:rsidRDefault="00047D0B" w:rsidP="00C563B5">
            <w:pPr>
              <w:rPr>
                <w:rFonts w:ascii="Arial" w:hAnsi="Arial" w:cs="Arial"/>
                <w:color w:val="000000"/>
              </w:rPr>
            </w:pPr>
            <w:r w:rsidRPr="00A343CD">
              <w:rPr>
                <w:rFonts w:ascii="Arial" w:hAnsi="Arial" w:cs="Arial"/>
                <w:color w:val="000000"/>
              </w:rPr>
              <w:t>614,680.00</w:t>
            </w:r>
          </w:p>
        </w:tc>
      </w:tr>
      <w:tr w:rsidR="00047D0B" w:rsidRPr="00A343CD" w14:paraId="7313B316"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45AA574" w14:textId="77777777" w:rsidR="00047D0B" w:rsidRPr="00A343CD" w:rsidRDefault="00047D0B" w:rsidP="00C563B5">
            <w:pPr>
              <w:rPr>
                <w:rFonts w:ascii="Arial" w:hAnsi="Arial" w:cs="Arial"/>
              </w:rPr>
            </w:pPr>
            <w:r w:rsidRPr="00A343CD">
              <w:rPr>
                <w:rFonts w:ascii="Arial" w:hAnsi="Arial" w:cs="Arial"/>
              </w:rPr>
              <w:t>Market Value of Equity (for Public Z)</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48A3213" w14:textId="77777777" w:rsidR="00047D0B" w:rsidRPr="00A343CD" w:rsidRDefault="00047D0B" w:rsidP="00C563B5">
            <w:pPr>
              <w:rPr>
                <w:rFonts w:ascii="Arial" w:hAnsi="Arial" w:cs="Arial"/>
                <w:color w:val="000000"/>
              </w:rPr>
            </w:pPr>
            <w:r w:rsidRPr="00A343CD">
              <w:rPr>
                <w:rFonts w:ascii="Arial" w:hAnsi="Arial" w:cs="Arial"/>
                <w:color w:val="000000"/>
              </w:rPr>
              <w:t>153,105.00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AFE210" w14:textId="77777777" w:rsidR="00047D0B" w:rsidRPr="00A343CD" w:rsidRDefault="00047D0B" w:rsidP="00C563B5">
            <w:pPr>
              <w:rPr>
                <w:rFonts w:ascii="Arial" w:hAnsi="Arial" w:cs="Arial"/>
                <w:color w:val="000000"/>
              </w:rPr>
            </w:pPr>
            <w:r w:rsidRPr="00A343CD">
              <w:rPr>
                <w:rFonts w:ascii="Arial" w:hAnsi="Arial" w:cs="Arial"/>
                <w:color w:val="000000"/>
              </w:rPr>
              <w:t>178,920.00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A804D84" w14:textId="77777777" w:rsidR="00047D0B" w:rsidRPr="00A343CD" w:rsidRDefault="00047D0B" w:rsidP="00C563B5">
            <w:pPr>
              <w:rPr>
                <w:rFonts w:ascii="Arial" w:hAnsi="Arial" w:cs="Arial"/>
                <w:color w:val="000000"/>
              </w:rPr>
            </w:pPr>
            <w:r w:rsidRPr="00A343CD">
              <w:rPr>
                <w:rFonts w:ascii="Arial" w:hAnsi="Arial" w:cs="Arial"/>
                <w:color w:val="000000"/>
              </w:rPr>
              <w:t>268,406.00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72A824A" w14:textId="77777777" w:rsidR="00047D0B" w:rsidRPr="00A343CD" w:rsidRDefault="00047D0B" w:rsidP="00C563B5">
            <w:pPr>
              <w:rPr>
                <w:rFonts w:ascii="Arial" w:hAnsi="Arial" w:cs="Arial"/>
                <w:color w:val="000000"/>
              </w:rPr>
            </w:pPr>
            <w:r w:rsidRPr="00A343CD">
              <w:rPr>
                <w:rFonts w:ascii="Arial" w:hAnsi="Arial" w:cs="Arial"/>
                <w:color w:val="000000"/>
              </w:rPr>
              <w:t>275,949.00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4D539B5" w14:textId="77777777" w:rsidR="00047D0B" w:rsidRPr="00A343CD" w:rsidRDefault="00047D0B" w:rsidP="00C563B5">
            <w:pPr>
              <w:rPr>
                <w:rFonts w:ascii="Arial" w:hAnsi="Arial" w:cs="Arial"/>
                <w:color w:val="000000"/>
              </w:rPr>
            </w:pPr>
            <w:r w:rsidRPr="00A343CD">
              <w:rPr>
                <w:rFonts w:ascii="Arial" w:hAnsi="Arial" w:cs="Arial"/>
                <w:color w:val="000000"/>
              </w:rPr>
              <w:t>313,301.00</w:t>
            </w:r>
          </w:p>
        </w:tc>
      </w:tr>
      <w:tr w:rsidR="00047D0B" w:rsidRPr="00A343CD" w14:paraId="29E77513"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5CA4721" w14:textId="77777777" w:rsidR="00047D0B" w:rsidRPr="00A343CD" w:rsidRDefault="00047D0B" w:rsidP="00C563B5">
            <w:pPr>
              <w:rPr>
                <w:rFonts w:ascii="Arial" w:hAnsi="Arial" w:cs="Arial"/>
              </w:rPr>
            </w:pPr>
            <w:r w:rsidRPr="00A343CD">
              <w:rPr>
                <w:rFonts w:ascii="Arial" w:hAnsi="Arial" w:cs="Arial"/>
              </w:rPr>
              <w:t>X1 Working Capital / Total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C17ABCF" w14:textId="77777777" w:rsidR="00047D0B" w:rsidRPr="00A343CD" w:rsidRDefault="00047D0B" w:rsidP="00C563B5">
            <w:pPr>
              <w:rPr>
                <w:rFonts w:ascii="Arial" w:hAnsi="Arial" w:cs="Arial"/>
                <w:color w:val="000000"/>
              </w:rPr>
            </w:pPr>
            <w:r w:rsidRPr="00A343CD">
              <w:rPr>
                <w:rFonts w:ascii="Arial" w:hAnsi="Arial" w:cs="Arial"/>
                <w:color w:val="000000"/>
              </w:rPr>
              <w:t>0.162</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326F07A" w14:textId="77777777" w:rsidR="00047D0B" w:rsidRPr="00A343CD" w:rsidRDefault="00047D0B" w:rsidP="00C563B5">
            <w:pPr>
              <w:rPr>
                <w:rFonts w:ascii="Arial" w:hAnsi="Arial" w:cs="Arial"/>
                <w:color w:val="000000"/>
              </w:rPr>
            </w:pPr>
            <w:r w:rsidRPr="00A343CD">
              <w:rPr>
                <w:rFonts w:ascii="Arial" w:hAnsi="Arial" w:cs="Arial"/>
                <w:color w:val="000000"/>
              </w:rPr>
              <w:t>0.171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7E44EB6" w14:textId="77777777" w:rsidR="00047D0B" w:rsidRPr="00A343CD" w:rsidRDefault="00047D0B" w:rsidP="00C563B5">
            <w:pPr>
              <w:rPr>
                <w:rFonts w:ascii="Arial" w:hAnsi="Arial" w:cs="Arial"/>
                <w:color w:val="000000"/>
              </w:rPr>
            </w:pPr>
            <w:r w:rsidRPr="00A343CD">
              <w:rPr>
                <w:rFonts w:ascii="Arial" w:hAnsi="Arial" w:cs="Arial"/>
                <w:color w:val="000000"/>
              </w:rPr>
              <w:t>0.160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CAC8685" w14:textId="77777777" w:rsidR="00047D0B" w:rsidRPr="00A343CD" w:rsidRDefault="00047D0B" w:rsidP="00C563B5">
            <w:pPr>
              <w:rPr>
                <w:rFonts w:ascii="Arial" w:hAnsi="Arial" w:cs="Arial"/>
                <w:color w:val="000000"/>
              </w:rPr>
            </w:pPr>
            <w:r w:rsidRPr="00A343CD">
              <w:rPr>
                <w:rFonts w:ascii="Arial" w:hAnsi="Arial" w:cs="Arial"/>
                <w:color w:val="000000"/>
              </w:rPr>
              <w:t>0.154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1B14D19" w14:textId="77777777" w:rsidR="00047D0B" w:rsidRPr="00A343CD" w:rsidRDefault="00047D0B" w:rsidP="00C563B5">
            <w:pPr>
              <w:rPr>
                <w:rFonts w:ascii="Arial" w:hAnsi="Arial" w:cs="Arial"/>
                <w:color w:val="000000"/>
              </w:rPr>
            </w:pPr>
            <w:r w:rsidRPr="00A343CD">
              <w:rPr>
                <w:rFonts w:ascii="Arial" w:hAnsi="Arial" w:cs="Arial"/>
                <w:color w:val="000000"/>
              </w:rPr>
              <w:t>0.196</w:t>
            </w:r>
          </w:p>
        </w:tc>
      </w:tr>
      <w:tr w:rsidR="00047D0B" w:rsidRPr="00A343CD" w14:paraId="7BF0BE4C"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F832E33" w14:textId="77777777" w:rsidR="00047D0B" w:rsidRPr="00A343CD" w:rsidRDefault="00047D0B" w:rsidP="00C563B5">
            <w:pPr>
              <w:rPr>
                <w:rFonts w:ascii="Arial" w:hAnsi="Arial" w:cs="Arial"/>
              </w:rPr>
            </w:pPr>
            <w:r w:rsidRPr="00A343CD">
              <w:rPr>
                <w:rFonts w:ascii="Arial" w:hAnsi="Arial" w:cs="Arial"/>
              </w:rPr>
              <w:t>X2 Retained Earnings / Total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6901B44" w14:textId="77777777" w:rsidR="00047D0B" w:rsidRPr="00A343CD" w:rsidRDefault="00047D0B" w:rsidP="00C563B5">
            <w:pPr>
              <w:rPr>
                <w:rFonts w:ascii="Arial" w:hAnsi="Arial" w:cs="Arial"/>
                <w:color w:val="000000"/>
              </w:rPr>
            </w:pPr>
            <w:r w:rsidRPr="00A343CD">
              <w:rPr>
                <w:rFonts w:ascii="Arial" w:hAnsi="Arial" w:cs="Arial"/>
                <w:color w:val="000000"/>
              </w:rPr>
              <w:t>0.364</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172D724" w14:textId="77777777" w:rsidR="00047D0B" w:rsidRPr="00A343CD" w:rsidRDefault="00047D0B" w:rsidP="00C563B5">
            <w:pPr>
              <w:rPr>
                <w:rFonts w:ascii="Arial" w:hAnsi="Arial" w:cs="Arial"/>
                <w:color w:val="000000"/>
              </w:rPr>
            </w:pPr>
            <w:r w:rsidRPr="00A343CD">
              <w:rPr>
                <w:rFonts w:ascii="Arial" w:hAnsi="Arial" w:cs="Arial"/>
                <w:color w:val="000000"/>
              </w:rPr>
              <w:t>0.374</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DB47F4E" w14:textId="77777777" w:rsidR="00047D0B" w:rsidRPr="00A343CD" w:rsidRDefault="00047D0B" w:rsidP="00C563B5">
            <w:pPr>
              <w:rPr>
                <w:rFonts w:ascii="Arial" w:hAnsi="Arial" w:cs="Arial"/>
                <w:color w:val="000000"/>
              </w:rPr>
            </w:pPr>
            <w:r w:rsidRPr="00A343CD">
              <w:rPr>
                <w:rFonts w:ascii="Arial" w:hAnsi="Arial" w:cs="Arial"/>
                <w:color w:val="000000"/>
              </w:rPr>
              <w:t>0.417</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084BDA8" w14:textId="77777777" w:rsidR="00047D0B" w:rsidRPr="00A343CD" w:rsidRDefault="00047D0B" w:rsidP="00C563B5">
            <w:pPr>
              <w:rPr>
                <w:rFonts w:ascii="Arial" w:hAnsi="Arial" w:cs="Arial"/>
                <w:color w:val="000000"/>
              </w:rPr>
            </w:pPr>
            <w:r w:rsidRPr="00A343CD">
              <w:rPr>
                <w:rFonts w:ascii="Arial" w:hAnsi="Arial" w:cs="Arial"/>
                <w:color w:val="000000"/>
              </w:rPr>
              <w:t>0.414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F6CCC92" w14:textId="77777777" w:rsidR="00047D0B" w:rsidRPr="00A343CD" w:rsidRDefault="00047D0B" w:rsidP="00C563B5">
            <w:pPr>
              <w:rPr>
                <w:rFonts w:ascii="Arial" w:hAnsi="Arial" w:cs="Arial"/>
                <w:color w:val="000000"/>
              </w:rPr>
            </w:pPr>
            <w:r w:rsidRPr="00A343CD">
              <w:rPr>
                <w:rFonts w:ascii="Arial" w:hAnsi="Arial" w:cs="Arial"/>
                <w:color w:val="000000"/>
              </w:rPr>
              <w:t>0.410</w:t>
            </w:r>
          </w:p>
        </w:tc>
      </w:tr>
      <w:tr w:rsidR="00047D0B" w:rsidRPr="00A343CD" w14:paraId="353833E6"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DC171D4" w14:textId="77777777" w:rsidR="00047D0B" w:rsidRPr="00A343CD" w:rsidRDefault="00047D0B" w:rsidP="00C563B5">
            <w:pPr>
              <w:rPr>
                <w:rFonts w:ascii="Arial" w:hAnsi="Arial" w:cs="Arial"/>
              </w:rPr>
            </w:pPr>
            <w:r w:rsidRPr="00A343CD">
              <w:rPr>
                <w:rFonts w:ascii="Arial" w:hAnsi="Arial" w:cs="Arial"/>
              </w:rPr>
              <w:t>X3 EBIT / Total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138B48B" w14:textId="77777777" w:rsidR="00047D0B" w:rsidRPr="00A343CD" w:rsidRDefault="00047D0B" w:rsidP="00C563B5">
            <w:pPr>
              <w:rPr>
                <w:rFonts w:ascii="Arial" w:hAnsi="Arial" w:cs="Arial"/>
                <w:color w:val="000000"/>
              </w:rPr>
            </w:pPr>
            <w:r w:rsidRPr="00A343CD">
              <w:rPr>
                <w:rFonts w:ascii="Arial" w:hAnsi="Arial" w:cs="Arial"/>
                <w:color w:val="000000"/>
              </w:rPr>
              <w:t>-0.027</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773333A" w14:textId="77777777" w:rsidR="00047D0B" w:rsidRPr="00A343CD" w:rsidRDefault="00047D0B" w:rsidP="00C563B5">
            <w:pPr>
              <w:rPr>
                <w:rFonts w:ascii="Arial" w:hAnsi="Arial" w:cs="Arial"/>
                <w:color w:val="000000"/>
              </w:rPr>
            </w:pPr>
            <w:r w:rsidRPr="00A343CD">
              <w:rPr>
                <w:rFonts w:ascii="Arial" w:hAnsi="Arial" w:cs="Arial"/>
                <w:color w:val="000000"/>
              </w:rPr>
              <w:t>-0.137</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9812623" w14:textId="77777777" w:rsidR="00047D0B" w:rsidRPr="00A343CD" w:rsidRDefault="00047D0B" w:rsidP="00C563B5">
            <w:pPr>
              <w:rPr>
                <w:rFonts w:ascii="Arial" w:hAnsi="Arial" w:cs="Arial"/>
                <w:color w:val="000000"/>
              </w:rPr>
            </w:pPr>
            <w:r w:rsidRPr="00A343CD">
              <w:rPr>
                <w:rFonts w:ascii="Arial" w:hAnsi="Arial" w:cs="Arial"/>
                <w:color w:val="000000"/>
              </w:rPr>
              <w:t>0.018</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AA10665" w14:textId="77777777" w:rsidR="00047D0B" w:rsidRPr="00A343CD" w:rsidRDefault="00047D0B" w:rsidP="00C563B5">
            <w:pPr>
              <w:rPr>
                <w:rFonts w:ascii="Arial" w:hAnsi="Arial" w:cs="Arial"/>
                <w:color w:val="000000"/>
              </w:rPr>
            </w:pPr>
            <w:r w:rsidRPr="00A343CD">
              <w:rPr>
                <w:rFonts w:ascii="Arial" w:hAnsi="Arial" w:cs="Arial"/>
                <w:color w:val="000000"/>
              </w:rPr>
              <w:t>0.029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E7F504B" w14:textId="77777777" w:rsidR="00047D0B" w:rsidRPr="00A343CD" w:rsidRDefault="00047D0B" w:rsidP="00C563B5">
            <w:pPr>
              <w:rPr>
                <w:rFonts w:ascii="Arial" w:hAnsi="Arial" w:cs="Arial"/>
                <w:color w:val="000000"/>
              </w:rPr>
            </w:pPr>
            <w:r w:rsidRPr="00A343CD">
              <w:rPr>
                <w:rFonts w:ascii="Arial" w:hAnsi="Arial" w:cs="Arial"/>
                <w:color w:val="000000"/>
              </w:rPr>
              <w:t>0.047</w:t>
            </w:r>
          </w:p>
        </w:tc>
      </w:tr>
      <w:tr w:rsidR="00047D0B" w:rsidRPr="00A343CD" w14:paraId="4013AE10"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82BD28D" w14:textId="77777777" w:rsidR="00047D0B" w:rsidRPr="00A343CD" w:rsidRDefault="00047D0B" w:rsidP="00C563B5">
            <w:pPr>
              <w:rPr>
                <w:rFonts w:ascii="Arial" w:hAnsi="Arial" w:cs="Arial"/>
              </w:rPr>
            </w:pPr>
            <w:r w:rsidRPr="00A343CD">
              <w:rPr>
                <w:rFonts w:ascii="Arial" w:hAnsi="Arial" w:cs="Arial"/>
              </w:rPr>
              <w:t>X4 Market Value of Equity / Total Liabilities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4393673" w14:textId="77777777" w:rsidR="00047D0B" w:rsidRPr="00A343CD" w:rsidRDefault="00047D0B" w:rsidP="00C563B5">
            <w:pPr>
              <w:rPr>
                <w:rFonts w:ascii="Arial" w:hAnsi="Arial" w:cs="Arial"/>
                <w:color w:val="000000"/>
              </w:rPr>
            </w:pPr>
            <w:r w:rsidRPr="00A343CD">
              <w:rPr>
                <w:rFonts w:ascii="Arial" w:hAnsi="Arial" w:cs="Arial"/>
                <w:color w:val="000000"/>
              </w:rPr>
              <w:t>0.911</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1EAC1B4" w14:textId="77777777" w:rsidR="00047D0B" w:rsidRPr="00A343CD" w:rsidRDefault="00047D0B" w:rsidP="00C563B5">
            <w:pPr>
              <w:rPr>
                <w:rFonts w:ascii="Arial" w:hAnsi="Arial" w:cs="Arial"/>
                <w:color w:val="000000"/>
              </w:rPr>
            </w:pPr>
            <w:r w:rsidRPr="00A343CD">
              <w:rPr>
                <w:rFonts w:ascii="Arial" w:hAnsi="Arial" w:cs="Arial"/>
                <w:color w:val="000000"/>
              </w:rPr>
              <w:t>1.022</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615EDC3" w14:textId="77777777" w:rsidR="00047D0B" w:rsidRPr="00A343CD" w:rsidRDefault="00047D0B" w:rsidP="00C563B5">
            <w:pPr>
              <w:rPr>
                <w:rFonts w:ascii="Arial" w:hAnsi="Arial" w:cs="Arial"/>
                <w:color w:val="000000"/>
              </w:rPr>
            </w:pPr>
            <w:r w:rsidRPr="00A343CD">
              <w:rPr>
                <w:rFonts w:ascii="Arial" w:hAnsi="Arial" w:cs="Arial"/>
                <w:color w:val="000000"/>
              </w:rPr>
              <w:t>1.166</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24EFD5F" w14:textId="77777777" w:rsidR="00047D0B" w:rsidRPr="00A343CD" w:rsidRDefault="00047D0B" w:rsidP="00C563B5">
            <w:pPr>
              <w:rPr>
                <w:rFonts w:ascii="Arial" w:hAnsi="Arial" w:cs="Arial"/>
                <w:color w:val="000000"/>
              </w:rPr>
            </w:pPr>
            <w:r w:rsidRPr="00A343CD">
              <w:rPr>
                <w:rFonts w:ascii="Arial" w:hAnsi="Arial" w:cs="Arial"/>
                <w:color w:val="000000"/>
              </w:rPr>
              <w:t>1.196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B5B13CF" w14:textId="77777777" w:rsidR="00047D0B" w:rsidRPr="00A343CD" w:rsidRDefault="00047D0B" w:rsidP="00C563B5">
            <w:pPr>
              <w:rPr>
                <w:rFonts w:ascii="Arial" w:hAnsi="Arial" w:cs="Arial"/>
                <w:color w:val="000000"/>
              </w:rPr>
            </w:pPr>
            <w:r w:rsidRPr="00A343CD">
              <w:rPr>
                <w:rFonts w:ascii="Arial" w:hAnsi="Arial" w:cs="Arial"/>
                <w:color w:val="000000"/>
              </w:rPr>
              <w:t>1.622</w:t>
            </w:r>
          </w:p>
        </w:tc>
      </w:tr>
      <w:tr w:rsidR="00047D0B" w:rsidRPr="00A343CD" w14:paraId="01145AD6"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E0968B0" w14:textId="77777777" w:rsidR="00047D0B" w:rsidRPr="00A343CD" w:rsidRDefault="00047D0B" w:rsidP="00C563B5">
            <w:pPr>
              <w:rPr>
                <w:rFonts w:ascii="Arial" w:hAnsi="Arial" w:cs="Arial"/>
              </w:rPr>
            </w:pPr>
            <w:r w:rsidRPr="00A343CD">
              <w:rPr>
                <w:rFonts w:ascii="Arial" w:hAnsi="Arial" w:cs="Arial"/>
              </w:rPr>
              <w:t>X5 Sales / Total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A020FB6" w14:textId="77777777" w:rsidR="00047D0B" w:rsidRPr="00A343CD" w:rsidRDefault="00047D0B" w:rsidP="00C563B5">
            <w:pPr>
              <w:rPr>
                <w:rFonts w:ascii="Arial" w:hAnsi="Arial" w:cs="Arial"/>
                <w:color w:val="000000"/>
              </w:rPr>
            </w:pPr>
            <w:r w:rsidRPr="00A343CD">
              <w:rPr>
                <w:rFonts w:ascii="Arial" w:hAnsi="Arial" w:cs="Arial"/>
                <w:color w:val="000000"/>
              </w:rPr>
              <w:t>0.690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C21A8EA" w14:textId="77777777" w:rsidR="00047D0B" w:rsidRPr="00A343CD" w:rsidRDefault="00047D0B" w:rsidP="00C563B5">
            <w:pPr>
              <w:rPr>
                <w:rFonts w:ascii="Arial" w:hAnsi="Arial" w:cs="Arial"/>
                <w:color w:val="000000"/>
              </w:rPr>
            </w:pPr>
            <w:r w:rsidRPr="00A343CD">
              <w:rPr>
                <w:rFonts w:ascii="Arial" w:hAnsi="Arial" w:cs="Arial"/>
                <w:color w:val="000000"/>
              </w:rPr>
              <w:t>0.677</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259CCC8" w14:textId="77777777" w:rsidR="00047D0B" w:rsidRPr="00A343CD" w:rsidRDefault="00047D0B" w:rsidP="00C563B5">
            <w:pPr>
              <w:rPr>
                <w:rFonts w:ascii="Arial" w:hAnsi="Arial" w:cs="Arial"/>
                <w:color w:val="000000"/>
              </w:rPr>
            </w:pPr>
            <w:r w:rsidRPr="00A343CD">
              <w:rPr>
                <w:rFonts w:ascii="Arial" w:hAnsi="Arial" w:cs="Arial"/>
                <w:color w:val="000000"/>
              </w:rPr>
              <w:t>0.685</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A120233" w14:textId="77777777" w:rsidR="00047D0B" w:rsidRPr="00A343CD" w:rsidRDefault="00047D0B" w:rsidP="00C563B5">
            <w:pPr>
              <w:rPr>
                <w:rFonts w:ascii="Arial" w:hAnsi="Arial" w:cs="Arial"/>
                <w:color w:val="000000"/>
              </w:rPr>
            </w:pPr>
            <w:r w:rsidRPr="00A343CD">
              <w:rPr>
                <w:rFonts w:ascii="Arial" w:hAnsi="Arial" w:cs="Arial"/>
                <w:color w:val="000000"/>
              </w:rPr>
              <w:t>0.754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FEB4DCB" w14:textId="77777777" w:rsidR="00047D0B" w:rsidRPr="00A343CD" w:rsidRDefault="00047D0B" w:rsidP="00C563B5">
            <w:pPr>
              <w:rPr>
                <w:rFonts w:ascii="Arial" w:hAnsi="Arial" w:cs="Arial"/>
                <w:color w:val="000000"/>
              </w:rPr>
            </w:pPr>
            <w:r w:rsidRPr="00A343CD">
              <w:rPr>
                <w:rFonts w:ascii="Arial" w:hAnsi="Arial" w:cs="Arial"/>
                <w:color w:val="000000"/>
              </w:rPr>
              <w:t>0.775</w:t>
            </w:r>
          </w:p>
        </w:tc>
      </w:tr>
      <w:tr w:rsidR="00047D0B" w:rsidRPr="00A343CD" w14:paraId="1B68085E"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4ED8169" w14:textId="77777777" w:rsidR="00047D0B" w:rsidRPr="00A343CD" w:rsidRDefault="00047D0B" w:rsidP="00C563B5">
            <w:pPr>
              <w:rPr>
                <w:rFonts w:ascii="Arial" w:hAnsi="Arial" w:cs="Arial"/>
              </w:rPr>
            </w:pPr>
            <w:r w:rsidRPr="00A343CD">
              <w:rPr>
                <w:rFonts w:ascii="Arial" w:hAnsi="Arial" w:cs="Arial"/>
              </w:rPr>
              <w:t>Z = 1.2*X1 + 1.4*X2 + 3.3*X3 + 0.6*X4 +1.0*X5</w:t>
            </w:r>
          </w:p>
        </w:tc>
        <w:tc>
          <w:tcPr>
            <w:tcW w:w="1170" w:type="dxa"/>
            <w:tcBorders>
              <w:top w:val="nil"/>
              <w:left w:val="nil"/>
              <w:bottom w:val="single" w:sz="4" w:space="0" w:color="auto"/>
              <w:right w:val="single" w:sz="4" w:space="0" w:color="auto"/>
            </w:tcBorders>
            <w:shd w:val="clear" w:color="000000" w:fill="D0D0D0"/>
            <w:noWrap/>
            <w:tcMar>
              <w:top w:w="15" w:type="dxa"/>
              <w:left w:w="15" w:type="dxa"/>
              <w:bottom w:w="0" w:type="dxa"/>
              <w:right w:w="15" w:type="dxa"/>
            </w:tcMar>
            <w:vAlign w:val="bottom"/>
            <w:hideMark/>
          </w:tcPr>
          <w:p w14:paraId="268A5F6E" w14:textId="77777777" w:rsidR="00047D0B" w:rsidRPr="00A343CD" w:rsidRDefault="00047D0B" w:rsidP="00C563B5">
            <w:pPr>
              <w:rPr>
                <w:rFonts w:ascii="Arial" w:hAnsi="Arial" w:cs="Arial"/>
                <w:color w:val="000000"/>
              </w:rPr>
            </w:pPr>
            <w:r w:rsidRPr="00A343CD">
              <w:rPr>
                <w:rFonts w:ascii="Arial" w:hAnsi="Arial" w:cs="Arial"/>
                <w:color w:val="000000"/>
              </w:rPr>
              <w:t>1.85</w:t>
            </w:r>
          </w:p>
        </w:tc>
        <w:tc>
          <w:tcPr>
            <w:tcW w:w="1260" w:type="dxa"/>
            <w:tcBorders>
              <w:top w:val="nil"/>
              <w:left w:val="nil"/>
              <w:bottom w:val="single" w:sz="4" w:space="0" w:color="auto"/>
              <w:right w:val="single" w:sz="4" w:space="0" w:color="auto"/>
            </w:tcBorders>
            <w:shd w:val="clear" w:color="000000" w:fill="FBE2D5"/>
            <w:noWrap/>
            <w:tcMar>
              <w:top w:w="15" w:type="dxa"/>
              <w:left w:w="15" w:type="dxa"/>
              <w:bottom w:w="0" w:type="dxa"/>
              <w:right w:w="15" w:type="dxa"/>
            </w:tcMar>
            <w:vAlign w:val="bottom"/>
            <w:hideMark/>
          </w:tcPr>
          <w:p w14:paraId="257BCC79" w14:textId="77777777" w:rsidR="00047D0B" w:rsidRPr="00A343CD" w:rsidRDefault="00047D0B" w:rsidP="00C563B5">
            <w:pPr>
              <w:rPr>
                <w:rFonts w:ascii="Arial" w:hAnsi="Arial" w:cs="Arial"/>
                <w:color w:val="000000"/>
              </w:rPr>
            </w:pPr>
            <w:r w:rsidRPr="00A343CD">
              <w:rPr>
                <w:rFonts w:ascii="Arial" w:hAnsi="Arial" w:cs="Arial"/>
                <w:color w:val="000000"/>
              </w:rPr>
              <w:t>1.57</w:t>
            </w:r>
          </w:p>
        </w:tc>
        <w:tc>
          <w:tcPr>
            <w:tcW w:w="1080" w:type="dxa"/>
            <w:tcBorders>
              <w:top w:val="nil"/>
              <w:left w:val="nil"/>
              <w:bottom w:val="single" w:sz="4" w:space="0" w:color="auto"/>
              <w:right w:val="single" w:sz="4" w:space="0" w:color="auto"/>
            </w:tcBorders>
            <w:shd w:val="clear" w:color="000000" w:fill="D0D0D0"/>
            <w:noWrap/>
            <w:tcMar>
              <w:top w:w="15" w:type="dxa"/>
              <w:left w:w="15" w:type="dxa"/>
              <w:bottom w:w="0" w:type="dxa"/>
              <w:right w:w="15" w:type="dxa"/>
            </w:tcMar>
            <w:vAlign w:val="bottom"/>
            <w:hideMark/>
          </w:tcPr>
          <w:p w14:paraId="195FF96A" w14:textId="77777777" w:rsidR="00047D0B" w:rsidRPr="00A343CD" w:rsidRDefault="00047D0B" w:rsidP="00C563B5">
            <w:pPr>
              <w:rPr>
                <w:rFonts w:ascii="Arial" w:hAnsi="Arial" w:cs="Arial"/>
                <w:color w:val="000000"/>
              </w:rPr>
            </w:pPr>
            <w:r w:rsidRPr="00A343CD">
              <w:rPr>
                <w:rFonts w:ascii="Arial" w:hAnsi="Arial" w:cs="Arial"/>
                <w:color w:val="000000"/>
              </w:rPr>
              <w:t>2.22</w:t>
            </w:r>
          </w:p>
        </w:tc>
        <w:tc>
          <w:tcPr>
            <w:tcW w:w="1037" w:type="dxa"/>
            <w:tcBorders>
              <w:top w:val="nil"/>
              <w:left w:val="nil"/>
              <w:bottom w:val="single" w:sz="4" w:space="0" w:color="auto"/>
              <w:right w:val="single" w:sz="4" w:space="0" w:color="auto"/>
            </w:tcBorders>
            <w:shd w:val="clear" w:color="000000" w:fill="D0D0D0"/>
            <w:noWrap/>
            <w:tcMar>
              <w:top w:w="15" w:type="dxa"/>
              <w:left w:w="15" w:type="dxa"/>
              <w:bottom w:w="0" w:type="dxa"/>
              <w:right w:w="15" w:type="dxa"/>
            </w:tcMar>
            <w:vAlign w:val="bottom"/>
            <w:hideMark/>
          </w:tcPr>
          <w:p w14:paraId="11F0233A" w14:textId="77777777" w:rsidR="00047D0B" w:rsidRPr="00A343CD" w:rsidRDefault="00047D0B" w:rsidP="00C563B5">
            <w:pPr>
              <w:rPr>
                <w:rFonts w:ascii="Arial" w:hAnsi="Arial" w:cs="Arial"/>
                <w:color w:val="000000"/>
              </w:rPr>
            </w:pPr>
            <w:r w:rsidRPr="00A343CD">
              <w:rPr>
                <w:rFonts w:ascii="Arial" w:hAnsi="Arial" w:cs="Arial"/>
                <w:color w:val="000000"/>
              </w:rPr>
              <w:t>2.33</w:t>
            </w:r>
          </w:p>
        </w:tc>
        <w:tc>
          <w:tcPr>
            <w:tcW w:w="0" w:type="auto"/>
            <w:tcBorders>
              <w:top w:val="nil"/>
              <w:left w:val="nil"/>
              <w:bottom w:val="single" w:sz="4" w:space="0" w:color="auto"/>
              <w:right w:val="single" w:sz="4" w:space="0" w:color="auto"/>
            </w:tcBorders>
            <w:shd w:val="clear" w:color="000000" w:fill="D0D0D0"/>
            <w:noWrap/>
            <w:tcMar>
              <w:top w:w="15" w:type="dxa"/>
              <w:left w:w="15" w:type="dxa"/>
              <w:bottom w:w="0" w:type="dxa"/>
              <w:right w:w="15" w:type="dxa"/>
            </w:tcMar>
            <w:vAlign w:val="bottom"/>
            <w:hideMark/>
          </w:tcPr>
          <w:p w14:paraId="44841D62" w14:textId="77777777" w:rsidR="00047D0B" w:rsidRPr="00A343CD" w:rsidRDefault="00047D0B" w:rsidP="00C563B5">
            <w:pPr>
              <w:rPr>
                <w:rFonts w:ascii="Arial" w:hAnsi="Arial" w:cs="Arial"/>
                <w:color w:val="000000"/>
              </w:rPr>
            </w:pPr>
            <w:r w:rsidRPr="00A343CD">
              <w:rPr>
                <w:rFonts w:ascii="Arial" w:hAnsi="Arial" w:cs="Arial"/>
                <w:color w:val="000000"/>
              </w:rPr>
              <w:t>2.71</w:t>
            </w:r>
          </w:p>
        </w:tc>
      </w:tr>
      <w:tr w:rsidR="00047D0B" w:rsidRPr="00A343CD" w14:paraId="0F14849F" w14:textId="77777777" w:rsidTr="00C563B5">
        <w:trPr>
          <w:trHeight w:val="288"/>
        </w:trPr>
        <w:tc>
          <w:tcPr>
            <w:tcW w:w="3145" w:type="dxa"/>
            <w:tcBorders>
              <w:top w:val="nil"/>
              <w:left w:val="nil"/>
              <w:bottom w:val="nil"/>
              <w:right w:val="nil"/>
            </w:tcBorders>
            <w:noWrap/>
            <w:tcMar>
              <w:top w:w="15" w:type="dxa"/>
              <w:left w:w="15" w:type="dxa"/>
              <w:bottom w:w="0" w:type="dxa"/>
              <w:right w:w="15" w:type="dxa"/>
            </w:tcMar>
            <w:vAlign w:val="bottom"/>
            <w:hideMark/>
          </w:tcPr>
          <w:p w14:paraId="0115AC29" w14:textId="77777777" w:rsidR="00047D0B" w:rsidRPr="00A343CD" w:rsidRDefault="00047D0B" w:rsidP="00C563B5">
            <w:pPr>
              <w:rPr>
                <w:rFonts w:ascii="Arial" w:hAnsi="Arial" w:cs="Arial"/>
                <w:color w:val="000000"/>
              </w:rPr>
            </w:pPr>
          </w:p>
        </w:tc>
        <w:tc>
          <w:tcPr>
            <w:tcW w:w="1170" w:type="dxa"/>
            <w:tcBorders>
              <w:top w:val="nil"/>
              <w:left w:val="nil"/>
              <w:bottom w:val="nil"/>
              <w:right w:val="nil"/>
            </w:tcBorders>
            <w:noWrap/>
            <w:tcMar>
              <w:top w:w="15" w:type="dxa"/>
              <w:left w:w="15" w:type="dxa"/>
              <w:bottom w:w="0" w:type="dxa"/>
              <w:right w:w="15" w:type="dxa"/>
            </w:tcMar>
            <w:vAlign w:val="bottom"/>
            <w:hideMark/>
          </w:tcPr>
          <w:p w14:paraId="377A423D" w14:textId="77777777" w:rsidR="00047D0B" w:rsidRPr="00A343CD" w:rsidRDefault="00047D0B" w:rsidP="00C563B5">
            <w:pPr>
              <w:rPr>
                <w:rFonts w:ascii="Arial" w:hAnsi="Arial" w:cs="Arial"/>
              </w:rPr>
            </w:pPr>
          </w:p>
        </w:tc>
        <w:tc>
          <w:tcPr>
            <w:tcW w:w="1260" w:type="dxa"/>
            <w:tcBorders>
              <w:top w:val="nil"/>
              <w:left w:val="nil"/>
              <w:bottom w:val="nil"/>
              <w:right w:val="nil"/>
            </w:tcBorders>
            <w:noWrap/>
            <w:tcMar>
              <w:top w:w="15" w:type="dxa"/>
              <w:left w:w="15" w:type="dxa"/>
              <w:bottom w:w="0" w:type="dxa"/>
              <w:right w:w="15" w:type="dxa"/>
            </w:tcMar>
            <w:vAlign w:val="bottom"/>
            <w:hideMark/>
          </w:tcPr>
          <w:p w14:paraId="684BF17B" w14:textId="77777777" w:rsidR="00047D0B" w:rsidRPr="00A343CD" w:rsidRDefault="00047D0B" w:rsidP="00C563B5">
            <w:pPr>
              <w:rPr>
                <w:rFonts w:ascii="Arial" w:hAnsi="Arial" w:cs="Arial"/>
              </w:rPr>
            </w:pPr>
          </w:p>
        </w:tc>
        <w:tc>
          <w:tcPr>
            <w:tcW w:w="1080" w:type="dxa"/>
            <w:tcBorders>
              <w:top w:val="nil"/>
              <w:left w:val="nil"/>
              <w:bottom w:val="nil"/>
              <w:right w:val="nil"/>
            </w:tcBorders>
            <w:noWrap/>
            <w:tcMar>
              <w:top w:w="15" w:type="dxa"/>
              <w:left w:w="15" w:type="dxa"/>
              <w:bottom w:w="0" w:type="dxa"/>
              <w:right w:w="15" w:type="dxa"/>
            </w:tcMar>
            <w:vAlign w:val="bottom"/>
            <w:hideMark/>
          </w:tcPr>
          <w:p w14:paraId="447BE063" w14:textId="77777777" w:rsidR="00047D0B" w:rsidRPr="00A343CD" w:rsidRDefault="00047D0B" w:rsidP="00C563B5">
            <w:pPr>
              <w:rPr>
                <w:rFonts w:ascii="Arial" w:hAnsi="Arial" w:cs="Arial"/>
              </w:rPr>
            </w:pPr>
          </w:p>
        </w:tc>
        <w:tc>
          <w:tcPr>
            <w:tcW w:w="1037" w:type="dxa"/>
            <w:tcBorders>
              <w:top w:val="nil"/>
              <w:left w:val="nil"/>
              <w:bottom w:val="nil"/>
              <w:right w:val="nil"/>
            </w:tcBorders>
            <w:noWrap/>
            <w:tcMar>
              <w:top w:w="15" w:type="dxa"/>
              <w:left w:w="15" w:type="dxa"/>
              <w:bottom w:w="0" w:type="dxa"/>
              <w:right w:w="15" w:type="dxa"/>
            </w:tcMar>
            <w:vAlign w:val="bottom"/>
            <w:hideMark/>
          </w:tcPr>
          <w:p w14:paraId="5F5C1499" w14:textId="77777777" w:rsidR="00047D0B" w:rsidRPr="00A343CD" w:rsidRDefault="00047D0B" w:rsidP="00C563B5">
            <w:pPr>
              <w:rPr>
                <w:rFonts w:ascii="Arial" w:hAnsi="Arial" w:cs="Arial"/>
              </w:rPr>
            </w:pPr>
          </w:p>
        </w:tc>
        <w:tc>
          <w:tcPr>
            <w:tcW w:w="0" w:type="auto"/>
            <w:tcBorders>
              <w:top w:val="nil"/>
              <w:left w:val="nil"/>
              <w:bottom w:val="nil"/>
              <w:right w:val="nil"/>
            </w:tcBorders>
            <w:noWrap/>
            <w:tcMar>
              <w:top w:w="15" w:type="dxa"/>
              <w:left w:w="15" w:type="dxa"/>
              <w:bottom w:w="0" w:type="dxa"/>
              <w:right w:w="15" w:type="dxa"/>
            </w:tcMar>
            <w:vAlign w:val="bottom"/>
            <w:hideMark/>
          </w:tcPr>
          <w:p w14:paraId="6A8F1B3B" w14:textId="77777777" w:rsidR="00047D0B" w:rsidRPr="00A343CD" w:rsidRDefault="00047D0B" w:rsidP="00C563B5">
            <w:pPr>
              <w:rPr>
                <w:rFonts w:ascii="Arial" w:hAnsi="Arial" w:cs="Arial"/>
              </w:rPr>
            </w:pPr>
          </w:p>
        </w:tc>
      </w:tr>
      <w:tr w:rsidR="00047D0B" w:rsidRPr="00A343CD" w14:paraId="66C698BA" w14:textId="77777777" w:rsidTr="00C563B5">
        <w:trPr>
          <w:trHeight w:val="288"/>
        </w:trPr>
        <w:tc>
          <w:tcPr>
            <w:tcW w:w="0" w:type="auto"/>
            <w:gridSpan w:val="6"/>
            <w:tcBorders>
              <w:top w:val="nil"/>
              <w:left w:val="nil"/>
              <w:bottom w:val="nil"/>
              <w:right w:val="nil"/>
            </w:tcBorders>
            <w:noWrap/>
            <w:tcMar>
              <w:top w:w="15" w:type="dxa"/>
              <w:left w:w="15" w:type="dxa"/>
              <w:bottom w:w="0" w:type="dxa"/>
              <w:right w:w="15" w:type="dxa"/>
            </w:tcMar>
            <w:vAlign w:val="center"/>
            <w:hideMark/>
          </w:tcPr>
          <w:p w14:paraId="2130879A" w14:textId="77777777" w:rsidR="00047D0B" w:rsidRPr="00A343CD" w:rsidRDefault="00047D0B" w:rsidP="00C563B5">
            <w:pPr>
              <w:rPr>
                <w:rFonts w:ascii="Arial" w:hAnsi="Arial" w:cs="Arial"/>
                <w:color w:val="000000"/>
              </w:rPr>
            </w:pPr>
            <w:r w:rsidRPr="00A343CD">
              <w:rPr>
                <w:rFonts w:ascii="Arial" w:hAnsi="Arial" w:cs="Arial"/>
                <w:color w:val="000000"/>
              </w:rPr>
              <w:t xml:space="preserve">Common thresholds: Safe Z&gt; 2.99, Grey 1.81&lt;Z&lt;2.99, Distress Z&lt; 1.81. </w:t>
            </w:r>
          </w:p>
          <w:p w14:paraId="5DCEEF7E" w14:textId="77777777" w:rsidR="00047D0B" w:rsidRPr="00A343CD" w:rsidRDefault="00047D0B" w:rsidP="00C563B5">
            <w:pPr>
              <w:rPr>
                <w:rFonts w:ascii="Arial" w:hAnsi="Arial" w:cs="Arial"/>
                <w:color w:val="000000"/>
              </w:rPr>
            </w:pPr>
            <w:r w:rsidRPr="00A343CD">
              <w:rPr>
                <w:rFonts w:ascii="Arial" w:hAnsi="Arial" w:cs="Arial"/>
                <w:color w:val="000000"/>
              </w:rPr>
              <w:t>The Altman Z Score values show that the company has switched to the grey zone to the distress and is slightly recovering. The value of Z Score decreases between 2.71 (2020) and 2.33 (2021) and 2.22 (2022) and enters the distress zone (1.57) (2023), followed by an increase to 1.85 (2024). The original model created by Altman explains scores that come out as lower than around 1.81 as distress, the range of 1.81 to 2.99 as a grey area, and above 2.99 as secure, i.e. the 2024 score is closer to the distress mark but it is yet to indicate that financial security is achieved. The regression analysis of the Z Score shows that the negative ratio of EBIT to total assets in the year 2023-2024 is a substantial detriment to creditworthiness, which is consistent with the negative ratio of interest corresponding to the negative ratio of margins in the previous section.</w:t>
            </w:r>
          </w:p>
        </w:tc>
      </w:tr>
    </w:tbl>
    <w:p w14:paraId="6BDDFD3F" w14:textId="77777777" w:rsidR="00047D0B" w:rsidRPr="00A343CD" w:rsidRDefault="00047D0B" w:rsidP="00047D0B">
      <w:pPr>
        <w:pStyle w:val="Heading1"/>
        <w:spacing w:line="276" w:lineRule="auto"/>
        <w:rPr>
          <w:rFonts w:ascii="Arial" w:hAnsi="Arial" w:cs="Arial"/>
        </w:rPr>
      </w:pPr>
      <w:bookmarkStart w:id="21" w:name="_Toc217295009"/>
      <w:bookmarkStart w:id="22" w:name="_Toc217298617"/>
      <w:r w:rsidRPr="00A343CD">
        <w:rPr>
          <w:rFonts w:ascii="Arial" w:hAnsi="Arial" w:cs="Arial"/>
        </w:rPr>
        <w:t>2. Working Capital Management Analysis</w:t>
      </w:r>
      <w:bookmarkEnd w:id="21"/>
      <w:bookmarkEnd w:id="22"/>
    </w:p>
    <w:p w14:paraId="3E494662" w14:textId="77777777" w:rsidR="00047D0B" w:rsidRPr="00A343CD" w:rsidRDefault="00047D0B" w:rsidP="00047D0B">
      <w:pPr>
        <w:pStyle w:val="Heading2"/>
        <w:rPr>
          <w:rFonts w:ascii="Arial" w:hAnsi="Arial" w:cs="Arial"/>
        </w:rPr>
      </w:pPr>
      <w:bookmarkStart w:id="23" w:name="_Toc217295010"/>
      <w:bookmarkStart w:id="24" w:name="_Toc217298618"/>
      <w:r w:rsidRPr="00A343CD">
        <w:rPr>
          <w:rFonts w:ascii="Arial" w:hAnsi="Arial" w:cs="Arial"/>
        </w:rPr>
        <w:t>2.1 Cash Operating Cycle</w:t>
      </w:r>
      <w:bookmarkEnd w:id="23"/>
      <w:bookmarkEnd w:id="24"/>
    </w:p>
    <w:p w14:paraId="1C1DF80B" w14:textId="77777777" w:rsidR="00047D0B" w:rsidRPr="00A343CD" w:rsidRDefault="00047D0B" w:rsidP="00047D0B">
      <w:pPr>
        <w:rPr>
          <w:rFonts w:ascii="Arial" w:hAnsi="Arial" w:cs="Arial"/>
        </w:rPr>
      </w:pPr>
      <w:r w:rsidRPr="00A343CD">
        <w:rPr>
          <w:rFonts w:ascii="Arial" w:hAnsi="Arial" w:cs="Arial"/>
        </w:rPr>
        <w:t>The ratios of cashflow indicate that the capacity of the company to generate cash in comparison to its commitment has deteriorated since the year 2020. The operating cash flow ratio decreased, which was 0.46 in 2020 to 0.09 in 2024, that is, the cash operating position takes into account a minor portion of current liabilities. This is material since operating cash flow ratios are employed to review short term liquidity based on the cash generation and not accrual profits and a ratio of less than one shows that organizations are dependent to exert external debt or working capital release in order to meet their obligations. The liquidity to debt ratio has dropped to 8.82% in 2024, as opposed to 42.17% in 2020, and it means the presence of poorer debt service ability of the internally generated cash (Wall Street Prep, 2024).</w:t>
      </w:r>
    </w:p>
    <w:p w14:paraId="44C17AB0" w14:textId="77777777" w:rsidR="00047D0B" w:rsidRPr="00A343CD" w:rsidRDefault="00047D0B" w:rsidP="00047D0B">
      <w:pPr>
        <w:spacing w:after="0" w:line="276" w:lineRule="auto"/>
        <w:rPr>
          <w:rFonts w:ascii="Arial" w:hAnsi="Arial" w:cs="Arial"/>
        </w:rPr>
      </w:pPr>
    </w:p>
    <w:tbl>
      <w:tblPr>
        <w:tblStyle w:val="GridTable4-Accent1"/>
        <w:tblW w:w="8884" w:type="dxa"/>
        <w:tblLook w:val="04A0" w:firstRow="1" w:lastRow="0" w:firstColumn="1" w:lastColumn="0" w:noHBand="0" w:noVBand="1"/>
      </w:tblPr>
      <w:tblGrid>
        <w:gridCol w:w="2519"/>
        <w:gridCol w:w="1486"/>
        <w:gridCol w:w="1151"/>
        <w:gridCol w:w="1151"/>
        <w:gridCol w:w="1351"/>
        <w:gridCol w:w="1284"/>
      </w:tblGrid>
      <w:tr w:rsidR="00047D0B" w:rsidRPr="00A343CD" w14:paraId="5DDAE8DF" w14:textId="77777777" w:rsidTr="00C563B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519" w:type="dxa"/>
            <w:noWrap/>
            <w:hideMark/>
          </w:tcPr>
          <w:p w14:paraId="4D8C90B9" w14:textId="77777777" w:rsidR="00047D0B" w:rsidRPr="00A343CD" w:rsidRDefault="00047D0B" w:rsidP="00C563B5">
            <w:pPr>
              <w:rPr>
                <w:rFonts w:ascii="Arial" w:eastAsia="Times New Roman" w:hAnsi="Arial" w:cs="Arial"/>
                <w:lang w:bidi="bn-BD"/>
              </w:rPr>
            </w:pPr>
            <w:r w:rsidRPr="00A343CD">
              <w:rPr>
                <w:rFonts w:ascii="Arial" w:eastAsia="Times New Roman" w:hAnsi="Arial" w:cs="Arial"/>
                <w:lang w:bidi="bn-BD"/>
              </w:rPr>
              <w:t>Ratio Name</w:t>
            </w:r>
          </w:p>
        </w:tc>
        <w:tc>
          <w:tcPr>
            <w:tcW w:w="1486" w:type="dxa"/>
            <w:noWrap/>
            <w:hideMark/>
          </w:tcPr>
          <w:p w14:paraId="2498DA6E" w14:textId="77777777" w:rsidR="00047D0B" w:rsidRPr="00A343CD"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A343CD">
              <w:rPr>
                <w:rFonts w:ascii="Arial" w:eastAsia="Times New Roman" w:hAnsi="Arial" w:cs="Arial"/>
                <w:lang w:bidi="bn-BD"/>
              </w:rPr>
              <w:t>2024</w:t>
            </w:r>
          </w:p>
        </w:tc>
        <w:tc>
          <w:tcPr>
            <w:tcW w:w="0" w:type="auto"/>
            <w:noWrap/>
            <w:hideMark/>
          </w:tcPr>
          <w:p w14:paraId="170083E8" w14:textId="77777777" w:rsidR="00047D0B" w:rsidRPr="00A343CD"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A343CD">
              <w:rPr>
                <w:rFonts w:ascii="Arial" w:eastAsia="Times New Roman" w:hAnsi="Arial" w:cs="Arial"/>
                <w:lang w:bidi="bn-BD"/>
              </w:rPr>
              <w:t>2023</w:t>
            </w:r>
          </w:p>
        </w:tc>
        <w:tc>
          <w:tcPr>
            <w:tcW w:w="0" w:type="auto"/>
            <w:noWrap/>
            <w:hideMark/>
          </w:tcPr>
          <w:p w14:paraId="09D11BE0" w14:textId="77777777" w:rsidR="00047D0B" w:rsidRPr="00A343CD"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A343CD">
              <w:rPr>
                <w:rFonts w:ascii="Arial" w:eastAsia="Times New Roman" w:hAnsi="Arial" w:cs="Arial"/>
                <w:lang w:bidi="bn-BD"/>
              </w:rPr>
              <w:t>2022</w:t>
            </w:r>
          </w:p>
        </w:tc>
        <w:tc>
          <w:tcPr>
            <w:tcW w:w="0" w:type="auto"/>
            <w:noWrap/>
            <w:hideMark/>
          </w:tcPr>
          <w:p w14:paraId="36270384" w14:textId="77777777" w:rsidR="00047D0B" w:rsidRPr="00A343CD"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A343CD">
              <w:rPr>
                <w:rFonts w:ascii="Arial" w:eastAsia="Times New Roman" w:hAnsi="Arial" w:cs="Arial"/>
                <w:lang w:bidi="bn-BD"/>
              </w:rPr>
              <w:t>2021</w:t>
            </w:r>
          </w:p>
        </w:tc>
        <w:tc>
          <w:tcPr>
            <w:tcW w:w="0" w:type="auto"/>
            <w:noWrap/>
            <w:hideMark/>
          </w:tcPr>
          <w:p w14:paraId="11BEC010" w14:textId="77777777" w:rsidR="00047D0B" w:rsidRPr="00A343CD"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A343CD">
              <w:rPr>
                <w:rFonts w:ascii="Arial" w:eastAsia="Times New Roman" w:hAnsi="Arial" w:cs="Arial"/>
                <w:lang w:bidi="bn-BD"/>
              </w:rPr>
              <w:t>2020</w:t>
            </w:r>
          </w:p>
        </w:tc>
      </w:tr>
      <w:tr w:rsidR="00047D0B" w:rsidRPr="00A343CD" w14:paraId="11B4163A" w14:textId="77777777" w:rsidTr="00C563B5">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2519" w:type="dxa"/>
            <w:noWrap/>
            <w:hideMark/>
          </w:tcPr>
          <w:p w14:paraId="3224A2A8" w14:textId="77777777" w:rsidR="00047D0B" w:rsidRPr="00A343CD" w:rsidRDefault="00047D0B" w:rsidP="00C563B5">
            <w:pPr>
              <w:rPr>
                <w:rFonts w:ascii="Arial" w:eastAsia="Times New Roman" w:hAnsi="Arial" w:cs="Arial"/>
                <w:b w:val="0"/>
                <w:bCs w:val="0"/>
                <w:color w:val="000000"/>
                <w:lang w:bidi="bn-BD"/>
              </w:rPr>
            </w:pPr>
            <w:r w:rsidRPr="00A343CD">
              <w:rPr>
                <w:rFonts w:ascii="Arial" w:eastAsia="Times New Roman" w:hAnsi="Arial" w:cs="Arial"/>
                <w:b w:val="0"/>
                <w:bCs w:val="0"/>
                <w:color w:val="000000"/>
                <w:lang w:bidi="bn-BD"/>
              </w:rPr>
              <w:t>Operating Cash Flow Ratio</w:t>
            </w:r>
          </w:p>
        </w:tc>
        <w:tc>
          <w:tcPr>
            <w:tcW w:w="1486" w:type="dxa"/>
            <w:noWrap/>
            <w:hideMark/>
          </w:tcPr>
          <w:p w14:paraId="4280D33C"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0.09:1</w:t>
            </w:r>
          </w:p>
        </w:tc>
        <w:tc>
          <w:tcPr>
            <w:tcW w:w="0" w:type="auto"/>
            <w:noWrap/>
            <w:hideMark/>
          </w:tcPr>
          <w:p w14:paraId="63347438"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0.16:1</w:t>
            </w:r>
          </w:p>
        </w:tc>
        <w:tc>
          <w:tcPr>
            <w:tcW w:w="0" w:type="auto"/>
            <w:noWrap/>
            <w:hideMark/>
          </w:tcPr>
          <w:p w14:paraId="6E5B76DC"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0.05:1</w:t>
            </w:r>
          </w:p>
        </w:tc>
        <w:tc>
          <w:tcPr>
            <w:tcW w:w="0" w:type="auto"/>
            <w:noWrap/>
            <w:hideMark/>
          </w:tcPr>
          <w:p w14:paraId="45EBD30D"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0.16:1</w:t>
            </w:r>
          </w:p>
        </w:tc>
        <w:tc>
          <w:tcPr>
            <w:tcW w:w="0" w:type="auto"/>
            <w:noWrap/>
            <w:hideMark/>
          </w:tcPr>
          <w:p w14:paraId="030C80C1"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0.46:1</w:t>
            </w:r>
          </w:p>
        </w:tc>
      </w:tr>
      <w:tr w:rsidR="00047D0B" w:rsidRPr="00A343CD" w14:paraId="783A7484" w14:textId="77777777" w:rsidTr="00C563B5">
        <w:trPr>
          <w:trHeight w:val="313"/>
        </w:trPr>
        <w:tc>
          <w:tcPr>
            <w:cnfStyle w:val="001000000000" w:firstRow="0" w:lastRow="0" w:firstColumn="1" w:lastColumn="0" w:oddVBand="0" w:evenVBand="0" w:oddHBand="0" w:evenHBand="0" w:firstRowFirstColumn="0" w:firstRowLastColumn="0" w:lastRowFirstColumn="0" w:lastRowLastColumn="0"/>
            <w:tcW w:w="2519" w:type="dxa"/>
            <w:noWrap/>
            <w:hideMark/>
          </w:tcPr>
          <w:p w14:paraId="44C565B2" w14:textId="77777777" w:rsidR="00047D0B" w:rsidRPr="00A343CD" w:rsidRDefault="00047D0B" w:rsidP="00C563B5">
            <w:pPr>
              <w:rPr>
                <w:rFonts w:ascii="Arial" w:eastAsia="Times New Roman" w:hAnsi="Arial" w:cs="Arial"/>
                <w:b w:val="0"/>
                <w:bCs w:val="0"/>
                <w:color w:val="000000"/>
                <w:lang w:bidi="bn-BD"/>
              </w:rPr>
            </w:pPr>
            <w:r w:rsidRPr="00A343CD">
              <w:rPr>
                <w:rFonts w:ascii="Arial" w:eastAsia="Times New Roman" w:hAnsi="Arial" w:cs="Arial"/>
                <w:b w:val="0"/>
                <w:bCs w:val="0"/>
                <w:color w:val="000000"/>
                <w:lang w:bidi="bn-BD"/>
              </w:rPr>
              <w:t>Cash Flow to Debt Ratio</w:t>
            </w:r>
          </w:p>
        </w:tc>
        <w:tc>
          <w:tcPr>
            <w:tcW w:w="1486" w:type="dxa"/>
            <w:noWrap/>
            <w:hideMark/>
          </w:tcPr>
          <w:p w14:paraId="63DB381A"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8.82%</w:t>
            </w:r>
          </w:p>
        </w:tc>
        <w:tc>
          <w:tcPr>
            <w:tcW w:w="0" w:type="auto"/>
            <w:noWrap/>
            <w:hideMark/>
          </w:tcPr>
          <w:p w14:paraId="6C042080"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14.38%</w:t>
            </w:r>
          </w:p>
        </w:tc>
        <w:tc>
          <w:tcPr>
            <w:tcW w:w="0" w:type="auto"/>
            <w:noWrap/>
            <w:hideMark/>
          </w:tcPr>
          <w:p w14:paraId="755FAD48"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4.75%</w:t>
            </w:r>
          </w:p>
        </w:tc>
        <w:tc>
          <w:tcPr>
            <w:tcW w:w="0" w:type="auto"/>
            <w:noWrap/>
            <w:hideMark/>
          </w:tcPr>
          <w:p w14:paraId="72879AD0"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15.18%</w:t>
            </w:r>
          </w:p>
        </w:tc>
        <w:tc>
          <w:tcPr>
            <w:tcW w:w="0" w:type="auto"/>
            <w:noWrap/>
            <w:hideMark/>
          </w:tcPr>
          <w:p w14:paraId="574B20E9"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42.17%</w:t>
            </w:r>
          </w:p>
        </w:tc>
      </w:tr>
      <w:tr w:rsidR="00047D0B" w:rsidRPr="00A343CD" w14:paraId="1EC464B2" w14:textId="77777777" w:rsidTr="00C563B5">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2519" w:type="dxa"/>
            <w:noWrap/>
            <w:hideMark/>
          </w:tcPr>
          <w:p w14:paraId="7594DF0A" w14:textId="77777777" w:rsidR="00047D0B" w:rsidRPr="00A343CD" w:rsidRDefault="00047D0B" w:rsidP="00C563B5">
            <w:pPr>
              <w:rPr>
                <w:rFonts w:ascii="Arial" w:eastAsia="Times New Roman" w:hAnsi="Arial" w:cs="Arial"/>
                <w:b w:val="0"/>
                <w:bCs w:val="0"/>
                <w:color w:val="000000"/>
                <w:lang w:bidi="bn-BD"/>
              </w:rPr>
            </w:pPr>
            <w:r w:rsidRPr="00A343CD">
              <w:rPr>
                <w:rFonts w:ascii="Arial" w:eastAsia="Times New Roman" w:hAnsi="Arial" w:cs="Arial"/>
                <w:b w:val="0"/>
                <w:bCs w:val="0"/>
                <w:color w:val="000000"/>
                <w:lang w:bidi="bn-BD"/>
              </w:rPr>
              <w:lastRenderedPageBreak/>
              <w:t>Cash Flow Margin</w:t>
            </w:r>
          </w:p>
        </w:tc>
        <w:tc>
          <w:tcPr>
            <w:tcW w:w="1486" w:type="dxa"/>
            <w:noWrap/>
            <w:hideMark/>
          </w:tcPr>
          <w:p w14:paraId="6B3D82D5"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3.75%</w:t>
            </w:r>
          </w:p>
        </w:tc>
        <w:tc>
          <w:tcPr>
            <w:tcW w:w="0" w:type="auto"/>
            <w:noWrap/>
            <w:hideMark/>
          </w:tcPr>
          <w:p w14:paraId="31D11D7D"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5.99%</w:t>
            </w:r>
          </w:p>
        </w:tc>
        <w:tc>
          <w:tcPr>
            <w:tcW w:w="0" w:type="auto"/>
            <w:noWrap/>
            <w:hideMark/>
          </w:tcPr>
          <w:p w14:paraId="3E6524D8"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2.01%</w:t>
            </w:r>
          </w:p>
        </w:tc>
        <w:tc>
          <w:tcPr>
            <w:tcW w:w="0" w:type="auto"/>
            <w:noWrap/>
            <w:hideMark/>
          </w:tcPr>
          <w:p w14:paraId="4943438A"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5.82%</w:t>
            </w:r>
          </w:p>
        </w:tc>
        <w:tc>
          <w:tcPr>
            <w:tcW w:w="0" w:type="auto"/>
            <w:noWrap/>
            <w:hideMark/>
          </w:tcPr>
          <w:p w14:paraId="3482F381"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13.25%</w:t>
            </w:r>
          </w:p>
        </w:tc>
      </w:tr>
      <w:tr w:rsidR="00047D0B" w:rsidRPr="00A343CD" w14:paraId="09488E4D" w14:textId="77777777" w:rsidTr="00C563B5">
        <w:trPr>
          <w:trHeight w:val="313"/>
        </w:trPr>
        <w:tc>
          <w:tcPr>
            <w:cnfStyle w:val="001000000000" w:firstRow="0" w:lastRow="0" w:firstColumn="1" w:lastColumn="0" w:oddVBand="0" w:evenVBand="0" w:oddHBand="0" w:evenHBand="0" w:firstRowFirstColumn="0" w:firstRowLastColumn="0" w:lastRowFirstColumn="0" w:lastRowLastColumn="0"/>
            <w:tcW w:w="2519" w:type="dxa"/>
            <w:noWrap/>
            <w:hideMark/>
          </w:tcPr>
          <w:p w14:paraId="6F57C96B" w14:textId="77777777" w:rsidR="00047D0B" w:rsidRPr="00A343CD" w:rsidRDefault="00047D0B" w:rsidP="00C563B5">
            <w:pPr>
              <w:rPr>
                <w:rFonts w:ascii="Arial" w:eastAsia="Times New Roman" w:hAnsi="Arial" w:cs="Arial"/>
                <w:b w:val="0"/>
                <w:bCs w:val="0"/>
                <w:color w:val="000000"/>
                <w:lang w:bidi="bn-BD"/>
              </w:rPr>
            </w:pPr>
            <w:r w:rsidRPr="00A343CD">
              <w:rPr>
                <w:rFonts w:ascii="Arial" w:eastAsia="Times New Roman" w:hAnsi="Arial" w:cs="Arial"/>
                <w:b w:val="0"/>
                <w:bCs w:val="0"/>
                <w:color w:val="000000"/>
                <w:lang w:bidi="bn-BD"/>
              </w:rPr>
              <w:t>Free Cash Flow</w:t>
            </w:r>
          </w:p>
        </w:tc>
        <w:tc>
          <w:tcPr>
            <w:tcW w:w="1486" w:type="dxa"/>
            <w:noWrap/>
            <w:hideMark/>
          </w:tcPr>
          <w:p w14:paraId="15D6F606"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£23,250</w:t>
            </w:r>
          </w:p>
        </w:tc>
        <w:tc>
          <w:tcPr>
            <w:tcW w:w="0" w:type="auto"/>
            <w:noWrap/>
            <w:hideMark/>
          </w:tcPr>
          <w:p w14:paraId="72A90A3C"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£ 39,067</w:t>
            </w:r>
          </w:p>
        </w:tc>
        <w:tc>
          <w:tcPr>
            <w:tcW w:w="0" w:type="auto"/>
            <w:noWrap/>
            <w:hideMark/>
          </w:tcPr>
          <w:p w14:paraId="59FA99A1"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£ 32,134</w:t>
            </w:r>
          </w:p>
        </w:tc>
        <w:tc>
          <w:tcPr>
            <w:tcW w:w="0" w:type="auto"/>
            <w:noWrap/>
            <w:hideMark/>
          </w:tcPr>
          <w:p w14:paraId="7DE49CD0"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    52,050</w:t>
            </w:r>
          </w:p>
        </w:tc>
        <w:tc>
          <w:tcPr>
            <w:tcW w:w="0" w:type="auto"/>
            <w:noWrap/>
            <w:hideMark/>
          </w:tcPr>
          <w:p w14:paraId="4660C3E9"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£ 104,692</w:t>
            </w:r>
          </w:p>
        </w:tc>
      </w:tr>
      <w:tr w:rsidR="00047D0B" w:rsidRPr="00A343CD" w14:paraId="725FBA00" w14:textId="77777777" w:rsidTr="00C563B5">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2519" w:type="dxa"/>
            <w:noWrap/>
            <w:hideMark/>
          </w:tcPr>
          <w:p w14:paraId="3F87CC7B" w14:textId="77777777" w:rsidR="00047D0B" w:rsidRPr="00A343CD" w:rsidRDefault="00047D0B" w:rsidP="00C563B5">
            <w:pPr>
              <w:rPr>
                <w:rFonts w:ascii="Arial" w:eastAsia="Times New Roman" w:hAnsi="Arial" w:cs="Arial"/>
                <w:b w:val="0"/>
                <w:bCs w:val="0"/>
                <w:color w:val="000000"/>
                <w:lang w:bidi="bn-BD"/>
              </w:rPr>
            </w:pPr>
            <w:r w:rsidRPr="00A343CD">
              <w:rPr>
                <w:rFonts w:ascii="Arial" w:eastAsia="Times New Roman" w:hAnsi="Arial" w:cs="Arial"/>
                <w:b w:val="0"/>
                <w:bCs w:val="0"/>
                <w:color w:val="000000"/>
                <w:lang w:bidi="bn-BD"/>
              </w:rPr>
              <w:t>Free Cash Flow Margin</w:t>
            </w:r>
          </w:p>
        </w:tc>
        <w:tc>
          <w:tcPr>
            <w:tcW w:w="1486" w:type="dxa"/>
            <w:noWrap/>
            <w:hideMark/>
          </w:tcPr>
          <w:p w14:paraId="57BC607A"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5.89%</w:t>
            </w:r>
          </w:p>
        </w:tc>
        <w:tc>
          <w:tcPr>
            <w:tcW w:w="0" w:type="auto"/>
            <w:noWrap/>
            <w:hideMark/>
          </w:tcPr>
          <w:p w14:paraId="70CE0155"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9.29%</w:t>
            </w:r>
          </w:p>
        </w:tc>
        <w:tc>
          <w:tcPr>
            <w:tcW w:w="0" w:type="auto"/>
            <w:noWrap/>
            <w:hideMark/>
          </w:tcPr>
          <w:p w14:paraId="2A1611FE"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5.92%</w:t>
            </w:r>
          </w:p>
        </w:tc>
        <w:tc>
          <w:tcPr>
            <w:tcW w:w="0" w:type="auto"/>
            <w:noWrap/>
            <w:hideMark/>
          </w:tcPr>
          <w:p w14:paraId="2BBCF758"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8.65%</w:t>
            </w:r>
          </w:p>
        </w:tc>
        <w:tc>
          <w:tcPr>
            <w:tcW w:w="0" w:type="auto"/>
            <w:noWrap/>
            <w:hideMark/>
          </w:tcPr>
          <w:p w14:paraId="0B69BC0B"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17.03%</w:t>
            </w:r>
          </w:p>
        </w:tc>
      </w:tr>
    </w:tbl>
    <w:p w14:paraId="5D6F8131" w14:textId="77777777" w:rsidR="00047D0B" w:rsidRPr="00A343CD" w:rsidRDefault="00047D0B" w:rsidP="00047D0B">
      <w:pPr>
        <w:rPr>
          <w:rFonts w:ascii="Arial" w:hAnsi="Arial" w:cs="Arial"/>
        </w:rPr>
      </w:pPr>
    </w:p>
    <w:p w14:paraId="19BC23EC" w14:textId="77777777" w:rsidR="00047D0B" w:rsidRPr="00A343CD" w:rsidRDefault="00047D0B" w:rsidP="00047D0B">
      <w:pPr>
        <w:pStyle w:val="Heading2"/>
        <w:rPr>
          <w:rFonts w:ascii="Arial" w:hAnsi="Arial" w:cs="Arial"/>
        </w:rPr>
      </w:pPr>
      <w:bookmarkStart w:id="25" w:name="_Toc217295011"/>
      <w:bookmarkStart w:id="26" w:name="_Toc217298619"/>
      <w:r w:rsidRPr="00A343CD">
        <w:rPr>
          <w:rFonts w:ascii="Arial" w:hAnsi="Arial" w:cs="Arial"/>
        </w:rPr>
        <w:t>2.2 Working Capital</w:t>
      </w:r>
      <w:bookmarkEnd w:id="25"/>
      <w:bookmarkEnd w:id="26"/>
    </w:p>
    <w:p w14:paraId="61BAD685" w14:textId="77777777" w:rsidR="00047D0B" w:rsidRPr="00A343CD" w:rsidRDefault="00047D0B" w:rsidP="00047D0B">
      <w:pPr>
        <w:spacing w:after="0" w:line="276" w:lineRule="auto"/>
        <w:rPr>
          <w:rFonts w:ascii="Arial" w:hAnsi="Arial" w:cs="Arial"/>
        </w:rPr>
      </w:pPr>
      <w:r w:rsidRPr="00A343CD">
        <w:rPr>
          <w:rFonts w:ascii="Arial" w:hAnsi="Arial" w:cs="Arial"/>
        </w:rPr>
        <w:t xml:space="preserve">Working capital indicators suggest that operating liquidity is under strain, primarily due to weaker collection performance and a growing reliance on supplier financing. </w:t>
      </w:r>
    </w:p>
    <w:p w14:paraId="57C49896" w14:textId="77777777" w:rsidR="00047D0B" w:rsidRPr="00A343CD" w:rsidRDefault="00047D0B" w:rsidP="00047D0B">
      <w:pPr>
        <w:spacing w:after="0" w:line="276" w:lineRule="auto"/>
        <w:rPr>
          <w:rFonts w:ascii="Arial" w:hAnsi="Arial" w:cs="Arial"/>
        </w:rPr>
      </w:pPr>
    </w:p>
    <w:tbl>
      <w:tblPr>
        <w:tblStyle w:val="GridTable4-Accent1"/>
        <w:tblW w:w="0" w:type="auto"/>
        <w:tblLook w:val="04A0" w:firstRow="1" w:lastRow="0" w:firstColumn="1" w:lastColumn="0" w:noHBand="0" w:noVBand="1"/>
      </w:tblPr>
      <w:tblGrid>
        <w:gridCol w:w="2878"/>
        <w:gridCol w:w="1314"/>
        <w:gridCol w:w="1206"/>
        <w:gridCol w:w="1206"/>
        <w:gridCol w:w="1206"/>
        <w:gridCol w:w="1206"/>
      </w:tblGrid>
      <w:tr w:rsidR="00047D0B" w:rsidRPr="00A343CD" w14:paraId="4F85B1C5" w14:textId="77777777" w:rsidTr="00C563B5">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noWrap/>
            <w:hideMark/>
          </w:tcPr>
          <w:p w14:paraId="2C1E9E64" w14:textId="77777777" w:rsidR="00047D0B" w:rsidRPr="00A343CD" w:rsidRDefault="00047D0B" w:rsidP="00C563B5">
            <w:pPr>
              <w:rPr>
                <w:rFonts w:ascii="Arial" w:eastAsia="Times New Roman" w:hAnsi="Arial" w:cs="Arial"/>
                <w:lang w:bidi="bn-BD"/>
              </w:rPr>
            </w:pPr>
            <w:r w:rsidRPr="00A343CD">
              <w:rPr>
                <w:rFonts w:ascii="Arial" w:eastAsia="Times New Roman" w:hAnsi="Arial" w:cs="Arial"/>
                <w:lang w:bidi="bn-BD"/>
              </w:rPr>
              <w:t>Ratio Name</w:t>
            </w:r>
          </w:p>
        </w:tc>
        <w:tc>
          <w:tcPr>
            <w:tcW w:w="0" w:type="auto"/>
            <w:noWrap/>
            <w:hideMark/>
          </w:tcPr>
          <w:p w14:paraId="2DAF2B62" w14:textId="77777777" w:rsidR="00047D0B" w:rsidRPr="00A343CD"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A343CD">
              <w:rPr>
                <w:rFonts w:ascii="Arial" w:eastAsia="Times New Roman" w:hAnsi="Arial" w:cs="Arial"/>
                <w:lang w:bidi="bn-BD"/>
              </w:rPr>
              <w:t>2024</w:t>
            </w:r>
          </w:p>
        </w:tc>
        <w:tc>
          <w:tcPr>
            <w:tcW w:w="0" w:type="auto"/>
            <w:noWrap/>
            <w:hideMark/>
          </w:tcPr>
          <w:p w14:paraId="34202C43" w14:textId="77777777" w:rsidR="00047D0B" w:rsidRPr="00A343CD"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A343CD">
              <w:rPr>
                <w:rFonts w:ascii="Arial" w:eastAsia="Times New Roman" w:hAnsi="Arial" w:cs="Arial"/>
                <w:lang w:bidi="bn-BD"/>
              </w:rPr>
              <w:t>2023</w:t>
            </w:r>
          </w:p>
        </w:tc>
        <w:tc>
          <w:tcPr>
            <w:tcW w:w="0" w:type="auto"/>
            <w:noWrap/>
            <w:hideMark/>
          </w:tcPr>
          <w:p w14:paraId="514EE220" w14:textId="77777777" w:rsidR="00047D0B" w:rsidRPr="00A343CD"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A343CD">
              <w:rPr>
                <w:rFonts w:ascii="Arial" w:eastAsia="Times New Roman" w:hAnsi="Arial" w:cs="Arial"/>
                <w:lang w:bidi="bn-BD"/>
              </w:rPr>
              <w:t>2022</w:t>
            </w:r>
          </w:p>
        </w:tc>
        <w:tc>
          <w:tcPr>
            <w:tcW w:w="0" w:type="auto"/>
            <w:noWrap/>
            <w:hideMark/>
          </w:tcPr>
          <w:p w14:paraId="5A45D305" w14:textId="77777777" w:rsidR="00047D0B" w:rsidRPr="00A343CD"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A343CD">
              <w:rPr>
                <w:rFonts w:ascii="Arial" w:eastAsia="Times New Roman" w:hAnsi="Arial" w:cs="Arial"/>
                <w:lang w:bidi="bn-BD"/>
              </w:rPr>
              <w:t>2021</w:t>
            </w:r>
          </w:p>
        </w:tc>
        <w:tc>
          <w:tcPr>
            <w:tcW w:w="0" w:type="auto"/>
            <w:noWrap/>
            <w:hideMark/>
          </w:tcPr>
          <w:p w14:paraId="43BD4826" w14:textId="77777777" w:rsidR="00047D0B" w:rsidRPr="00A343CD"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A343CD">
              <w:rPr>
                <w:rFonts w:ascii="Arial" w:eastAsia="Times New Roman" w:hAnsi="Arial" w:cs="Arial"/>
                <w:lang w:bidi="bn-BD"/>
              </w:rPr>
              <w:t>2020</w:t>
            </w:r>
          </w:p>
        </w:tc>
      </w:tr>
      <w:tr w:rsidR="00047D0B" w:rsidRPr="00A343CD" w14:paraId="10A201D0" w14:textId="77777777" w:rsidTr="00C563B5">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0" w:type="auto"/>
            <w:noWrap/>
            <w:hideMark/>
          </w:tcPr>
          <w:p w14:paraId="5701B5D8" w14:textId="77777777" w:rsidR="00047D0B" w:rsidRPr="00A343CD" w:rsidRDefault="00047D0B" w:rsidP="00C563B5">
            <w:pPr>
              <w:rPr>
                <w:rFonts w:ascii="Arial" w:eastAsia="Times New Roman" w:hAnsi="Arial" w:cs="Arial"/>
                <w:b w:val="0"/>
                <w:bCs w:val="0"/>
                <w:color w:val="000000"/>
                <w:lang w:bidi="bn-BD"/>
              </w:rPr>
            </w:pPr>
            <w:r w:rsidRPr="00A343CD">
              <w:rPr>
                <w:rFonts w:ascii="Arial" w:eastAsia="Times New Roman" w:hAnsi="Arial" w:cs="Arial"/>
                <w:b w:val="0"/>
                <w:bCs w:val="0"/>
                <w:color w:val="000000"/>
                <w:lang w:bidi="bn-BD"/>
              </w:rPr>
              <w:t>Inventory Turnover</w:t>
            </w:r>
          </w:p>
        </w:tc>
        <w:tc>
          <w:tcPr>
            <w:tcW w:w="0" w:type="auto"/>
            <w:noWrap/>
            <w:hideMark/>
          </w:tcPr>
          <w:p w14:paraId="77AA1328"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3.54 Days</w:t>
            </w:r>
          </w:p>
        </w:tc>
        <w:tc>
          <w:tcPr>
            <w:tcW w:w="0" w:type="auto"/>
            <w:noWrap/>
            <w:hideMark/>
          </w:tcPr>
          <w:p w14:paraId="52ADD0C1"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3.66 Days</w:t>
            </w:r>
          </w:p>
        </w:tc>
        <w:tc>
          <w:tcPr>
            <w:tcW w:w="0" w:type="auto"/>
            <w:noWrap/>
            <w:hideMark/>
          </w:tcPr>
          <w:p w14:paraId="712E5341"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2.79 Days</w:t>
            </w:r>
          </w:p>
        </w:tc>
        <w:tc>
          <w:tcPr>
            <w:tcW w:w="0" w:type="auto"/>
            <w:noWrap/>
            <w:hideMark/>
          </w:tcPr>
          <w:p w14:paraId="193CC7F9"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3.19 Days</w:t>
            </w:r>
          </w:p>
        </w:tc>
        <w:tc>
          <w:tcPr>
            <w:tcW w:w="0" w:type="auto"/>
            <w:noWrap/>
            <w:hideMark/>
          </w:tcPr>
          <w:p w14:paraId="4BD0498A"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3.64 Days</w:t>
            </w:r>
          </w:p>
        </w:tc>
      </w:tr>
      <w:tr w:rsidR="00047D0B" w:rsidRPr="00A343CD" w14:paraId="669F4F28" w14:textId="77777777" w:rsidTr="00C563B5">
        <w:trPr>
          <w:trHeight w:val="309"/>
        </w:trPr>
        <w:tc>
          <w:tcPr>
            <w:cnfStyle w:val="001000000000" w:firstRow="0" w:lastRow="0" w:firstColumn="1" w:lastColumn="0" w:oddVBand="0" w:evenVBand="0" w:oddHBand="0" w:evenHBand="0" w:firstRowFirstColumn="0" w:firstRowLastColumn="0" w:lastRowFirstColumn="0" w:lastRowLastColumn="0"/>
            <w:tcW w:w="0" w:type="auto"/>
            <w:noWrap/>
            <w:hideMark/>
          </w:tcPr>
          <w:p w14:paraId="322C3166" w14:textId="77777777" w:rsidR="00047D0B" w:rsidRPr="00A343CD" w:rsidRDefault="00047D0B" w:rsidP="00C563B5">
            <w:pPr>
              <w:rPr>
                <w:rFonts w:ascii="Arial" w:eastAsia="Times New Roman" w:hAnsi="Arial" w:cs="Arial"/>
                <w:b w:val="0"/>
                <w:bCs w:val="0"/>
                <w:color w:val="000000"/>
                <w:lang w:bidi="bn-BD"/>
              </w:rPr>
            </w:pPr>
            <w:r w:rsidRPr="00A343CD">
              <w:rPr>
                <w:rFonts w:ascii="Arial" w:eastAsia="Times New Roman" w:hAnsi="Arial" w:cs="Arial"/>
                <w:b w:val="0"/>
                <w:bCs w:val="0"/>
                <w:color w:val="000000"/>
                <w:lang w:bidi="bn-BD"/>
              </w:rPr>
              <w:t>Accounts Payable Days</w:t>
            </w:r>
          </w:p>
        </w:tc>
        <w:tc>
          <w:tcPr>
            <w:tcW w:w="0" w:type="auto"/>
            <w:noWrap/>
            <w:hideMark/>
          </w:tcPr>
          <w:p w14:paraId="646FEFAB"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93.60 Days</w:t>
            </w:r>
          </w:p>
        </w:tc>
        <w:tc>
          <w:tcPr>
            <w:tcW w:w="0" w:type="auto"/>
            <w:noWrap/>
            <w:hideMark/>
          </w:tcPr>
          <w:p w14:paraId="354A5641"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64.47 Days</w:t>
            </w:r>
          </w:p>
        </w:tc>
        <w:tc>
          <w:tcPr>
            <w:tcW w:w="0" w:type="auto"/>
            <w:noWrap/>
            <w:hideMark/>
          </w:tcPr>
          <w:p w14:paraId="7FDBBB00"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66.72 Days</w:t>
            </w:r>
          </w:p>
        </w:tc>
        <w:tc>
          <w:tcPr>
            <w:tcW w:w="0" w:type="auto"/>
            <w:noWrap/>
            <w:hideMark/>
          </w:tcPr>
          <w:p w14:paraId="2BA1E277"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78.95 Days</w:t>
            </w:r>
          </w:p>
        </w:tc>
        <w:tc>
          <w:tcPr>
            <w:tcW w:w="0" w:type="auto"/>
            <w:noWrap/>
            <w:hideMark/>
          </w:tcPr>
          <w:p w14:paraId="7C79C59F"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69.29 Days</w:t>
            </w:r>
          </w:p>
        </w:tc>
      </w:tr>
      <w:tr w:rsidR="00047D0B" w:rsidRPr="00A343CD" w14:paraId="2CDA1E32" w14:textId="77777777" w:rsidTr="00C563B5">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0" w:type="auto"/>
            <w:noWrap/>
            <w:hideMark/>
          </w:tcPr>
          <w:p w14:paraId="08ACAF0A" w14:textId="77777777" w:rsidR="00047D0B" w:rsidRPr="00A343CD" w:rsidRDefault="00047D0B" w:rsidP="00C563B5">
            <w:pPr>
              <w:rPr>
                <w:rFonts w:ascii="Arial" w:eastAsia="Times New Roman" w:hAnsi="Arial" w:cs="Arial"/>
                <w:b w:val="0"/>
                <w:bCs w:val="0"/>
                <w:color w:val="000000"/>
                <w:lang w:bidi="bn-BD"/>
              </w:rPr>
            </w:pPr>
            <w:r w:rsidRPr="00A343CD">
              <w:rPr>
                <w:rFonts w:ascii="Arial" w:eastAsia="Times New Roman" w:hAnsi="Arial" w:cs="Arial"/>
                <w:b w:val="0"/>
                <w:bCs w:val="0"/>
                <w:color w:val="000000"/>
                <w:lang w:bidi="bn-BD"/>
              </w:rPr>
              <w:t>Account Receivables Turnover</w:t>
            </w:r>
          </w:p>
        </w:tc>
        <w:tc>
          <w:tcPr>
            <w:tcW w:w="0" w:type="auto"/>
            <w:noWrap/>
            <w:hideMark/>
          </w:tcPr>
          <w:p w14:paraId="63C3CF9F"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105.54 Days</w:t>
            </w:r>
          </w:p>
        </w:tc>
        <w:tc>
          <w:tcPr>
            <w:tcW w:w="0" w:type="auto"/>
            <w:noWrap/>
            <w:hideMark/>
          </w:tcPr>
          <w:p w14:paraId="6A01016B"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97.74 Days</w:t>
            </w:r>
          </w:p>
        </w:tc>
        <w:tc>
          <w:tcPr>
            <w:tcW w:w="0" w:type="auto"/>
            <w:noWrap/>
            <w:hideMark/>
          </w:tcPr>
          <w:p w14:paraId="43A04CF9"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75.55 Days</w:t>
            </w:r>
          </w:p>
        </w:tc>
        <w:tc>
          <w:tcPr>
            <w:tcW w:w="0" w:type="auto"/>
            <w:noWrap/>
            <w:hideMark/>
          </w:tcPr>
          <w:p w14:paraId="77B5C3E5"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78.40 Days</w:t>
            </w:r>
          </w:p>
        </w:tc>
        <w:tc>
          <w:tcPr>
            <w:tcW w:w="0" w:type="auto"/>
            <w:noWrap/>
            <w:hideMark/>
          </w:tcPr>
          <w:p w14:paraId="1329276C" w14:textId="77777777" w:rsidR="00047D0B" w:rsidRPr="00A343CD"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76.86 Days</w:t>
            </w:r>
          </w:p>
        </w:tc>
      </w:tr>
      <w:tr w:rsidR="00047D0B" w:rsidRPr="00A343CD" w14:paraId="5487126B" w14:textId="77777777" w:rsidTr="00C563B5">
        <w:trPr>
          <w:trHeight w:val="321"/>
        </w:trPr>
        <w:tc>
          <w:tcPr>
            <w:cnfStyle w:val="001000000000" w:firstRow="0" w:lastRow="0" w:firstColumn="1" w:lastColumn="0" w:oddVBand="0" w:evenVBand="0" w:oddHBand="0" w:evenHBand="0" w:firstRowFirstColumn="0" w:firstRowLastColumn="0" w:lastRowFirstColumn="0" w:lastRowLastColumn="0"/>
            <w:tcW w:w="0" w:type="auto"/>
            <w:noWrap/>
            <w:hideMark/>
          </w:tcPr>
          <w:p w14:paraId="46C53456" w14:textId="77777777" w:rsidR="00047D0B" w:rsidRPr="00A343CD" w:rsidRDefault="00047D0B" w:rsidP="00C563B5">
            <w:pPr>
              <w:rPr>
                <w:rFonts w:ascii="Arial" w:eastAsia="Times New Roman" w:hAnsi="Arial" w:cs="Arial"/>
                <w:b w:val="0"/>
                <w:bCs w:val="0"/>
                <w:color w:val="000000"/>
                <w:lang w:bidi="bn-BD"/>
              </w:rPr>
            </w:pPr>
            <w:r w:rsidRPr="00A343CD">
              <w:rPr>
                <w:rFonts w:ascii="Arial" w:eastAsia="Times New Roman" w:hAnsi="Arial" w:cs="Arial"/>
                <w:b w:val="0"/>
                <w:bCs w:val="0"/>
                <w:color w:val="000000"/>
                <w:lang w:bidi="bn-BD"/>
              </w:rPr>
              <w:t>Cash Conversion Cycle (CCC)</w:t>
            </w:r>
          </w:p>
        </w:tc>
        <w:tc>
          <w:tcPr>
            <w:tcW w:w="0" w:type="auto"/>
            <w:noWrap/>
            <w:hideMark/>
          </w:tcPr>
          <w:p w14:paraId="1675AEB9"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15.48 Days</w:t>
            </w:r>
          </w:p>
        </w:tc>
        <w:tc>
          <w:tcPr>
            <w:tcW w:w="0" w:type="auto"/>
            <w:noWrap/>
            <w:hideMark/>
          </w:tcPr>
          <w:p w14:paraId="3BBC9CC4"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36.93 Days</w:t>
            </w:r>
          </w:p>
        </w:tc>
        <w:tc>
          <w:tcPr>
            <w:tcW w:w="0" w:type="auto"/>
            <w:noWrap/>
            <w:hideMark/>
          </w:tcPr>
          <w:p w14:paraId="4DD6CF76"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11.62 Days</w:t>
            </w:r>
          </w:p>
        </w:tc>
        <w:tc>
          <w:tcPr>
            <w:tcW w:w="0" w:type="auto"/>
            <w:noWrap/>
            <w:hideMark/>
          </w:tcPr>
          <w:p w14:paraId="44E1CDEA"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2.63 Days</w:t>
            </w:r>
          </w:p>
        </w:tc>
        <w:tc>
          <w:tcPr>
            <w:tcW w:w="0" w:type="auto"/>
            <w:noWrap/>
            <w:hideMark/>
          </w:tcPr>
          <w:p w14:paraId="25A56100" w14:textId="77777777" w:rsidR="00047D0B" w:rsidRPr="00A343CD"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A343CD">
              <w:rPr>
                <w:rFonts w:ascii="Arial" w:eastAsia="Times New Roman" w:hAnsi="Arial" w:cs="Arial"/>
                <w:color w:val="000000"/>
                <w:lang w:bidi="bn-BD"/>
              </w:rPr>
              <w:t>11.21 Days</w:t>
            </w:r>
          </w:p>
        </w:tc>
      </w:tr>
    </w:tbl>
    <w:p w14:paraId="5CDA6F68" w14:textId="77777777" w:rsidR="00047D0B" w:rsidRPr="00A343CD" w:rsidRDefault="00047D0B" w:rsidP="00047D0B">
      <w:pPr>
        <w:spacing w:after="0" w:line="276" w:lineRule="auto"/>
        <w:rPr>
          <w:rFonts w:ascii="Arial" w:hAnsi="Arial" w:cs="Arial"/>
        </w:rPr>
      </w:pPr>
    </w:p>
    <w:p w14:paraId="42F0CF22" w14:textId="77777777" w:rsidR="00047D0B" w:rsidRPr="00A343CD" w:rsidRDefault="00047D0B" w:rsidP="00047D0B">
      <w:pPr>
        <w:rPr>
          <w:rFonts w:ascii="Arial" w:hAnsi="Arial" w:cs="Arial"/>
        </w:rPr>
      </w:pPr>
      <w:r w:rsidRPr="00A343CD">
        <w:rPr>
          <w:rFonts w:ascii="Arial" w:hAnsi="Arial" w:cs="Arial"/>
        </w:rPr>
        <w:t xml:space="preserve">The change in receivables was that 76.86 days in 2020 had changed to 105.54 days in 2024, which is used to show that there was a slower payable by the customer, and capital was locked up in receivables. The empirical analysis of the working capital literature tends to find that the length of the receivables and inventory holding period is correlated with lower profitability since the cash is locked up in the operating asset instead of being utilized to access productive opportunities; an instance of such findings is provided by Deloof (2003) which records how managers have managed to increase profitability through the reduction in receivables days and inventory days. </w:t>
      </w:r>
    </w:p>
    <w:p w14:paraId="2B4729D6" w14:textId="77777777" w:rsidR="00047D0B" w:rsidRPr="00A343CD" w:rsidRDefault="00047D0B" w:rsidP="00047D0B">
      <w:pPr>
        <w:spacing w:after="200"/>
        <w:rPr>
          <w:rFonts w:ascii="Arial" w:hAnsi="Arial" w:cs="Arial"/>
        </w:rPr>
      </w:pPr>
      <w:r w:rsidRPr="00A343CD">
        <w:rPr>
          <w:rFonts w:ascii="Arial" w:hAnsi="Arial" w:cs="Arial"/>
        </w:rPr>
        <w:t xml:space="preserve">Simultaneously, the payables days rose to 93.60 days in 2024 as compared to 64.47 days in 2023, implying that the company is pushing supplier payments out to maintain liquidity. The cash conversion cycle (CCC) have been lowering, 36.93 days in 2023 to 15.48 days in 2024, which at face value suggests that the liquidity efficiency is being improved more by delayed payment than by greater operational quantum of sales converting into cash; but because the liquidity provision is worsening but the payment </w:t>
      </w:r>
      <w:r w:rsidRPr="00A343CD">
        <w:rPr>
          <w:rFonts w:ascii="Arial" w:hAnsi="Arial" w:cs="Arial"/>
        </w:rPr>
        <w:lastRenderedPageBreak/>
        <w:t>extension is largest, this arguably is an improvement driven by delayed payments rather than increased operational quantum of conversion of sales into cash.</w:t>
      </w:r>
    </w:p>
    <w:p w14:paraId="641CD274" w14:textId="77777777" w:rsidR="00047D0B" w:rsidRPr="00A343CD" w:rsidRDefault="00047D0B" w:rsidP="00047D0B">
      <w:pPr>
        <w:pStyle w:val="Heading2"/>
        <w:spacing w:line="276" w:lineRule="auto"/>
        <w:rPr>
          <w:rFonts w:ascii="Arial" w:hAnsi="Arial" w:cs="Arial"/>
        </w:rPr>
      </w:pPr>
      <w:bookmarkStart w:id="27" w:name="_Toc217295012"/>
      <w:bookmarkStart w:id="28" w:name="_Toc217298620"/>
      <w:r w:rsidRPr="00A343CD">
        <w:rPr>
          <w:rFonts w:ascii="Arial" w:hAnsi="Arial" w:cs="Arial"/>
        </w:rPr>
        <w:t>2.3 Strategies to Improve Liquidity through Working Capital Reforms</w:t>
      </w:r>
      <w:bookmarkEnd w:id="27"/>
      <w:bookmarkEnd w:id="28"/>
    </w:p>
    <w:p w14:paraId="40C29291" w14:textId="77777777" w:rsidR="00047D0B" w:rsidRPr="00A343CD" w:rsidRDefault="00047D0B" w:rsidP="00047D0B">
      <w:pPr>
        <w:spacing w:after="0" w:line="276" w:lineRule="auto"/>
        <w:rPr>
          <w:rFonts w:ascii="Arial" w:hAnsi="Arial" w:cs="Arial"/>
          <w:b/>
          <w:bCs/>
        </w:rPr>
      </w:pPr>
      <w:r w:rsidRPr="00A343CD">
        <w:rPr>
          <w:rFonts w:ascii="Arial" w:hAnsi="Arial" w:cs="Arial"/>
          <w:b/>
          <w:bCs/>
        </w:rPr>
        <w:t>Receivables Management</w:t>
      </w:r>
    </w:p>
    <w:p w14:paraId="037DAA22" w14:textId="77777777" w:rsidR="00047D0B" w:rsidRPr="00A343CD" w:rsidRDefault="00047D0B" w:rsidP="00835637">
      <w:pPr>
        <w:pStyle w:val="ListParagraph"/>
        <w:numPr>
          <w:ilvl w:val="0"/>
          <w:numId w:val="11"/>
        </w:numPr>
        <w:rPr>
          <w:rFonts w:ascii="Arial" w:hAnsi="Arial" w:cs="Arial"/>
        </w:rPr>
      </w:pPr>
      <w:r w:rsidRPr="00A343CD">
        <w:rPr>
          <w:rFonts w:ascii="Arial" w:hAnsi="Arial" w:cs="Arial"/>
          <w:b/>
          <w:bCs/>
        </w:rPr>
        <w:t>Tighten Credit Policies:</w:t>
      </w:r>
      <w:r w:rsidRPr="00A343CD">
        <w:rPr>
          <w:rFonts w:ascii="Arial" w:hAnsi="Arial" w:cs="Arial"/>
        </w:rPr>
        <w:t xml:space="preserve"> Reduce credit periods for high-risk customers and enforce stricter credit checks.</w:t>
      </w:r>
    </w:p>
    <w:p w14:paraId="06F48B95" w14:textId="77777777" w:rsidR="00047D0B" w:rsidRPr="00A343CD" w:rsidRDefault="00047D0B" w:rsidP="00835637">
      <w:pPr>
        <w:pStyle w:val="ListParagraph"/>
        <w:numPr>
          <w:ilvl w:val="0"/>
          <w:numId w:val="11"/>
        </w:numPr>
        <w:rPr>
          <w:rFonts w:ascii="Arial" w:hAnsi="Arial" w:cs="Arial"/>
        </w:rPr>
      </w:pPr>
      <w:r w:rsidRPr="00A343CD">
        <w:rPr>
          <w:rFonts w:ascii="Arial" w:hAnsi="Arial" w:cs="Arial"/>
          <w:b/>
          <w:bCs/>
        </w:rPr>
        <w:t>Accelerate Collections</w:t>
      </w:r>
      <w:r w:rsidRPr="00A343CD">
        <w:rPr>
          <w:rFonts w:ascii="Arial" w:hAnsi="Arial" w:cs="Arial"/>
        </w:rPr>
        <w:t>: Implement automated invoice and dunning systems and offer timely payment discounts to incentivize faster settlements.</w:t>
      </w:r>
    </w:p>
    <w:p w14:paraId="6E9B9391" w14:textId="77777777" w:rsidR="00047D0B" w:rsidRPr="00A343CD" w:rsidRDefault="00047D0B" w:rsidP="00835637">
      <w:pPr>
        <w:pStyle w:val="ListParagraph"/>
        <w:numPr>
          <w:ilvl w:val="0"/>
          <w:numId w:val="11"/>
        </w:numPr>
        <w:rPr>
          <w:rFonts w:ascii="Arial" w:hAnsi="Arial" w:cs="Arial"/>
        </w:rPr>
      </w:pPr>
      <w:r w:rsidRPr="00A343CD">
        <w:rPr>
          <w:rFonts w:ascii="Arial" w:hAnsi="Arial" w:cs="Arial"/>
          <w:b/>
          <w:bCs/>
        </w:rPr>
        <w:t>Leverage Factoring</w:t>
      </w:r>
      <w:r w:rsidRPr="00A343CD">
        <w:rPr>
          <w:rFonts w:ascii="Arial" w:hAnsi="Arial" w:cs="Arial"/>
        </w:rPr>
        <w:t>: Monetize receivables through factoring or invoice discounting to generate immediate cash without increasing leverage.</w:t>
      </w:r>
    </w:p>
    <w:p w14:paraId="6179039B" w14:textId="77777777" w:rsidR="00047D0B" w:rsidRPr="00A343CD" w:rsidRDefault="00047D0B" w:rsidP="00047D0B">
      <w:pPr>
        <w:spacing w:after="0" w:line="276" w:lineRule="auto"/>
        <w:rPr>
          <w:rFonts w:ascii="Arial" w:hAnsi="Arial" w:cs="Arial"/>
          <w:b/>
          <w:bCs/>
        </w:rPr>
      </w:pPr>
      <w:r w:rsidRPr="00A343CD">
        <w:rPr>
          <w:rFonts w:ascii="Arial" w:hAnsi="Arial" w:cs="Arial"/>
          <w:b/>
          <w:bCs/>
        </w:rPr>
        <w:t xml:space="preserve"> Inventory Optimization</w:t>
      </w:r>
    </w:p>
    <w:p w14:paraId="7A8C3ABB" w14:textId="77777777" w:rsidR="00047D0B" w:rsidRPr="00A343CD" w:rsidRDefault="00047D0B" w:rsidP="00835637">
      <w:pPr>
        <w:pStyle w:val="ListParagraph"/>
        <w:numPr>
          <w:ilvl w:val="0"/>
          <w:numId w:val="12"/>
        </w:numPr>
        <w:rPr>
          <w:rFonts w:ascii="Arial" w:hAnsi="Arial" w:cs="Arial"/>
        </w:rPr>
      </w:pPr>
      <w:r w:rsidRPr="00A343CD">
        <w:rPr>
          <w:rFonts w:ascii="Arial" w:hAnsi="Arial" w:cs="Arial"/>
          <w:b/>
          <w:bCs/>
        </w:rPr>
        <w:t>Demand-Driven Planning:</w:t>
      </w:r>
      <w:r w:rsidRPr="00A343CD">
        <w:rPr>
          <w:rFonts w:ascii="Arial" w:hAnsi="Arial" w:cs="Arial"/>
        </w:rPr>
        <w:t xml:space="preserve"> Adopt advanced forecasting tools and just-in-time inventory systems to align stock levels with actual demand.</w:t>
      </w:r>
    </w:p>
    <w:p w14:paraId="70B60793" w14:textId="77777777" w:rsidR="00047D0B" w:rsidRPr="00A343CD" w:rsidRDefault="00047D0B" w:rsidP="00835637">
      <w:pPr>
        <w:pStyle w:val="ListParagraph"/>
        <w:numPr>
          <w:ilvl w:val="0"/>
          <w:numId w:val="12"/>
        </w:numPr>
        <w:rPr>
          <w:rFonts w:ascii="Arial" w:hAnsi="Arial" w:cs="Arial"/>
        </w:rPr>
      </w:pPr>
      <w:r w:rsidRPr="00A343CD">
        <w:rPr>
          <w:rFonts w:ascii="Arial" w:hAnsi="Arial" w:cs="Arial"/>
          <w:b/>
          <w:bCs/>
        </w:rPr>
        <w:t>SKU Rationalization:</w:t>
      </w:r>
      <w:r w:rsidRPr="00A343CD">
        <w:rPr>
          <w:rFonts w:ascii="Arial" w:hAnsi="Arial" w:cs="Arial"/>
        </w:rPr>
        <w:t xml:space="preserve"> Eliminate slow-moving or obsolete products to reduce carrying costs and improve turnover.</w:t>
      </w:r>
    </w:p>
    <w:p w14:paraId="124D851F" w14:textId="77777777" w:rsidR="00047D0B" w:rsidRPr="00A343CD" w:rsidRDefault="00047D0B" w:rsidP="00835637">
      <w:pPr>
        <w:pStyle w:val="ListParagraph"/>
        <w:numPr>
          <w:ilvl w:val="0"/>
          <w:numId w:val="12"/>
        </w:numPr>
        <w:rPr>
          <w:rFonts w:ascii="Arial" w:hAnsi="Arial" w:cs="Arial"/>
        </w:rPr>
      </w:pPr>
      <w:r w:rsidRPr="00A343CD">
        <w:rPr>
          <w:rFonts w:ascii="Arial" w:hAnsi="Arial" w:cs="Arial"/>
          <w:b/>
          <w:bCs/>
        </w:rPr>
        <w:t>Vendor-Managed Inventory (VMI):</w:t>
      </w:r>
      <w:r w:rsidRPr="00A343CD">
        <w:rPr>
          <w:rFonts w:ascii="Arial" w:hAnsi="Arial" w:cs="Arial"/>
        </w:rPr>
        <w:t xml:space="preserve"> Collaborate with suppliers to maintain optimal stock levels and shift inventory risk upstream.</w:t>
      </w:r>
    </w:p>
    <w:p w14:paraId="42F8AD56" w14:textId="77777777" w:rsidR="00047D0B" w:rsidRPr="00A343CD" w:rsidRDefault="00047D0B" w:rsidP="00047D0B">
      <w:pPr>
        <w:spacing w:after="0" w:line="276" w:lineRule="auto"/>
        <w:rPr>
          <w:rFonts w:ascii="Arial" w:hAnsi="Arial" w:cs="Arial"/>
          <w:b/>
          <w:bCs/>
        </w:rPr>
      </w:pPr>
      <w:r w:rsidRPr="00A343CD">
        <w:rPr>
          <w:rFonts w:ascii="Arial" w:hAnsi="Arial" w:cs="Arial"/>
        </w:rPr>
        <w:t xml:space="preserve"> </w:t>
      </w:r>
      <w:r w:rsidRPr="00A343CD">
        <w:rPr>
          <w:rFonts w:ascii="Arial" w:hAnsi="Arial" w:cs="Arial"/>
          <w:b/>
          <w:bCs/>
        </w:rPr>
        <w:t>Payables Management</w:t>
      </w:r>
    </w:p>
    <w:p w14:paraId="591E8320" w14:textId="77777777" w:rsidR="00047D0B" w:rsidRPr="00A343CD" w:rsidRDefault="00047D0B" w:rsidP="00835637">
      <w:pPr>
        <w:pStyle w:val="ListParagraph"/>
        <w:numPr>
          <w:ilvl w:val="0"/>
          <w:numId w:val="13"/>
        </w:numPr>
        <w:rPr>
          <w:rFonts w:ascii="Arial" w:hAnsi="Arial" w:cs="Arial"/>
        </w:rPr>
      </w:pPr>
      <w:r w:rsidRPr="00A343CD">
        <w:rPr>
          <w:rFonts w:ascii="Arial" w:hAnsi="Arial" w:cs="Arial"/>
          <w:b/>
          <w:bCs/>
        </w:rPr>
        <w:t>Negotiate Extended Terms:</w:t>
      </w:r>
      <w:r w:rsidRPr="00A343CD">
        <w:rPr>
          <w:rFonts w:ascii="Arial" w:hAnsi="Arial" w:cs="Arial"/>
        </w:rPr>
        <w:t xml:space="preserve"> Secure longer payment periods with suppliers without damaging relationships.</w:t>
      </w:r>
    </w:p>
    <w:p w14:paraId="02993606" w14:textId="77777777" w:rsidR="00047D0B" w:rsidRPr="00A343CD" w:rsidRDefault="00047D0B" w:rsidP="00835637">
      <w:pPr>
        <w:pStyle w:val="ListParagraph"/>
        <w:numPr>
          <w:ilvl w:val="0"/>
          <w:numId w:val="13"/>
        </w:numPr>
        <w:rPr>
          <w:rFonts w:ascii="Arial" w:hAnsi="Arial" w:cs="Arial"/>
        </w:rPr>
      </w:pPr>
      <w:r w:rsidRPr="00A343CD">
        <w:rPr>
          <w:rFonts w:ascii="Arial" w:hAnsi="Arial" w:cs="Arial"/>
          <w:b/>
          <w:bCs/>
        </w:rPr>
        <w:t>Dynamic Discounting:</w:t>
      </w:r>
      <w:r w:rsidRPr="00A343CD">
        <w:rPr>
          <w:rFonts w:ascii="Arial" w:hAnsi="Arial" w:cs="Arial"/>
        </w:rPr>
        <w:t xml:space="preserve"> Use early payment discounts selectively when liquidity permits, improving cost efficiency.</w:t>
      </w:r>
    </w:p>
    <w:p w14:paraId="4ABA3E06" w14:textId="77777777" w:rsidR="00047D0B" w:rsidRPr="00A343CD" w:rsidRDefault="00047D0B" w:rsidP="00835637">
      <w:pPr>
        <w:pStyle w:val="ListParagraph"/>
        <w:numPr>
          <w:ilvl w:val="0"/>
          <w:numId w:val="13"/>
        </w:numPr>
        <w:rPr>
          <w:rFonts w:ascii="Arial" w:hAnsi="Arial" w:cs="Arial"/>
        </w:rPr>
      </w:pPr>
      <w:r w:rsidRPr="00A343CD">
        <w:rPr>
          <w:rFonts w:ascii="Arial" w:hAnsi="Arial" w:cs="Arial"/>
          <w:b/>
          <w:bCs/>
        </w:rPr>
        <w:t>Supply Chain Financing:</w:t>
      </w:r>
      <w:r w:rsidRPr="00A343CD">
        <w:rPr>
          <w:rFonts w:ascii="Arial" w:hAnsi="Arial" w:cs="Arial"/>
        </w:rPr>
        <w:t xml:space="preserve"> Implement programs that allow suppliers to receive early payments from financial institutions while the company retains extended terms.</w:t>
      </w:r>
    </w:p>
    <w:p w14:paraId="65EA4EB6" w14:textId="77777777" w:rsidR="00047D0B" w:rsidRPr="00A343CD" w:rsidRDefault="00047D0B" w:rsidP="00047D0B">
      <w:pPr>
        <w:spacing w:after="0" w:line="276" w:lineRule="auto"/>
        <w:rPr>
          <w:rFonts w:ascii="Arial" w:hAnsi="Arial" w:cs="Arial"/>
          <w:b/>
          <w:bCs/>
        </w:rPr>
      </w:pPr>
      <w:r w:rsidRPr="00A343CD">
        <w:rPr>
          <w:rFonts w:ascii="Arial" w:hAnsi="Arial" w:cs="Arial"/>
          <w:b/>
          <w:bCs/>
        </w:rPr>
        <w:t xml:space="preserve"> Technology Integration</w:t>
      </w:r>
    </w:p>
    <w:p w14:paraId="68DA877D" w14:textId="77777777" w:rsidR="00047D0B" w:rsidRPr="00A343CD" w:rsidRDefault="00047D0B" w:rsidP="00835637">
      <w:pPr>
        <w:pStyle w:val="ListParagraph"/>
        <w:numPr>
          <w:ilvl w:val="0"/>
          <w:numId w:val="14"/>
        </w:numPr>
        <w:rPr>
          <w:rFonts w:ascii="Arial" w:hAnsi="Arial" w:cs="Arial"/>
        </w:rPr>
      </w:pPr>
      <w:r w:rsidRPr="00A343CD">
        <w:rPr>
          <w:rFonts w:ascii="Arial" w:hAnsi="Arial" w:cs="Arial"/>
        </w:rPr>
        <w:t>Deploy integrated ERP systems to monitor real-time working capital metrics, enabling initiative-taking decision-making and reducing manual inefficiencies.</w:t>
      </w:r>
    </w:p>
    <w:p w14:paraId="228CAB6A" w14:textId="77777777" w:rsidR="00047D0B" w:rsidRPr="00A343CD" w:rsidRDefault="00047D0B" w:rsidP="00047D0B">
      <w:pPr>
        <w:pStyle w:val="Heading2"/>
        <w:spacing w:line="276" w:lineRule="auto"/>
        <w:rPr>
          <w:rFonts w:ascii="Arial" w:hAnsi="Arial" w:cs="Arial"/>
        </w:rPr>
      </w:pPr>
      <w:bookmarkStart w:id="29" w:name="_Toc217295013"/>
      <w:bookmarkStart w:id="30" w:name="_Toc217298621"/>
      <w:r w:rsidRPr="00A343CD">
        <w:rPr>
          <w:rFonts w:ascii="Arial" w:hAnsi="Arial" w:cs="Arial"/>
        </w:rPr>
        <w:t>2.4 Comparison of Short-Term vs Long-Term Financing Options</w:t>
      </w:r>
      <w:bookmarkEnd w:id="29"/>
      <w:bookmarkEnd w:id="30"/>
    </w:p>
    <w:p w14:paraId="0998D5A8" w14:textId="77777777" w:rsidR="00047D0B" w:rsidRPr="00A343CD" w:rsidRDefault="00047D0B" w:rsidP="00047D0B">
      <w:pPr>
        <w:spacing w:after="0" w:line="276" w:lineRule="auto"/>
        <w:rPr>
          <w:rFonts w:ascii="Arial" w:hAnsi="Arial" w:cs="Arial"/>
        </w:rPr>
      </w:pPr>
      <w:r w:rsidRPr="00A343CD">
        <w:rPr>
          <w:rFonts w:ascii="Arial" w:hAnsi="Arial" w:cs="Arial"/>
        </w:rPr>
        <w:t>While working capital reforms are essential, interim financing may still be required. The choice between short-term and long-term financing depends on cost, flexibility, and risk profile.</w:t>
      </w:r>
    </w:p>
    <w:p w14:paraId="474940D5" w14:textId="77777777" w:rsidR="00047D0B" w:rsidRPr="00A343CD" w:rsidRDefault="00047D0B" w:rsidP="00047D0B">
      <w:pPr>
        <w:spacing w:after="0" w:line="276" w:lineRule="auto"/>
        <w:rPr>
          <w:rFonts w:ascii="Arial" w:hAnsi="Arial" w:cs="Arial"/>
          <w:b/>
          <w:bCs/>
        </w:rPr>
      </w:pPr>
    </w:p>
    <w:p w14:paraId="60490B10" w14:textId="77777777" w:rsidR="00047D0B" w:rsidRPr="00A343CD" w:rsidRDefault="00047D0B" w:rsidP="00047D0B">
      <w:pPr>
        <w:spacing w:after="0" w:line="276" w:lineRule="auto"/>
        <w:rPr>
          <w:rFonts w:ascii="Arial" w:hAnsi="Arial" w:cs="Arial"/>
        </w:rPr>
      </w:pPr>
      <w:r w:rsidRPr="00A343CD">
        <w:rPr>
          <w:rFonts w:ascii="Arial" w:hAnsi="Arial" w:cs="Arial"/>
          <w:b/>
          <w:bCs/>
        </w:rPr>
        <w:lastRenderedPageBreak/>
        <w:t xml:space="preserve">Short-Term Financing: </w:t>
      </w:r>
      <w:r w:rsidRPr="00A343CD">
        <w:rPr>
          <w:rFonts w:ascii="Arial" w:hAnsi="Arial" w:cs="Arial"/>
        </w:rPr>
        <w:t>Bank overdrafts, revolving credit facilities, trade credit, commercial paper.</w:t>
      </w:r>
    </w:p>
    <w:tbl>
      <w:tblPr>
        <w:tblStyle w:val="TableGrid"/>
        <w:tblW w:w="0" w:type="auto"/>
        <w:tblLook w:val="04A0" w:firstRow="1" w:lastRow="0" w:firstColumn="1" w:lastColumn="0" w:noHBand="0" w:noVBand="1"/>
      </w:tblPr>
      <w:tblGrid>
        <w:gridCol w:w="4508"/>
        <w:gridCol w:w="4508"/>
      </w:tblGrid>
      <w:tr w:rsidR="00047D0B" w:rsidRPr="00A343CD" w14:paraId="32168596" w14:textId="77777777" w:rsidTr="00C563B5">
        <w:tc>
          <w:tcPr>
            <w:tcW w:w="4508" w:type="dxa"/>
          </w:tcPr>
          <w:p w14:paraId="6D3A3CED" w14:textId="77777777" w:rsidR="00047D0B" w:rsidRPr="00A343CD" w:rsidRDefault="00047D0B" w:rsidP="00C563B5">
            <w:pPr>
              <w:rPr>
                <w:rFonts w:ascii="Arial" w:hAnsi="Arial" w:cs="Arial"/>
              </w:rPr>
            </w:pPr>
            <w:r w:rsidRPr="00A343CD">
              <w:rPr>
                <w:rFonts w:ascii="Arial" w:hAnsi="Arial" w:cs="Arial"/>
              </w:rPr>
              <w:t>Advantages:</w:t>
            </w:r>
          </w:p>
        </w:tc>
        <w:tc>
          <w:tcPr>
            <w:tcW w:w="4508" w:type="dxa"/>
          </w:tcPr>
          <w:p w14:paraId="6E404150" w14:textId="77777777" w:rsidR="00047D0B" w:rsidRPr="00A343CD" w:rsidRDefault="00047D0B" w:rsidP="00C563B5">
            <w:pPr>
              <w:rPr>
                <w:rFonts w:ascii="Arial" w:hAnsi="Arial" w:cs="Arial"/>
              </w:rPr>
            </w:pPr>
            <w:r w:rsidRPr="00A343CD">
              <w:rPr>
                <w:rFonts w:ascii="Arial" w:hAnsi="Arial" w:cs="Arial"/>
              </w:rPr>
              <w:t>Disadvantages:</w:t>
            </w:r>
          </w:p>
        </w:tc>
      </w:tr>
      <w:tr w:rsidR="00047D0B" w:rsidRPr="00A343CD" w14:paraId="58BA7129" w14:textId="77777777" w:rsidTr="00C563B5">
        <w:tc>
          <w:tcPr>
            <w:tcW w:w="4508" w:type="dxa"/>
          </w:tcPr>
          <w:p w14:paraId="250F9825" w14:textId="77777777" w:rsidR="00047D0B" w:rsidRPr="00A343CD" w:rsidRDefault="00047D0B" w:rsidP="00C563B5">
            <w:pPr>
              <w:rPr>
                <w:rFonts w:ascii="Arial" w:hAnsi="Arial" w:cs="Arial"/>
              </w:rPr>
            </w:pPr>
            <w:r w:rsidRPr="00A343CD">
              <w:rPr>
                <w:rFonts w:ascii="Arial" w:hAnsi="Arial" w:cs="Arial"/>
              </w:rPr>
              <w:t>Quick access to funds for seasonal or temporary needs.</w:t>
            </w:r>
          </w:p>
          <w:p w14:paraId="624C964F" w14:textId="77777777" w:rsidR="00047D0B" w:rsidRPr="00A343CD" w:rsidRDefault="00047D0B" w:rsidP="00C563B5">
            <w:pPr>
              <w:rPr>
                <w:rFonts w:ascii="Arial" w:hAnsi="Arial" w:cs="Arial"/>
              </w:rPr>
            </w:pPr>
            <w:r w:rsidRPr="00A343CD">
              <w:rPr>
                <w:rFonts w:ascii="Arial" w:hAnsi="Arial" w:cs="Arial"/>
              </w:rPr>
              <w:t>Lower interest cost compared to long-term debt.</w:t>
            </w:r>
          </w:p>
          <w:p w14:paraId="2F2F50DB" w14:textId="77777777" w:rsidR="00047D0B" w:rsidRPr="00A343CD" w:rsidRDefault="00047D0B" w:rsidP="00C563B5">
            <w:pPr>
              <w:rPr>
                <w:rFonts w:ascii="Arial" w:hAnsi="Arial" w:cs="Arial"/>
              </w:rPr>
            </w:pPr>
            <w:r w:rsidRPr="00A343CD">
              <w:rPr>
                <w:rFonts w:ascii="Arial" w:hAnsi="Arial" w:cs="Arial"/>
              </w:rPr>
              <w:t>Flexibility in repayment schedules.</w:t>
            </w:r>
          </w:p>
        </w:tc>
        <w:tc>
          <w:tcPr>
            <w:tcW w:w="4508" w:type="dxa"/>
          </w:tcPr>
          <w:p w14:paraId="453DBA93" w14:textId="77777777" w:rsidR="00047D0B" w:rsidRPr="00A343CD" w:rsidRDefault="00047D0B" w:rsidP="00C563B5">
            <w:pPr>
              <w:rPr>
                <w:rFonts w:ascii="Arial" w:hAnsi="Arial" w:cs="Arial"/>
              </w:rPr>
            </w:pPr>
            <w:r w:rsidRPr="00A343CD">
              <w:rPr>
                <w:rFonts w:ascii="Arial" w:hAnsi="Arial" w:cs="Arial"/>
              </w:rPr>
              <w:t>Higher renewal risk and exposure to interest rate fluctuations.</w:t>
            </w:r>
          </w:p>
          <w:p w14:paraId="6C2B6B26" w14:textId="77777777" w:rsidR="00047D0B" w:rsidRPr="00A343CD" w:rsidRDefault="00047D0B" w:rsidP="00C563B5">
            <w:pPr>
              <w:rPr>
                <w:rFonts w:ascii="Arial" w:hAnsi="Arial" w:cs="Arial"/>
              </w:rPr>
            </w:pPr>
            <w:r w:rsidRPr="00A343CD">
              <w:rPr>
                <w:rFonts w:ascii="Arial" w:hAnsi="Arial" w:cs="Arial"/>
              </w:rPr>
              <w:t>Potential strain on liquidity if cash flows remain weak.</w:t>
            </w:r>
          </w:p>
        </w:tc>
      </w:tr>
    </w:tbl>
    <w:p w14:paraId="03942284" w14:textId="77777777" w:rsidR="00047D0B" w:rsidRPr="00A343CD" w:rsidRDefault="00047D0B" w:rsidP="00047D0B">
      <w:pPr>
        <w:spacing w:after="0" w:line="276" w:lineRule="auto"/>
        <w:rPr>
          <w:rFonts w:ascii="Arial" w:hAnsi="Arial" w:cs="Arial"/>
          <w:b/>
          <w:bCs/>
        </w:rPr>
      </w:pPr>
    </w:p>
    <w:p w14:paraId="64FCD5A7" w14:textId="77777777" w:rsidR="00047D0B" w:rsidRPr="00A343CD" w:rsidRDefault="00047D0B" w:rsidP="00047D0B">
      <w:pPr>
        <w:spacing w:after="0" w:line="276" w:lineRule="auto"/>
        <w:rPr>
          <w:rFonts w:ascii="Arial" w:hAnsi="Arial" w:cs="Arial"/>
        </w:rPr>
      </w:pPr>
      <w:r w:rsidRPr="00A343CD">
        <w:rPr>
          <w:rFonts w:ascii="Arial" w:hAnsi="Arial" w:cs="Arial"/>
          <w:b/>
          <w:bCs/>
        </w:rPr>
        <w:t xml:space="preserve">Long-Term Financing: </w:t>
      </w:r>
      <w:r w:rsidRPr="00A343CD">
        <w:rPr>
          <w:rFonts w:ascii="Arial" w:hAnsi="Arial" w:cs="Arial"/>
        </w:rPr>
        <w:t>Term loans, bonds, equity injection.</w:t>
      </w:r>
    </w:p>
    <w:tbl>
      <w:tblPr>
        <w:tblStyle w:val="TableGrid"/>
        <w:tblW w:w="0" w:type="auto"/>
        <w:tblLook w:val="04A0" w:firstRow="1" w:lastRow="0" w:firstColumn="1" w:lastColumn="0" w:noHBand="0" w:noVBand="1"/>
      </w:tblPr>
      <w:tblGrid>
        <w:gridCol w:w="4508"/>
        <w:gridCol w:w="4508"/>
      </w:tblGrid>
      <w:tr w:rsidR="00047D0B" w:rsidRPr="00A343CD" w14:paraId="716A475B" w14:textId="77777777" w:rsidTr="00C563B5">
        <w:tc>
          <w:tcPr>
            <w:tcW w:w="4508" w:type="dxa"/>
          </w:tcPr>
          <w:p w14:paraId="529D4E3E" w14:textId="77777777" w:rsidR="00047D0B" w:rsidRPr="00A343CD" w:rsidRDefault="00047D0B" w:rsidP="00C563B5">
            <w:pPr>
              <w:rPr>
                <w:rFonts w:ascii="Arial" w:hAnsi="Arial" w:cs="Arial"/>
              </w:rPr>
            </w:pPr>
            <w:r w:rsidRPr="00A343CD">
              <w:rPr>
                <w:rFonts w:ascii="Arial" w:hAnsi="Arial" w:cs="Arial"/>
              </w:rPr>
              <w:t>Advantages</w:t>
            </w:r>
          </w:p>
        </w:tc>
        <w:tc>
          <w:tcPr>
            <w:tcW w:w="4508" w:type="dxa"/>
          </w:tcPr>
          <w:p w14:paraId="77CF93E9" w14:textId="77777777" w:rsidR="00047D0B" w:rsidRPr="00A343CD" w:rsidRDefault="00047D0B" w:rsidP="00C563B5">
            <w:pPr>
              <w:rPr>
                <w:rFonts w:ascii="Arial" w:hAnsi="Arial" w:cs="Arial"/>
              </w:rPr>
            </w:pPr>
            <w:r w:rsidRPr="00A343CD">
              <w:rPr>
                <w:rFonts w:ascii="Arial" w:hAnsi="Arial" w:cs="Arial"/>
              </w:rPr>
              <w:t>Disadvantages</w:t>
            </w:r>
          </w:p>
        </w:tc>
      </w:tr>
      <w:tr w:rsidR="00047D0B" w:rsidRPr="00A343CD" w14:paraId="1D63A792" w14:textId="77777777" w:rsidTr="00C563B5">
        <w:tc>
          <w:tcPr>
            <w:tcW w:w="4508" w:type="dxa"/>
          </w:tcPr>
          <w:p w14:paraId="154055B0" w14:textId="77777777" w:rsidR="00047D0B" w:rsidRPr="00A343CD" w:rsidRDefault="00047D0B" w:rsidP="00835637">
            <w:pPr>
              <w:pStyle w:val="ListParagraph"/>
              <w:numPr>
                <w:ilvl w:val="0"/>
                <w:numId w:val="9"/>
              </w:numPr>
              <w:spacing w:after="0"/>
              <w:rPr>
                <w:rFonts w:ascii="Arial" w:hAnsi="Arial" w:cs="Arial"/>
              </w:rPr>
            </w:pPr>
            <w:r w:rsidRPr="00A343CD">
              <w:rPr>
                <w:rFonts w:ascii="Arial" w:hAnsi="Arial" w:cs="Arial"/>
              </w:rPr>
              <w:t>Stability and predictability of funding.</w:t>
            </w:r>
          </w:p>
          <w:p w14:paraId="6023FC81" w14:textId="77777777" w:rsidR="00047D0B" w:rsidRPr="00A343CD" w:rsidRDefault="00047D0B" w:rsidP="00835637">
            <w:pPr>
              <w:pStyle w:val="ListParagraph"/>
              <w:numPr>
                <w:ilvl w:val="0"/>
                <w:numId w:val="9"/>
              </w:numPr>
              <w:spacing w:after="0"/>
              <w:rPr>
                <w:rFonts w:ascii="Arial" w:hAnsi="Arial" w:cs="Arial"/>
              </w:rPr>
            </w:pPr>
            <w:r w:rsidRPr="00A343CD">
              <w:rPr>
                <w:rFonts w:ascii="Arial" w:hAnsi="Arial" w:cs="Arial"/>
              </w:rPr>
              <w:t>Suitable for structural changes, such as debt refinancing or capital restructuring.</w:t>
            </w:r>
          </w:p>
        </w:tc>
        <w:tc>
          <w:tcPr>
            <w:tcW w:w="4508" w:type="dxa"/>
          </w:tcPr>
          <w:p w14:paraId="5F9ACA36" w14:textId="77777777" w:rsidR="00047D0B" w:rsidRPr="00A343CD" w:rsidRDefault="00047D0B" w:rsidP="00835637">
            <w:pPr>
              <w:pStyle w:val="ListParagraph"/>
              <w:numPr>
                <w:ilvl w:val="0"/>
                <w:numId w:val="9"/>
              </w:numPr>
              <w:spacing w:after="0"/>
              <w:rPr>
                <w:rFonts w:ascii="Arial" w:hAnsi="Arial" w:cs="Arial"/>
              </w:rPr>
            </w:pPr>
            <w:r w:rsidRPr="00A343CD">
              <w:rPr>
                <w:rFonts w:ascii="Arial" w:hAnsi="Arial" w:cs="Arial"/>
              </w:rPr>
              <w:t>Higher cost of capital, especially for equity.</w:t>
            </w:r>
          </w:p>
          <w:p w14:paraId="504C624B" w14:textId="77777777" w:rsidR="00047D0B" w:rsidRPr="00A343CD" w:rsidRDefault="00047D0B" w:rsidP="00835637">
            <w:pPr>
              <w:pStyle w:val="ListParagraph"/>
              <w:numPr>
                <w:ilvl w:val="0"/>
                <w:numId w:val="9"/>
              </w:numPr>
              <w:spacing w:after="0"/>
              <w:rPr>
                <w:rFonts w:ascii="Arial" w:hAnsi="Arial" w:cs="Arial"/>
              </w:rPr>
            </w:pPr>
            <w:r w:rsidRPr="00A343CD">
              <w:rPr>
                <w:rFonts w:ascii="Arial" w:hAnsi="Arial" w:cs="Arial"/>
              </w:rPr>
              <w:t>Increased leverage may worsen solvency ratios if not paired with profitability improvements.</w:t>
            </w:r>
          </w:p>
        </w:tc>
      </w:tr>
    </w:tbl>
    <w:p w14:paraId="13205B17" w14:textId="77777777" w:rsidR="00047D0B" w:rsidRPr="00A343CD" w:rsidRDefault="00047D0B" w:rsidP="00047D0B">
      <w:pPr>
        <w:spacing w:after="0" w:line="276" w:lineRule="auto"/>
        <w:rPr>
          <w:rFonts w:ascii="Arial" w:hAnsi="Arial" w:cs="Arial"/>
        </w:rPr>
      </w:pPr>
    </w:p>
    <w:p w14:paraId="5B534D08" w14:textId="77777777" w:rsidR="00047D0B" w:rsidRPr="00A343CD" w:rsidRDefault="00047D0B" w:rsidP="00047D0B">
      <w:pPr>
        <w:rPr>
          <w:rFonts w:ascii="Arial" w:hAnsi="Arial" w:cs="Arial"/>
        </w:rPr>
      </w:pPr>
      <w:r w:rsidRPr="00A343CD">
        <w:rPr>
          <w:rFonts w:ascii="Arial" w:hAnsi="Arial" w:cs="Arial"/>
          <w:b/>
          <w:bCs/>
        </w:rPr>
        <w:t xml:space="preserve">General Electronics needs to employ new hybrid approach: </w:t>
      </w:r>
      <w:r w:rsidRPr="00A343CD">
        <w:rPr>
          <w:rFonts w:ascii="Arial" w:hAnsi="Arial" w:cs="Arial"/>
        </w:rPr>
        <w:t>In the meantime, the company can receive assistance in short-term facilities (e.g., revolving credit) to address urgent liquidity requirements and roll out changes in working capital. In addition to this, it can undertake long-term equity infusion or debt restructuring to regain strength on the balance sheet and mitigate financial risk.</w:t>
      </w:r>
    </w:p>
    <w:p w14:paraId="25BF1748" w14:textId="77777777" w:rsidR="00047D0B" w:rsidRPr="00A343CD" w:rsidRDefault="00047D0B" w:rsidP="00047D0B">
      <w:pPr>
        <w:pStyle w:val="Heading1"/>
        <w:spacing w:line="276" w:lineRule="auto"/>
        <w:rPr>
          <w:rFonts w:ascii="Arial" w:hAnsi="Arial" w:cs="Arial"/>
        </w:rPr>
      </w:pPr>
      <w:bookmarkStart w:id="31" w:name="_Toc217295014"/>
      <w:bookmarkStart w:id="32" w:name="_Toc217298622"/>
      <w:r w:rsidRPr="00A343CD">
        <w:rPr>
          <w:rFonts w:ascii="Arial" w:hAnsi="Arial" w:cs="Arial"/>
        </w:rPr>
        <w:t>3. Strategic Financial Restructuring Plan</w:t>
      </w:r>
      <w:bookmarkEnd w:id="31"/>
      <w:bookmarkEnd w:id="32"/>
    </w:p>
    <w:p w14:paraId="2EECE3CC" w14:textId="77777777" w:rsidR="00047D0B" w:rsidRPr="00A343CD" w:rsidRDefault="00047D0B" w:rsidP="00047D0B">
      <w:pPr>
        <w:rPr>
          <w:rFonts w:ascii="Arial" w:hAnsi="Arial" w:cs="Arial"/>
        </w:rPr>
      </w:pPr>
      <w:r w:rsidRPr="00A343CD">
        <w:rPr>
          <w:rFonts w:ascii="Arial" w:hAnsi="Arial" w:cs="Arial"/>
        </w:rPr>
        <w:t>The current financial trend of General Electronics shows that the company did not appear to be profitable in 2020 but faces an outstanding earnings stress in 2023 (cash ratio has 0.21 in 2024), with it only partially recovering in 2024.  The strategic aim of the restructuring plan would thus be to revive solvency, liquidity, minimize the likelihood of default and reconstruct strategic flexibility in such a way that the company can make selective investments in projects with positive NPV without further damaging the financial situation.</w:t>
      </w:r>
    </w:p>
    <w:p w14:paraId="50EBDD41" w14:textId="77777777" w:rsidR="00047D0B" w:rsidRPr="00A343CD" w:rsidRDefault="00047D0B" w:rsidP="00047D0B">
      <w:pPr>
        <w:pStyle w:val="Heading2"/>
        <w:spacing w:line="276" w:lineRule="auto"/>
        <w:rPr>
          <w:rFonts w:ascii="Arial" w:hAnsi="Arial" w:cs="Arial"/>
        </w:rPr>
      </w:pPr>
      <w:bookmarkStart w:id="33" w:name="_Toc217295015"/>
      <w:bookmarkStart w:id="34" w:name="_Toc217298623"/>
      <w:r w:rsidRPr="00A343CD">
        <w:rPr>
          <w:rFonts w:ascii="Arial" w:hAnsi="Arial" w:cs="Arial"/>
        </w:rPr>
        <w:lastRenderedPageBreak/>
        <w:t>3.1. Pillar A: Portfolio Rationalization through divestiture (selloffs and carve-outs)</w:t>
      </w:r>
      <w:bookmarkEnd w:id="33"/>
      <w:bookmarkEnd w:id="34"/>
    </w:p>
    <w:p w14:paraId="0393DFC8" w14:textId="77296992" w:rsidR="00047D0B" w:rsidRPr="00A343CD" w:rsidRDefault="00047D0B" w:rsidP="00047D0B">
      <w:pPr>
        <w:rPr>
          <w:rFonts w:ascii="Arial" w:hAnsi="Arial" w:cs="Arial"/>
        </w:rPr>
      </w:pPr>
      <w:r w:rsidRPr="00A343CD">
        <w:rPr>
          <w:rFonts w:ascii="Arial" w:hAnsi="Arial" w:cs="Arial"/>
          <w:b/>
          <w:bCs/>
        </w:rPr>
        <w:t>Recommendation:</w:t>
      </w:r>
      <w:r w:rsidRPr="00A343CD">
        <w:rPr>
          <w:rFonts w:ascii="Arial" w:hAnsi="Arial" w:cs="Arial"/>
        </w:rPr>
        <w:t xml:space="preserve"> The company needs to sell </w:t>
      </w:r>
      <w:r w:rsidR="00E4718D" w:rsidRPr="00A343CD">
        <w:rPr>
          <w:rFonts w:ascii="Arial" w:hAnsi="Arial" w:cs="Arial"/>
        </w:rPr>
        <w:t>noncore</w:t>
      </w:r>
      <w:r w:rsidRPr="00A343CD">
        <w:rPr>
          <w:rFonts w:ascii="Arial" w:hAnsi="Arial" w:cs="Arial"/>
        </w:rPr>
        <w:t xml:space="preserve"> or structurally poor business divisions and, where possible, make sales or cars or carving outs of assets in order to free up cash, lower the capital intensity, and re-subordinate managerial efforts on the most cash generating product lines. </w:t>
      </w:r>
    </w:p>
    <w:p w14:paraId="5AFCB4FA" w14:textId="77777777" w:rsidR="00047D0B" w:rsidRPr="00A343CD" w:rsidRDefault="00047D0B" w:rsidP="00047D0B">
      <w:pPr>
        <w:rPr>
          <w:rFonts w:ascii="Arial" w:hAnsi="Arial" w:cs="Arial"/>
        </w:rPr>
      </w:pPr>
      <w:r w:rsidRPr="00A343CD">
        <w:rPr>
          <w:rFonts w:ascii="Arial" w:hAnsi="Arial" w:cs="Arial"/>
          <w:b/>
          <w:bCs/>
        </w:rPr>
        <w:t>Impact on shareholder value:</w:t>
      </w:r>
      <w:r w:rsidRPr="00A343CD">
        <w:rPr>
          <w:rFonts w:ascii="Arial" w:hAnsi="Arial" w:cs="Arial"/>
        </w:rPr>
        <w:t xml:space="preserve"> Empirical studies indicate that divestitures tend to generate a greater shareholder value on announcement, especially when the financial standing of the seller is strained and when the transaction enhances livelihood and emphasis. Indicatively, in the DACH market, it is observed that positive abnormal returns on divestiture announcements exist; also, that the financial position of the seller may have an impact on wealth effects, which confirms the dividing effect of divestiture as a value restoring policy in damaged situations. </w:t>
      </w:r>
    </w:p>
    <w:p w14:paraId="2BB7B2F0" w14:textId="77777777" w:rsidR="00047D0B" w:rsidRPr="00A343CD" w:rsidRDefault="00047D0B" w:rsidP="00047D0B">
      <w:pPr>
        <w:rPr>
          <w:rFonts w:ascii="Arial" w:hAnsi="Arial" w:cs="Arial"/>
        </w:rPr>
      </w:pPr>
      <w:r w:rsidRPr="00A343CD">
        <w:rPr>
          <w:rFonts w:ascii="Arial" w:hAnsi="Arial" w:cs="Arial"/>
          <w:b/>
          <w:bCs/>
        </w:rPr>
        <w:t>Influence on the debt structure and flexibility:</w:t>
      </w:r>
      <w:r w:rsidRPr="00A343CD">
        <w:rPr>
          <w:rFonts w:ascii="Arial" w:hAnsi="Arial" w:cs="Arial"/>
        </w:rPr>
        <w:t xml:space="preserve"> Surplus cash to be divided should be used first and foremost (</w:t>
      </w:r>
      <w:proofErr w:type="spellStart"/>
      <w:r w:rsidRPr="00A343CD">
        <w:rPr>
          <w:rFonts w:ascii="Arial" w:hAnsi="Arial" w:cs="Arial"/>
        </w:rPr>
        <w:t>i</w:t>
      </w:r>
      <w:proofErr w:type="spellEnd"/>
      <w:r w:rsidRPr="00A343CD">
        <w:rPr>
          <w:rFonts w:ascii="Arial" w:hAnsi="Arial" w:cs="Arial"/>
        </w:rPr>
        <w:t xml:space="preserve">) to settle the most constraining or expensive short term debts, and (ii) to create a working capital stabilization fund that would lower the Unsecured credit risk and increase covenant head room. </w:t>
      </w:r>
    </w:p>
    <w:p w14:paraId="41586C0B" w14:textId="77777777" w:rsidR="00047D0B" w:rsidRPr="00A343CD" w:rsidRDefault="00047D0B" w:rsidP="00047D0B">
      <w:pPr>
        <w:rPr>
          <w:rFonts w:ascii="Arial" w:hAnsi="Arial" w:cs="Arial"/>
        </w:rPr>
      </w:pPr>
      <w:r w:rsidRPr="00A343CD">
        <w:rPr>
          <w:rFonts w:ascii="Arial" w:hAnsi="Arial" w:cs="Arial"/>
          <w:b/>
          <w:bCs/>
        </w:rPr>
        <w:t>International and moral issues:</w:t>
      </w:r>
      <w:r w:rsidRPr="00A343CD">
        <w:rPr>
          <w:rFonts w:ascii="Arial" w:hAnsi="Arial" w:cs="Arial"/>
        </w:rPr>
        <w:t xml:space="preserve"> Tax leakage (withholding tax on the repatriation proceeds received, capital gain and transfer pricing standard) may be occasioned by cross border divestitures and open valuation is needed to prevent stakeholder wrangles.</w:t>
      </w:r>
    </w:p>
    <w:p w14:paraId="7835A714" w14:textId="77777777" w:rsidR="00047D0B" w:rsidRPr="00A343CD" w:rsidRDefault="00047D0B" w:rsidP="00047D0B">
      <w:pPr>
        <w:pStyle w:val="Heading2"/>
        <w:rPr>
          <w:rFonts w:ascii="Arial" w:hAnsi="Arial" w:cs="Arial"/>
          <w:lang w:bidi="bn-BD"/>
        </w:rPr>
      </w:pPr>
      <w:bookmarkStart w:id="35" w:name="_Toc217295016"/>
      <w:bookmarkStart w:id="36" w:name="_Toc217298624"/>
      <w:r w:rsidRPr="00A343CD">
        <w:rPr>
          <w:rFonts w:ascii="Arial" w:hAnsi="Arial" w:cs="Arial"/>
          <w:lang w:bidi="bn-BD"/>
        </w:rPr>
        <w:t>3.2 Pillar B: Debt restructuring—reprofiling maturities, reducing cash interest, and resetting covenants.</w:t>
      </w:r>
      <w:bookmarkEnd w:id="35"/>
      <w:bookmarkEnd w:id="36"/>
    </w:p>
    <w:p w14:paraId="3D57963D" w14:textId="77777777" w:rsidR="00047D0B" w:rsidRPr="00A343CD" w:rsidRDefault="00047D0B" w:rsidP="00047D0B">
      <w:pPr>
        <w:rPr>
          <w:rFonts w:ascii="Arial" w:hAnsi="Arial" w:cs="Arial"/>
          <w:lang w:bidi="bn-BD"/>
        </w:rPr>
      </w:pPr>
      <w:r w:rsidRPr="00A343CD">
        <w:rPr>
          <w:rFonts w:ascii="Arial" w:hAnsi="Arial" w:cs="Arial"/>
          <w:b/>
          <w:bCs/>
          <w:lang w:bidi="bn-BD"/>
        </w:rPr>
        <w:t>Recommendation:</w:t>
      </w:r>
      <w:r w:rsidRPr="00A343CD">
        <w:rPr>
          <w:rFonts w:ascii="Arial" w:hAnsi="Arial" w:cs="Arial"/>
          <w:lang w:bidi="bn-BD"/>
        </w:rPr>
        <w:t xml:space="preserve"> An out of court debt workout should be the first option that should be pursued by the firm. </w:t>
      </w:r>
    </w:p>
    <w:p w14:paraId="642B7242" w14:textId="77777777" w:rsidR="00047D0B" w:rsidRPr="00A343CD" w:rsidRDefault="00047D0B" w:rsidP="00835637">
      <w:pPr>
        <w:pStyle w:val="ListParagraph"/>
        <w:numPr>
          <w:ilvl w:val="0"/>
          <w:numId w:val="10"/>
        </w:numPr>
        <w:rPr>
          <w:rFonts w:ascii="Arial" w:eastAsia="Times New Roman" w:hAnsi="Arial" w:cs="Arial"/>
          <w:lang w:bidi="bn-BD"/>
        </w:rPr>
      </w:pPr>
      <w:r w:rsidRPr="00A343CD">
        <w:rPr>
          <w:rFonts w:ascii="Arial" w:eastAsia="Times New Roman" w:hAnsi="Arial" w:cs="Arial"/>
          <w:lang w:bidi="bn-BD"/>
        </w:rPr>
        <w:t xml:space="preserve">Extending maturities, </w:t>
      </w:r>
    </w:p>
    <w:p w14:paraId="71CB2E7B" w14:textId="77777777" w:rsidR="00047D0B" w:rsidRPr="00A343CD" w:rsidRDefault="00047D0B" w:rsidP="00835637">
      <w:pPr>
        <w:pStyle w:val="ListParagraph"/>
        <w:numPr>
          <w:ilvl w:val="0"/>
          <w:numId w:val="10"/>
        </w:numPr>
        <w:rPr>
          <w:rFonts w:ascii="Arial" w:eastAsia="Times New Roman" w:hAnsi="Arial" w:cs="Arial"/>
          <w:lang w:bidi="bn-BD"/>
        </w:rPr>
      </w:pPr>
      <w:r w:rsidRPr="00A343CD">
        <w:rPr>
          <w:rFonts w:ascii="Arial" w:eastAsia="Times New Roman" w:hAnsi="Arial" w:cs="Arial"/>
          <w:lang w:bidi="bn-BD"/>
        </w:rPr>
        <w:t xml:space="preserve">Changing some part of floating exposure into fixed rates or capped rates where suitable, </w:t>
      </w:r>
    </w:p>
    <w:p w14:paraId="1AC32317" w14:textId="77777777" w:rsidR="00047D0B" w:rsidRPr="00A343CD" w:rsidRDefault="00047D0B" w:rsidP="00835637">
      <w:pPr>
        <w:pStyle w:val="ListParagraph"/>
        <w:numPr>
          <w:ilvl w:val="0"/>
          <w:numId w:val="10"/>
        </w:numPr>
        <w:rPr>
          <w:rFonts w:ascii="Arial" w:eastAsia="Times New Roman" w:hAnsi="Arial" w:cs="Arial"/>
          <w:lang w:bidi="bn-BD"/>
        </w:rPr>
      </w:pPr>
      <w:r w:rsidRPr="00A343CD">
        <w:rPr>
          <w:rFonts w:ascii="Arial" w:eastAsia="Times New Roman" w:hAnsi="Arial" w:cs="Arial"/>
          <w:lang w:bidi="bn-BD"/>
        </w:rPr>
        <w:t xml:space="preserve">Re-setting covenants to a turnaround setting, and </w:t>
      </w:r>
    </w:p>
    <w:p w14:paraId="4B25ED51" w14:textId="77777777" w:rsidR="00047D0B" w:rsidRPr="00A343CD" w:rsidRDefault="00047D0B" w:rsidP="00835637">
      <w:pPr>
        <w:pStyle w:val="ListParagraph"/>
        <w:numPr>
          <w:ilvl w:val="0"/>
          <w:numId w:val="10"/>
        </w:numPr>
        <w:rPr>
          <w:rFonts w:ascii="Arial" w:eastAsia="Times New Roman" w:hAnsi="Arial" w:cs="Arial"/>
          <w:lang w:bidi="bn-BD"/>
        </w:rPr>
      </w:pPr>
      <w:r w:rsidRPr="00A343CD">
        <w:rPr>
          <w:rFonts w:ascii="Arial" w:hAnsi="Arial" w:cs="Arial"/>
          <w:lang w:bidi="bn-BD"/>
        </w:rPr>
        <w:t>N</w:t>
      </w:r>
      <w:r w:rsidRPr="00A343CD">
        <w:rPr>
          <w:rFonts w:ascii="Arial" w:eastAsia="Times New Roman" w:hAnsi="Arial" w:cs="Arial"/>
          <w:lang w:bidi="bn-BD"/>
        </w:rPr>
        <w:t xml:space="preserve">egotiating reduced debts, one can come to an agreement on partial debts reduction or even debt to equity exchange.  </w:t>
      </w:r>
    </w:p>
    <w:p w14:paraId="090E0C9A" w14:textId="77777777" w:rsidR="00047D0B" w:rsidRPr="00A343CD" w:rsidRDefault="00047D0B" w:rsidP="00047D0B">
      <w:pPr>
        <w:rPr>
          <w:rFonts w:ascii="Arial" w:hAnsi="Arial" w:cs="Arial"/>
          <w:lang w:bidi="bn-BD"/>
        </w:rPr>
      </w:pPr>
      <w:r w:rsidRPr="00A343CD">
        <w:rPr>
          <w:rFonts w:ascii="Arial" w:hAnsi="Arial" w:cs="Arial"/>
          <w:b/>
          <w:bCs/>
          <w:lang w:bidi="bn-BD"/>
        </w:rPr>
        <w:lastRenderedPageBreak/>
        <w:t>Impact on shareholder value:</w:t>
      </w:r>
      <w:r w:rsidRPr="00A343CD">
        <w:rPr>
          <w:rFonts w:ascii="Arial" w:hAnsi="Arial" w:cs="Arial"/>
          <w:lang w:bidi="bn-BD"/>
        </w:rPr>
        <w:t xml:space="preserve"> Debt restructuring may help retain enterprise value by avoiding forced liquidation and lower deadweight cost of bankruptcy and empirical results indicate that more effective ways to conduct de Morris than to allow enterprises to suffer indicate high stock returns. But Gilson evidence suggests that transaction costs may diminish out of court restructurings because it restricts debt alleviation, and leaves firms with high leverage and vulnerable to repeated distress, thus the company ought to arrive at hard targets of debt relief and covenant relief, not just maturity extension. </w:t>
      </w:r>
    </w:p>
    <w:p w14:paraId="7B06310E" w14:textId="30F51D5B" w:rsidR="00047D0B" w:rsidRPr="00A343CD" w:rsidRDefault="00047D0B" w:rsidP="00047D0B">
      <w:pPr>
        <w:rPr>
          <w:rFonts w:ascii="Arial" w:hAnsi="Arial" w:cs="Arial"/>
          <w:lang w:bidi="bn-BD"/>
        </w:rPr>
      </w:pPr>
      <w:r w:rsidRPr="00A343CD">
        <w:rPr>
          <w:rFonts w:ascii="Arial" w:hAnsi="Arial" w:cs="Arial"/>
          <w:b/>
          <w:bCs/>
          <w:lang w:bidi="bn-BD"/>
        </w:rPr>
        <w:t>Effects on debt structure and operational flexibility:</w:t>
      </w:r>
      <w:r w:rsidRPr="00A343CD">
        <w:rPr>
          <w:rFonts w:ascii="Arial" w:hAnsi="Arial" w:cs="Arial"/>
          <w:lang w:bidi="bn-BD"/>
        </w:rPr>
        <w:t xml:space="preserve"> An effective reprofiling minimizes the short-term cash outlay and enhances operational flexibility enabling the management to finance working cash outlay and mandatory capex without having to resort to emergency borrowing. Covenant redesign ought to plainly permit </w:t>
      </w:r>
      <w:r w:rsidR="00565CCF" w:rsidRPr="00A343CD">
        <w:rPr>
          <w:rFonts w:ascii="Arial" w:hAnsi="Arial" w:cs="Arial"/>
          <w:lang w:bidi="bn-BD"/>
        </w:rPr>
        <w:t>reasonability</w:t>
      </w:r>
      <w:r w:rsidRPr="00A343CD">
        <w:rPr>
          <w:rFonts w:ascii="Arial" w:hAnsi="Arial" w:cs="Arial"/>
          <w:lang w:bidi="bn-BD"/>
        </w:rPr>
        <w:t xml:space="preserve"> of working capital and investment in high NPV projects, and confine </w:t>
      </w:r>
      <w:r w:rsidR="00565CCF" w:rsidRPr="00A343CD">
        <w:rPr>
          <w:rFonts w:ascii="Arial" w:hAnsi="Arial" w:cs="Arial"/>
          <w:lang w:bidi="bn-BD"/>
        </w:rPr>
        <w:t>non-essential</w:t>
      </w:r>
      <w:r w:rsidRPr="00A343CD">
        <w:rPr>
          <w:rFonts w:ascii="Arial" w:hAnsi="Arial" w:cs="Arial"/>
          <w:lang w:bidi="bn-BD"/>
        </w:rPr>
        <w:t xml:space="preserve"> shareholder compensations until interest Liability and Z Score would be shifted to safer territories.</w:t>
      </w:r>
    </w:p>
    <w:p w14:paraId="3794E05F" w14:textId="77777777" w:rsidR="00047D0B" w:rsidRPr="00A343CD" w:rsidRDefault="00047D0B" w:rsidP="00047D0B">
      <w:pPr>
        <w:pStyle w:val="Heading2"/>
        <w:rPr>
          <w:rFonts w:ascii="Arial" w:hAnsi="Arial" w:cs="Arial"/>
          <w:lang w:bidi="bn-BD"/>
        </w:rPr>
      </w:pPr>
      <w:bookmarkStart w:id="37" w:name="_Toc217295017"/>
      <w:bookmarkStart w:id="38" w:name="_Toc217298625"/>
      <w:r w:rsidRPr="00A343CD">
        <w:rPr>
          <w:rFonts w:ascii="Arial" w:hAnsi="Arial" w:cs="Arial"/>
          <w:lang w:bidi="bn-BD"/>
        </w:rPr>
        <w:t>3.3 Pillar C: Equity Recapitalization—rights issue or strategic equity injection</w:t>
      </w:r>
      <w:bookmarkEnd w:id="37"/>
      <w:bookmarkEnd w:id="38"/>
    </w:p>
    <w:p w14:paraId="657060C5" w14:textId="77777777" w:rsidR="00047D0B" w:rsidRPr="00A343CD" w:rsidRDefault="00047D0B" w:rsidP="00047D0B">
      <w:pPr>
        <w:rPr>
          <w:rFonts w:ascii="Arial" w:hAnsi="Arial" w:cs="Arial"/>
          <w:lang w:bidi="bn-BD"/>
        </w:rPr>
      </w:pPr>
      <w:r w:rsidRPr="00A343CD">
        <w:rPr>
          <w:rFonts w:ascii="Arial" w:hAnsi="Arial" w:cs="Arial"/>
          <w:b/>
          <w:bCs/>
          <w:lang w:bidi="bn-BD"/>
        </w:rPr>
        <w:t>Recommendation:</w:t>
      </w:r>
      <w:r w:rsidRPr="00A343CD">
        <w:rPr>
          <w:rFonts w:ascii="Arial" w:hAnsi="Arial" w:cs="Arial"/>
          <w:lang w:bidi="bn-BD"/>
        </w:rPr>
        <w:t xml:space="preserve"> The company ought to conduct a gradual approach to equity recapitalisation following the sale of initial assets and alignment of term sheets with lenders. This may be realised by (</w:t>
      </w:r>
      <w:proofErr w:type="spellStart"/>
      <w:r w:rsidRPr="00A343CD">
        <w:rPr>
          <w:rFonts w:ascii="Arial" w:hAnsi="Arial" w:cs="Arial"/>
          <w:lang w:bidi="bn-BD"/>
        </w:rPr>
        <w:t>i</w:t>
      </w:r>
      <w:proofErr w:type="spellEnd"/>
      <w:r w:rsidRPr="00A343CD">
        <w:rPr>
          <w:rFonts w:ascii="Arial" w:hAnsi="Arial" w:cs="Arial"/>
          <w:lang w:bidi="bn-BD"/>
        </w:rPr>
        <w:t xml:space="preserve">) a rights issue to the existing shareholders (to stem out the issue of dilution by pre bypassing rights), and/or (ii) a strategic equity infusion on part of an industry mate or long term investor who can also contribute towards financing the supply chain and credibility on the market. </w:t>
      </w:r>
    </w:p>
    <w:p w14:paraId="233D519D" w14:textId="77777777" w:rsidR="00047D0B" w:rsidRPr="00A343CD" w:rsidRDefault="00047D0B" w:rsidP="00047D0B">
      <w:pPr>
        <w:rPr>
          <w:rFonts w:ascii="Arial" w:hAnsi="Arial" w:cs="Arial"/>
          <w:lang w:bidi="bn-BD"/>
        </w:rPr>
      </w:pPr>
      <w:r w:rsidRPr="00A343CD">
        <w:rPr>
          <w:rFonts w:ascii="Arial" w:hAnsi="Arial" w:cs="Arial"/>
          <w:b/>
          <w:bCs/>
          <w:lang w:bidi="bn-BD"/>
        </w:rPr>
        <w:t>Impact on shareholder value:</w:t>
      </w:r>
      <w:r w:rsidRPr="00A343CD">
        <w:rPr>
          <w:rFonts w:ascii="Arial" w:hAnsi="Arial" w:cs="Arial"/>
          <w:lang w:bidi="bn-BD"/>
        </w:rPr>
        <w:t xml:space="preserve"> A value enhancing equity issuance has the potential to avoid value destroying distress costs and fund positive NPV projects, but the issuance also brings in the problems of dilution and information asymmetry. The studies conducted on equity issuance mechanisms indicate that rights issues can address the mispricing friction globally and safeguard shareholders, who have a proportional ownership over the company as compared to a public issue, though wealth limits may result in unequal take up and effective dilution.</w:t>
      </w:r>
    </w:p>
    <w:p w14:paraId="0270CB08" w14:textId="77777777" w:rsidR="00047D0B" w:rsidRPr="00A343CD" w:rsidRDefault="00047D0B" w:rsidP="00047D0B">
      <w:pPr>
        <w:rPr>
          <w:rFonts w:ascii="Arial" w:hAnsi="Arial" w:cs="Arial"/>
          <w:lang w:bidi="bn-BD"/>
        </w:rPr>
      </w:pPr>
      <w:r w:rsidRPr="00A343CD">
        <w:rPr>
          <w:rFonts w:ascii="Arial" w:hAnsi="Arial" w:cs="Arial"/>
          <w:b/>
          <w:bCs/>
          <w:lang w:bidi="bn-BD"/>
        </w:rPr>
        <w:lastRenderedPageBreak/>
        <w:t>Effects with the debt structure and flexibility:</w:t>
      </w:r>
      <w:r w:rsidRPr="00A343CD">
        <w:rPr>
          <w:rFonts w:ascii="Arial" w:hAnsi="Arial" w:cs="Arial"/>
          <w:lang w:bidi="bn-BD"/>
        </w:rPr>
        <w:t xml:space="preserve"> Equity injection minimizes the debt-equity ratio and increases credit measures, which will facilitate it to renegotiate its debt covenant and reduces the cost of borrowing in the future.</w:t>
      </w:r>
    </w:p>
    <w:p w14:paraId="3C29A0F6" w14:textId="77777777" w:rsidR="00047D0B" w:rsidRPr="00A343CD" w:rsidRDefault="00047D0B" w:rsidP="00047D0B">
      <w:pPr>
        <w:pStyle w:val="Heading2"/>
        <w:rPr>
          <w:rFonts w:ascii="Arial" w:hAnsi="Arial" w:cs="Arial"/>
          <w:lang w:bidi="bn-BD"/>
        </w:rPr>
      </w:pPr>
      <w:bookmarkStart w:id="39" w:name="_Toc217295018"/>
      <w:bookmarkStart w:id="40" w:name="_Toc217298626"/>
      <w:r w:rsidRPr="00A343CD">
        <w:rPr>
          <w:rFonts w:ascii="Arial" w:hAnsi="Arial" w:cs="Arial"/>
          <w:lang w:bidi="bn-BD"/>
        </w:rPr>
        <w:t>3.4 Strategic combination option: merger, acquisition, or joint venture (selective, not “rescue” driven)</w:t>
      </w:r>
      <w:bookmarkEnd w:id="39"/>
      <w:bookmarkEnd w:id="40"/>
    </w:p>
    <w:p w14:paraId="2410D9E8" w14:textId="77777777" w:rsidR="00047D0B" w:rsidRPr="00A343CD" w:rsidRDefault="00047D0B" w:rsidP="00047D0B">
      <w:pPr>
        <w:rPr>
          <w:rFonts w:ascii="Arial" w:hAnsi="Arial" w:cs="Arial"/>
          <w:lang w:bidi="bn-BD"/>
        </w:rPr>
      </w:pPr>
      <w:r w:rsidRPr="00A343CD">
        <w:rPr>
          <w:rFonts w:ascii="Arial" w:hAnsi="Arial" w:cs="Arial"/>
          <w:b/>
          <w:bCs/>
          <w:lang w:bidi="bn-BD"/>
        </w:rPr>
        <w:t>Recommendation:</w:t>
      </w:r>
      <w:r w:rsidRPr="00A343CD">
        <w:rPr>
          <w:rFonts w:ascii="Arial" w:hAnsi="Arial" w:cs="Arial"/>
          <w:lang w:bidi="bn-BD"/>
        </w:rPr>
        <w:t xml:space="preserve"> A merger or structured joint venture must be undertaken when it is evident that it will enhance better cash generation and reduce unit cost due to synergy and where the transaction structure does not create or transfer inappropriate amount of value out of the current stockholders. </w:t>
      </w:r>
    </w:p>
    <w:p w14:paraId="35847046" w14:textId="77EE67E7" w:rsidR="00047D0B" w:rsidRPr="00A343CD" w:rsidRDefault="00047D0B" w:rsidP="00047D0B">
      <w:pPr>
        <w:rPr>
          <w:rFonts w:ascii="Arial" w:hAnsi="Arial" w:cs="Arial"/>
          <w:lang w:bidi="bn-BD"/>
        </w:rPr>
      </w:pPr>
      <w:r w:rsidRPr="00A343CD">
        <w:rPr>
          <w:rFonts w:ascii="Arial" w:hAnsi="Arial" w:cs="Arial"/>
          <w:b/>
          <w:bCs/>
          <w:lang w:bidi="bn-BD"/>
        </w:rPr>
        <w:t>Impact on shareholder value</w:t>
      </w:r>
      <w:r w:rsidRPr="00A343CD">
        <w:rPr>
          <w:rFonts w:ascii="Arial" w:hAnsi="Arial" w:cs="Arial"/>
          <w:lang w:bidi="bn-BD"/>
        </w:rPr>
        <w:t xml:space="preserve">: The academic research demonstrates that acquisitions may generate value but estimation of synergy is usually biased and may not give a true strategic potential because of the limitations of attention and valuation practices and therefore governance discipline plays a critical role. Recent empirical studies also </w:t>
      </w:r>
      <w:r w:rsidR="00172B10" w:rsidRPr="00A343CD">
        <w:rPr>
          <w:rFonts w:ascii="Arial" w:hAnsi="Arial" w:cs="Arial"/>
          <w:lang w:bidi="bn-BD"/>
        </w:rPr>
        <w:t>favour</w:t>
      </w:r>
      <w:r w:rsidRPr="00A343CD">
        <w:rPr>
          <w:rFonts w:ascii="Arial" w:hAnsi="Arial" w:cs="Arial"/>
          <w:lang w:bidi="bn-BD"/>
        </w:rPr>
        <w:t xml:space="preserve"> the view that value creation may follow M&amp;A in the case where integration provides capturing synergies and resource matching, and the results might depend on the nature of a deal and its performance in a very different manner. </w:t>
      </w:r>
    </w:p>
    <w:p w14:paraId="34D402D9" w14:textId="77777777" w:rsidR="00047D0B" w:rsidRPr="00A343CD" w:rsidRDefault="00047D0B" w:rsidP="00047D0B">
      <w:pPr>
        <w:rPr>
          <w:rFonts w:ascii="Arial" w:hAnsi="Arial" w:cs="Arial"/>
          <w:lang w:bidi="bn-BD"/>
        </w:rPr>
      </w:pPr>
      <w:r w:rsidRPr="00A343CD">
        <w:rPr>
          <w:rFonts w:ascii="Arial" w:hAnsi="Arial" w:cs="Arial"/>
          <w:b/>
          <w:bCs/>
          <w:lang w:bidi="bn-BD"/>
        </w:rPr>
        <w:t>Influence on VAP and flexibility:</w:t>
      </w:r>
      <w:r w:rsidRPr="00A343CD">
        <w:rPr>
          <w:rFonts w:ascii="Arial" w:hAnsi="Arial" w:cs="Arial"/>
          <w:lang w:bidi="bn-BD"/>
        </w:rPr>
        <w:t xml:space="preserve"> Merger may enhance debt capacity by stabilizing cash flow and enhancing scale, but may also raise leverages by funding itself through debt or implement expensive integration than projected. Therefore, the company must be interested in choosing equity linked partnerships (strategic minority investment, joint venture, or asset level partnerships), which will not adversely affect leverage in the turnaround period.</w:t>
      </w:r>
    </w:p>
    <w:p w14:paraId="447E1B5E" w14:textId="77777777" w:rsidR="00047D0B" w:rsidRPr="00A343CD" w:rsidRDefault="00047D0B" w:rsidP="00047D0B">
      <w:pPr>
        <w:pStyle w:val="Heading2"/>
        <w:rPr>
          <w:rFonts w:ascii="Arial" w:hAnsi="Arial" w:cs="Arial"/>
          <w:lang w:bidi="bn-BD"/>
        </w:rPr>
      </w:pPr>
      <w:bookmarkStart w:id="41" w:name="_Toc217295019"/>
      <w:bookmarkStart w:id="42" w:name="_Toc217298627"/>
      <w:r w:rsidRPr="00A343CD">
        <w:rPr>
          <w:rFonts w:ascii="Arial" w:hAnsi="Arial" w:cs="Arial"/>
          <w:lang w:bidi="bn-BD"/>
        </w:rPr>
        <w:t>3.5 International macro</w:t>
      </w:r>
      <w:r w:rsidRPr="00A343CD">
        <w:rPr>
          <w:rFonts w:ascii="Arial" w:hAnsi="Arial" w:cs="Arial"/>
          <w:lang w:bidi="bn-BD"/>
        </w:rPr>
        <w:noBreakHyphen/>
        <w:t>financial risk management: taxation, currency risk, and inflation</w:t>
      </w:r>
      <w:bookmarkEnd w:id="41"/>
      <w:bookmarkEnd w:id="42"/>
    </w:p>
    <w:p w14:paraId="34ECCB80" w14:textId="77777777" w:rsidR="00047D0B" w:rsidRPr="00A343CD" w:rsidRDefault="00047D0B" w:rsidP="00047D0B">
      <w:pPr>
        <w:rPr>
          <w:rFonts w:ascii="Arial" w:hAnsi="Arial" w:cs="Arial"/>
          <w:lang w:bidi="bn-BD"/>
        </w:rPr>
      </w:pPr>
      <w:r w:rsidRPr="00A343CD">
        <w:rPr>
          <w:rFonts w:ascii="Arial" w:hAnsi="Arial" w:cs="Arial"/>
          <w:lang w:bidi="bn-BD"/>
        </w:rPr>
        <w:t xml:space="preserve">Since General Electronics is a multinational company, restructuring plan should be very clear about cross border financial risks that may weaken recovery. Currency risk is also very significant when the liabilities, the purchase costs and the revenues are in various currencies, the companies can decrease the volatility of their cash flows through the instruments of forwards, options and swaps and can decrease bills taxes, distress expenses and underinvestment in the future under realistic frictions. </w:t>
      </w:r>
    </w:p>
    <w:p w14:paraId="7B47CBFB" w14:textId="77777777" w:rsidR="00047D0B" w:rsidRPr="00A343CD" w:rsidRDefault="00047D0B" w:rsidP="00047D0B">
      <w:pPr>
        <w:rPr>
          <w:rFonts w:ascii="Arial" w:hAnsi="Arial" w:cs="Arial"/>
          <w:lang w:bidi="bn-BD"/>
        </w:rPr>
      </w:pPr>
      <w:r w:rsidRPr="00A343CD">
        <w:rPr>
          <w:rFonts w:ascii="Arial" w:hAnsi="Arial" w:cs="Arial"/>
          <w:lang w:bidi="bn-BD"/>
        </w:rPr>
        <w:lastRenderedPageBreak/>
        <w:t xml:space="preserve">A second critical dimension is inflation since our inflation volatility impacts on the discount rates, working capital requirement and the real value of debt service. Other literature on classic finance has emphasized the fact that using the nominal versus real discounting in practice is </w:t>
      </w:r>
      <w:proofErr w:type="spellStart"/>
      <w:r w:rsidRPr="00A343CD">
        <w:rPr>
          <w:rFonts w:ascii="Arial" w:hAnsi="Arial" w:cs="Arial"/>
          <w:lang w:bidi="bn-BD"/>
        </w:rPr>
        <w:t>non</w:t>
      </w:r>
      <w:proofErr w:type="spellEnd"/>
      <w:r w:rsidRPr="00A343CD">
        <w:rPr>
          <w:rFonts w:ascii="Arial" w:hAnsi="Arial" w:cs="Arial"/>
          <w:lang w:bidi="bn-BD"/>
        </w:rPr>
        <w:t xml:space="preserve"> trivial in the event that inflation expectations are varied and this has led to the necessity of using consistent discounting assumptions and scenario stress testing. In practice, the company would need to include inflation related sensitivity to cash forecasting and capital refinancing would not incur too much floating rate exposure that would increase cash interest during inflation driven rate changes (</w:t>
      </w:r>
      <w:r w:rsidRPr="00A343CD">
        <w:rPr>
          <w:rFonts w:ascii="Arial" w:hAnsi="Arial" w:cs="Arial"/>
        </w:rPr>
        <w:t>Atrill,2024).</w:t>
      </w:r>
      <w:r w:rsidRPr="00A343CD">
        <w:rPr>
          <w:rFonts w:ascii="Arial" w:hAnsi="Arial" w:cs="Arial"/>
          <w:lang w:bidi="bn-BD"/>
        </w:rPr>
        <w:t xml:space="preserve"> </w:t>
      </w:r>
    </w:p>
    <w:p w14:paraId="0C695E43" w14:textId="77777777" w:rsidR="00047D0B" w:rsidRPr="00A343CD" w:rsidRDefault="00047D0B" w:rsidP="00047D0B">
      <w:pPr>
        <w:rPr>
          <w:rFonts w:ascii="Arial" w:hAnsi="Arial" w:cs="Arial"/>
          <w:lang w:bidi="bn-BD"/>
        </w:rPr>
      </w:pPr>
      <w:r w:rsidRPr="00A343CD">
        <w:rPr>
          <w:rFonts w:ascii="Arial" w:hAnsi="Arial" w:cs="Arial"/>
          <w:lang w:bidi="bn-BD"/>
        </w:rPr>
        <w:t>Ethical and transparent taxation should be administered. Tax liabilities, withholding taxes, transfer pricing scrutiny may arise as a result of divestitures, cross border equity injections, the restructuring design should therefore focus on compliance, substance over form and disclosure being made publicly to eliminate reputational and regulatory risk.</w:t>
      </w:r>
    </w:p>
    <w:p w14:paraId="4151F067" w14:textId="77777777" w:rsidR="00047D0B" w:rsidRPr="00A343CD" w:rsidRDefault="00047D0B" w:rsidP="00047D0B">
      <w:pPr>
        <w:pStyle w:val="Heading2"/>
        <w:rPr>
          <w:rFonts w:ascii="Arial" w:hAnsi="Arial" w:cs="Arial"/>
          <w:lang w:bidi="bn-BD"/>
        </w:rPr>
      </w:pPr>
      <w:bookmarkStart w:id="43" w:name="_Toc217295020"/>
      <w:bookmarkStart w:id="44" w:name="_Toc217298628"/>
      <w:r w:rsidRPr="00A343CD">
        <w:rPr>
          <w:rFonts w:ascii="Arial" w:hAnsi="Arial" w:cs="Arial"/>
          <w:lang w:bidi="bn-BD"/>
        </w:rPr>
        <w:t>3.6 Governance and CSR integration (ethical restructuring as a financial enabler)</w:t>
      </w:r>
      <w:bookmarkEnd w:id="43"/>
      <w:bookmarkEnd w:id="44"/>
    </w:p>
    <w:p w14:paraId="7F8084DE" w14:textId="1692457C" w:rsidR="00047D0B" w:rsidRPr="00A343CD" w:rsidRDefault="00047D0B" w:rsidP="00047D0B">
      <w:pPr>
        <w:rPr>
          <w:rFonts w:ascii="Arial" w:hAnsi="Arial" w:cs="Arial"/>
          <w:lang w:bidi="bn-BD"/>
        </w:rPr>
      </w:pPr>
      <w:r w:rsidRPr="00A343CD">
        <w:rPr>
          <w:rFonts w:ascii="Arial" w:hAnsi="Arial" w:cs="Arial"/>
          <w:lang w:bidi="bn-BD"/>
        </w:rPr>
        <w:t xml:space="preserve">A restructuring of the financially distressed is not exactly technical; though it is an exercise of credibility with investors, lenders, employees and communities. Second order </w:t>
      </w:r>
      <w:r w:rsidR="00172B10" w:rsidRPr="00A343CD">
        <w:rPr>
          <w:rFonts w:ascii="Arial" w:hAnsi="Arial" w:cs="Arial"/>
          <w:lang w:bidi="bn-BD"/>
        </w:rPr>
        <w:t>meta-analysis</w:t>
      </w:r>
      <w:r w:rsidRPr="00A343CD">
        <w:rPr>
          <w:rFonts w:ascii="Arial" w:hAnsi="Arial" w:cs="Arial"/>
          <w:lang w:bidi="bn-BD"/>
        </w:rPr>
        <w:t xml:space="preserve"> evidence reveals there is a strong positive correlation between corporate social/environmental performance and corporate financial performance which implies that CSR is capable of linking financial performance through reputation and operation implications. Consequently, the company must incorporate CSR in the restructuring by ensuring that it adopts the fair treatment of </w:t>
      </w:r>
      <w:r w:rsidR="00172B10" w:rsidRPr="00A343CD">
        <w:rPr>
          <w:rFonts w:ascii="Arial" w:hAnsi="Arial" w:cs="Arial"/>
          <w:lang w:bidi="bn-BD"/>
        </w:rPr>
        <w:t>labour</w:t>
      </w:r>
      <w:r w:rsidRPr="00A343CD">
        <w:rPr>
          <w:rFonts w:ascii="Arial" w:hAnsi="Arial" w:cs="Arial"/>
          <w:lang w:bidi="bn-BD"/>
        </w:rPr>
        <w:t xml:space="preserve">, responsible payment policy to suppliers (especially with extended payables indications), and providing clear reporting on the effects of the restructuring. </w:t>
      </w:r>
    </w:p>
    <w:p w14:paraId="0076369B" w14:textId="77777777" w:rsidR="00047D0B" w:rsidRPr="00A343CD" w:rsidRDefault="00047D0B" w:rsidP="00047D0B">
      <w:pPr>
        <w:rPr>
          <w:rFonts w:ascii="Arial" w:hAnsi="Arial" w:cs="Arial"/>
          <w:lang w:bidi="bn-BD"/>
        </w:rPr>
      </w:pPr>
      <w:r w:rsidRPr="00A343CD">
        <w:rPr>
          <w:rFonts w:ascii="Arial" w:hAnsi="Arial" w:cs="Arial"/>
          <w:lang w:bidi="bn-BD"/>
        </w:rPr>
        <w:t>Governance wise, introducing restricted covenants concerning capital distribution (e.g. limiting buyback/dividend till interest coverage returns to normal) and enhancing supervision of risk management/disclosures can help alleviate conflicts among creditor shareholders and boost the success of restructuring.</w:t>
      </w:r>
    </w:p>
    <w:p w14:paraId="521998D2" w14:textId="77777777" w:rsidR="00047D0B" w:rsidRPr="00A343CD" w:rsidRDefault="00047D0B" w:rsidP="00047D0B">
      <w:pPr>
        <w:pStyle w:val="Heading2"/>
        <w:rPr>
          <w:rFonts w:ascii="Arial" w:hAnsi="Arial" w:cs="Arial"/>
          <w:lang w:bidi="bn-BD"/>
        </w:rPr>
      </w:pPr>
      <w:bookmarkStart w:id="45" w:name="_Toc217295021"/>
      <w:bookmarkStart w:id="46" w:name="_Toc217298629"/>
      <w:r w:rsidRPr="00A343CD">
        <w:rPr>
          <w:rFonts w:ascii="Arial" w:hAnsi="Arial" w:cs="Arial"/>
          <w:lang w:bidi="bn-BD"/>
        </w:rPr>
        <w:lastRenderedPageBreak/>
        <w:t>3.7 Implementation roadmap and expected outcomes (shareholder value, debt structure, flexibility)</w:t>
      </w:r>
      <w:bookmarkEnd w:id="45"/>
      <w:bookmarkEnd w:id="46"/>
    </w:p>
    <w:p w14:paraId="3B089931" w14:textId="77777777" w:rsidR="00047D0B" w:rsidRPr="00A343CD" w:rsidRDefault="00047D0B" w:rsidP="00047D0B">
      <w:pPr>
        <w:rPr>
          <w:rFonts w:ascii="Arial" w:hAnsi="Arial" w:cs="Arial"/>
          <w:lang w:bidi="bn-BD"/>
        </w:rPr>
      </w:pPr>
      <w:r w:rsidRPr="00A343CD">
        <w:rPr>
          <w:rFonts w:ascii="Arial" w:hAnsi="Arial" w:cs="Arial"/>
          <w:b/>
          <w:bCs/>
          <w:lang w:bidi="bn-BD"/>
        </w:rPr>
        <w:t>Phase 1 (0-3 months):</w:t>
      </w:r>
      <w:r w:rsidRPr="00A343CD">
        <w:rPr>
          <w:rFonts w:ascii="Arial" w:hAnsi="Arial" w:cs="Arial"/>
          <w:lang w:bidi="bn-BD"/>
        </w:rPr>
        <w:t xml:space="preserve"> Secure liquidity and credibility. Institute a 13 week cash projection, tighten up receivables policy to reduce DSO and negotiate interim lender waivers to avoid breach of covenant, as divestiture preparations are instituted.</w:t>
      </w:r>
    </w:p>
    <w:p w14:paraId="53E9B721" w14:textId="77777777" w:rsidR="00047D0B" w:rsidRPr="00A343CD" w:rsidRDefault="00047D0B" w:rsidP="00047D0B">
      <w:pPr>
        <w:rPr>
          <w:rFonts w:ascii="Arial" w:hAnsi="Arial" w:cs="Arial"/>
          <w:lang w:bidi="bn-BD"/>
        </w:rPr>
      </w:pPr>
      <w:r w:rsidRPr="00A343CD">
        <w:rPr>
          <w:rFonts w:ascii="Arial" w:hAnsi="Arial" w:cs="Arial"/>
          <w:b/>
          <w:bCs/>
          <w:lang w:bidi="bn-BD"/>
        </w:rPr>
        <w:t>Phase 2 (3-9 months):</w:t>
      </w:r>
      <w:r w:rsidRPr="00A343CD">
        <w:rPr>
          <w:rFonts w:ascii="Arial" w:hAnsi="Arial" w:cs="Arial"/>
          <w:lang w:bidi="bn-BD"/>
        </w:rPr>
        <w:t xml:space="preserve"> Implement divestiture + debt reprofiling. Full-blown targeted sell offs to raise cash and use proceeds to pay off high risk short term obligations, followed by final debt restructuring extending the maturity and thinning out the interest burden on near term obligations. </w:t>
      </w:r>
    </w:p>
    <w:p w14:paraId="48234E05" w14:textId="77777777" w:rsidR="00047D0B" w:rsidRPr="00A343CD" w:rsidRDefault="00047D0B" w:rsidP="00047D0B">
      <w:pPr>
        <w:rPr>
          <w:rFonts w:ascii="Arial" w:hAnsi="Arial" w:cs="Arial"/>
          <w:lang w:bidi="bn-BD"/>
        </w:rPr>
      </w:pPr>
      <w:r w:rsidRPr="00A343CD">
        <w:rPr>
          <w:rFonts w:ascii="Arial" w:hAnsi="Arial" w:cs="Arial"/>
          <w:b/>
          <w:bCs/>
          <w:lang w:bidi="bn-BD"/>
        </w:rPr>
        <w:t>Phase 3 (9-18months):</w:t>
      </w:r>
      <w:r w:rsidRPr="00A343CD">
        <w:rPr>
          <w:rFonts w:ascii="Arial" w:hAnsi="Arial" w:cs="Arial"/>
          <w:lang w:bidi="bn-BD"/>
        </w:rPr>
        <w:t xml:space="preserve"> Equity recapitalisation + selective growth investment. Carry out rights issue/strategic/ equity injection when the plan picks up and only commit capital to those ventures with positive NPV with rationing (e.g. prioritise Project C in your appraisal) therefore linking restructuring to disciplined value addition.</w:t>
      </w:r>
    </w:p>
    <w:p w14:paraId="0D74F847" w14:textId="77777777" w:rsidR="00047D0B" w:rsidRPr="00A343CD" w:rsidRDefault="00047D0B" w:rsidP="00047D0B">
      <w:pPr>
        <w:pStyle w:val="Heading1"/>
        <w:spacing w:line="276" w:lineRule="auto"/>
        <w:rPr>
          <w:rFonts w:ascii="Arial" w:hAnsi="Arial" w:cs="Arial"/>
        </w:rPr>
      </w:pPr>
      <w:bookmarkStart w:id="47" w:name="_Toc217295022"/>
      <w:bookmarkStart w:id="48" w:name="_Toc217298630"/>
      <w:r w:rsidRPr="00A343CD">
        <w:rPr>
          <w:rFonts w:ascii="Arial" w:hAnsi="Arial" w:cs="Arial"/>
        </w:rPr>
        <w:t>4. Investment Appraisal and Capital Budgeting</w:t>
      </w:r>
      <w:bookmarkEnd w:id="47"/>
      <w:bookmarkEnd w:id="48"/>
    </w:p>
    <w:p w14:paraId="5B6562D4" w14:textId="77777777" w:rsidR="00047D0B" w:rsidRPr="00A343CD" w:rsidRDefault="00047D0B" w:rsidP="00047D0B">
      <w:pPr>
        <w:rPr>
          <w:rFonts w:ascii="Arial" w:hAnsi="Arial" w:cs="Arial"/>
        </w:rPr>
      </w:pPr>
      <w:r w:rsidRPr="00A343CD">
        <w:rPr>
          <w:rFonts w:ascii="Arial" w:hAnsi="Arial" w:cs="Arial"/>
        </w:rPr>
        <w:t>In theory of investment, discounted cash flow techniques (especially NPV) are the most consistent with the value maximization since they determine whether an investment is wealth adding after considering the time value of money and risk of the project through the discounting rate. However, both payback and ARR are valuable as auxiliary screens, particularly in circumstances where there is limited liquidity, since they can both give data regarding the duration of cash recovery, and accounting-based performance, respectively (</w:t>
      </w:r>
      <w:proofErr w:type="spellStart"/>
      <w:r w:rsidRPr="00A343CD">
        <w:rPr>
          <w:rFonts w:ascii="Arial" w:hAnsi="Arial" w:cs="Arial"/>
        </w:rPr>
        <w:t>Purnamasari</w:t>
      </w:r>
      <w:proofErr w:type="spellEnd"/>
      <w:r w:rsidRPr="00A343CD">
        <w:rPr>
          <w:rFonts w:ascii="Arial" w:hAnsi="Arial" w:cs="Arial"/>
        </w:rPr>
        <w:t>, 2024).</w:t>
      </w:r>
    </w:p>
    <w:p w14:paraId="5B8D5134" w14:textId="77777777" w:rsidR="00047D0B" w:rsidRPr="00A343CD" w:rsidRDefault="00047D0B" w:rsidP="00047D0B">
      <w:pPr>
        <w:pStyle w:val="Heading2"/>
        <w:spacing w:line="276" w:lineRule="auto"/>
        <w:rPr>
          <w:rFonts w:ascii="Arial" w:hAnsi="Arial" w:cs="Arial"/>
        </w:rPr>
      </w:pPr>
      <w:bookmarkStart w:id="49" w:name="_Toc217295023"/>
      <w:bookmarkStart w:id="50" w:name="_Toc217298631"/>
      <w:r w:rsidRPr="00A343CD">
        <w:rPr>
          <w:rFonts w:ascii="Arial" w:hAnsi="Arial" w:cs="Arial"/>
        </w:rPr>
        <w:t>4.1 Calculation</w:t>
      </w:r>
      <w:bookmarkEnd w:id="49"/>
      <w:bookmarkEnd w:id="50"/>
    </w:p>
    <w:p w14:paraId="57713133" w14:textId="77777777" w:rsidR="00047D0B" w:rsidRPr="00A343CD" w:rsidRDefault="00047D0B" w:rsidP="00047D0B">
      <w:pPr>
        <w:spacing w:after="0" w:line="276" w:lineRule="auto"/>
        <w:rPr>
          <w:rFonts w:ascii="Arial" w:hAnsi="Arial" w:cs="Arial"/>
        </w:rPr>
      </w:pPr>
      <w:r w:rsidRPr="00A343CD">
        <w:rPr>
          <w:rFonts w:ascii="Arial" w:hAnsi="Arial" w:cs="Arial"/>
        </w:rPr>
        <w:t>After calculating, the following have found-</w:t>
      </w:r>
    </w:p>
    <w:tbl>
      <w:tblPr>
        <w:tblW w:w="8565" w:type="dxa"/>
        <w:tblCellMar>
          <w:left w:w="0" w:type="dxa"/>
          <w:right w:w="0" w:type="dxa"/>
        </w:tblCellMar>
        <w:tblLook w:val="04A0" w:firstRow="1" w:lastRow="0" w:firstColumn="1" w:lastColumn="0" w:noHBand="0" w:noVBand="1"/>
      </w:tblPr>
      <w:tblGrid>
        <w:gridCol w:w="3166"/>
        <w:gridCol w:w="1527"/>
        <w:gridCol w:w="2644"/>
        <w:gridCol w:w="1228"/>
      </w:tblGrid>
      <w:tr w:rsidR="00047D0B" w:rsidRPr="00A343CD" w14:paraId="29EE77D5" w14:textId="77777777" w:rsidTr="00C563B5">
        <w:trPr>
          <w:trHeight w:val="21"/>
        </w:trPr>
        <w:tc>
          <w:tcPr>
            <w:tcW w:w="0" w:type="auto"/>
            <w:tcBorders>
              <w:top w:val="single" w:sz="4" w:space="0" w:color="auto"/>
              <w:left w:val="single" w:sz="4" w:space="0" w:color="auto"/>
              <w:bottom w:val="single" w:sz="4" w:space="0" w:color="auto"/>
              <w:right w:val="single" w:sz="4" w:space="0" w:color="auto"/>
            </w:tcBorders>
            <w:shd w:val="clear" w:color="CCE5FF" w:fill="CCE5FF"/>
            <w:noWrap/>
            <w:tcMar>
              <w:top w:w="15" w:type="dxa"/>
              <w:left w:w="15" w:type="dxa"/>
              <w:bottom w:w="0" w:type="dxa"/>
              <w:right w:w="15" w:type="dxa"/>
            </w:tcMar>
            <w:vAlign w:val="bottom"/>
            <w:hideMark/>
          </w:tcPr>
          <w:p w14:paraId="2C794E4A" w14:textId="77777777" w:rsidR="00047D0B" w:rsidRPr="00A343CD" w:rsidRDefault="00047D0B" w:rsidP="00C563B5">
            <w:pPr>
              <w:rPr>
                <w:rFonts w:ascii="Arial" w:hAnsi="Arial" w:cs="Arial"/>
              </w:rPr>
            </w:pPr>
            <w:r w:rsidRPr="00A343CD">
              <w:rPr>
                <w:rFonts w:ascii="Arial" w:hAnsi="Arial" w:cs="Arial"/>
              </w:rPr>
              <w:t>Metric</w:t>
            </w:r>
          </w:p>
        </w:tc>
        <w:tc>
          <w:tcPr>
            <w:tcW w:w="1527"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bottom"/>
            <w:hideMark/>
          </w:tcPr>
          <w:p w14:paraId="44BD41C7" w14:textId="77777777" w:rsidR="00047D0B" w:rsidRPr="00A343CD" w:rsidRDefault="00047D0B" w:rsidP="00C563B5">
            <w:pPr>
              <w:rPr>
                <w:rFonts w:ascii="Arial" w:hAnsi="Arial" w:cs="Arial"/>
              </w:rPr>
            </w:pPr>
            <w:r w:rsidRPr="00A343CD">
              <w:rPr>
                <w:rFonts w:ascii="Arial" w:hAnsi="Arial" w:cs="Arial"/>
              </w:rPr>
              <w:t>A</w:t>
            </w:r>
          </w:p>
        </w:tc>
        <w:tc>
          <w:tcPr>
            <w:tcW w:w="2644"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bottom"/>
            <w:hideMark/>
          </w:tcPr>
          <w:p w14:paraId="2B91416A" w14:textId="77777777" w:rsidR="00047D0B" w:rsidRPr="00A343CD" w:rsidRDefault="00047D0B" w:rsidP="00C563B5">
            <w:pPr>
              <w:rPr>
                <w:rFonts w:ascii="Arial" w:hAnsi="Arial" w:cs="Arial"/>
              </w:rPr>
            </w:pPr>
            <w:r w:rsidRPr="00A343CD">
              <w:rPr>
                <w:rFonts w:ascii="Arial" w:hAnsi="Arial" w:cs="Arial"/>
              </w:rPr>
              <w:t>B</w:t>
            </w:r>
          </w:p>
        </w:tc>
        <w:tc>
          <w:tcPr>
            <w:tcW w:w="0" w:type="auto"/>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bottom"/>
            <w:hideMark/>
          </w:tcPr>
          <w:p w14:paraId="7E875C57" w14:textId="77777777" w:rsidR="00047D0B" w:rsidRPr="00A343CD" w:rsidRDefault="00047D0B" w:rsidP="00C563B5">
            <w:pPr>
              <w:rPr>
                <w:rFonts w:ascii="Arial" w:hAnsi="Arial" w:cs="Arial"/>
              </w:rPr>
            </w:pPr>
            <w:r w:rsidRPr="00A343CD">
              <w:rPr>
                <w:rFonts w:ascii="Arial" w:hAnsi="Arial" w:cs="Arial"/>
              </w:rPr>
              <w:t>C</w:t>
            </w:r>
          </w:p>
        </w:tc>
      </w:tr>
      <w:tr w:rsidR="00047D0B" w:rsidRPr="00A343CD" w14:paraId="1F5FC6DB"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C77F488" w14:textId="77777777" w:rsidR="00047D0B" w:rsidRPr="00A343CD" w:rsidRDefault="00047D0B" w:rsidP="00C563B5">
            <w:pPr>
              <w:rPr>
                <w:rFonts w:ascii="Arial" w:hAnsi="Arial" w:cs="Arial"/>
                <w:color w:val="000000"/>
              </w:rPr>
            </w:pPr>
            <w:r w:rsidRPr="00A343CD">
              <w:rPr>
                <w:rFonts w:ascii="Arial" w:hAnsi="Arial" w:cs="Arial"/>
                <w:color w:val="000000"/>
              </w:rPr>
              <w:t>Payback Period (years)</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0ECCA30" w14:textId="77777777" w:rsidR="00047D0B" w:rsidRPr="00A343CD" w:rsidRDefault="00047D0B" w:rsidP="00C563B5">
            <w:pPr>
              <w:rPr>
                <w:rFonts w:ascii="Arial" w:hAnsi="Arial" w:cs="Arial"/>
                <w:color w:val="000000"/>
              </w:rPr>
            </w:pPr>
            <w:r w:rsidRPr="00A343CD">
              <w:rPr>
                <w:rFonts w:ascii="Arial" w:hAnsi="Arial" w:cs="Arial"/>
                <w:color w:val="000000"/>
              </w:rPr>
              <w:t>3.40 Years</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71589E5" w14:textId="77777777" w:rsidR="00047D0B" w:rsidRPr="00A343CD" w:rsidRDefault="00047D0B" w:rsidP="00C563B5">
            <w:pPr>
              <w:rPr>
                <w:rFonts w:ascii="Arial" w:hAnsi="Arial" w:cs="Arial"/>
                <w:color w:val="000000"/>
              </w:rPr>
            </w:pPr>
            <w:r w:rsidRPr="00A343CD">
              <w:rPr>
                <w:rFonts w:ascii="Arial" w:hAnsi="Arial" w:cs="Arial"/>
                <w:color w:val="000000"/>
              </w:rPr>
              <w:t>5.00 Years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0581D11" w14:textId="77777777" w:rsidR="00047D0B" w:rsidRPr="00A343CD" w:rsidRDefault="00047D0B" w:rsidP="00C563B5">
            <w:pPr>
              <w:rPr>
                <w:rFonts w:ascii="Arial" w:hAnsi="Arial" w:cs="Arial"/>
                <w:color w:val="000000"/>
              </w:rPr>
            </w:pPr>
            <w:r w:rsidRPr="00A343CD">
              <w:rPr>
                <w:rFonts w:ascii="Arial" w:hAnsi="Arial" w:cs="Arial"/>
                <w:color w:val="000000"/>
              </w:rPr>
              <w:t>3.60 Years</w:t>
            </w:r>
          </w:p>
        </w:tc>
      </w:tr>
      <w:tr w:rsidR="00047D0B" w:rsidRPr="00A343CD" w14:paraId="3F4F15DB"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85C8372" w14:textId="77777777" w:rsidR="00047D0B" w:rsidRPr="00A343CD" w:rsidRDefault="00047D0B" w:rsidP="00C563B5">
            <w:pPr>
              <w:rPr>
                <w:rFonts w:ascii="Arial" w:hAnsi="Arial" w:cs="Arial"/>
                <w:color w:val="000000"/>
              </w:rPr>
            </w:pPr>
            <w:r w:rsidRPr="00A343CD">
              <w:rPr>
                <w:rFonts w:ascii="Arial" w:hAnsi="Arial" w:cs="Arial"/>
                <w:color w:val="000000"/>
              </w:rPr>
              <w:t>Pay Back Period Discounted</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02B759E" w14:textId="77777777" w:rsidR="00047D0B" w:rsidRPr="00A343CD" w:rsidRDefault="00047D0B" w:rsidP="00C563B5">
            <w:pPr>
              <w:rPr>
                <w:rFonts w:ascii="Arial" w:hAnsi="Arial" w:cs="Arial"/>
                <w:color w:val="000000"/>
              </w:rPr>
            </w:pPr>
            <w:r w:rsidRPr="00A343CD">
              <w:rPr>
                <w:rFonts w:ascii="Arial" w:hAnsi="Arial" w:cs="Arial"/>
                <w:color w:val="000000"/>
              </w:rPr>
              <w:t>4.73 Years</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E4C19FF" w14:textId="77777777" w:rsidR="00047D0B" w:rsidRPr="00A343CD" w:rsidRDefault="00047D0B" w:rsidP="00C563B5">
            <w:pPr>
              <w:rPr>
                <w:rFonts w:ascii="Arial" w:hAnsi="Arial" w:cs="Arial"/>
                <w:color w:val="000000"/>
              </w:rPr>
            </w:pPr>
            <w:r w:rsidRPr="00A343CD">
              <w:rPr>
                <w:rFonts w:ascii="Arial" w:hAnsi="Arial" w:cs="Arial"/>
                <w:color w:val="000000"/>
              </w:rPr>
              <w:t>Not recover within 5 Years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88E1F2F" w14:textId="77777777" w:rsidR="00047D0B" w:rsidRPr="00A343CD" w:rsidRDefault="00047D0B" w:rsidP="00C563B5">
            <w:pPr>
              <w:rPr>
                <w:rFonts w:ascii="Arial" w:hAnsi="Arial" w:cs="Arial"/>
                <w:color w:val="000000"/>
              </w:rPr>
            </w:pPr>
            <w:r w:rsidRPr="00A343CD">
              <w:rPr>
                <w:rFonts w:ascii="Arial" w:hAnsi="Arial" w:cs="Arial"/>
                <w:color w:val="000000"/>
              </w:rPr>
              <w:t>4.55 Years</w:t>
            </w:r>
          </w:p>
        </w:tc>
      </w:tr>
      <w:tr w:rsidR="00047D0B" w:rsidRPr="00A343CD" w14:paraId="7DBAC42F"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8064CD9" w14:textId="77777777" w:rsidR="00047D0B" w:rsidRPr="00A343CD" w:rsidRDefault="00047D0B" w:rsidP="00C563B5">
            <w:pPr>
              <w:rPr>
                <w:rFonts w:ascii="Arial" w:hAnsi="Arial" w:cs="Arial"/>
                <w:color w:val="000000"/>
              </w:rPr>
            </w:pPr>
            <w:r w:rsidRPr="00A343CD">
              <w:rPr>
                <w:rFonts w:ascii="Arial" w:hAnsi="Arial" w:cs="Arial"/>
                <w:color w:val="000000"/>
              </w:rPr>
              <w:t>ARR (%)</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4BEF5F4" w14:textId="77777777" w:rsidR="00047D0B" w:rsidRPr="00A343CD" w:rsidRDefault="00047D0B" w:rsidP="00C563B5">
            <w:pPr>
              <w:rPr>
                <w:rFonts w:ascii="Arial" w:hAnsi="Arial" w:cs="Arial"/>
                <w:color w:val="000000"/>
              </w:rPr>
            </w:pPr>
            <w:r w:rsidRPr="00A343CD">
              <w:rPr>
                <w:rFonts w:ascii="Arial" w:hAnsi="Arial" w:cs="Arial"/>
                <w:color w:val="000000"/>
              </w:rPr>
              <w:t>7.00%</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CEE524E" w14:textId="77777777" w:rsidR="00047D0B" w:rsidRPr="00A343CD" w:rsidRDefault="00047D0B" w:rsidP="00C563B5">
            <w:pPr>
              <w:rPr>
                <w:rFonts w:ascii="Arial" w:hAnsi="Arial" w:cs="Arial"/>
                <w:color w:val="000000"/>
              </w:rPr>
            </w:pPr>
            <w:r w:rsidRPr="00A343CD">
              <w:rPr>
                <w:rFonts w:ascii="Arial" w:hAnsi="Arial" w:cs="Arial"/>
                <w:color w:val="000000"/>
              </w:rPr>
              <w:t>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DD84ACF" w14:textId="77777777" w:rsidR="00047D0B" w:rsidRPr="00A343CD" w:rsidRDefault="00047D0B" w:rsidP="00C563B5">
            <w:pPr>
              <w:rPr>
                <w:rFonts w:ascii="Arial" w:hAnsi="Arial" w:cs="Arial"/>
                <w:color w:val="000000"/>
              </w:rPr>
            </w:pPr>
            <w:r w:rsidRPr="00A343CD">
              <w:rPr>
                <w:rFonts w:ascii="Arial" w:hAnsi="Arial" w:cs="Arial"/>
                <w:color w:val="000000"/>
              </w:rPr>
              <w:t>10.00%</w:t>
            </w:r>
          </w:p>
        </w:tc>
      </w:tr>
      <w:tr w:rsidR="00047D0B" w:rsidRPr="00A343CD" w14:paraId="0A4EC98D"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10528E1" w14:textId="77777777" w:rsidR="00047D0B" w:rsidRPr="00A343CD" w:rsidRDefault="00047D0B" w:rsidP="00C563B5">
            <w:pPr>
              <w:rPr>
                <w:rFonts w:ascii="Arial" w:hAnsi="Arial" w:cs="Arial"/>
                <w:color w:val="000000"/>
              </w:rPr>
            </w:pPr>
            <w:r w:rsidRPr="00A343CD">
              <w:rPr>
                <w:rFonts w:ascii="Arial" w:hAnsi="Arial" w:cs="Arial"/>
                <w:color w:val="000000"/>
              </w:rPr>
              <w:t>NPV (£m)</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DFDDF22" w14:textId="77777777" w:rsidR="00047D0B" w:rsidRPr="00A343CD" w:rsidRDefault="00047D0B" w:rsidP="00C563B5">
            <w:pPr>
              <w:rPr>
                <w:rFonts w:ascii="Arial" w:hAnsi="Arial" w:cs="Arial"/>
                <w:color w:val="000000"/>
              </w:rPr>
            </w:pPr>
            <w:r w:rsidRPr="00A343CD">
              <w:rPr>
                <w:rFonts w:ascii="Arial" w:hAnsi="Arial" w:cs="Arial"/>
                <w:color w:val="000000"/>
              </w:rPr>
              <w:t>1.324177</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F65F950" w14:textId="77777777" w:rsidR="00047D0B" w:rsidRPr="00A343CD" w:rsidRDefault="00047D0B" w:rsidP="00C563B5">
            <w:pPr>
              <w:rPr>
                <w:rFonts w:ascii="Arial" w:hAnsi="Arial" w:cs="Arial"/>
                <w:color w:val="000000"/>
              </w:rPr>
            </w:pPr>
            <w:r w:rsidRPr="00A343CD">
              <w:rPr>
                <w:rFonts w:ascii="Arial" w:hAnsi="Arial" w:cs="Arial"/>
                <w:color w:val="000000"/>
              </w:rPr>
              <w:t>-7.255279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61A4ED4" w14:textId="77777777" w:rsidR="00047D0B" w:rsidRPr="00A343CD" w:rsidRDefault="00047D0B" w:rsidP="00C563B5">
            <w:pPr>
              <w:rPr>
                <w:rFonts w:ascii="Arial" w:hAnsi="Arial" w:cs="Arial"/>
                <w:color w:val="000000"/>
              </w:rPr>
            </w:pPr>
            <w:r w:rsidRPr="00A343CD">
              <w:rPr>
                <w:rFonts w:ascii="Arial" w:hAnsi="Arial" w:cs="Arial"/>
                <w:color w:val="000000"/>
              </w:rPr>
              <w:t>4.225370</w:t>
            </w:r>
          </w:p>
        </w:tc>
      </w:tr>
      <w:tr w:rsidR="00047D0B" w:rsidRPr="00A343CD" w14:paraId="753C67D3"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B96D1FC" w14:textId="77777777" w:rsidR="00047D0B" w:rsidRPr="00A343CD" w:rsidRDefault="00047D0B" w:rsidP="00C563B5">
            <w:pPr>
              <w:rPr>
                <w:rFonts w:ascii="Arial" w:hAnsi="Arial" w:cs="Arial"/>
                <w:color w:val="000000"/>
              </w:rPr>
            </w:pPr>
            <w:r w:rsidRPr="00A343CD">
              <w:rPr>
                <w:rFonts w:ascii="Arial" w:hAnsi="Arial" w:cs="Arial"/>
                <w:color w:val="000000"/>
              </w:rPr>
              <w:lastRenderedPageBreak/>
              <w:t>PI</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4026705" w14:textId="77777777" w:rsidR="00047D0B" w:rsidRPr="00A343CD" w:rsidRDefault="00047D0B" w:rsidP="00C563B5">
            <w:pPr>
              <w:rPr>
                <w:rFonts w:ascii="Arial" w:hAnsi="Arial" w:cs="Arial"/>
                <w:color w:val="000000"/>
              </w:rPr>
            </w:pPr>
            <w:r w:rsidRPr="00A343CD">
              <w:rPr>
                <w:rFonts w:ascii="Arial" w:hAnsi="Arial" w:cs="Arial"/>
                <w:color w:val="000000"/>
              </w:rPr>
              <w:t>1.033104</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B3706AD" w14:textId="77777777" w:rsidR="00047D0B" w:rsidRPr="00A343CD" w:rsidRDefault="00047D0B" w:rsidP="00C563B5">
            <w:pPr>
              <w:rPr>
                <w:rFonts w:ascii="Arial" w:hAnsi="Arial" w:cs="Arial"/>
                <w:color w:val="000000"/>
              </w:rPr>
            </w:pPr>
            <w:r w:rsidRPr="00A343CD">
              <w:rPr>
                <w:rFonts w:ascii="Arial" w:hAnsi="Arial" w:cs="Arial"/>
                <w:color w:val="000000"/>
              </w:rPr>
              <w:t>0.758157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9080F36" w14:textId="77777777" w:rsidR="00047D0B" w:rsidRPr="00A343CD" w:rsidRDefault="00047D0B" w:rsidP="00C563B5">
            <w:pPr>
              <w:rPr>
                <w:rFonts w:ascii="Arial" w:hAnsi="Arial" w:cs="Arial"/>
                <w:color w:val="000000"/>
              </w:rPr>
            </w:pPr>
            <w:r w:rsidRPr="00A343CD">
              <w:rPr>
                <w:rFonts w:ascii="Arial" w:hAnsi="Arial" w:cs="Arial"/>
                <w:color w:val="000000"/>
              </w:rPr>
              <w:t>1.084507</w:t>
            </w:r>
          </w:p>
        </w:tc>
      </w:tr>
      <w:tr w:rsidR="00047D0B" w:rsidRPr="00A343CD" w14:paraId="79D6F44F"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968085C" w14:textId="77777777" w:rsidR="00047D0B" w:rsidRPr="00A343CD" w:rsidRDefault="00047D0B" w:rsidP="00C563B5">
            <w:pPr>
              <w:rPr>
                <w:rFonts w:ascii="Arial" w:hAnsi="Arial" w:cs="Arial"/>
                <w:color w:val="000000"/>
              </w:rPr>
            </w:pPr>
            <w:r w:rsidRPr="00A343CD">
              <w:rPr>
                <w:rFonts w:ascii="Arial" w:hAnsi="Arial" w:cs="Arial"/>
                <w:color w:val="000000"/>
              </w:rPr>
              <w:t>IRR (%)</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7156AE5" w14:textId="77777777" w:rsidR="00047D0B" w:rsidRPr="00A343CD" w:rsidRDefault="00047D0B" w:rsidP="00C563B5">
            <w:pPr>
              <w:rPr>
                <w:rFonts w:ascii="Arial" w:hAnsi="Arial" w:cs="Arial"/>
                <w:color w:val="000000"/>
              </w:rPr>
            </w:pPr>
            <w:r w:rsidRPr="00A343CD">
              <w:rPr>
                <w:rFonts w:ascii="Arial" w:hAnsi="Arial" w:cs="Arial"/>
                <w:color w:val="000000"/>
              </w:rPr>
              <w:t>11.327177</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BB292E2" w14:textId="77777777" w:rsidR="00047D0B" w:rsidRPr="00A343CD" w:rsidRDefault="00047D0B" w:rsidP="00C563B5">
            <w:pPr>
              <w:rPr>
                <w:rFonts w:ascii="Arial" w:hAnsi="Arial" w:cs="Arial"/>
                <w:color w:val="000000"/>
              </w:rPr>
            </w:pPr>
            <w:r w:rsidRPr="00A343CD">
              <w:rPr>
                <w:rFonts w:ascii="Arial" w:hAnsi="Arial" w:cs="Arial"/>
                <w:color w:val="000000"/>
              </w:rPr>
              <w:t>0.000000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CB9AAB6" w14:textId="77777777" w:rsidR="00047D0B" w:rsidRPr="00A343CD" w:rsidRDefault="00047D0B" w:rsidP="00C563B5">
            <w:pPr>
              <w:rPr>
                <w:rFonts w:ascii="Arial" w:hAnsi="Arial" w:cs="Arial"/>
                <w:color w:val="000000"/>
              </w:rPr>
            </w:pPr>
            <w:r w:rsidRPr="00A343CD">
              <w:rPr>
                <w:rFonts w:ascii="Arial" w:hAnsi="Arial" w:cs="Arial"/>
                <w:color w:val="000000"/>
              </w:rPr>
              <w:t>12.719763</w:t>
            </w:r>
          </w:p>
        </w:tc>
      </w:tr>
    </w:tbl>
    <w:p w14:paraId="466785FE" w14:textId="77777777" w:rsidR="00047D0B" w:rsidRPr="00A343CD" w:rsidRDefault="00047D0B" w:rsidP="00047D0B">
      <w:pPr>
        <w:spacing w:after="0" w:line="276" w:lineRule="auto"/>
        <w:rPr>
          <w:rFonts w:ascii="Arial" w:hAnsi="Arial" w:cs="Arial"/>
        </w:rPr>
      </w:pPr>
    </w:p>
    <w:p w14:paraId="0C8C2E87" w14:textId="77777777" w:rsidR="00047D0B" w:rsidRPr="00A343CD" w:rsidRDefault="00047D0B" w:rsidP="00047D0B">
      <w:pPr>
        <w:rPr>
          <w:rFonts w:ascii="Arial" w:hAnsi="Arial" w:cs="Arial"/>
        </w:rPr>
      </w:pPr>
      <w:r w:rsidRPr="00A343CD">
        <w:rPr>
          <w:rFonts w:ascii="Arial" w:hAnsi="Arial" w:cs="Arial"/>
        </w:rPr>
        <w:t xml:space="preserve">Based on the output of the spreadsheet, the payback of the project, as to propose an undiscounted payback and a discounted payback is 3.40 and 4.73 years respectively, with ARR of 7.0, NPV of PS 1.324m, PI 1.033, and IRR 11.33. Project B has a payback of 5.00 years with no discounted payback based on the 5 years, and a payback of 5.00 years on a non-discounted basis, and the ARR, NPV, PI, and IRR have been reported as 0, -PS 7.255m, 0.758, and 0 respectively. The payback of project C in years, both without discount and with discount is 3.60 and 4.55 years and its ARR, NPV, PI and IRR are 10.0, PS 4.225m, 1.085 and 12.72 respectively. </w:t>
      </w:r>
    </w:p>
    <w:p w14:paraId="78E1AEEE" w14:textId="77777777" w:rsidR="00047D0B" w:rsidRPr="00A343CD" w:rsidRDefault="00047D0B" w:rsidP="00047D0B">
      <w:pPr>
        <w:rPr>
          <w:rFonts w:ascii="Arial" w:hAnsi="Arial" w:cs="Arial"/>
        </w:rPr>
      </w:pPr>
      <w:r w:rsidRPr="00A343CD">
        <w:rPr>
          <w:rFonts w:ascii="Arial" w:hAnsi="Arial" w:cs="Arial"/>
        </w:rPr>
        <w:t>According to value-creation the NPV and PI outcomes would give uniform hierarchy, with C topping the list, A as average but weaker, and B value destruction. According to the usual rules of the capital budgeting decision making, a project with NPV &gt; 0 and PI &gt; 1 can be considered acceptable in terms of finance, and the negative NPV will show that the project is likely to decrease the value of the firm at the selected discount rate. This right away implies rejection of Project B and a welcome to Projects A and C on their own merit without taking capital rationing into consideration.</w:t>
      </w:r>
    </w:p>
    <w:p w14:paraId="0500E204" w14:textId="77777777" w:rsidR="00047D0B" w:rsidRPr="00A343CD" w:rsidRDefault="00047D0B" w:rsidP="00047D0B">
      <w:pPr>
        <w:pStyle w:val="Heading2"/>
        <w:spacing w:line="276" w:lineRule="auto"/>
        <w:rPr>
          <w:rFonts w:ascii="Arial" w:hAnsi="Arial" w:cs="Arial"/>
        </w:rPr>
      </w:pPr>
      <w:bookmarkStart w:id="51" w:name="_Toc217295024"/>
      <w:bookmarkStart w:id="52" w:name="_Toc217298632"/>
      <w:r w:rsidRPr="00A343CD">
        <w:rPr>
          <w:rFonts w:ascii="Arial" w:hAnsi="Arial" w:cs="Arial"/>
        </w:rPr>
        <w:t>4.2. Financial Metrics: Some of the key factors.</w:t>
      </w:r>
      <w:bookmarkEnd w:id="51"/>
      <w:bookmarkEnd w:id="52"/>
    </w:p>
    <w:p w14:paraId="0DEB692E" w14:textId="77777777" w:rsidR="00047D0B" w:rsidRPr="00A343CD" w:rsidRDefault="00047D0B" w:rsidP="00047D0B">
      <w:pPr>
        <w:pStyle w:val="NormalWeb"/>
        <w:spacing w:after="0" w:line="276" w:lineRule="auto"/>
        <w:rPr>
          <w:rFonts w:ascii="Arial" w:hAnsi="Arial" w:cs="Arial"/>
          <w:b/>
          <w:bCs/>
          <w:sz w:val="21"/>
          <w:szCs w:val="21"/>
        </w:rPr>
      </w:pPr>
    </w:p>
    <w:p w14:paraId="1B2EC641" w14:textId="77777777" w:rsidR="00047D0B" w:rsidRPr="00A343CD" w:rsidRDefault="00047D0B" w:rsidP="00047D0B">
      <w:pPr>
        <w:pStyle w:val="NormalWeb"/>
        <w:spacing w:after="0" w:line="276" w:lineRule="auto"/>
        <w:rPr>
          <w:rFonts w:ascii="Arial" w:hAnsi="Arial" w:cs="Arial"/>
          <w:b/>
          <w:bCs/>
          <w:sz w:val="21"/>
          <w:szCs w:val="21"/>
        </w:rPr>
      </w:pPr>
      <w:r w:rsidRPr="00A343CD">
        <w:rPr>
          <w:rFonts w:ascii="Arial" w:hAnsi="Arial" w:cs="Arial"/>
          <w:b/>
          <w:bCs/>
          <w:sz w:val="21"/>
          <w:szCs w:val="21"/>
        </w:rPr>
        <w:t>Payback Period</w:t>
      </w:r>
    </w:p>
    <w:p w14:paraId="6C787C75" w14:textId="77777777" w:rsidR="00047D0B" w:rsidRPr="00A343CD" w:rsidRDefault="00047D0B" w:rsidP="00047D0B">
      <w:pPr>
        <w:rPr>
          <w:rFonts w:ascii="Arial" w:hAnsi="Arial" w:cs="Arial"/>
        </w:rPr>
      </w:pPr>
      <w:r w:rsidRPr="00A343CD">
        <w:rPr>
          <w:rFonts w:ascii="Arial" w:hAnsi="Arial" w:cs="Arial"/>
        </w:rPr>
        <w:t>According to the payback results, the initial investment of Projects A, C is recovered within a very short period of time (3.40 and 3.60 years accordingly) in the absence of a discount factor, and under the discount factor is not recovered after five years, which is the horizon considered in the payback results. Payback is commonly understood as a liquidity oriented metric: it is an approximation as to the speed at which the investment recovers cash to the business, and is commonly applied where the terms of financing are stringent, or where the managerial factor in focus is the prompt recovery of cash (Ruegg, 1990).</w:t>
      </w:r>
    </w:p>
    <w:p w14:paraId="654B9454" w14:textId="752222E8" w:rsidR="00047D0B" w:rsidRPr="00A343CD" w:rsidRDefault="00047D0B" w:rsidP="00047D0B">
      <w:pPr>
        <w:rPr>
          <w:rFonts w:ascii="Arial" w:hAnsi="Arial" w:cs="Arial"/>
        </w:rPr>
      </w:pPr>
      <w:r w:rsidRPr="00A343CD">
        <w:rPr>
          <w:rFonts w:ascii="Arial" w:hAnsi="Arial" w:cs="Arial"/>
        </w:rPr>
        <w:t xml:space="preserve">The main academic shortcoming of simple payback however is that it does not consider time value of money and cash flows occurring after the cut off of the payback period which may </w:t>
      </w:r>
      <w:r w:rsidR="00AF49E7" w:rsidRPr="00A343CD">
        <w:rPr>
          <w:rFonts w:ascii="Arial" w:hAnsi="Arial" w:cs="Arial"/>
        </w:rPr>
        <w:t>favour</w:t>
      </w:r>
      <w:r w:rsidRPr="00A343CD">
        <w:rPr>
          <w:rFonts w:ascii="Arial" w:hAnsi="Arial" w:cs="Arial"/>
        </w:rPr>
        <w:t xml:space="preserve"> decisions in value creating but longer maturity projects. Discounted payback addresses the problem of time value by discounting the cash </w:t>
      </w:r>
      <w:r w:rsidRPr="00A343CD">
        <w:rPr>
          <w:rFonts w:ascii="Arial" w:hAnsi="Arial" w:cs="Arial"/>
        </w:rPr>
        <w:lastRenderedPageBreak/>
        <w:t>flows, but it still cuts the value at the recovery point and so cannot be used to maximize values as NPV is.</w:t>
      </w:r>
    </w:p>
    <w:p w14:paraId="1F865639" w14:textId="77777777" w:rsidR="00047D0B" w:rsidRPr="00A343CD" w:rsidRDefault="00047D0B" w:rsidP="00047D0B">
      <w:pPr>
        <w:rPr>
          <w:rFonts w:ascii="Arial" w:hAnsi="Arial" w:cs="Arial"/>
        </w:rPr>
      </w:pPr>
      <w:r w:rsidRPr="00A343CD">
        <w:rPr>
          <w:rFonts w:ascii="Arial" w:hAnsi="Arial" w:cs="Arial"/>
        </w:rPr>
        <w:t>Viewing them within the framework of this interpretation, A seems to be a bit better in the terms of simple payback, that is, A will be able to recoup cash a bit sooner (3.40 vs 3.60 years). However, ordering is reversed in the discounted payback (C at 4.55 years vs A at 4.73 years) which suggests that, with discounting an expense of 10 percent, the cash would be recovered by C sooner. The implication here is that the additional cash inflows over later years (Project C Years 3-5) are high enough that, at a discount, they get used in increasing the value and reducing the discounted recovery period as compared to A.</w:t>
      </w:r>
    </w:p>
    <w:p w14:paraId="7FA69E46" w14:textId="77777777" w:rsidR="00047D0B" w:rsidRPr="00A343CD" w:rsidRDefault="00047D0B" w:rsidP="00047D0B">
      <w:pPr>
        <w:rPr>
          <w:rFonts w:ascii="Arial" w:hAnsi="Arial" w:cs="Arial"/>
          <w:b/>
          <w:bCs/>
        </w:rPr>
      </w:pPr>
      <w:r w:rsidRPr="00A343CD">
        <w:rPr>
          <w:rFonts w:ascii="Arial" w:hAnsi="Arial" w:cs="Arial"/>
          <w:b/>
          <w:bCs/>
        </w:rPr>
        <w:t>ARR (Accounting rate of Return)</w:t>
      </w:r>
    </w:p>
    <w:p w14:paraId="3612CDE7" w14:textId="77777777" w:rsidR="00047D0B" w:rsidRPr="00A343CD" w:rsidRDefault="00047D0B" w:rsidP="00047D0B">
      <w:pPr>
        <w:rPr>
          <w:rFonts w:ascii="Arial" w:hAnsi="Arial" w:cs="Arial"/>
        </w:rPr>
      </w:pPr>
      <w:r w:rsidRPr="00A343CD">
        <w:rPr>
          <w:rFonts w:ascii="Arial" w:hAnsi="Arial" w:cs="Arial"/>
        </w:rPr>
        <w:t>What the ARR will provide us with is the profitability of a project, and the anticipated profit shall be projected as a percentage of the initial investments. The higher ARR provides a more profitable venture (Investopedia, 2022).</w:t>
      </w:r>
    </w:p>
    <w:p w14:paraId="0A71F51B" w14:textId="77777777" w:rsidR="00047D0B" w:rsidRPr="00A343CD" w:rsidRDefault="00047D0B" w:rsidP="00047D0B">
      <w:pPr>
        <w:rPr>
          <w:rFonts w:ascii="Arial" w:hAnsi="Arial" w:cs="Arial"/>
        </w:rPr>
      </w:pPr>
      <w:r w:rsidRPr="00A343CD">
        <w:rPr>
          <w:rFonts w:ascii="Arial" w:hAnsi="Arial" w:cs="Arial"/>
        </w:rPr>
        <w:t xml:space="preserve"> Project A will provide an average ARR of 7%. This is not a break-thru performance but it is a good contribution to the PS 40 million investment.</w:t>
      </w:r>
    </w:p>
    <w:p w14:paraId="50D4CCA6" w14:textId="77777777" w:rsidR="00047D0B" w:rsidRPr="00A343CD" w:rsidRDefault="00047D0B" w:rsidP="00047D0B">
      <w:pPr>
        <w:rPr>
          <w:rFonts w:ascii="Arial" w:hAnsi="Arial" w:cs="Arial"/>
        </w:rPr>
      </w:pPr>
      <w:r w:rsidRPr="00A343CD">
        <w:rPr>
          <w:rFonts w:ascii="Arial" w:hAnsi="Arial" w:cs="Arial"/>
        </w:rPr>
        <w:t xml:space="preserve"> Project B will be defined by an ARR of 0 percent, which can be considered alarming because it implies that no Net Sales are likely to be brought by the project in comparison with the initial investment.</w:t>
      </w:r>
    </w:p>
    <w:p w14:paraId="0EBBCCDB" w14:textId="77777777" w:rsidR="00047D0B" w:rsidRPr="00A343CD" w:rsidRDefault="00047D0B" w:rsidP="00047D0B">
      <w:pPr>
        <w:rPr>
          <w:rFonts w:ascii="Arial" w:hAnsi="Arial" w:cs="Arial"/>
        </w:rPr>
      </w:pPr>
      <w:r w:rsidRPr="00A343CD">
        <w:rPr>
          <w:rFonts w:ascii="Arial" w:hAnsi="Arial" w:cs="Arial"/>
        </w:rPr>
        <w:t xml:space="preserve"> Project C is the most profitable since it will base on 10 percent accounting return.</w:t>
      </w:r>
    </w:p>
    <w:p w14:paraId="55AEAB26" w14:textId="77777777" w:rsidR="00047D0B" w:rsidRPr="00A343CD" w:rsidRDefault="00047D0B" w:rsidP="00047D0B">
      <w:pPr>
        <w:rPr>
          <w:rFonts w:ascii="Arial" w:hAnsi="Arial" w:cs="Arial"/>
        </w:rPr>
      </w:pPr>
      <w:r w:rsidRPr="00A343CD">
        <w:rPr>
          <w:rFonts w:ascii="Arial" w:hAnsi="Arial" w:cs="Arial"/>
        </w:rPr>
        <w:t>Project C is clearly doing the best performance on the top ARR against the other performance. Project A would also yield a good payoff of 7% though the0% ARR of Project B would render it undesirable in terms of profitability.</w:t>
      </w:r>
    </w:p>
    <w:p w14:paraId="28E8B67C" w14:textId="77777777" w:rsidR="00047D0B" w:rsidRPr="00A343CD" w:rsidRDefault="00047D0B" w:rsidP="00047D0B">
      <w:pPr>
        <w:rPr>
          <w:rFonts w:ascii="Arial" w:hAnsi="Arial" w:cs="Arial"/>
          <w:b/>
          <w:bCs/>
        </w:rPr>
      </w:pPr>
      <w:r w:rsidRPr="00A343CD">
        <w:rPr>
          <w:rFonts w:ascii="Arial" w:hAnsi="Arial" w:cs="Arial"/>
          <w:b/>
          <w:bCs/>
        </w:rPr>
        <w:t>NPV (Net Present Value)</w:t>
      </w:r>
    </w:p>
    <w:p w14:paraId="02AD792F" w14:textId="77777777" w:rsidR="00047D0B" w:rsidRPr="00A343CD" w:rsidRDefault="00047D0B" w:rsidP="00047D0B">
      <w:pPr>
        <w:rPr>
          <w:rFonts w:ascii="Arial" w:hAnsi="Arial" w:cs="Arial"/>
        </w:rPr>
      </w:pPr>
      <w:r w:rsidRPr="00A343CD">
        <w:rPr>
          <w:rFonts w:ascii="Arial" w:hAnsi="Arial" w:cs="Arial"/>
        </w:rPr>
        <w:t xml:space="preserve">The theoretically desirable criterion when it is desirable to maximize shareholder wealth is NPV as it establishes the absolute value added after discounting cash flows in the future at an opportunity cost of capital (10 percent in this case). They are that Project C has the greatest NPV (PS 4.225m), then Project A (PS 1.324m) but Project B NPV is negative (-PS 7.255m). This implies that at 10 percent discount rate, C would </w:t>
      </w:r>
      <w:r w:rsidRPr="00A343CD">
        <w:rPr>
          <w:rFonts w:ascii="Arial" w:hAnsi="Arial" w:cs="Arial"/>
        </w:rPr>
        <w:lastRenderedPageBreak/>
        <w:t>most likely increase economic value than A and B would most likely destroy value even prior to rationing.</w:t>
      </w:r>
    </w:p>
    <w:p w14:paraId="540EB426" w14:textId="77777777" w:rsidR="00047D0B" w:rsidRPr="00A343CD" w:rsidRDefault="00047D0B" w:rsidP="00047D0B">
      <w:pPr>
        <w:rPr>
          <w:rFonts w:ascii="Arial" w:hAnsi="Arial" w:cs="Arial"/>
        </w:rPr>
      </w:pPr>
      <w:r w:rsidRPr="00A343CD">
        <w:rPr>
          <w:rFonts w:ascii="Arial" w:hAnsi="Arial" w:cs="Arial"/>
        </w:rPr>
        <w:t>The second reason NPV is useful where there is conflicting signals (e.g. payback vs IRR vs PI) is that NPV is an additive measure: it directly supports making decisions on the combination of mutually constrained projects that optimizes overall value whereas IRR and payback may mis-rank mutually sizable projects or mutually cash-flow profile projects. The scale effect applies in the case since the initial outlays of A and C will differ (PS 40 m vs PS 50 m) and this may result in a situation where IRR may propose ordering A instead of C, whilst NPV would propose the opposite. It is usually advisable in the field of finance that the conflicts between the two methods should be resolved in favour of the NPV (Investopedia, 2022).</w:t>
      </w:r>
    </w:p>
    <w:p w14:paraId="5321F8DD" w14:textId="77777777" w:rsidR="00047D0B" w:rsidRPr="00A343CD" w:rsidRDefault="00047D0B" w:rsidP="00047D0B">
      <w:pPr>
        <w:rPr>
          <w:rFonts w:ascii="Arial" w:hAnsi="Arial" w:cs="Arial"/>
          <w:b/>
          <w:bCs/>
        </w:rPr>
      </w:pPr>
      <w:r w:rsidRPr="00A343CD">
        <w:rPr>
          <w:rFonts w:ascii="Arial" w:hAnsi="Arial" w:cs="Arial"/>
          <w:b/>
          <w:bCs/>
        </w:rPr>
        <w:t>Profitability Index (PI)</w:t>
      </w:r>
    </w:p>
    <w:p w14:paraId="595505B5" w14:textId="77777777" w:rsidR="00047D0B" w:rsidRPr="00A343CD" w:rsidRDefault="00047D0B" w:rsidP="00047D0B">
      <w:pPr>
        <w:rPr>
          <w:rFonts w:ascii="Arial" w:hAnsi="Arial" w:cs="Arial"/>
        </w:rPr>
      </w:pPr>
      <w:r w:rsidRPr="00A343CD">
        <w:rPr>
          <w:rFonts w:ascii="Arial" w:hAnsi="Arial" w:cs="Arial"/>
        </w:rPr>
        <w:t>PI is particularly useful under capital rationing, since it is expressed in terms of value generated per unit of investment, and can thus be used to rank it in conditions of limited capital availability. The PI results indicate that C (1.0845) is better than A (1.0331), and they are above 1, which supports the creation of positive values, whereas the PI of B is less than 1 (0.7582), which supports rejection. What this means is that, in the case of divisible projects, or in the presence of more than one viable combination of projects, a PI ranking method would give Cover A Microsoft the first preference in terms of being assigned scarce capital.</w:t>
      </w:r>
    </w:p>
    <w:p w14:paraId="2DC8DF46" w14:textId="77777777" w:rsidR="00047D0B" w:rsidRPr="00A343CD" w:rsidRDefault="00047D0B" w:rsidP="00047D0B">
      <w:pPr>
        <w:rPr>
          <w:rFonts w:ascii="Arial" w:hAnsi="Arial" w:cs="Arial"/>
        </w:rPr>
      </w:pPr>
      <w:r w:rsidRPr="00A343CD">
        <w:rPr>
          <w:rFonts w:ascii="Arial" w:hAnsi="Arial" w:cs="Arial"/>
        </w:rPr>
        <w:t>Since the projects tend to be effectively indivisible and only one project can be funded under the PS 60m limit (A + C = PS 90m does not exceed the limit) however, the choice of which project to fund will be to pick the one feasible project that will contribute the most value. When used in this context, NPV maximisation of feasible alternatives is in line with the core value maximisation principle.</w:t>
      </w:r>
    </w:p>
    <w:p w14:paraId="0E2A5733" w14:textId="77777777" w:rsidR="00047D0B" w:rsidRPr="00A343CD" w:rsidRDefault="00047D0B" w:rsidP="00047D0B">
      <w:pPr>
        <w:rPr>
          <w:rFonts w:ascii="Arial" w:hAnsi="Arial" w:cs="Arial"/>
          <w:b/>
          <w:bCs/>
        </w:rPr>
      </w:pPr>
      <w:r w:rsidRPr="00A343CD">
        <w:rPr>
          <w:rFonts w:ascii="Arial" w:hAnsi="Arial" w:cs="Arial"/>
          <w:b/>
          <w:bCs/>
        </w:rPr>
        <w:t>IRR (Internal Rate of Return)</w:t>
      </w:r>
    </w:p>
    <w:p w14:paraId="0960000B" w14:textId="2E0E57CC" w:rsidR="00047D0B" w:rsidRPr="00A343CD" w:rsidRDefault="00047D0B" w:rsidP="00047D0B">
      <w:pPr>
        <w:rPr>
          <w:rFonts w:ascii="Arial" w:hAnsi="Arial" w:cs="Arial"/>
        </w:rPr>
      </w:pPr>
      <w:r w:rsidRPr="00A343CD">
        <w:rPr>
          <w:rFonts w:ascii="Arial" w:hAnsi="Arial" w:cs="Arial"/>
        </w:rPr>
        <w:t xml:space="preserve">Project C (12.72) and A (11.33) have an IRR again above the 10% hurdle rate and are above zero, with both projects having a negative NPV and therefore a 0 IRR. Even The concept of IRR is helpful in principle because it describes returns in percentage terms and can be used to compare projects that are mutually exclusive or of different scale or </w:t>
      </w:r>
      <w:r w:rsidR="00A02DC5" w:rsidRPr="00A343CD">
        <w:rPr>
          <w:rFonts w:ascii="Arial" w:hAnsi="Arial" w:cs="Arial"/>
        </w:rPr>
        <w:t>non-standard</w:t>
      </w:r>
      <w:r w:rsidRPr="00A343CD">
        <w:rPr>
          <w:rFonts w:ascii="Arial" w:hAnsi="Arial" w:cs="Arial"/>
        </w:rPr>
        <w:t xml:space="preserve"> cash flows, but in practice, academic literature captures that </w:t>
      </w:r>
      <w:r w:rsidRPr="00A343CD">
        <w:rPr>
          <w:rFonts w:ascii="Arial" w:hAnsi="Arial" w:cs="Arial"/>
        </w:rPr>
        <w:lastRenderedPageBreak/>
        <w:t xml:space="preserve">IRR can be problematic when ranking projects. Furthermore, it has long been noted that common it has been misconceived that the underlying assumptions about reinvestment are inherent in the IRR and NPV: rather, it is best to interpret the two metrics in the following way: the reinvestment opportunities and the payout policy ought to be taken into account when </w:t>
      </w:r>
      <w:r w:rsidR="00AF49E7" w:rsidRPr="00A343CD">
        <w:rPr>
          <w:rFonts w:ascii="Arial" w:hAnsi="Arial" w:cs="Arial"/>
        </w:rPr>
        <w:t>modelling</w:t>
      </w:r>
      <w:r w:rsidRPr="00A343CD">
        <w:rPr>
          <w:rFonts w:ascii="Arial" w:hAnsi="Arial" w:cs="Arial"/>
        </w:rPr>
        <w:t xml:space="preserve"> cash flows although there is no need to reinforce the interim cash flows at IRR to have the metric satisfied (Investopedia, 2022).</w:t>
      </w:r>
    </w:p>
    <w:p w14:paraId="42EE6888" w14:textId="77777777" w:rsidR="00047D0B" w:rsidRPr="00A343CD" w:rsidRDefault="00047D0B" w:rsidP="00047D0B">
      <w:pPr>
        <w:rPr>
          <w:rFonts w:ascii="Arial" w:hAnsi="Arial" w:cs="Arial"/>
        </w:rPr>
      </w:pPr>
      <w:r w:rsidRPr="00A343CD">
        <w:rPr>
          <w:rFonts w:ascii="Arial" w:hAnsi="Arial" w:cs="Arial"/>
        </w:rPr>
        <w:t>Here, only the fact that cash flows are traditional (initial outlay and then inflows) and A is higher than C combined with the fact that C is greater than the level of the hurdle rate makes the cash flows IRR supports the acceptance, but not upon dominance of the capital rationing and value magnitude (NPV).</w:t>
      </w:r>
    </w:p>
    <w:p w14:paraId="4F2D0EA2" w14:textId="77777777" w:rsidR="00047D0B" w:rsidRPr="00A343CD" w:rsidRDefault="00047D0B" w:rsidP="00047D0B">
      <w:pPr>
        <w:pStyle w:val="Heading2"/>
        <w:spacing w:line="276" w:lineRule="auto"/>
        <w:rPr>
          <w:rFonts w:ascii="Arial" w:hAnsi="Arial" w:cs="Arial"/>
        </w:rPr>
      </w:pPr>
      <w:bookmarkStart w:id="53" w:name="_Toc217295025"/>
      <w:bookmarkStart w:id="54" w:name="_Toc217298633"/>
      <w:r w:rsidRPr="00A343CD">
        <w:rPr>
          <w:rFonts w:ascii="Arial" w:hAnsi="Arial" w:cs="Arial"/>
        </w:rPr>
        <w:t>4.3 Investment Allocation and Ratios of capital.</w:t>
      </w:r>
      <w:bookmarkEnd w:id="53"/>
      <w:bookmarkEnd w:id="54"/>
    </w:p>
    <w:p w14:paraId="0E9745E8" w14:textId="77777777" w:rsidR="00047D0B" w:rsidRPr="00A343CD" w:rsidRDefault="00047D0B" w:rsidP="00047D0B">
      <w:pPr>
        <w:pStyle w:val="NormalWeb"/>
        <w:spacing w:after="0" w:line="276" w:lineRule="auto"/>
        <w:rPr>
          <w:rFonts w:ascii="Arial" w:hAnsi="Arial" w:cs="Arial"/>
          <w:sz w:val="21"/>
          <w:szCs w:val="21"/>
        </w:rPr>
      </w:pPr>
    </w:p>
    <w:p w14:paraId="5C617BB8" w14:textId="77777777" w:rsidR="00047D0B" w:rsidRPr="00A343CD" w:rsidRDefault="00047D0B" w:rsidP="00047D0B">
      <w:pPr>
        <w:rPr>
          <w:rFonts w:ascii="Arial" w:hAnsi="Arial" w:cs="Arial"/>
        </w:rPr>
        <w:sectPr w:rsidR="00047D0B" w:rsidRPr="00A343CD" w:rsidSect="002A5663">
          <w:footerReference w:type="default" r:id="rId12"/>
          <w:pgSz w:w="11906" w:h="16838" w:code="9"/>
          <w:pgMar w:top="1440" w:right="1440" w:bottom="1440" w:left="1440" w:header="720" w:footer="720" w:gutter="0"/>
          <w:pgNumType w:start="1"/>
          <w:cols w:space="720"/>
          <w:docGrid w:linePitch="360"/>
        </w:sectPr>
      </w:pPr>
      <w:r w:rsidRPr="00A343CD">
        <w:rPr>
          <w:rFonts w:ascii="Arial" w:hAnsi="Arial" w:cs="Arial"/>
        </w:rPr>
        <w:t>The project with PS 50m equal to a capital rationing ceiling, either of the two projects may be engaged in since A (PS 40m) and C (PS 50m) will be individually viable but at the same time, will be infeasible as a value creating option owing to the negative NPV. Hence, the economically consistent option is Project C, since it generates the greatest NPV total in capital constraint (PS 4.225m vs PS 1.324m in Project A), as well as generates the greatest PI and IRR among possibilities. This suggestion is precisely consistent with the standard capital rationing reasoning: indivisible projects, and only one can be picked, the company will pick the feasible venture that maximizes wealth creation by picking the one that has a positive NPV.</w:t>
      </w:r>
    </w:p>
    <w:p w14:paraId="22D422A7" w14:textId="77777777" w:rsidR="00047D0B" w:rsidRPr="00A343CD" w:rsidRDefault="00047D0B" w:rsidP="00047D0B">
      <w:pPr>
        <w:pStyle w:val="Heading1"/>
        <w:spacing w:before="0" w:line="276" w:lineRule="auto"/>
        <w:rPr>
          <w:rFonts w:ascii="Arial" w:hAnsi="Arial" w:cs="Arial"/>
        </w:rPr>
      </w:pPr>
      <w:bookmarkStart w:id="55" w:name="_Toc217295026"/>
      <w:bookmarkStart w:id="56" w:name="_Toc217298634"/>
      <w:r w:rsidRPr="00A343CD">
        <w:rPr>
          <w:rFonts w:ascii="Arial" w:hAnsi="Arial" w:cs="Arial"/>
        </w:rPr>
        <w:lastRenderedPageBreak/>
        <w:t>5. References</w:t>
      </w:r>
      <w:bookmarkEnd w:id="55"/>
      <w:bookmarkEnd w:id="56"/>
    </w:p>
    <w:p w14:paraId="3F422E38" w14:textId="77777777" w:rsidR="00047D0B" w:rsidRPr="00A343CD" w:rsidRDefault="00047D0B" w:rsidP="00047D0B">
      <w:pPr>
        <w:rPr>
          <w:rFonts w:ascii="Arial" w:hAnsi="Arial" w:cs="Arial"/>
        </w:rPr>
      </w:pPr>
      <w:r w:rsidRPr="00A343CD">
        <w:rPr>
          <w:rFonts w:ascii="Arial" w:hAnsi="Arial" w:cs="Arial"/>
        </w:rPr>
        <w:t xml:space="preserve">Altman, E. I., 1968. Financial ratios, discriminant analysis, and the prediction of corporate bankruptcy. The Journal of Finance, 23(4), 589–609. </w:t>
      </w:r>
      <w:hyperlink r:id="rId13" w:history="1">
        <w:r w:rsidRPr="00A343CD">
          <w:rPr>
            <w:rStyle w:val="Hyperlink"/>
            <w:rFonts w:ascii="Arial" w:hAnsi="Arial" w:cs="Arial"/>
          </w:rPr>
          <w:t>https://doi.org/10.1111/j.1540-6261.1968.tb00843</w:t>
        </w:r>
      </w:hyperlink>
      <w:r w:rsidRPr="00A343CD">
        <w:rPr>
          <w:rFonts w:ascii="Arial" w:hAnsi="Arial" w:cs="Arial"/>
        </w:rPr>
        <w:t xml:space="preserve">  </w:t>
      </w:r>
    </w:p>
    <w:p w14:paraId="68F3F41B" w14:textId="77777777" w:rsidR="00047D0B" w:rsidRPr="00A343CD" w:rsidRDefault="00047D0B" w:rsidP="00047D0B">
      <w:pPr>
        <w:rPr>
          <w:rFonts w:ascii="Arial" w:hAnsi="Arial" w:cs="Arial"/>
        </w:rPr>
      </w:pPr>
      <w:proofErr w:type="spellStart"/>
      <w:r w:rsidRPr="00A343CD">
        <w:rPr>
          <w:rFonts w:ascii="Arial" w:hAnsi="Arial" w:cs="Arial"/>
        </w:rPr>
        <w:t>Atrill</w:t>
      </w:r>
      <w:proofErr w:type="spellEnd"/>
      <w:r w:rsidRPr="00A343CD">
        <w:rPr>
          <w:rFonts w:ascii="Arial" w:hAnsi="Arial" w:cs="Arial"/>
        </w:rPr>
        <w:t>, P., and McLaney, E., 2022. Accounting and finance for non-specialists (12th ed.). Pearson.</w:t>
      </w:r>
    </w:p>
    <w:p w14:paraId="71E8A0DF" w14:textId="77777777" w:rsidR="00047D0B" w:rsidRPr="00A343CD" w:rsidRDefault="00047D0B" w:rsidP="00047D0B">
      <w:pPr>
        <w:rPr>
          <w:rFonts w:ascii="Arial" w:hAnsi="Arial" w:cs="Arial"/>
        </w:rPr>
      </w:pPr>
      <w:r w:rsidRPr="00A343CD">
        <w:rPr>
          <w:rFonts w:ascii="Arial" w:hAnsi="Arial" w:cs="Arial"/>
        </w:rPr>
        <w:t xml:space="preserve">Corporate Finance Institute., 2025. Current ratio vs. quick ratio: Comparing two key liquidity ratios. </w:t>
      </w:r>
      <w:hyperlink r:id="rId14" w:history="1">
        <w:r w:rsidRPr="00A343CD">
          <w:rPr>
            <w:rStyle w:val="Hyperlink"/>
            <w:rFonts w:ascii="Arial" w:hAnsi="Arial" w:cs="Arial"/>
          </w:rPr>
          <w:t>https://corporatefinanceinstitute.com/resources/accounting/current-ratio-vs-quick-ratio/</w:t>
        </w:r>
      </w:hyperlink>
      <w:r w:rsidRPr="00A343CD">
        <w:rPr>
          <w:rFonts w:ascii="Arial" w:hAnsi="Arial" w:cs="Arial"/>
        </w:rPr>
        <w:t xml:space="preserve">  </w:t>
      </w:r>
    </w:p>
    <w:p w14:paraId="04708EE4" w14:textId="77777777" w:rsidR="00047D0B" w:rsidRPr="00A343CD" w:rsidRDefault="00047D0B" w:rsidP="00047D0B">
      <w:pPr>
        <w:rPr>
          <w:rFonts w:ascii="Arial" w:hAnsi="Arial" w:cs="Arial"/>
        </w:rPr>
      </w:pPr>
      <w:r w:rsidRPr="00A343CD">
        <w:rPr>
          <w:rFonts w:ascii="Arial" w:hAnsi="Arial" w:cs="Arial"/>
        </w:rPr>
        <w:t xml:space="preserve">Corporate Finance Institute., 2025. Interest coverage ratio (ICR). </w:t>
      </w:r>
      <w:hyperlink r:id="rId15" w:history="1">
        <w:r w:rsidRPr="00A343CD">
          <w:rPr>
            <w:rStyle w:val="Hyperlink"/>
            <w:rFonts w:ascii="Arial" w:hAnsi="Arial" w:cs="Arial"/>
          </w:rPr>
          <w:t>https://corporatefinanceinstitute.com/resources/commercial-lending/interest-coverage-ratio/</w:t>
        </w:r>
      </w:hyperlink>
      <w:r w:rsidRPr="00A343CD">
        <w:rPr>
          <w:rFonts w:ascii="Arial" w:hAnsi="Arial" w:cs="Arial"/>
        </w:rPr>
        <w:t xml:space="preserve"> </w:t>
      </w:r>
    </w:p>
    <w:p w14:paraId="6D266850" w14:textId="77777777" w:rsidR="00047D0B" w:rsidRPr="00A343CD" w:rsidRDefault="00047D0B" w:rsidP="00047D0B">
      <w:pPr>
        <w:rPr>
          <w:rFonts w:ascii="Arial" w:hAnsi="Arial" w:cs="Arial"/>
        </w:rPr>
      </w:pPr>
      <w:r w:rsidRPr="00A343CD">
        <w:rPr>
          <w:rFonts w:ascii="Arial" w:hAnsi="Arial" w:cs="Arial"/>
        </w:rPr>
        <w:t xml:space="preserve">Deloof, M., 2003. Does working capital management affect profitability of Belgian firms? Journal of Business Finance &amp; Accounting, 30(3–4), 573–588. </w:t>
      </w:r>
      <w:hyperlink r:id="rId16" w:history="1">
        <w:r w:rsidRPr="00A343CD">
          <w:rPr>
            <w:rStyle w:val="Hyperlink"/>
            <w:rFonts w:ascii="Arial" w:hAnsi="Arial" w:cs="Arial"/>
          </w:rPr>
          <w:t>https://doi.org/10.1111/1468-5957.00008</w:t>
        </w:r>
      </w:hyperlink>
      <w:r w:rsidRPr="00A343CD">
        <w:rPr>
          <w:rFonts w:ascii="Arial" w:hAnsi="Arial" w:cs="Arial"/>
        </w:rPr>
        <w:t xml:space="preserve"> </w:t>
      </w:r>
    </w:p>
    <w:p w14:paraId="757CBAB2" w14:textId="77777777" w:rsidR="00047D0B" w:rsidRPr="00A343CD" w:rsidRDefault="00047D0B" w:rsidP="00047D0B">
      <w:pPr>
        <w:rPr>
          <w:rFonts w:ascii="Arial" w:hAnsi="Arial" w:cs="Arial"/>
        </w:rPr>
      </w:pPr>
      <w:r w:rsidRPr="00A343CD">
        <w:rPr>
          <w:rFonts w:ascii="Arial" w:hAnsi="Arial" w:cs="Arial"/>
        </w:rPr>
        <w:t xml:space="preserve">Hargrave, M., 2025, October 5. Operating cash flow ratio: Definition, formula &amp; importance. Investopedia. </w:t>
      </w:r>
      <w:hyperlink r:id="rId17" w:history="1">
        <w:r w:rsidRPr="00A343CD">
          <w:rPr>
            <w:rStyle w:val="Hyperlink"/>
            <w:rFonts w:ascii="Arial" w:hAnsi="Arial" w:cs="Arial"/>
          </w:rPr>
          <w:t>https://www.investopedia.com/terms/o/ocfratio.asp</w:t>
        </w:r>
      </w:hyperlink>
      <w:r w:rsidRPr="00A343CD">
        <w:rPr>
          <w:rFonts w:ascii="Arial" w:hAnsi="Arial" w:cs="Arial"/>
        </w:rPr>
        <w:t xml:space="preserve"> </w:t>
      </w:r>
    </w:p>
    <w:p w14:paraId="4D1345C2" w14:textId="77777777" w:rsidR="00047D0B" w:rsidRPr="00A343CD" w:rsidRDefault="00047D0B" w:rsidP="00047D0B">
      <w:pPr>
        <w:rPr>
          <w:rFonts w:ascii="Arial" w:hAnsi="Arial" w:cs="Arial"/>
        </w:rPr>
      </w:pPr>
      <w:r w:rsidRPr="00A343CD">
        <w:rPr>
          <w:rFonts w:ascii="Arial" w:hAnsi="Arial" w:cs="Arial"/>
        </w:rPr>
        <w:t xml:space="preserve">Investopedia., 2022. Accounting rate of return (ARR). </w:t>
      </w:r>
      <w:hyperlink r:id="rId18" w:history="1">
        <w:r w:rsidRPr="00A343CD">
          <w:rPr>
            <w:rStyle w:val="Hyperlink"/>
            <w:rFonts w:ascii="Arial" w:hAnsi="Arial" w:cs="Arial"/>
          </w:rPr>
          <w:t>https://www.investopedia.com/terms/a/accounting-rate-of-return-arr.asp</w:t>
        </w:r>
      </w:hyperlink>
      <w:r w:rsidRPr="00A343CD">
        <w:rPr>
          <w:rFonts w:ascii="Arial" w:hAnsi="Arial" w:cs="Arial"/>
        </w:rPr>
        <w:t xml:space="preserve"> </w:t>
      </w:r>
    </w:p>
    <w:p w14:paraId="7768107F" w14:textId="77777777" w:rsidR="00047D0B" w:rsidRPr="00A343CD" w:rsidRDefault="00047D0B" w:rsidP="00047D0B">
      <w:pPr>
        <w:rPr>
          <w:rFonts w:ascii="Arial" w:hAnsi="Arial" w:cs="Arial"/>
        </w:rPr>
      </w:pPr>
      <w:r w:rsidRPr="00A343CD">
        <w:rPr>
          <w:rFonts w:ascii="Arial" w:hAnsi="Arial" w:cs="Arial"/>
        </w:rPr>
        <w:t xml:space="preserve">Investopedia., 2022. Internal rate of return (IRR). </w:t>
      </w:r>
      <w:hyperlink r:id="rId19" w:history="1">
        <w:r w:rsidRPr="00A343CD">
          <w:rPr>
            <w:rStyle w:val="Hyperlink"/>
            <w:rFonts w:ascii="Arial" w:hAnsi="Arial" w:cs="Arial"/>
          </w:rPr>
          <w:t>https://www.investopedia.com/terms/i/irr.asp</w:t>
        </w:r>
      </w:hyperlink>
      <w:r w:rsidRPr="00A343CD">
        <w:rPr>
          <w:rFonts w:ascii="Arial" w:hAnsi="Arial" w:cs="Arial"/>
        </w:rPr>
        <w:t xml:space="preserve"> </w:t>
      </w:r>
    </w:p>
    <w:p w14:paraId="6E4DBCFD" w14:textId="77777777" w:rsidR="00047D0B" w:rsidRPr="00A343CD" w:rsidRDefault="00047D0B" w:rsidP="00047D0B">
      <w:pPr>
        <w:rPr>
          <w:rFonts w:ascii="Arial" w:hAnsi="Arial" w:cs="Arial"/>
        </w:rPr>
      </w:pPr>
      <w:r w:rsidRPr="00A343CD">
        <w:rPr>
          <w:rFonts w:ascii="Arial" w:hAnsi="Arial" w:cs="Arial"/>
        </w:rPr>
        <w:t xml:space="preserve">Investopedia., 2022. Net present value (NPV). </w:t>
      </w:r>
      <w:hyperlink r:id="rId20" w:history="1">
        <w:r w:rsidRPr="00A343CD">
          <w:rPr>
            <w:rStyle w:val="Hyperlink"/>
            <w:rFonts w:ascii="Arial" w:hAnsi="Arial" w:cs="Arial"/>
          </w:rPr>
          <w:t>https://www.investopedia.com/terms/n/npv.asp</w:t>
        </w:r>
      </w:hyperlink>
      <w:r w:rsidRPr="00A343CD">
        <w:rPr>
          <w:rFonts w:ascii="Arial" w:hAnsi="Arial" w:cs="Arial"/>
        </w:rPr>
        <w:t xml:space="preserve"> </w:t>
      </w:r>
    </w:p>
    <w:p w14:paraId="375822A2" w14:textId="77777777" w:rsidR="00047D0B" w:rsidRPr="00A343CD" w:rsidRDefault="00047D0B" w:rsidP="00047D0B">
      <w:pPr>
        <w:rPr>
          <w:rFonts w:ascii="Arial" w:hAnsi="Arial" w:cs="Arial"/>
        </w:rPr>
      </w:pPr>
      <w:r w:rsidRPr="00A343CD">
        <w:rPr>
          <w:rFonts w:ascii="Arial" w:hAnsi="Arial" w:cs="Arial"/>
        </w:rPr>
        <w:t xml:space="preserve">Investopedia Staff., 2025. Can stocks have a negative price-to-earnings (P/E) ratio? Investopedia. </w:t>
      </w:r>
      <w:hyperlink r:id="rId21" w:history="1">
        <w:r w:rsidRPr="00A343CD">
          <w:rPr>
            <w:rStyle w:val="Hyperlink"/>
            <w:rFonts w:ascii="Arial" w:hAnsi="Arial" w:cs="Arial"/>
          </w:rPr>
          <w:t>https://www.investopedia.com/ask/answers/05/negativeeps.asp</w:t>
        </w:r>
      </w:hyperlink>
      <w:r w:rsidRPr="00A343CD">
        <w:rPr>
          <w:rFonts w:ascii="Arial" w:hAnsi="Arial" w:cs="Arial"/>
        </w:rPr>
        <w:t xml:space="preserve"> </w:t>
      </w:r>
    </w:p>
    <w:p w14:paraId="4B3569E8" w14:textId="77777777" w:rsidR="00047D0B" w:rsidRPr="00A343CD" w:rsidRDefault="00047D0B" w:rsidP="00047D0B">
      <w:pPr>
        <w:rPr>
          <w:rFonts w:ascii="Arial" w:hAnsi="Arial" w:cs="Arial"/>
        </w:rPr>
      </w:pPr>
      <w:r w:rsidRPr="00A343CD">
        <w:rPr>
          <w:rFonts w:ascii="Arial" w:hAnsi="Arial" w:cs="Arial"/>
        </w:rPr>
        <w:lastRenderedPageBreak/>
        <w:t xml:space="preserve">Lohmann, J. R., 1988. The IRR, NPV and the fallacy of the reinvestment rate assumptions. The Engineering Economist, 33(4), 303–330. </w:t>
      </w:r>
      <w:hyperlink r:id="rId22" w:history="1">
        <w:r w:rsidRPr="00A343CD">
          <w:rPr>
            <w:rStyle w:val="Hyperlink"/>
            <w:rFonts w:ascii="Arial" w:hAnsi="Arial" w:cs="Arial"/>
          </w:rPr>
          <w:t>https://doi.org/10.1080/00137918808966959</w:t>
        </w:r>
      </w:hyperlink>
      <w:r w:rsidRPr="00A343CD">
        <w:rPr>
          <w:rFonts w:ascii="Arial" w:hAnsi="Arial" w:cs="Arial"/>
        </w:rPr>
        <w:t xml:space="preserve"> </w:t>
      </w:r>
    </w:p>
    <w:p w14:paraId="5B2CC6F1" w14:textId="77777777" w:rsidR="00047D0B" w:rsidRPr="00A343CD" w:rsidRDefault="00047D0B" w:rsidP="00047D0B">
      <w:pPr>
        <w:rPr>
          <w:rFonts w:ascii="Arial" w:hAnsi="Arial" w:cs="Arial"/>
        </w:rPr>
      </w:pPr>
      <w:proofErr w:type="spellStart"/>
      <w:r w:rsidRPr="00A343CD">
        <w:rPr>
          <w:rFonts w:ascii="Arial" w:hAnsi="Arial" w:cs="Arial"/>
        </w:rPr>
        <w:t>Purnamasari</w:t>
      </w:r>
      <w:proofErr w:type="spellEnd"/>
      <w:r w:rsidRPr="00A343CD">
        <w:rPr>
          <w:rFonts w:ascii="Arial" w:hAnsi="Arial" w:cs="Arial"/>
        </w:rPr>
        <w:t xml:space="preserve">, P., &amp; </w:t>
      </w:r>
      <w:proofErr w:type="spellStart"/>
      <w:r w:rsidRPr="00A343CD">
        <w:rPr>
          <w:rFonts w:ascii="Arial" w:hAnsi="Arial" w:cs="Arial"/>
        </w:rPr>
        <w:t>Adriza</w:t>
      </w:r>
      <w:proofErr w:type="spellEnd"/>
      <w:r w:rsidRPr="00A343CD">
        <w:rPr>
          <w:rFonts w:ascii="Arial" w:hAnsi="Arial" w:cs="Arial"/>
        </w:rPr>
        <w:t xml:space="preserve">., 2024. Capital budgeting techniques and financial performance: A comparison between SMEs and large listed firms. Cogent Economics &amp; Finance, 12(1), 2404707. </w:t>
      </w:r>
      <w:hyperlink r:id="rId23" w:history="1">
        <w:r w:rsidRPr="00A343CD">
          <w:rPr>
            <w:rStyle w:val="Hyperlink"/>
            <w:rFonts w:ascii="Arial" w:hAnsi="Arial" w:cs="Arial"/>
          </w:rPr>
          <w:t>https://doi.org/10.1080/23322039.2024.2404707</w:t>
        </w:r>
      </w:hyperlink>
      <w:r w:rsidRPr="00A343CD">
        <w:rPr>
          <w:rFonts w:ascii="Arial" w:hAnsi="Arial" w:cs="Arial"/>
        </w:rPr>
        <w:t xml:space="preserve"> </w:t>
      </w:r>
    </w:p>
    <w:p w14:paraId="5FD8E756" w14:textId="77777777" w:rsidR="00047D0B" w:rsidRPr="00A343CD" w:rsidRDefault="00047D0B" w:rsidP="00047D0B">
      <w:pPr>
        <w:rPr>
          <w:rFonts w:ascii="Arial" w:hAnsi="Arial" w:cs="Arial"/>
        </w:rPr>
      </w:pPr>
      <w:r w:rsidRPr="00A343CD">
        <w:rPr>
          <w:rFonts w:ascii="Arial" w:hAnsi="Arial" w:cs="Arial"/>
        </w:rPr>
        <w:t xml:space="preserve">Richards, V. D., &amp; Laughlin, E. J., 1980. A cash conversion cycle approach to liquidity analysis. Financial Management, 9(1), 32–38. </w:t>
      </w:r>
      <w:hyperlink r:id="rId24" w:history="1">
        <w:r w:rsidRPr="00A343CD">
          <w:rPr>
            <w:rStyle w:val="Hyperlink"/>
            <w:rFonts w:ascii="Arial" w:hAnsi="Arial" w:cs="Arial"/>
          </w:rPr>
          <w:t>https://doi.org/10.2307/3665310</w:t>
        </w:r>
      </w:hyperlink>
      <w:r w:rsidRPr="00A343CD">
        <w:rPr>
          <w:rFonts w:ascii="Arial" w:hAnsi="Arial" w:cs="Arial"/>
        </w:rPr>
        <w:t xml:space="preserve"> </w:t>
      </w:r>
    </w:p>
    <w:p w14:paraId="1F2FBBA4" w14:textId="77777777" w:rsidR="00047D0B" w:rsidRPr="00A343CD" w:rsidRDefault="00047D0B" w:rsidP="00047D0B">
      <w:pPr>
        <w:rPr>
          <w:rFonts w:ascii="Arial" w:hAnsi="Arial" w:cs="Arial"/>
        </w:rPr>
      </w:pPr>
      <w:r w:rsidRPr="00A343CD">
        <w:rPr>
          <w:rFonts w:ascii="Arial" w:hAnsi="Arial" w:cs="Arial"/>
        </w:rPr>
        <w:t xml:space="preserve">Ruegg, R. T., &amp; Marshall, H. E., 1990. Payback (PB). In Building economics: Theory and practice (pp. 92–104). Springer. </w:t>
      </w:r>
      <w:hyperlink r:id="rId25" w:history="1">
        <w:r w:rsidRPr="00A343CD">
          <w:rPr>
            <w:rStyle w:val="Hyperlink"/>
            <w:rFonts w:ascii="Arial" w:hAnsi="Arial" w:cs="Arial"/>
          </w:rPr>
          <w:t>https://doi.org/10.1007/978-1-4757-4688-4_7</w:t>
        </w:r>
      </w:hyperlink>
      <w:r w:rsidRPr="00A343CD">
        <w:rPr>
          <w:rFonts w:ascii="Arial" w:hAnsi="Arial" w:cs="Arial"/>
        </w:rPr>
        <w:t xml:space="preserve"> </w:t>
      </w:r>
    </w:p>
    <w:p w14:paraId="053E3D8D" w14:textId="77777777" w:rsidR="00047D0B" w:rsidRPr="00A343CD" w:rsidRDefault="00047D0B" w:rsidP="00047D0B">
      <w:pPr>
        <w:rPr>
          <w:rFonts w:ascii="Arial" w:hAnsi="Arial" w:cs="Arial"/>
        </w:rPr>
      </w:pPr>
      <w:r w:rsidRPr="00A343CD">
        <w:rPr>
          <w:rFonts w:ascii="Arial" w:hAnsi="Arial" w:cs="Arial"/>
        </w:rPr>
        <w:t>University of Wales Trinity Saint David., 2025. LCMB7002 financial management assessment brief (Sept–Oct 2025). [Module handbook/assessment brief].</w:t>
      </w:r>
    </w:p>
    <w:p w14:paraId="3FCBFBD3" w14:textId="77777777" w:rsidR="00047D0B" w:rsidRPr="00A343CD" w:rsidRDefault="00047D0B" w:rsidP="00047D0B">
      <w:pPr>
        <w:rPr>
          <w:rFonts w:ascii="Arial" w:hAnsi="Arial" w:cs="Arial"/>
        </w:rPr>
      </w:pPr>
      <w:r w:rsidRPr="00A343CD">
        <w:rPr>
          <w:rFonts w:ascii="Arial" w:hAnsi="Arial" w:cs="Arial"/>
        </w:rPr>
        <w:t xml:space="preserve">Wall Street Prep., 2024. Free cash flow margin (FCF): Formula + calculator. </w:t>
      </w:r>
      <w:hyperlink r:id="rId26" w:history="1">
        <w:r w:rsidRPr="00A343CD">
          <w:rPr>
            <w:rStyle w:val="Hyperlink"/>
            <w:rFonts w:ascii="Arial" w:hAnsi="Arial" w:cs="Arial"/>
          </w:rPr>
          <w:t>https://www.wallstreetprep.com/knowledge/fcf-margin/</w:t>
        </w:r>
      </w:hyperlink>
      <w:r w:rsidRPr="00A343CD">
        <w:rPr>
          <w:rFonts w:ascii="Arial" w:hAnsi="Arial" w:cs="Arial"/>
        </w:rPr>
        <w:t xml:space="preserve"> </w:t>
      </w:r>
    </w:p>
    <w:p w14:paraId="0F88B0F0" w14:textId="77777777" w:rsidR="00047D0B" w:rsidRPr="00A343CD" w:rsidRDefault="00047D0B" w:rsidP="00047D0B">
      <w:pPr>
        <w:spacing w:after="0" w:line="276" w:lineRule="auto"/>
        <w:jc w:val="left"/>
        <w:rPr>
          <w:rFonts w:ascii="Arial" w:eastAsiaTheme="majorEastAsia" w:hAnsi="Arial" w:cs="Arial"/>
          <w:b/>
          <w:bCs/>
          <w:color w:val="2F5496" w:themeColor="accent1" w:themeShade="BF"/>
          <w:sz w:val="32"/>
          <w:szCs w:val="28"/>
        </w:rPr>
      </w:pPr>
      <w:r w:rsidRPr="00A343CD">
        <w:rPr>
          <w:rFonts w:ascii="Arial" w:hAnsi="Arial" w:cs="Arial"/>
        </w:rPr>
        <w:br w:type="page"/>
      </w:r>
    </w:p>
    <w:p w14:paraId="09F88E27" w14:textId="77777777" w:rsidR="00047D0B" w:rsidRPr="00A343CD" w:rsidRDefault="00047D0B" w:rsidP="00047D0B">
      <w:pPr>
        <w:pStyle w:val="Heading1"/>
        <w:spacing w:before="0" w:line="276" w:lineRule="auto"/>
        <w:rPr>
          <w:rFonts w:ascii="Arial" w:hAnsi="Arial" w:cs="Arial"/>
        </w:rPr>
      </w:pPr>
      <w:bookmarkStart w:id="57" w:name="_Toc217295027"/>
      <w:bookmarkStart w:id="58" w:name="_Toc217298635"/>
      <w:r w:rsidRPr="00A343CD">
        <w:rPr>
          <w:rFonts w:ascii="Arial" w:hAnsi="Arial" w:cs="Arial"/>
        </w:rPr>
        <w:lastRenderedPageBreak/>
        <w:t>6. Appendix</w:t>
      </w:r>
      <w:bookmarkEnd w:id="57"/>
      <w:bookmarkEnd w:id="58"/>
    </w:p>
    <w:tbl>
      <w:tblPr>
        <w:tblW w:w="0" w:type="auto"/>
        <w:jc w:val="center"/>
        <w:tblLook w:val="04A0" w:firstRow="1" w:lastRow="0" w:firstColumn="1" w:lastColumn="0" w:noHBand="0" w:noVBand="1"/>
      </w:tblPr>
      <w:tblGrid>
        <w:gridCol w:w="3186"/>
        <w:gridCol w:w="1230"/>
        <w:gridCol w:w="1231"/>
        <w:gridCol w:w="1231"/>
        <w:gridCol w:w="1231"/>
        <w:gridCol w:w="1231"/>
      </w:tblGrid>
      <w:tr w:rsidR="00047D0B" w:rsidRPr="00A343CD" w14:paraId="7B1C6A9B" w14:textId="77777777" w:rsidTr="00C563B5">
        <w:trPr>
          <w:trHeight w:val="288"/>
          <w:jc w:val="center"/>
        </w:trPr>
        <w:tc>
          <w:tcPr>
            <w:tcW w:w="9006" w:type="dxa"/>
            <w:gridSpan w:val="6"/>
            <w:tcBorders>
              <w:top w:val="single" w:sz="8" w:space="0" w:color="auto"/>
              <w:left w:val="single" w:sz="8" w:space="0" w:color="auto"/>
              <w:bottom w:val="single" w:sz="8" w:space="0" w:color="auto"/>
              <w:right w:val="single" w:sz="8" w:space="0" w:color="000000"/>
            </w:tcBorders>
            <w:shd w:val="clear" w:color="000000" w:fill="DAE9F8"/>
            <w:noWrap/>
            <w:hideMark/>
          </w:tcPr>
          <w:p w14:paraId="1F723308"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Consolidated Income Statement (£m)</w:t>
            </w:r>
          </w:p>
        </w:tc>
      </w:tr>
      <w:tr w:rsidR="00047D0B" w:rsidRPr="00A343CD" w14:paraId="0B28A946" w14:textId="77777777" w:rsidTr="00C563B5">
        <w:trPr>
          <w:trHeight w:val="288"/>
          <w:jc w:val="center"/>
        </w:trPr>
        <w:tc>
          <w:tcPr>
            <w:tcW w:w="3227" w:type="dxa"/>
            <w:tcBorders>
              <w:top w:val="nil"/>
              <w:left w:val="single" w:sz="8" w:space="0" w:color="auto"/>
              <w:bottom w:val="single" w:sz="4" w:space="0" w:color="auto"/>
              <w:right w:val="single" w:sz="4" w:space="0" w:color="auto"/>
            </w:tcBorders>
            <w:noWrap/>
            <w:hideMark/>
          </w:tcPr>
          <w:p w14:paraId="0C32BF10"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Item</w:t>
            </w:r>
          </w:p>
        </w:tc>
        <w:tc>
          <w:tcPr>
            <w:tcW w:w="1155" w:type="dxa"/>
            <w:tcBorders>
              <w:top w:val="nil"/>
              <w:left w:val="nil"/>
              <w:bottom w:val="single" w:sz="4" w:space="0" w:color="auto"/>
              <w:right w:val="single" w:sz="4" w:space="0" w:color="auto"/>
            </w:tcBorders>
            <w:noWrap/>
            <w:hideMark/>
          </w:tcPr>
          <w:p w14:paraId="11D87AF1"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2024</w:t>
            </w:r>
          </w:p>
        </w:tc>
        <w:tc>
          <w:tcPr>
            <w:tcW w:w="0" w:type="auto"/>
            <w:tcBorders>
              <w:top w:val="nil"/>
              <w:left w:val="nil"/>
              <w:bottom w:val="single" w:sz="4" w:space="0" w:color="auto"/>
              <w:right w:val="single" w:sz="4" w:space="0" w:color="auto"/>
            </w:tcBorders>
            <w:noWrap/>
            <w:hideMark/>
          </w:tcPr>
          <w:p w14:paraId="38F136E2"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2023</w:t>
            </w:r>
          </w:p>
        </w:tc>
        <w:tc>
          <w:tcPr>
            <w:tcW w:w="0" w:type="auto"/>
            <w:tcBorders>
              <w:top w:val="nil"/>
              <w:left w:val="nil"/>
              <w:bottom w:val="single" w:sz="4" w:space="0" w:color="auto"/>
              <w:right w:val="single" w:sz="4" w:space="0" w:color="auto"/>
            </w:tcBorders>
            <w:noWrap/>
            <w:hideMark/>
          </w:tcPr>
          <w:p w14:paraId="18D352F2"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2022</w:t>
            </w:r>
          </w:p>
        </w:tc>
        <w:tc>
          <w:tcPr>
            <w:tcW w:w="0" w:type="auto"/>
            <w:tcBorders>
              <w:top w:val="nil"/>
              <w:left w:val="nil"/>
              <w:bottom w:val="single" w:sz="4" w:space="0" w:color="auto"/>
              <w:right w:val="single" w:sz="4" w:space="0" w:color="auto"/>
            </w:tcBorders>
            <w:noWrap/>
            <w:hideMark/>
          </w:tcPr>
          <w:p w14:paraId="7E21D564"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2021</w:t>
            </w:r>
          </w:p>
        </w:tc>
        <w:tc>
          <w:tcPr>
            <w:tcW w:w="0" w:type="auto"/>
            <w:tcBorders>
              <w:top w:val="nil"/>
              <w:left w:val="nil"/>
              <w:bottom w:val="single" w:sz="4" w:space="0" w:color="auto"/>
              <w:right w:val="single" w:sz="8" w:space="0" w:color="auto"/>
            </w:tcBorders>
            <w:noWrap/>
            <w:hideMark/>
          </w:tcPr>
          <w:p w14:paraId="73046878"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2020</w:t>
            </w:r>
          </w:p>
        </w:tc>
      </w:tr>
      <w:tr w:rsidR="00047D0B" w:rsidRPr="00A343CD" w14:paraId="1A1EB277"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31F2A8A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Net sales</w:t>
            </w:r>
          </w:p>
        </w:tc>
        <w:tc>
          <w:tcPr>
            <w:tcW w:w="1155" w:type="dxa"/>
            <w:tcBorders>
              <w:top w:val="nil"/>
              <w:left w:val="nil"/>
              <w:bottom w:val="single" w:sz="4" w:space="0" w:color="auto"/>
              <w:right w:val="single" w:sz="4" w:space="0" w:color="auto"/>
            </w:tcBorders>
            <w:noWrap/>
            <w:hideMark/>
          </w:tcPr>
          <w:p w14:paraId="453C569F"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394,879</w:t>
            </w:r>
          </w:p>
        </w:tc>
        <w:tc>
          <w:tcPr>
            <w:tcW w:w="0" w:type="auto"/>
            <w:tcBorders>
              <w:top w:val="nil"/>
              <w:left w:val="nil"/>
              <w:bottom w:val="single" w:sz="4" w:space="0" w:color="auto"/>
              <w:right w:val="single" w:sz="4" w:space="0" w:color="auto"/>
            </w:tcBorders>
            <w:noWrap/>
            <w:hideMark/>
          </w:tcPr>
          <w:p w14:paraId="36D3F0B2"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420,457</w:t>
            </w:r>
          </w:p>
        </w:tc>
        <w:tc>
          <w:tcPr>
            <w:tcW w:w="0" w:type="auto"/>
            <w:tcBorders>
              <w:top w:val="nil"/>
              <w:left w:val="nil"/>
              <w:bottom w:val="single" w:sz="4" w:space="0" w:color="auto"/>
              <w:right w:val="single" w:sz="4" w:space="0" w:color="auto"/>
            </w:tcBorders>
            <w:noWrap/>
            <w:hideMark/>
          </w:tcPr>
          <w:p w14:paraId="7BC5BBD2"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542,751</w:t>
            </w:r>
          </w:p>
        </w:tc>
        <w:tc>
          <w:tcPr>
            <w:tcW w:w="0" w:type="auto"/>
            <w:tcBorders>
              <w:top w:val="nil"/>
              <w:left w:val="nil"/>
              <w:bottom w:val="single" w:sz="4" w:space="0" w:color="auto"/>
              <w:right w:val="single" w:sz="4" w:space="0" w:color="auto"/>
            </w:tcBorders>
            <w:noWrap/>
            <w:hideMark/>
          </w:tcPr>
          <w:p w14:paraId="6BC35B5A"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601,602</w:t>
            </w:r>
          </w:p>
        </w:tc>
        <w:tc>
          <w:tcPr>
            <w:tcW w:w="0" w:type="auto"/>
            <w:tcBorders>
              <w:top w:val="nil"/>
              <w:left w:val="nil"/>
              <w:bottom w:val="single" w:sz="4" w:space="0" w:color="auto"/>
              <w:right w:val="single" w:sz="8" w:space="0" w:color="auto"/>
            </w:tcBorders>
            <w:noWrap/>
            <w:hideMark/>
          </w:tcPr>
          <w:p w14:paraId="40947379"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614,680</w:t>
            </w:r>
          </w:p>
        </w:tc>
      </w:tr>
      <w:tr w:rsidR="00047D0B" w:rsidRPr="00A343CD" w14:paraId="29D27B50"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26B139F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Cost of sales</w:t>
            </w:r>
          </w:p>
        </w:tc>
        <w:tc>
          <w:tcPr>
            <w:tcW w:w="1155" w:type="dxa"/>
            <w:tcBorders>
              <w:top w:val="nil"/>
              <w:left w:val="nil"/>
              <w:bottom w:val="single" w:sz="4" w:space="0" w:color="auto"/>
              <w:right w:val="single" w:sz="4" w:space="0" w:color="auto"/>
            </w:tcBorders>
            <w:noWrap/>
            <w:hideMark/>
          </w:tcPr>
          <w:p w14:paraId="7809EEE1"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(280,885)</w:t>
            </w:r>
          </w:p>
        </w:tc>
        <w:tc>
          <w:tcPr>
            <w:tcW w:w="0" w:type="auto"/>
            <w:tcBorders>
              <w:top w:val="nil"/>
              <w:left w:val="nil"/>
              <w:bottom w:val="single" w:sz="4" w:space="0" w:color="auto"/>
              <w:right w:val="single" w:sz="4" w:space="0" w:color="auto"/>
            </w:tcBorders>
            <w:noWrap/>
            <w:hideMark/>
          </w:tcPr>
          <w:p w14:paraId="301E1D62"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(322,897)</w:t>
            </w:r>
          </w:p>
        </w:tc>
        <w:tc>
          <w:tcPr>
            <w:tcW w:w="0" w:type="auto"/>
            <w:tcBorders>
              <w:top w:val="nil"/>
              <w:left w:val="nil"/>
              <w:bottom w:val="single" w:sz="4" w:space="0" w:color="auto"/>
              <w:right w:val="single" w:sz="4" w:space="0" w:color="auto"/>
            </w:tcBorders>
            <w:noWrap/>
            <w:hideMark/>
          </w:tcPr>
          <w:p w14:paraId="0E5A04F5"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(390,459)</w:t>
            </w:r>
          </w:p>
        </w:tc>
        <w:tc>
          <w:tcPr>
            <w:tcW w:w="0" w:type="auto"/>
            <w:tcBorders>
              <w:top w:val="nil"/>
              <w:left w:val="nil"/>
              <w:bottom w:val="single" w:sz="4" w:space="0" w:color="auto"/>
              <w:right w:val="single" w:sz="4" w:space="0" w:color="auto"/>
            </w:tcBorders>
            <w:noWrap/>
            <w:hideMark/>
          </w:tcPr>
          <w:p w14:paraId="2E7CE201"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(428,586)</w:t>
            </w:r>
          </w:p>
        </w:tc>
        <w:tc>
          <w:tcPr>
            <w:tcW w:w="0" w:type="auto"/>
            <w:tcBorders>
              <w:top w:val="nil"/>
              <w:left w:val="nil"/>
              <w:bottom w:val="single" w:sz="4" w:space="0" w:color="auto"/>
              <w:right w:val="single" w:sz="8" w:space="0" w:color="auto"/>
            </w:tcBorders>
            <w:noWrap/>
            <w:hideMark/>
          </w:tcPr>
          <w:p w14:paraId="07F70048"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(438,424)</w:t>
            </w:r>
          </w:p>
        </w:tc>
      </w:tr>
      <w:tr w:rsidR="00047D0B" w:rsidRPr="00A343CD" w14:paraId="6913893A"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0AD16589"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Gross profit</w:t>
            </w:r>
          </w:p>
        </w:tc>
        <w:tc>
          <w:tcPr>
            <w:tcW w:w="1155" w:type="dxa"/>
            <w:tcBorders>
              <w:top w:val="nil"/>
              <w:left w:val="nil"/>
              <w:bottom w:val="single" w:sz="4" w:space="0" w:color="auto"/>
              <w:right w:val="single" w:sz="4" w:space="0" w:color="auto"/>
            </w:tcBorders>
            <w:noWrap/>
            <w:hideMark/>
          </w:tcPr>
          <w:p w14:paraId="1E30F876"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113,994</w:t>
            </w:r>
          </w:p>
        </w:tc>
        <w:tc>
          <w:tcPr>
            <w:tcW w:w="0" w:type="auto"/>
            <w:tcBorders>
              <w:top w:val="nil"/>
              <w:left w:val="nil"/>
              <w:bottom w:val="single" w:sz="4" w:space="0" w:color="auto"/>
              <w:right w:val="single" w:sz="4" w:space="0" w:color="auto"/>
            </w:tcBorders>
            <w:noWrap/>
            <w:hideMark/>
          </w:tcPr>
          <w:p w14:paraId="57B8897A"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97,560</w:t>
            </w:r>
          </w:p>
        </w:tc>
        <w:tc>
          <w:tcPr>
            <w:tcW w:w="0" w:type="auto"/>
            <w:tcBorders>
              <w:top w:val="nil"/>
              <w:left w:val="nil"/>
              <w:bottom w:val="single" w:sz="4" w:space="0" w:color="auto"/>
              <w:right w:val="single" w:sz="4" w:space="0" w:color="auto"/>
            </w:tcBorders>
            <w:noWrap/>
            <w:hideMark/>
          </w:tcPr>
          <w:p w14:paraId="5D7EF984"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152,292</w:t>
            </w:r>
          </w:p>
        </w:tc>
        <w:tc>
          <w:tcPr>
            <w:tcW w:w="0" w:type="auto"/>
            <w:tcBorders>
              <w:top w:val="nil"/>
              <w:left w:val="nil"/>
              <w:bottom w:val="single" w:sz="4" w:space="0" w:color="auto"/>
              <w:right w:val="single" w:sz="4" w:space="0" w:color="auto"/>
            </w:tcBorders>
            <w:noWrap/>
            <w:hideMark/>
          </w:tcPr>
          <w:p w14:paraId="6B3721E1"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173,016</w:t>
            </w:r>
          </w:p>
        </w:tc>
        <w:tc>
          <w:tcPr>
            <w:tcW w:w="0" w:type="auto"/>
            <w:tcBorders>
              <w:top w:val="nil"/>
              <w:left w:val="nil"/>
              <w:bottom w:val="single" w:sz="4" w:space="0" w:color="auto"/>
              <w:right w:val="single" w:sz="8" w:space="0" w:color="auto"/>
            </w:tcBorders>
            <w:noWrap/>
            <w:hideMark/>
          </w:tcPr>
          <w:p w14:paraId="3D1BA847"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176,256</w:t>
            </w:r>
          </w:p>
        </w:tc>
      </w:tr>
      <w:tr w:rsidR="00047D0B" w:rsidRPr="00A343CD" w14:paraId="42FDF7E5"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2D84635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Operating expenses</w:t>
            </w:r>
          </w:p>
        </w:tc>
        <w:tc>
          <w:tcPr>
            <w:tcW w:w="1155" w:type="dxa"/>
            <w:tcBorders>
              <w:top w:val="nil"/>
              <w:left w:val="nil"/>
              <w:bottom w:val="single" w:sz="4" w:space="0" w:color="auto"/>
              <w:right w:val="single" w:sz="4" w:space="0" w:color="auto"/>
            </w:tcBorders>
            <w:noWrap/>
            <w:hideMark/>
          </w:tcPr>
          <w:p w14:paraId="4AE2EDD2"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(129,291)</w:t>
            </w:r>
          </w:p>
        </w:tc>
        <w:tc>
          <w:tcPr>
            <w:tcW w:w="0" w:type="auto"/>
            <w:tcBorders>
              <w:top w:val="nil"/>
              <w:left w:val="nil"/>
              <w:bottom w:val="single" w:sz="4" w:space="0" w:color="auto"/>
              <w:right w:val="single" w:sz="4" w:space="0" w:color="auto"/>
            </w:tcBorders>
            <w:noWrap/>
            <w:hideMark/>
          </w:tcPr>
          <w:p w14:paraId="7ECA717E"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(182,861)</w:t>
            </w:r>
          </w:p>
        </w:tc>
        <w:tc>
          <w:tcPr>
            <w:tcW w:w="0" w:type="auto"/>
            <w:tcBorders>
              <w:top w:val="nil"/>
              <w:left w:val="nil"/>
              <w:bottom w:val="single" w:sz="4" w:space="0" w:color="auto"/>
              <w:right w:val="single" w:sz="4" w:space="0" w:color="auto"/>
            </w:tcBorders>
            <w:noWrap/>
            <w:hideMark/>
          </w:tcPr>
          <w:p w14:paraId="3770F7AB"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(137,744)</w:t>
            </w:r>
          </w:p>
        </w:tc>
        <w:tc>
          <w:tcPr>
            <w:tcW w:w="0" w:type="auto"/>
            <w:tcBorders>
              <w:top w:val="nil"/>
              <w:left w:val="nil"/>
              <w:bottom w:val="single" w:sz="4" w:space="0" w:color="auto"/>
              <w:right w:val="single" w:sz="4" w:space="0" w:color="auto"/>
            </w:tcBorders>
            <w:noWrap/>
            <w:hideMark/>
          </w:tcPr>
          <w:p w14:paraId="03DA2F92"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(149,763)</w:t>
            </w:r>
          </w:p>
        </w:tc>
        <w:tc>
          <w:tcPr>
            <w:tcW w:w="0" w:type="auto"/>
            <w:tcBorders>
              <w:top w:val="nil"/>
              <w:left w:val="nil"/>
              <w:bottom w:val="single" w:sz="4" w:space="0" w:color="auto"/>
              <w:right w:val="single" w:sz="8" w:space="0" w:color="auto"/>
            </w:tcBorders>
            <w:noWrap/>
            <w:hideMark/>
          </w:tcPr>
          <w:p w14:paraId="645F9C59"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(138,989)</w:t>
            </w:r>
          </w:p>
        </w:tc>
      </w:tr>
      <w:tr w:rsidR="00047D0B" w:rsidRPr="00A343CD" w14:paraId="4E5CBE90"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241BE5CF"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Operating income (loss)</w:t>
            </w:r>
          </w:p>
        </w:tc>
        <w:tc>
          <w:tcPr>
            <w:tcW w:w="1155" w:type="dxa"/>
            <w:tcBorders>
              <w:top w:val="nil"/>
              <w:left w:val="nil"/>
              <w:bottom w:val="single" w:sz="4" w:space="0" w:color="auto"/>
              <w:right w:val="single" w:sz="4" w:space="0" w:color="auto"/>
            </w:tcBorders>
            <w:noWrap/>
            <w:hideMark/>
          </w:tcPr>
          <w:p w14:paraId="5D4BF2F7"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(15,297)</w:t>
            </w:r>
          </w:p>
        </w:tc>
        <w:tc>
          <w:tcPr>
            <w:tcW w:w="0" w:type="auto"/>
            <w:tcBorders>
              <w:top w:val="nil"/>
              <w:left w:val="nil"/>
              <w:bottom w:val="single" w:sz="4" w:space="0" w:color="auto"/>
              <w:right w:val="single" w:sz="4" w:space="0" w:color="auto"/>
            </w:tcBorders>
            <w:noWrap/>
            <w:hideMark/>
          </w:tcPr>
          <w:p w14:paraId="45B4D37C"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(85,301)</w:t>
            </w:r>
          </w:p>
        </w:tc>
        <w:tc>
          <w:tcPr>
            <w:tcW w:w="0" w:type="auto"/>
            <w:tcBorders>
              <w:top w:val="nil"/>
              <w:left w:val="nil"/>
              <w:bottom w:val="single" w:sz="4" w:space="0" w:color="auto"/>
              <w:right w:val="single" w:sz="4" w:space="0" w:color="auto"/>
            </w:tcBorders>
            <w:noWrap/>
            <w:hideMark/>
          </w:tcPr>
          <w:p w14:paraId="45220926"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14,548</w:t>
            </w:r>
          </w:p>
        </w:tc>
        <w:tc>
          <w:tcPr>
            <w:tcW w:w="0" w:type="auto"/>
            <w:tcBorders>
              <w:top w:val="nil"/>
              <w:left w:val="nil"/>
              <w:bottom w:val="single" w:sz="4" w:space="0" w:color="auto"/>
              <w:right w:val="single" w:sz="4" w:space="0" w:color="auto"/>
            </w:tcBorders>
            <w:noWrap/>
            <w:hideMark/>
          </w:tcPr>
          <w:p w14:paraId="45C5CD1F"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23,253</w:t>
            </w:r>
          </w:p>
        </w:tc>
        <w:tc>
          <w:tcPr>
            <w:tcW w:w="0" w:type="auto"/>
            <w:tcBorders>
              <w:top w:val="nil"/>
              <w:left w:val="nil"/>
              <w:bottom w:val="single" w:sz="4" w:space="0" w:color="auto"/>
              <w:right w:val="single" w:sz="8" w:space="0" w:color="auto"/>
            </w:tcBorders>
            <w:noWrap/>
            <w:hideMark/>
          </w:tcPr>
          <w:p w14:paraId="505B01B1"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37,267</w:t>
            </w:r>
          </w:p>
        </w:tc>
      </w:tr>
      <w:tr w:rsidR="00047D0B" w:rsidRPr="00A343CD" w14:paraId="4E1682C5"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57077D4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Interest in income (expenses)</w:t>
            </w:r>
          </w:p>
        </w:tc>
        <w:tc>
          <w:tcPr>
            <w:tcW w:w="1155" w:type="dxa"/>
            <w:tcBorders>
              <w:top w:val="nil"/>
              <w:left w:val="nil"/>
              <w:bottom w:val="single" w:sz="4" w:space="0" w:color="auto"/>
              <w:right w:val="single" w:sz="4" w:space="0" w:color="auto"/>
            </w:tcBorders>
            <w:noWrap/>
            <w:hideMark/>
          </w:tcPr>
          <w:p w14:paraId="555E7E10"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(3,361)</w:t>
            </w:r>
          </w:p>
        </w:tc>
        <w:tc>
          <w:tcPr>
            <w:tcW w:w="0" w:type="auto"/>
            <w:tcBorders>
              <w:top w:val="nil"/>
              <w:left w:val="nil"/>
              <w:bottom w:val="single" w:sz="4" w:space="0" w:color="auto"/>
              <w:right w:val="single" w:sz="4" w:space="0" w:color="auto"/>
            </w:tcBorders>
            <w:noWrap/>
            <w:hideMark/>
          </w:tcPr>
          <w:p w14:paraId="25170128"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(4,332)</w:t>
            </w:r>
          </w:p>
        </w:tc>
        <w:tc>
          <w:tcPr>
            <w:tcW w:w="0" w:type="auto"/>
            <w:tcBorders>
              <w:top w:val="nil"/>
              <w:left w:val="nil"/>
              <w:bottom w:val="single" w:sz="4" w:space="0" w:color="auto"/>
              <w:right w:val="single" w:sz="4" w:space="0" w:color="auto"/>
            </w:tcBorders>
            <w:noWrap/>
            <w:hideMark/>
          </w:tcPr>
          <w:p w14:paraId="7E943119"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(2,200)</w:t>
            </w:r>
          </w:p>
        </w:tc>
        <w:tc>
          <w:tcPr>
            <w:tcW w:w="0" w:type="auto"/>
            <w:tcBorders>
              <w:top w:val="nil"/>
              <w:left w:val="nil"/>
              <w:bottom w:val="single" w:sz="4" w:space="0" w:color="auto"/>
              <w:right w:val="single" w:sz="4" w:space="0" w:color="auto"/>
            </w:tcBorders>
            <w:noWrap/>
            <w:hideMark/>
          </w:tcPr>
          <w:p w14:paraId="162C768F"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(566)</w:t>
            </w:r>
          </w:p>
        </w:tc>
        <w:tc>
          <w:tcPr>
            <w:tcW w:w="0" w:type="auto"/>
            <w:tcBorders>
              <w:top w:val="nil"/>
              <w:left w:val="nil"/>
              <w:bottom w:val="single" w:sz="4" w:space="0" w:color="auto"/>
              <w:right w:val="single" w:sz="8" w:space="0" w:color="auto"/>
            </w:tcBorders>
            <w:noWrap/>
            <w:hideMark/>
          </w:tcPr>
          <w:p w14:paraId="42CD03C5"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(1,422)</w:t>
            </w:r>
          </w:p>
        </w:tc>
      </w:tr>
      <w:tr w:rsidR="00047D0B" w:rsidRPr="00A343CD" w14:paraId="6F29FC33"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50A3901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Other income (expenses)</w:t>
            </w:r>
          </w:p>
        </w:tc>
        <w:tc>
          <w:tcPr>
            <w:tcW w:w="1155" w:type="dxa"/>
            <w:tcBorders>
              <w:top w:val="nil"/>
              <w:left w:val="nil"/>
              <w:bottom w:val="single" w:sz="4" w:space="0" w:color="auto"/>
              <w:right w:val="single" w:sz="4" w:space="0" w:color="auto"/>
            </w:tcBorders>
            <w:noWrap/>
            <w:hideMark/>
          </w:tcPr>
          <w:p w14:paraId="2DDC8C7E"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60</w:t>
            </w:r>
          </w:p>
        </w:tc>
        <w:tc>
          <w:tcPr>
            <w:tcW w:w="0" w:type="auto"/>
            <w:tcBorders>
              <w:top w:val="nil"/>
              <w:left w:val="nil"/>
              <w:bottom w:val="single" w:sz="4" w:space="0" w:color="auto"/>
              <w:right w:val="single" w:sz="4" w:space="0" w:color="auto"/>
            </w:tcBorders>
            <w:noWrap/>
            <w:hideMark/>
          </w:tcPr>
          <w:p w14:paraId="01067D18"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(2,621)</w:t>
            </w:r>
          </w:p>
        </w:tc>
        <w:tc>
          <w:tcPr>
            <w:tcW w:w="0" w:type="auto"/>
            <w:tcBorders>
              <w:top w:val="nil"/>
              <w:left w:val="nil"/>
              <w:bottom w:val="single" w:sz="4" w:space="0" w:color="auto"/>
              <w:right w:val="single" w:sz="4" w:space="0" w:color="auto"/>
            </w:tcBorders>
            <w:noWrap/>
            <w:hideMark/>
          </w:tcPr>
          <w:p w14:paraId="70F9A17C"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(955)</w:t>
            </w:r>
          </w:p>
        </w:tc>
        <w:tc>
          <w:tcPr>
            <w:tcW w:w="0" w:type="auto"/>
            <w:tcBorders>
              <w:top w:val="nil"/>
              <w:left w:val="nil"/>
              <w:bottom w:val="single" w:sz="4" w:space="0" w:color="auto"/>
              <w:right w:val="single" w:sz="4" w:space="0" w:color="auto"/>
            </w:tcBorders>
            <w:noWrap/>
            <w:hideMark/>
          </w:tcPr>
          <w:p w14:paraId="33B512DA"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(6,607)</w:t>
            </w:r>
          </w:p>
        </w:tc>
        <w:tc>
          <w:tcPr>
            <w:tcW w:w="0" w:type="auto"/>
            <w:tcBorders>
              <w:top w:val="nil"/>
              <w:left w:val="nil"/>
              <w:bottom w:val="single" w:sz="4" w:space="0" w:color="auto"/>
              <w:right w:val="single" w:sz="8" w:space="0" w:color="auto"/>
            </w:tcBorders>
            <w:noWrap/>
            <w:hideMark/>
          </w:tcPr>
          <w:p w14:paraId="44A0FD80"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8,060</w:t>
            </w:r>
          </w:p>
        </w:tc>
      </w:tr>
      <w:tr w:rsidR="00047D0B" w:rsidRPr="00A343CD" w14:paraId="50A2074C" w14:textId="77777777" w:rsidTr="00C563B5">
        <w:trPr>
          <w:trHeight w:val="593"/>
          <w:jc w:val="center"/>
        </w:trPr>
        <w:tc>
          <w:tcPr>
            <w:tcW w:w="3227" w:type="dxa"/>
            <w:tcBorders>
              <w:top w:val="nil"/>
              <w:left w:val="single" w:sz="8" w:space="0" w:color="auto"/>
              <w:bottom w:val="single" w:sz="4" w:space="0" w:color="auto"/>
              <w:right w:val="single" w:sz="4" w:space="0" w:color="auto"/>
            </w:tcBorders>
            <w:noWrap/>
            <w:hideMark/>
          </w:tcPr>
          <w:p w14:paraId="38BD3587"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Income (loss) before provision for income taxes</w:t>
            </w:r>
          </w:p>
        </w:tc>
        <w:tc>
          <w:tcPr>
            <w:tcW w:w="1155" w:type="dxa"/>
            <w:tcBorders>
              <w:top w:val="nil"/>
              <w:left w:val="nil"/>
              <w:bottom w:val="single" w:sz="4" w:space="0" w:color="auto"/>
              <w:right w:val="single" w:sz="4" w:space="0" w:color="auto"/>
            </w:tcBorders>
            <w:noWrap/>
            <w:hideMark/>
          </w:tcPr>
          <w:p w14:paraId="4DBB3F67"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(18,598)</w:t>
            </w:r>
          </w:p>
        </w:tc>
        <w:tc>
          <w:tcPr>
            <w:tcW w:w="0" w:type="auto"/>
            <w:tcBorders>
              <w:top w:val="nil"/>
              <w:left w:val="nil"/>
              <w:bottom w:val="single" w:sz="4" w:space="0" w:color="auto"/>
              <w:right w:val="single" w:sz="4" w:space="0" w:color="auto"/>
            </w:tcBorders>
            <w:noWrap/>
            <w:hideMark/>
          </w:tcPr>
          <w:p w14:paraId="237C3793"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(92,254)</w:t>
            </w:r>
          </w:p>
        </w:tc>
        <w:tc>
          <w:tcPr>
            <w:tcW w:w="0" w:type="auto"/>
            <w:tcBorders>
              <w:top w:val="nil"/>
              <w:left w:val="nil"/>
              <w:bottom w:val="single" w:sz="4" w:space="0" w:color="auto"/>
              <w:right w:val="single" w:sz="4" w:space="0" w:color="auto"/>
            </w:tcBorders>
            <w:noWrap/>
            <w:hideMark/>
          </w:tcPr>
          <w:p w14:paraId="6F6CBE1E"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11,393</w:t>
            </w:r>
          </w:p>
        </w:tc>
        <w:tc>
          <w:tcPr>
            <w:tcW w:w="0" w:type="auto"/>
            <w:tcBorders>
              <w:top w:val="nil"/>
              <w:left w:val="nil"/>
              <w:bottom w:val="single" w:sz="4" w:space="0" w:color="auto"/>
              <w:right w:val="single" w:sz="4" w:space="0" w:color="auto"/>
            </w:tcBorders>
            <w:noWrap/>
            <w:hideMark/>
          </w:tcPr>
          <w:p w14:paraId="39C67C2F"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16,080</w:t>
            </w:r>
          </w:p>
        </w:tc>
        <w:tc>
          <w:tcPr>
            <w:tcW w:w="0" w:type="auto"/>
            <w:tcBorders>
              <w:top w:val="nil"/>
              <w:left w:val="nil"/>
              <w:bottom w:val="single" w:sz="4" w:space="0" w:color="auto"/>
              <w:right w:val="single" w:sz="8" w:space="0" w:color="auto"/>
            </w:tcBorders>
            <w:noWrap/>
            <w:hideMark/>
          </w:tcPr>
          <w:p w14:paraId="0E96F783"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43,905</w:t>
            </w:r>
          </w:p>
        </w:tc>
      </w:tr>
      <w:tr w:rsidR="00047D0B" w:rsidRPr="00A343CD" w14:paraId="6D86B5CB" w14:textId="77777777" w:rsidTr="00C563B5">
        <w:trPr>
          <w:trHeight w:val="395"/>
          <w:jc w:val="center"/>
        </w:trPr>
        <w:tc>
          <w:tcPr>
            <w:tcW w:w="3227" w:type="dxa"/>
            <w:tcBorders>
              <w:top w:val="nil"/>
              <w:left w:val="single" w:sz="8" w:space="0" w:color="auto"/>
              <w:bottom w:val="single" w:sz="4" w:space="0" w:color="auto"/>
              <w:right w:val="single" w:sz="4" w:space="0" w:color="auto"/>
            </w:tcBorders>
            <w:noWrap/>
            <w:hideMark/>
          </w:tcPr>
          <w:p w14:paraId="72FEDCF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Income taxes</w:t>
            </w:r>
          </w:p>
        </w:tc>
        <w:tc>
          <w:tcPr>
            <w:tcW w:w="1155" w:type="dxa"/>
            <w:tcBorders>
              <w:top w:val="nil"/>
              <w:left w:val="nil"/>
              <w:bottom w:val="single" w:sz="4" w:space="0" w:color="auto"/>
              <w:right w:val="single" w:sz="4" w:space="0" w:color="auto"/>
            </w:tcBorders>
            <w:noWrap/>
            <w:hideMark/>
          </w:tcPr>
          <w:p w14:paraId="36705204"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(5,431)</w:t>
            </w:r>
          </w:p>
        </w:tc>
        <w:tc>
          <w:tcPr>
            <w:tcW w:w="0" w:type="auto"/>
            <w:tcBorders>
              <w:top w:val="nil"/>
              <w:left w:val="nil"/>
              <w:bottom w:val="single" w:sz="4" w:space="0" w:color="auto"/>
              <w:right w:val="single" w:sz="4" w:space="0" w:color="auto"/>
            </w:tcBorders>
            <w:noWrap/>
            <w:hideMark/>
          </w:tcPr>
          <w:p w14:paraId="0E072C36"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(5,984)</w:t>
            </w:r>
          </w:p>
        </w:tc>
        <w:tc>
          <w:tcPr>
            <w:tcW w:w="0" w:type="auto"/>
            <w:tcBorders>
              <w:top w:val="nil"/>
              <w:left w:val="nil"/>
              <w:bottom w:val="single" w:sz="4" w:space="0" w:color="auto"/>
              <w:right w:val="single" w:sz="4" w:space="0" w:color="auto"/>
            </w:tcBorders>
            <w:noWrap/>
            <w:hideMark/>
          </w:tcPr>
          <w:p w14:paraId="4437D568"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(10,986)</w:t>
            </w:r>
          </w:p>
        </w:tc>
        <w:tc>
          <w:tcPr>
            <w:tcW w:w="0" w:type="auto"/>
            <w:tcBorders>
              <w:top w:val="nil"/>
              <w:left w:val="nil"/>
              <w:bottom w:val="single" w:sz="4" w:space="0" w:color="auto"/>
              <w:right w:val="single" w:sz="4" w:space="0" w:color="auto"/>
            </w:tcBorders>
            <w:noWrap/>
            <w:hideMark/>
          </w:tcPr>
          <w:p w14:paraId="2D02BCB1"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(10,779)</w:t>
            </w:r>
          </w:p>
        </w:tc>
        <w:tc>
          <w:tcPr>
            <w:tcW w:w="0" w:type="auto"/>
            <w:tcBorders>
              <w:top w:val="nil"/>
              <w:left w:val="nil"/>
              <w:bottom w:val="single" w:sz="4" w:space="0" w:color="auto"/>
              <w:right w:val="single" w:sz="8" w:space="0" w:color="auto"/>
            </w:tcBorders>
            <w:noWrap/>
            <w:hideMark/>
          </w:tcPr>
          <w:p w14:paraId="5D0D97D5" w14:textId="77777777" w:rsidR="00047D0B" w:rsidRPr="00A343CD" w:rsidRDefault="00047D0B" w:rsidP="00C563B5">
            <w:pPr>
              <w:spacing w:after="0" w:line="276" w:lineRule="auto"/>
              <w:jc w:val="center"/>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(5,333)</w:t>
            </w:r>
          </w:p>
        </w:tc>
      </w:tr>
      <w:tr w:rsidR="00047D0B" w:rsidRPr="00A343CD" w14:paraId="77DBA9AA" w14:textId="77777777" w:rsidTr="00C563B5">
        <w:trPr>
          <w:trHeight w:val="377"/>
          <w:jc w:val="center"/>
        </w:trPr>
        <w:tc>
          <w:tcPr>
            <w:tcW w:w="3227" w:type="dxa"/>
            <w:tcBorders>
              <w:top w:val="nil"/>
              <w:left w:val="single" w:sz="8" w:space="0" w:color="auto"/>
              <w:bottom w:val="single" w:sz="8" w:space="0" w:color="auto"/>
              <w:right w:val="single" w:sz="4" w:space="0" w:color="auto"/>
            </w:tcBorders>
            <w:noWrap/>
            <w:hideMark/>
          </w:tcPr>
          <w:p w14:paraId="63F930C5"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Net income (loss)</w:t>
            </w:r>
          </w:p>
        </w:tc>
        <w:tc>
          <w:tcPr>
            <w:tcW w:w="1155" w:type="dxa"/>
            <w:tcBorders>
              <w:top w:val="nil"/>
              <w:left w:val="nil"/>
              <w:bottom w:val="single" w:sz="8" w:space="0" w:color="auto"/>
              <w:right w:val="single" w:sz="4" w:space="0" w:color="auto"/>
            </w:tcBorders>
            <w:noWrap/>
            <w:hideMark/>
          </w:tcPr>
          <w:p w14:paraId="69D0D180" w14:textId="77777777" w:rsidR="00047D0B" w:rsidRPr="00A343CD" w:rsidRDefault="00047D0B" w:rsidP="00C563B5">
            <w:pPr>
              <w:spacing w:after="0" w:line="276" w:lineRule="auto"/>
              <w:jc w:val="center"/>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(24,029)</w:t>
            </w:r>
          </w:p>
        </w:tc>
        <w:tc>
          <w:tcPr>
            <w:tcW w:w="0" w:type="auto"/>
            <w:tcBorders>
              <w:top w:val="nil"/>
              <w:left w:val="nil"/>
              <w:bottom w:val="single" w:sz="8" w:space="0" w:color="auto"/>
              <w:right w:val="single" w:sz="4" w:space="0" w:color="auto"/>
            </w:tcBorders>
            <w:noWrap/>
            <w:hideMark/>
          </w:tcPr>
          <w:p w14:paraId="0B0216D6" w14:textId="77777777" w:rsidR="00047D0B" w:rsidRPr="00A343CD" w:rsidRDefault="00047D0B" w:rsidP="00C563B5">
            <w:pPr>
              <w:spacing w:after="0" w:line="276" w:lineRule="auto"/>
              <w:jc w:val="center"/>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(98,238)</w:t>
            </w:r>
          </w:p>
        </w:tc>
        <w:tc>
          <w:tcPr>
            <w:tcW w:w="0" w:type="auto"/>
            <w:tcBorders>
              <w:top w:val="nil"/>
              <w:left w:val="nil"/>
              <w:bottom w:val="single" w:sz="8" w:space="0" w:color="auto"/>
              <w:right w:val="single" w:sz="4" w:space="0" w:color="auto"/>
            </w:tcBorders>
            <w:noWrap/>
            <w:hideMark/>
          </w:tcPr>
          <w:p w14:paraId="6A32C277" w14:textId="77777777" w:rsidR="00047D0B" w:rsidRPr="00A343CD" w:rsidRDefault="00047D0B" w:rsidP="00C563B5">
            <w:pPr>
              <w:spacing w:after="0" w:line="276" w:lineRule="auto"/>
              <w:jc w:val="center"/>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407</w:t>
            </w:r>
          </w:p>
        </w:tc>
        <w:tc>
          <w:tcPr>
            <w:tcW w:w="0" w:type="auto"/>
            <w:tcBorders>
              <w:top w:val="nil"/>
              <w:left w:val="nil"/>
              <w:bottom w:val="single" w:sz="8" w:space="0" w:color="auto"/>
              <w:right w:val="single" w:sz="4" w:space="0" w:color="auto"/>
            </w:tcBorders>
            <w:noWrap/>
            <w:hideMark/>
          </w:tcPr>
          <w:p w14:paraId="385B4E4F" w14:textId="77777777" w:rsidR="00047D0B" w:rsidRPr="00A343CD" w:rsidRDefault="00047D0B" w:rsidP="00C563B5">
            <w:pPr>
              <w:spacing w:after="0" w:line="276" w:lineRule="auto"/>
              <w:jc w:val="center"/>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5,301</w:t>
            </w:r>
          </w:p>
        </w:tc>
        <w:tc>
          <w:tcPr>
            <w:tcW w:w="0" w:type="auto"/>
            <w:tcBorders>
              <w:top w:val="nil"/>
              <w:left w:val="nil"/>
              <w:bottom w:val="single" w:sz="8" w:space="0" w:color="auto"/>
              <w:right w:val="single" w:sz="8" w:space="0" w:color="auto"/>
            </w:tcBorders>
            <w:noWrap/>
            <w:hideMark/>
          </w:tcPr>
          <w:p w14:paraId="21D808F0" w14:textId="77777777" w:rsidR="00047D0B" w:rsidRPr="00A343CD" w:rsidRDefault="00047D0B" w:rsidP="00C563B5">
            <w:pPr>
              <w:spacing w:after="0" w:line="276" w:lineRule="auto"/>
              <w:jc w:val="center"/>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38,572</w:t>
            </w:r>
          </w:p>
        </w:tc>
      </w:tr>
      <w:tr w:rsidR="00047D0B" w:rsidRPr="00A343CD" w14:paraId="09C932DD" w14:textId="77777777" w:rsidTr="00C563B5">
        <w:trPr>
          <w:trHeight w:val="288"/>
          <w:jc w:val="center"/>
        </w:trPr>
        <w:tc>
          <w:tcPr>
            <w:tcW w:w="9006" w:type="dxa"/>
            <w:gridSpan w:val="6"/>
            <w:tcBorders>
              <w:top w:val="single" w:sz="8" w:space="0" w:color="auto"/>
              <w:left w:val="single" w:sz="8" w:space="0" w:color="auto"/>
              <w:bottom w:val="single" w:sz="8" w:space="0" w:color="auto"/>
              <w:right w:val="single" w:sz="8" w:space="0" w:color="000000"/>
            </w:tcBorders>
            <w:noWrap/>
            <w:hideMark/>
          </w:tcPr>
          <w:p w14:paraId="4108CDBA"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Earnings (loss) per share</w:t>
            </w:r>
          </w:p>
        </w:tc>
      </w:tr>
      <w:tr w:rsidR="00047D0B" w:rsidRPr="00A343CD" w14:paraId="05DDC490" w14:textId="77777777" w:rsidTr="00C563B5">
        <w:trPr>
          <w:trHeight w:val="288"/>
          <w:jc w:val="center"/>
        </w:trPr>
        <w:tc>
          <w:tcPr>
            <w:tcW w:w="3227" w:type="dxa"/>
            <w:tcBorders>
              <w:top w:val="nil"/>
              <w:left w:val="single" w:sz="8" w:space="0" w:color="auto"/>
              <w:bottom w:val="single" w:sz="4" w:space="0" w:color="auto"/>
              <w:right w:val="single" w:sz="4" w:space="0" w:color="auto"/>
            </w:tcBorders>
            <w:noWrap/>
            <w:hideMark/>
          </w:tcPr>
          <w:p w14:paraId="06B0F70B"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Basic (£)</w:t>
            </w:r>
          </w:p>
        </w:tc>
        <w:tc>
          <w:tcPr>
            <w:tcW w:w="1155" w:type="dxa"/>
            <w:tcBorders>
              <w:top w:val="nil"/>
              <w:left w:val="nil"/>
              <w:bottom w:val="single" w:sz="4" w:space="0" w:color="auto"/>
              <w:right w:val="single" w:sz="4" w:space="0" w:color="auto"/>
            </w:tcBorders>
            <w:noWrap/>
            <w:hideMark/>
          </w:tcPr>
          <w:p w14:paraId="4E0221A9"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(1.85)</w:t>
            </w:r>
          </w:p>
        </w:tc>
        <w:tc>
          <w:tcPr>
            <w:tcW w:w="0" w:type="auto"/>
            <w:tcBorders>
              <w:top w:val="nil"/>
              <w:left w:val="nil"/>
              <w:bottom w:val="single" w:sz="4" w:space="0" w:color="auto"/>
              <w:right w:val="single" w:sz="4" w:space="0" w:color="auto"/>
            </w:tcBorders>
            <w:noWrap/>
            <w:hideMark/>
          </w:tcPr>
          <w:p w14:paraId="42D220DE"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(7.64)</w:t>
            </w:r>
          </w:p>
        </w:tc>
        <w:tc>
          <w:tcPr>
            <w:tcW w:w="0" w:type="auto"/>
            <w:tcBorders>
              <w:top w:val="nil"/>
              <w:left w:val="nil"/>
              <w:bottom w:val="single" w:sz="4" w:space="0" w:color="auto"/>
              <w:right w:val="single" w:sz="4" w:space="0" w:color="auto"/>
            </w:tcBorders>
            <w:noWrap/>
            <w:hideMark/>
          </w:tcPr>
          <w:p w14:paraId="1243C1A3"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0.03</w:t>
            </w:r>
          </w:p>
        </w:tc>
        <w:tc>
          <w:tcPr>
            <w:tcW w:w="0" w:type="auto"/>
            <w:tcBorders>
              <w:top w:val="nil"/>
              <w:left w:val="nil"/>
              <w:bottom w:val="single" w:sz="4" w:space="0" w:color="auto"/>
              <w:right w:val="single" w:sz="4" w:space="0" w:color="auto"/>
            </w:tcBorders>
            <w:noWrap/>
            <w:hideMark/>
          </w:tcPr>
          <w:p w14:paraId="4C684DA6"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0.39</w:t>
            </w:r>
          </w:p>
        </w:tc>
        <w:tc>
          <w:tcPr>
            <w:tcW w:w="0" w:type="auto"/>
            <w:tcBorders>
              <w:top w:val="nil"/>
              <w:left w:val="nil"/>
              <w:bottom w:val="single" w:sz="4" w:space="0" w:color="auto"/>
              <w:right w:val="single" w:sz="8" w:space="0" w:color="auto"/>
            </w:tcBorders>
            <w:noWrap/>
            <w:hideMark/>
          </w:tcPr>
          <w:p w14:paraId="5877C56D"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2.78</w:t>
            </w:r>
          </w:p>
        </w:tc>
      </w:tr>
      <w:tr w:rsidR="00047D0B" w:rsidRPr="00A343CD" w14:paraId="0BE1AD5E" w14:textId="77777777" w:rsidTr="00C563B5">
        <w:trPr>
          <w:trHeight w:val="288"/>
          <w:jc w:val="center"/>
        </w:trPr>
        <w:tc>
          <w:tcPr>
            <w:tcW w:w="3227" w:type="dxa"/>
            <w:tcBorders>
              <w:top w:val="nil"/>
              <w:left w:val="single" w:sz="8" w:space="0" w:color="auto"/>
              <w:bottom w:val="single" w:sz="4" w:space="0" w:color="auto"/>
              <w:right w:val="single" w:sz="4" w:space="0" w:color="auto"/>
            </w:tcBorders>
            <w:noWrap/>
            <w:hideMark/>
          </w:tcPr>
          <w:p w14:paraId="27CA7340"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Diluted (£)</w:t>
            </w:r>
          </w:p>
        </w:tc>
        <w:tc>
          <w:tcPr>
            <w:tcW w:w="1155" w:type="dxa"/>
            <w:tcBorders>
              <w:top w:val="nil"/>
              <w:left w:val="nil"/>
              <w:bottom w:val="single" w:sz="4" w:space="0" w:color="auto"/>
              <w:right w:val="single" w:sz="4" w:space="0" w:color="auto"/>
            </w:tcBorders>
            <w:noWrap/>
            <w:hideMark/>
          </w:tcPr>
          <w:p w14:paraId="1CB414CD"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(1.85)</w:t>
            </w:r>
          </w:p>
        </w:tc>
        <w:tc>
          <w:tcPr>
            <w:tcW w:w="0" w:type="auto"/>
            <w:tcBorders>
              <w:top w:val="nil"/>
              <w:left w:val="nil"/>
              <w:bottom w:val="single" w:sz="4" w:space="0" w:color="auto"/>
              <w:right w:val="single" w:sz="4" w:space="0" w:color="auto"/>
            </w:tcBorders>
            <w:noWrap/>
            <w:hideMark/>
          </w:tcPr>
          <w:p w14:paraId="438EB8F1"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(7.64)</w:t>
            </w:r>
          </w:p>
        </w:tc>
        <w:tc>
          <w:tcPr>
            <w:tcW w:w="0" w:type="auto"/>
            <w:tcBorders>
              <w:top w:val="nil"/>
              <w:left w:val="nil"/>
              <w:bottom w:val="single" w:sz="4" w:space="0" w:color="auto"/>
              <w:right w:val="single" w:sz="4" w:space="0" w:color="auto"/>
            </w:tcBorders>
            <w:noWrap/>
            <w:hideMark/>
          </w:tcPr>
          <w:p w14:paraId="5559BF6E"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0.03</w:t>
            </w:r>
          </w:p>
        </w:tc>
        <w:tc>
          <w:tcPr>
            <w:tcW w:w="0" w:type="auto"/>
            <w:tcBorders>
              <w:top w:val="nil"/>
              <w:left w:val="nil"/>
              <w:bottom w:val="single" w:sz="4" w:space="0" w:color="auto"/>
              <w:right w:val="single" w:sz="4" w:space="0" w:color="auto"/>
            </w:tcBorders>
            <w:noWrap/>
            <w:hideMark/>
          </w:tcPr>
          <w:p w14:paraId="6F11BC8B"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0.39</w:t>
            </w:r>
          </w:p>
        </w:tc>
        <w:tc>
          <w:tcPr>
            <w:tcW w:w="0" w:type="auto"/>
            <w:tcBorders>
              <w:top w:val="nil"/>
              <w:left w:val="nil"/>
              <w:bottom w:val="single" w:sz="4" w:space="0" w:color="auto"/>
              <w:right w:val="single" w:sz="8" w:space="0" w:color="auto"/>
            </w:tcBorders>
            <w:noWrap/>
            <w:hideMark/>
          </w:tcPr>
          <w:p w14:paraId="167B1BAE"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2.72</w:t>
            </w:r>
          </w:p>
        </w:tc>
      </w:tr>
      <w:tr w:rsidR="00047D0B" w:rsidRPr="00A343CD" w14:paraId="2BA12C55" w14:textId="77777777" w:rsidTr="00C563B5">
        <w:trPr>
          <w:trHeight w:val="288"/>
          <w:jc w:val="center"/>
        </w:trPr>
        <w:tc>
          <w:tcPr>
            <w:tcW w:w="3227" w:type="dxa"/>
            <w:tcBorders>
              <w:top w:val="nil"/>
              <w:left w:val="single" w:sz="8" w:space="0" w:color="auto"/>
              <w:bottom w:val="single" w:sz="4" w:space="0" w:color="auto"/>
              <w:right w:val="single" w:sz="4" w:space="0" w:color="auto"/>
            </w:tcBorders>
            <w:noWrap/>
            <w:hideMark/>
          </w:tcPr>
          <w:p w14:paraId="6BC4A9BD"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Shares used in computing earnings (loss) per share</w:t>
            </w:r>
          </w:p>
        </w:tc>
        <w:tc>
          <w:tcPr>
            <w:tcW w:w="1155" w:type="dxa"/>
            <w:tcBorders>
              <w:top w:val="nil"/>
              <w:left w:val="nil"/>
              <w:bottom w:val="single" w:sz="4" w:space="0" w:color="auto"/>
              <w:right w:val="single" w:sz="4" w:space="0" w:color="auto"/>
            </w:tcBorders>
            <w:noWrap/>
            <w:hideMark/>
          </w:tcPr>
          <w:p w14:paraId="72B0B982" w14:textId="77777777" w:rsidR="00047D0B" w:rsidRPr="00A343CD" w:rsidRDefault="00047D0B" w:rsidP="00C563B5">
            <w:pPr>
              <w:spacing w:after="0" w:line="276" w:lineRule="auto"/>
              <w:jc w:val="center"/>
              <w:rPr>
                <w:rFonts w:ascii="Arial" w:eastAsia="Times New Roman" w:hAnsi="Arial" w:cs="Arial"/>
                <w:color w:val="000000"/>
                <w:szCs w:val="24"/>
                <w:lang w:bidi="bn-BD"/>
              </w:rPr>
            </w:pPr>
          </w:p>
        </w:tc>
        <w:tc>
          <w:tcPr>
            <w:tcW w:w="0" w:type="auto"/>
            <w:tcBorders>
              <w:top w:val="nil"/>
              <w:left w:val="nil"/>
              <w:bottom w:val="single" w:sz="4" w:space="0" w:color="auto"/>
              <w:right w:val="single" w:sz="4" w:space="0" w:color="auto"/>
            </w:tcBorders>
            <w:noWrap/>
            <w:hideMark/>
          </w:tcPr>
          <w:p w14:paraId="00C9A831" w14:textId="77777777" w:rsidR="00047D0B" w:rsidRPr="00A343CD" w:rsidRDefault="00047D0B" w:rsidP="00C563B5">
            <w:pPr>
              <w:spacing w:after="0" w:line="276" w:lineRule="auto"/>
              <w:jc w:val="center"/>
              <w:rPr>
                <w:rFonts w:ascii="Arial" w:eastAsia="Times New Roman" w:hAnsi="Arial" w:cs="Arial"/>
                <w:color w:val="000000"/>
                <w:szCs w:val="24"/>
                <w:lang w:bidi="bn-BD"/>
              </w:rPr>
            </w:pPr>
          </w:p>
        </w:tc>
        <w:tc>
          <w:tcPr>
            <w:tcW w:w="0" w:type="auto"/>
            <w:tcBorders>
              <w:top w:val="nil"/>
              <w:left w:val="nil"/>
              <w:bottom w:val="single" w:sz="4" w:space="0" w:color="auto"/>
              <w:right w:val="single" w:sz="4" w:space="0" w:color="auto"/>
            </w:tcBorders>
            <w:noWrap/>
            <w:hideMark/>
          </w:tcPr>
          <w:p w14:paraId="53460BEF" w14:textId="77777777" w:rsidR="00047D0B" w:rsidRPr="00A343CD" w:rsidRDefault="00047D0B" w:rsidP="00C563B5">
            <w:pPr>
              <w:spacing w:after="0" w:line="276" w:lineRule="auto"/>
              <w:jc w:val="center"/>
              <w:rPr>
                <w:rFonts w:ascii="Arial" w:eastAsia="Times New Roman" w:hAnsi="Arial" w:cs="Arial"/>
                <w:color w:val="000000"/>
                <w:szCs w:val="24"/>
                <w:lang w:bidi="bn-BD"/>
              </w:rPr>
            </w:pPr>
          </w:p>
        </w:tc>
        <w:tc>
          <w:tcPr>
            <w:tcW w:w="0" w:type="auto"/>
            <w:tcBorders>
              <w:top w:val="nil"/>
              <w:left w:val="nil"/>
              <w:bottom w:val="single" w:sz="4" w:space="0" w:color="auto"/>
              <w:right w:val="single" w:sz="4" w:space="0" w:color="auto"/>
            </w:tcBorders>
            <w:noWrap/>
            <w:hideMark/>
          </w:tcPr>
          <w:p w14:paraId="4144A924" w14:textId="77777777" w:rsidR="00047D0B" w:rsidRPr="00A343CD" w:rsidRDefault="00047D0B" w:rsidP="00C563B5">
            <w:pPr>
              <w:spacing w:after="0" w:line="276" w:lineRule="auto"/>
              <w:jc w:val="center"/>
              <w:rPr>
                <w:rFonts w:ascii="Arial" w:eastAsia="Times New Roman" w:hAnsi="Arial" w:cs="Arial"/>
                <w:color w:val="000000"/>
                <w:szCs w:val="24"/>
                <w:lang w:bidi="bn-BD"/>
              </w:rPr>
            </w:pPr>
          </w:p>
        </w:tc>
        <w:tc>
          <w:tcPr>
            <w:tcW w:w="0" w:type="auto"/>
            <w:tcBorders>
              <w:top w:val="nil"/>
              <w:left w:val="nil"/>
              <w:bottom w:val="single" w:sz="4" w:space="0" w:color="auto"/>
              <w:right w:val="single" w:sz="8" w:space="0" w:color="auto"/>
            </w:tcBorders>
            <w:noWrap/>
            <w:hideMark/>
          </w:tcPr>
          <w:p w14:paraId="02199CCE" w14:textId="77777777" w:rsidR="00047D0B" w:rsidRPr="00A343CD" w:rsidRDefault="00047D0B" w:rsidP="00C563B5">
            <w:pPr>
              <w:spacing w:after="0" w:line="276" w:lineRule="auto"/>
              <w:jc w:val="center"/>
              <w:rPr>
                <w:rFonts w:ascii="Arial" w:eastAsia="Times New Roman" w:hAnsi="Arial" w:cs="Arial"/>
                <w:color w:val="000000"/>
                <w:szCs w:val="24"/>
                <w:lang w:bidi="bn-BD"/>
              </w:rPr>
            </w:pPr>
          </w:p>
        </w:tc>
      </w:tr>
      <w:tr w:rsidR="00047D0B" w:rsidRPr="00A343CD" w14:paraId="1C5518B4" w14:textId="77777777" w:rsidTr="00C563B5">
        <w:trPr>
          <w:trHeight w:val="288"/>
          <w:jc w:val="center"/>
        </w:trPr>
        <w:tc>
          <w:tcPr>
            <w:tcW w:w="3227" w:type="dxa"/>
            <w:tcBorders>
              <w:top w:val="nil"/>
              <w:left w:val="single" w:sz="8" w:space="0" w:color="auto"/>
              <w:bottom w:val="single" w:sz="4" w:space="0" w:color="auto"/>
              <w:right w:val="single" w:sz="4" w:space="0" w:color="auto"/>
            </w:tcBorders>
            <w:noWrap/>
            <w:hideMark/>
          </w:tcPr>
          <w:p w14:paraId="612E73C6"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Basic</w:t>
            </w:r>
          </w:p>
        </w:tc>
        <w:tc>
          <w:tcPr>
            <w:tcW w:w="1155" w:type="dxa"/>
            <w:tcBorders>
              <w:top w:val="nil"/>
              <w:left w:val="nil"/>
              <w:bottom w:val="single" w:sz="4" w:space="0" w:color="auto"/>
              <w:right w:val="single" w:sz="4" w:space="0" w:color="auto"/>
            </w:tcBorders>
            <w:noWrap/>
            <w:hideMark/>
          </w:tcPr>
          <w:p w14:paraId="4E1C5AEE"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12,959</w:t>
            </w:r>
          </w:p>
        </w:tc>
        <w:tc>
          <w:tcPr>
            <w:tcW w:w="0" w:type="auto"/>
            <w:tcBorders>
              <w:top w:val="nil"/>
              <w:left w:val="nil"/>
              <w:bottom w:val="single" w:sz="4" w:space="0" w:color="auto"/>
              <w:right w:val="single" w:sz="4" w:space="0" w:color="auto"/>
            </w:tcBorders>
            <w:noWrap/>
            <w:hideMark/>
          </w:tcPr>
          <w:p w14:paraId="30D93ACC"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12,855</w:t>
            </w:r>
          </w:p>
        </w:tc>
        <w:tc>
          <w:tcPr>
            <w:tcW w:w="0" w:type="auto"/>
            <w:tcBorders>
              <w:top w:val="nil"/>
              <w:left w:val="nil"/>
              <w:bottom w:val="single" w:sz="4" w:space="0" w:color="auto"/>
              <w:right w:val="single" w:sz="4" w:space="0" w:color="auto"/>
            </w:tcBorders>
            <w:noWrap/>
            <w:hideMark/>
          </w:tcPr>
          <w:p w14:paraId="18B171E3"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12,703</w:t>
            </w:r>
          </w:p>
        </w:tc>
        <w:tc>
          <w:tcPr>
            <w:tcW w:w="0" w:type="auto"/>
            <w:tcBorders>
              <w:top w:val="nil"/>
              <w:left w:val="nil"/>
              <w:bottom w:val="single" w:sz="4" w:space="0" w:color="auto"/>
              <w:right w:val="single" w:sz="4" w:space="0" w:color="auto"/>
            </w:tcBorders>
            <w:noWrap/>
            <w:hideMark/>
          </w:tcPr>
          <w:p w14:paraId="6A6AD9C5"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13,465</w:t>
            </w:r>
          </w:p>
        </w:tc>
        <w:tc>
          <w:tcPr>
            <w:tcW w:w="0" w:type="auto"/>
            <w:tcBorders>
              <w:top w:val="nil"/>
              <w:left w:val="nil"/>
              <w:bottom w:val="single" w:sz="4" w:space="0" w:color="auto"/>
              <w:right w:val="single" w:sz="8" w:space="0" w:color="auto"/>
            </w:tcBorders>
            <w:noWrap/>
            <w:hideMark/>
          </w:tcPr>
          <w:p w14:paraId="20313F46"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13,893</w:t>
            </w:r>
          </w:p>
        </w:tc>
      </w:tr>
      <w:tr w:rsidR="00047D0B" w:rsidRPr="00A343CD" w14:paraId="3C410C68" w14:textId="77777777" w:rsidTr="00C563B5">
        <w:trPr>
          <w:trHeight w:val="288"/>
          <w:jc w:val="center"/>
        </w:trPr>
        <w:tc>
          <w:tcPr>
            <w:tcW w:w="3227" w:type="dxa"/>
            <w:tcBorders>
              <w:top w:val="nil"/>
              <w:left w:val="single" w:sz="8" w:space="0" w:color="auto"/>
              <w:bottom w:val="single" w:sz="8" w:space="0" w:color="auto"/>
              <w:right w:val="single" w:sz="4" w:space="0" w:color="auto"/>
            </w:tcBorders>
            <w:noWrap/>
            <w:hideMark/>
          </w:tcPr>
          <w:p w14:paraId="07A174AE"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Diluted (£)</w:t>
            </w:r>
          </w:p>
        </w:tc>
        <w:tc>
          <w:tcPr>
            <w:tcW w:w="1155" w:type="dxa"/>
            <w:tcBorders>
              <w:top w:val="nil"/>
              <w:left w:val="nil"/>
              <w:bottom w:val="single" w:sz="8" w:space="0" w:color="auto"/>
              <w:right w:val="single" w:sz="4" w:space="0" w:color="auto"/>
            </w:tcBorders>
            <w:noWrap/>
            <w:hideMark/>
          </w:tcPr>
          <w:p w14:paraId="5805EF08"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12,959</w:t>
            </w:r>
          </w:p>
        </w:tc>
        <w:tc>
          <w:tcPr>
            <w:tcW w:w="0" w:type="auto"/>
            <w:tcBorders>
              <w:top w:val="nil"/>
              <w:left w:val="nil"/>
              <w:bottom w:val="single" w:sz="8" w:space="0" w:color="auto"/>
              <w:right w:val="single" w:sz="4" w:space="0" w:color="auto"/>
            </w:tcBorders>
            <w:noWrap/>
            <w:hideMark/>
          </w:tcPr>
          <w:p w14:paraId="76AFEC1B"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12,855</w:t>
            </w:r>
          </w:p>
        </w:tc>
        <w:tc>
          <w:tcPr>
            <w:tcW w:w="0" w:type="auto"/>
            <w:tcBorders>
              <w:top w:val="nil"/>
              <w:left w:val="nil"/>
              <w:bottom w:val="single" w:sz="8" w:space="0" w:color="auto"/>
              <w:right w:val="single" w:sz="4" w:space="0" w:color="auto"/>
            </w:tcBorders>
            <w:noWrap/>
            <w:hideMark/>
          </w:tcPr>
          <w:p w14:paraId="5601BEB8"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12,779</w:t>
            </w:r>
          </w:p>
        </w:tc>
        <w:tc>
          <w:tcPr>
            <w:tcW w:w="0" w:type="auto"/>
            <w:tcBorders>
              <w:top w:val="nil"/>
              <w:left w:val="nil"/>
              <w:bottom w:val="single" w:sz="8" w:space="0" w:color="auto"/>
              <w:right w:val="single" w:sz="4" w:space="0" w:color="auto"/>
            </w:tcBorders>
            <w:noWrap/>
            <w:hideMark/>
          </w:tcPr>
          <w:p w14:paraId="1BFE7CE0"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13,742</w:t>
            </w:r>
          </w:p>
        </w:tc>
        <w:tc>
          <w:tcPr>
            <w:tcW w:w="0" w:type="auto"/>
            <w:tcBorders>
              <w:top w:val="nil"/>
              <w:left w:val="nil"/>
              <w:bottom w:val="single" w:sz="8" w:space="0" w:color="auto"/>
              <w:right w:val="single" w:sz="8" w:space="0" w:color="auto"/>
            </w:tcBorders>
            <w:noWrap/>
            <w:hideMark/>
          </w:tcPr>
          <w:p w14:paraId="0D0963A9"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14,166</w:t>
            </w:r>
          </w:p>
        </w:tc>
      </w:tr>
      <w:tr w:rsidR="00047D0B" w:rsidRPr="00A343CD" w14:paraId="7606C2C0" w14:textId="77777777" w:rsidTr="00C563B5">
        <w:trPr>
          <w:trHeight w:val="288"/>
          <w:jc w:val="center"/>
        </w:trPr>
        <w:tc>
          <w:tcPr>
            <w:tcW w:w="9006" w:type="dxa"/>
            <w:gridSpan w:val="6"/>
            <w:tcBorders>
              <w:top w:val="nil"/>
              <w:left w:val="single" w:sz="8" w:space="0" w:color="auto"/>
              <w:bottom w:val="single" w:sz="8" w:space="0" w:color="auto"/>
              <w:right w:val="single" w:sz="8" w:space="0" w:color="auto"/>
            </w:tcBorders>
            <w:shd w:val="clear" w:color="000000" w:fill="E8E8E8"/>
            <w:noWrap/>
            <w:hideMark/>
          </w:tcPr>
          <w:p w14:paraId="2685CC99"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***Comment: Calculated Value and Given Value Matched for each parameter(s).</w:t>
            </w:r>
          </w:p>
        </w:tc>
      </w:tr>
    </w:tbl>
    <w:p w14:paraId="7C6A304A" w14:textId="77777777" w:rsidR="00047D0B" w:rsidRPr="00A343CD" w:rsidRDefault="00047D0B" w:rsidP="00047D0B">
      <w:pPr>
        <w:spacing w:after="0" w:line="276" w:lineRule="auto"/>
        <w:rPr>
          <w:rFonts w:ascii="Arial" w:hAnsi="Arial" w:cs="Arial"/>
        </w:rPr>
      </w:pPr>
    </w:p>
    <w:p w14:paraId="10CB807F" w14:textId="77777777" w:rsidR="00047D0B" w:rsidRPr="00A343CD" w:rsidRDefault="00047D0B" w:rsidP="00047D0B">
      <w:pPr>
        <w:spacing w:after="0" w:line="276" w:lineRule="auto"/>
        <w:rPr>
          <w:rFonts w:ascii="Arial" w:hAnsi="Arial" w:cs="Arial"/>
        </w:rPr>
      </w:pPr>
    </w:p>
    <w:tbl>
      <w:tblPr>
        <w:tblW w:w="9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9"/>
        <w:gridCol w:w="6183"/>
      </w:tblGrid>
      <w:tr w:rsidR="00047D0B" w:rsidRPr="00A343CD" w14:paraId="56DCE713" w14:textId="77777777" w:rsidTr="00C563B5">
        <w:trPr>
          <w:trHeight w:val="288"/>
        </w:trPr>
        <w:tc>
          <w:tcPr>
            <w:tcW w:w="3039" w:type="dxa"/>
            <w:shd w:val="clear" w:color="000000" w:fill="DAF2D0"/>
            <w:noWrap/>
            <w:hideMark/>
          </w:tcPr>
          <w:p w14:paraId="6A0D341E" w14:textId="77777777" w:rsidR="00047D0B" w:rsidRPr="00A343CD" w:rsidRDefault="00047D0B" w:rsidP="00C563B5">
            <w:pPr>
              <w:spacing w:after="0" w:line="276" w:lineRule="auto"/>
              <w:rPr>
                <w:rFonts w:ascii="Arial" w:eastAsia="Times New Roman" w:hAnsi="Arial" w:cs="Arial"/>
                <w:b/>
                <w:bCs/>
                <w:color w:val="000000"/>
                <w:szCs w:val="24"/>
                <w:lang w:bidi="bn-BD"/>
              </w:rPr>
            </w:pPr>
          </w:p>
        </w:tc>
        <w:tc>
          <w:tcPr>
            <w:tcW w:w="6183" w:type="dxa"/>
            <w:noWrap/>
            <w:hideMark/>
          </w:tcPr>
          <w:p w14:paraId="179554A4"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Correct Value After Summation</w:t>
            </w:r>
          </w:p>
        </w:tc>
      </w:tr>
      <w:tr w:rsidR="00047D0B" w:rsidRPr="00A343CD" w14:paraId="5D274EC8" w14:textId="77777777" w:rsidTr="00C563B5">
        <w:trPr>
          <w:trHeight w:val="288"/>
        </w:trPr>
        <w:tc>
          <w:tcPr>
            <w:tcW w:w="3039" w:type="dxa"/>
            <w:shd w:val="clear" w:color="000000" w:fill="FBE2D5"/>
            <w:noWrap/>
            <w:hideMark/>
          </w:tcPr>
          <w:p w14:paraId="7399B963" w14:textId="77777777" w:rsidR="00047D0B" w:rsidRPr="00A343CD" w:rsidRDefault="00047D0B" w:rsidP="00C563B5">
            <w:pPr>
              <w:spacing w:after="0" w:line="276" w:lineRule="auto"/>
              <w:rPr>
                <w:rFonts w:ascii="Arial" w:eastAsia="Times New Roman" w:hAnsi="Arial" w:cs="Arial"/>
                <w:b/>
                <w:bCs/>
                <w:color w:val="000000"/>
                <w:szCs w:val="24"/>
                <w:lang w:bidi="bn-BD"/>
              </w:rPr>
            </w:pPr>
          </w:p>
        </w:tc>
        <w:tc>
          <w:tcPr>
            <w:tcW w:w="6183" w:type="dxa"/>
            <w:noWrap/>
            <w:hideMark/>
          </w:tcPr>
          <w:p w14:paraId="6B6A03F9"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Given Value in PDF of which addition is wrongly presented.</w:t>
            </w:r>
          </w:p>
        </w:tc>
      </w:tr>
    </w:tbl>
    <w:p w14:paraId="48063B14" w14:textId="77777777" w:rsidR="00047D0B" w:rsidRPr="00A343CD" w:rsidRDefault="00047D0B" w:rsidP="00047D0B">
      <w:pPr>
        <w:spacing w:after="0" w:line="276" w:lineRule="auto"/>
        <w:rPr>
          <w:rFonts w:ascii="Arial" w:hAnsi="Arial" w:cs="Arial"/>
        </w:rPr>
      </w:pPr>
    </w:p>
    <w:p w14:paraId="4381707B" w14:textId="77777777" w:rsidR="00047D0B" w:rsidRPr="00A343CD" w:rsidRDefault="00047D0B" w:rsidP="00047D0B">
      <w:pPr>
        <w:spacing w:after="0" w:line="276" w:lineRule="auto"/>
        <w:rPr>
          <w:rFonts w:ascii="Arial" w:hAnsi="Arial" w:cs="Arial"/>
        </w:rPr>
      </w:pPr>
    </w:p>
    <w:tbl>
      <w:tblPr>
        <w:tblW w:w="9351" w:type="dxa"/>
        <w:tblLook w:val="04A0" w:firstRow="1" w:lastRow="0" w:firstColumn="1" w:lastColumn="0" w:noHBand="0" w:noVBand="1"/>
      </w:tblPr>
      <w:tblGrid>
        <w:gridCol w:w="3341"/>
        <w:gridCol w:w="1244"/>
        <w:gridCol w:w="1244"/>
        <w:gridCol w:w="1244"/>
        <w:gridCol w:w="1244"/>
        <w:gridCol w:w="1244"/>
      </w:tblGrid>
      <w:tr w:rsidR="00047D0B" w:rsidRPr="00A343CD" w14:paraId="3A931D72" w14:textId="77777777" w:rsidTr="00C563B5">
        <w:trPr>
          <w:trHeight w:val="20"/>
        </w:trPr>
        <w:tc>
          <w:tcPr>
            <w:tcW w:w="9351" w:type="dxa"/>
            <w:gridSpan w:val="6"/>
            <w:tcBorders>
              <w:top w:val="single" w:sz="8" w:space="0" w:color="auto"/>
              <w:left w:val="single" w:sz="8" w:space="0" w:color="auto"/>
              <w:bottom w:val="single" w:sz="4" w:space="0" w:color="auto"/>
              <w:right w:val="single" w:sz="8" w:space="0" w:color="000000"/>
            </w:tcBorders>
            <w:shd w:val="clear" w:color="000000" w:fill="C0E6F5"/>
            <w:noWrap/>
            <w:vAlign w:val="bottom"/>
            <w:hideMark/>
          </w:tcPr>
          <w:p w14:paraId="57C4F90C"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Consolidated Financial Position (£m)</w:t>
            </w:r>
          </w:p>
        </w:tc>
      </w:tr>
      <w:tr w:rsidR="00047D0B" w:rsidRPr="00A343CD" w14:paraId="1DBC6949"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38DD8152"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Item</w:t>
            </w:r>
          </w:p>
        </w:tc>
        <w:tc>
          <w:tcPr>
            <w:tcW w:w="1210" w:type="dxa"/>
            <w:tcBorders>
              <w:top w:val="nil"/>
              <w:left w:val="nil"/>
              <w:bottom w:val="single" w:sz="4" w:space="0" w:color="auto"/>
              <w:right w:val="single" w:sz="4" w:space="0" w:color="auto"/>
            </w:tcBorders>
            <w:noWrap/>
            <w:vAlign w:val="bottom"/>
            <w:hideMark/>
          </w:tcPr>
          <w:p w14:paraId="24B6F7A4"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2024</w:t>
            </w:r>
          </w:p>
        </w:tc>
        <w:tc>
          <w:tcPr>
            <w:tcW w:w="1210" w:type="dxa"/>
            <w:tcBorders>
              <w:top w:val="nil"/>
              <w:left w:val="nil"/>
              <w:bottom w:val="single" w:sz="4" w:space="0" w:color="auto"/>
              <w:right w:val="single" w:sz="4" w:space="0" w:color="auto"/>
            </w:tcBorders>
            <w:noWrap/>
            <w:vAlign w:val="bottom"/>
            <w:hideMark/>
          </w:tcPr>
          <w:p w14:paraId="1A4701AF"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2023</w:t>
            </w:r>
          </w:p>
        </w:tc>
        <w:tc>
          <w:tcPr>
            <w:tcW w:w="1152" w:type="dxa"/>
            <w:tcBorders>
              <w:top w:val="nil"/>
              <w:left w:val="nil"/>
              <w:bottom w:val="single" w:sz="4" w:space="0" w:color="auto"/>
              <w:right w:val="single" w:sz="4" w:space="0" w:color="auto"/>
            </w:tcBorders>
            <w:noWrap/>
            <w:vAlign w:val="bottom"/>
            <w:hideMark/>
          </w:tcPr>
          <w:p w14:paraId="31184568"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2022</w:t>
            </w:r>
          </w:p>
        </w:tc>
        <w:tc>
          <w:tcPr>
            <w:tcW w:w="1196" w:type="dxa"/>
            <w:tcBorders>
              <w:top w:val="nil"/>
              <w:left w:val="nil"/>
              <w:bottom w:val="single" w:sz="4" w:space="0" w:color="auto"/>
              <w:right w:val="single" w:sz="4" w:space="0" w:color="auto"/>
            </w:tcBorders>
            <w:noWrap/>
            <w:vAlign w:val="bottom"/>
            <w:hideMark/>
          </w:tcPr>
          <w:p w14:paraId="0B2B6E6B"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2021</w:t>
            </w:r>
          </w:p>
        </w:tc>
        <w:tc>
          <w:tcPr>
            <w:tcW w:w="1198" w:type="dxa"/>
            <w:tcBorders>
              <w:top w:val="nil"/>
              <w:left w:val="nil"/>
              <w:bottom w:val="single" w:sz="4" w:space="0" w:color="auto"/>
              <w:right w:val="single" w:sz="8" w:space="0" w:color="auto"/>
            </w:tcBorders>
            <w:noWrap/>
            <w:vAlign w:val="bottom"/>
            <w:hideMark/>
          </w:tcPr>
          <w:p w14:paraId="1C37A4DD"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2020</w:t>
            </w:r>
          </w:p>
        </w:tc>
      </w:tr>
      <w:tr w:rsidR="00047D0B" w:rsidRPr="00A343CD" w14:paraId="522C72C9"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601FD56F"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Current Asset</w:t>
            </w:r>
          </w:p>
        </w:tc>
        <w:tc>
          <w:tcPr>
            <w:tcW w:w="1210" w:type="dxa"/>
            <w:tcBorders>
              <w:top w:val="nil"/>
              <w:left w:val="nil"/>
              <w:bottom w:val="single" w:sz="4" w:space="0" w:color="auto"/>
              <w:right w:val="single" w:sz="4" w:space="0" w:color="auto"/>
            </w:tcBorders>
            <w:noWrap/>
            <w:vAlign w:val="bottom"/>
            <w:hideMark/>
          </w:tcPr>
          <w:p w14:paraId="404BDAD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10" w:type="dxa"/>
            <w:tcBorders>
              <w:top w:val="nil"/>
              <w:left w:val="nil"/>
              <w:bottom w:val="single" w:sz="4" w:space="0" w:color="auto"/>
              <w:right w:val="single" w:sz="4" w:space="0" w:color="auto"/>
            </w:tcBorders>
            <w:noWrap/>
            <w:vAlign w:val="bottom"/>
            <w:hideMark/>
          </w:tcPr>
          <w:p w14:paraId="391749F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152" w:type="dxa"/>
            <w:tcBorders>
              <w:top w:val="nil"/>
              <w:left w:val="nil"/>
              <w:bottom w:val="single" w:sz="4" w:space="0" w:color="auto"/>
              <w:right w:val="single" w:sz="4" w:space="0" w:color="auto"/>
            </w:tcBorders>
            <w:noWrap/>
            <w:vAlign w:val="bottom"/>
            <w:hideMark/>
          </w:tcPr>
          <w:p w14:paraId="4D7C623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196" w:type="dxa"/>
            <w:tcBorders>
              <w:top w:val="nil"/>
              <w:left w:val="nil"/>
              <w:bottom w:val="single" w:sz="4" w:space="0" w:color="auto"/>
              <w:right w:val="single" w:sz="4" w:space="0" w:color="auto"/>
            </w:tcBorders>
            <w:noWrap/>
            <w:vAlign w:val="bottom"/>
            <w:hideMark/>
          </w:tcPr>
          <w:p w14:paraId="37D1A72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198" w:type="dxa"/>
            <w:tcBorders>
              <w:top w:val="nil"/>
              <w:left w:val="nil"/>
              <w:bottom w:val="single" w:sz="4" w:space="0" w:color="auto"/>
              <w:right w:val="single" w:sz="8" w:space="0" w:color="auto"/>
            </w:tcBorders>
            <w:noWrap/>
            <w:vAlign w:val="bottom"/>
            <w:hideMark/>
          </w:tcPr>
          <w:p w14:paraId="0105AF8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r>
      <w:tr w:rsidR="00047D0B" w:rsidRPr="00A343CD" w14:paraId="7A42E164"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FBE2D5"/>
            <w:noWrap/>
            <w:vAlign w:val="bottom"/>
            <w:hideMark/>
          </w:tcPr>
          <w:p w14:paraId="0E3C7C9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Cash and cash equivalents</w:t>
            </w:r>
          </w:p>
        </w:tc>
        <w:tc>
          <w:tcPr>
            <w:tcW w:w="1210" w:type="dxa"/>
            <w:tcBorders>
              <w:top w:val="nil"/>
              <w:left w:val="nil"/>
              <w:bottom w:val="single" w:sz="4" w:space="0" w:color="auto"/>
              <w:right w:val="single" w:sz="4" w:space="0" w:color="auto"/>
            </w:tcBorders>
            <w:shd w:val="clear" w:color="000000" w:fill="FBE2D5"/>
            <w:noWrap/>
            <w:vAlign w:val="bottom"/>
            <w:hideMark/>
          </w:tcPr>
          <w:p w14:paraId="418362B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26,783 </w:t>
            </w:r>
          </w:p>
        </w:tc>
        <w:tc>
          <w:tcPr>
            <w:tcW w:w="1210" w:type="dxa"/>
            <w:tcBorders>
              <w:top w:val="nil"/>
              <w:left w:val="nil"/>
              <w:bottom w:val="single" w:sz="4" w:space="0" w:color="auto"/>
              <w:right w:val="single" w:sz="4" w:space="0" w:color="auto"/>
            </w:tcBorders>
            <w:shd w:val="clear" w:color="000000" w:fill="FBE2D5"/>
            <w:noWrap/>
            <w:vAlign w:val="bottom"/>
            <w:hideMark/>
          </w:tcPr>
          <w:p w14:paraId="686E445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42,751 </w:t>
            </w:r>
          </w:p>
        </w:tc>
        <w:tc>
          <w:tcPr>
            <w:tcW w:w="1152" w:type="dxa"/>
            <w:tcBorders>
              <w:top w:val="nil"/>
              <w:left w:val="nil"/>
              <w:bottom w:val="single" w:sz="4" w:space="0" w:color="auto"/>
              <w:right w:val="single" w:sz="4" w:space="0" w:color="auto"/>
            </w:tcBorders>
            <w:shd w:val="clear" w:color="000000" w:fill="FBE2D5"/>
            <w:noWrap/>
            <w:vAlign w:val="bottom"/>
            <w:hideMark/>
          </w:tcPr>
          <w:p w14:paraId="693FC8B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66,740 </w:t>
            </w:r>
          </w:p>
        </w:tc>
        <w:tc>
          <w:tcPr>
            <w:tcW w:w="1196" w:type="dxa"/>
            <w:tcBorders>
              <w:top w:val="nil"/>
              <w:left w:val="nil"/>
              <w:bottom w:val="single" w:sz="4" w:space="0" w:color="auto"/>
              <w:right w:val="single" w:sz="4" w:space="0" w:color="auto"/>
            </w:tcBorders>
            <w:shd w:val="clear" w:color="000000" w:fill="FBE2D5"/>
            <w:noWrap/>
            <w:vAlign w:val="bottom"/>
            <w:hideMark/>
          </w:tcPr>
          <w:p w14:paraId="4F0406E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60,813 </w:t>
            </w:r>
          </w:p>
        </w:tc>
        <w:tc>
          <w:tcPr>
            <w:tcW w:w="1198" w:type="dxa"/>
            <w:tcBorders>
              <w:top w:val="nil"/>
              <w:left w:val="nil"/>
              <w:bottom w:val="single" w:sz="4" w:space="0" w:color="auto"/>
              <w:right w:val="single" w:sz="8" w:space="0" w:color="auto"/>
            </w:tcBorders>
            <w:shd w:val="clear" w:color="000000" w:fill="FBE2D5"/>
            <w:noWrap/>
            <w:vAlign w:val="bottom"/>
            <w:hideMark/>
          </w:tcPr>
          <w:p w14:paraId="6889670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57,153 </w:t>
            </w:r>
          </w:p>
        </w:tc>
      </w:tr>
      <w:tr w:rsidR="00047D0B" w:rsidRPr="00A343CD" w14:paraId="2A5EE9BF"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C1F0C8"/>
            <w:noWrap/>
            <w:vAlign w:val="bottom"/>
            <w:hideMark/>
          </w:tcPr>
          <w:p w14:paraId="72CDB5B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lastRenderedPageBreak/>
              <w:t>Cash and cash equivalents (from Cash Flow)</w:t>
            </w:r>
          </w:p>
        </w:tc>
        <w:tc>
          <w:tcPr>
            <w:tcW w:w="1210" w:type="dxa"/>
            <w:tcBorders>
              <w:top w:val="nil"/>
              <w:left w:val="nil"/>
              <w:bottom w:val="single" w:sz="4" w:space="0" w:color="auto"/>
              <w:right w:val="single" w:sz="4" w:space="0" w:color="auto"/>
            </w:tcBorders>
            <w:shd w:val="clear" w:color="000000" w:fill="C1F0C8"/>
            <w:noWrap/>
            <w:vAlign w:val="bottom"/>
            <w:hideMark/>
          </w:tcPr>
          <w:p w14:paraId="58C0CEA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33,166 </w:t>
            </w:r>
          </w:p>
        </w:tc>
        <w:tc>
          <w:tcPr>
            <w:tcW w:w="1210" w:type="dxa"/>
            <w:tcBorders>
              <w:top w:val="nil"/>
              <w:left w:val="nil"/>
              <w:bottom w:val="single" w:sz="4" w:space="0" w:color="auto"/>
              <w:right w:val="single" w:sz="4" w:space="0" w:color="auto"/>
            </w:tcBorders>
            <w:shd w:val="clear" w:color="000000" w:fill="C1F0C8"/>
            <w:noWrap/>
            <w:vAlign w:val="bottom"/>
            <w:hideMark/>
          </w:tcPr>
          <w:p w14:paraId="77C5884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49,134 </w:t>
            </w:r>
          </w:p>
        </w:tc>
        <w:tc>
          <w:tcPr>
            <w:tcW w:w="1152" w:type="dxa"/>
            <w:tcBorders>
              <w:top w:val="nil"/>
              <w:left w:val="nil"/>
              <w:bottom w:val="single" w:sz="4" w:space="0" w:color="auto"/>
              <w:right w:val="single" w:sz="4" w:space="0" w:color="auto"/>
            </w:tcBorders>
            <w:shd w:val="clear" w:color="000000" w:fill="C1F0C8"/>
            <w:noWrap/>
            <w:vAlign w:val="bottom"/>
            <w:hideMark/>
          </w:tcPr>
          <w:p w14:paraId="700B00C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73,123 </w:t>
            </w:r>
          </w:p>
        </w:tc>
        <w:tc>
          <w:tcPr>
            <w:tcW w:w="1196" w:type="dxa"/>
            <w:tcBorders>
              <w:top w:val="nil"/>
              <w:left w:val="nil"/>
              <w:bottom w:val="single" w:sz="4" w:space="0" w:color="auto"/>
              <w:right w:val="single" w:sz="4" w:space="0" w:color="auto"/>
            </w:tcBorders>
            <w:shd w:val="clear" w:color="000000" w:fill="C1F0C8"/>
            <w:noWrap/>
            <w:vAlign w:val="bottom"/>
            <w:hideMark/>
          </w:tcPr>
          <w:p w14:paraId="712A00F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67,196 </w:t>
            </w:r>
          </w:p>
        </w:tc>
        <w:tc>
          <w:tcPr>
            <w:tcW w:w="1198" w:type="dxa"/>
            <w:tcBorders>
              <w:top w:val="nil"/>
              <w:left w:val="nil"/>
              <w:bottom w:val="single" w:sz="4" w:space="0" w:color="auto"/>
              <w:right w:val="single" w:sz="8" w:space="0" w:color="auto"/>
            </w:tcBorders>
            <w:shd w:val="clear" w:color="000000" w:fill="C1F0C8"/>
            <w:noWrap/>
            <w:vAlign w:val="bottom"/>
            <w:hideMark/>
          </w:tcPr>
          <w:p w14:paraId="737353B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68,810 </w:t>
            </w:r>
          </w:p>
        </w:tc>
      </w:tr>
      <w:tr w:rsidR="00047D0B" w:rsidRPr="00A343CD" w14:paraId="2D0F0E52"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163A17A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Accounts receivable</w:t>
            </w:r>
          </w:p>
        </w:tc>
        <w:tc>
          <w:tcPr>
            <w:tcW w:w="1210" w:type="dxa"/>
            <w:tcBorders>
              <w:top w:val="nil"/>
              <w:left w:val="nil"/>
              <w:bottom w:val="single" w:sz="4" w:space="0" w:color="auto"/>
              <w:right w:val="single" w:sz="4" w:space="0" w:color="auto"/>
            </w:tcBorders>
            <w:noWrap/>
            <w:vAlign w:val="bottom"/>
            <w:hideMark/>
          </w:tcPr>
          <w:p w14:paraId="4DA9741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114,182 </w:t>
            </w:r>
          </w:p>
        </w:tc>
        <w:tc>
          <w:tcPr>
            <w:tcW w:w="1210" w:type="dxa"/>
            <w:tcBorders>
              <w:top w:val="nil"/>
              <w:left w:val="nil"/>
              <w:bottom w:val="single" w:sz="4" w:space="0" w:color="auto"/>
              <w:right w:val="single" w:sz="4" w:space="0" w:color="auto"/>
            </w:tcBorders>
            <w:noWrap/>
            <w:vAlign w:val="bottom"/>
            <w:hideMark/>
          </w:tcPr>
          <w:p w14:paraId="78D8B40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112,596 </w:t>
            </w:r>
          </w:p>
        </w:tc>
        <w:tc>
          <w:tcPr>
            <w:tcW w:w="1152" w:type="dxa"/>
            <w:tcBorders>
              <w:top w:val="nil"/>
              <w:left w:val="nil"/>
              <w:bottom w:val="single" w:sz="4" w:space="0" w:color="auto"/>
              <w:right w:val="single" w:sz="4" w:space="0" w:color="auto"/>
            </w:tcBorders>
            <w:noWrap/>
            <w:vAlign w:val="bottom"/>
            <w:hideMark/>
          </w:tcPr>
          <w:p w14:paraId="2C7F90E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112,346 </w:t>
            </w:r>
          </w:p>
        </w:tc>
        <w:tc>
          <w:tcPr>
            <w:tcW w:w="1196" w:type="dxa"/>
            <w:tcBorders>
              <w:top w:val="nil"/>
              <w:left w:val="nil"/>
              <w:bottom w:val="single" w:sz="4" w:space="0" w:color="auto"/>
              <w:right w:val="single" w:sz="4" w:space="0" w:color="auto"/>
            </w:tcBorders>
            <w:noWrap/>
            <w:vAlign w:val="bottom"/>
            <w:hideMark/>
          </w:tcPr>
          <w:p w14:paraId="34E6499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129,215 </w:t>
            </w:r>
          </w:p>
        </w:tc>
        <w:tc>
          <w:tcPr>
            <w:tcW w:w="1198" w:type="dxa"/>
            <w:tcBorders>
              <w:top w:val="nil"/>
              <w:left w:val="nil"/>
              <w:bottom w:val="single" w:sz="4" w:space="0" w:color="auto"/>
              <w:right w:val="single" w:sz="8" w:space="0" w:color="auto"/>
            </w:tcBorders>
            <w:noWrap/>
            <w:vAlign w:val="bottom"/>
            <w:hideMark/>
          </w:tcPr>
          <w:p w14:paraId="01A188F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129,433 </w:t>
            </w:r>
          </w:p>
        </w:tc>
      </w:tr>
      <w:tr w:rsidR="00047D0B" w:rsidRPr="00A343CD" w14:paraId="2D0387A3"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35A51CE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Contract assets</w:t>
            </w:r>
          </w:p>
        </w:tc>
        <w:tc>
          <w:tcPr>
            <w:tcW w:w="1210" w:type="dxa"/>
            <w:tcBorders>
              <w:top w:val="nil"/>
              <w:left w:val="nil"/>
              <w:bottom w:val="single" w:sz="4" w:space="0" w:color="auto"/>
              <w:right w:val="single" w:sz="4" w:space="0" w:color="auto"/>
            </w:tcBorders>
            <w:noWrap/>
            <w:vAlign w:val="bottom"/>
            <w:hideMark/>
          </w:tcPr>
          <w:p w14:paraId="1A53C43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10,346 </w:t>
            </w:r>
          </w:p>
        </w:tc>
        <w:tc>
          <w:tcPr>
            <w:tcW w:w="1210" w:type="dxa"/>
            <w:tcBorders>
              <w:top w:val="nil"/>
              <w:left w:val="nil"/>
              <w:bottom w:val="single" w:sz="4" w:space="0" w:color="auto"/>
              <w:right w:val="single" w:sz="4" w:space="0" w:color="auto"/>
            </w:tcBorders>
            <w:noWrap/>
            <w:vAlign w:val="bottom"/>
            <w:hideMark/>
          </w:tcPr>
          <w:p w14:paraId="1A9A795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4,240 </w:t>
            </w:r>
          </w:p>
        </w:tc>
        <w:tc>
          <w:tcPr>
            <w:tcW w:w="1152" w:type="dxa"/>
            <w:tcBorders>
              <w:top w:val="nil"/>
              <w:left w:val="nil"/>
              <w:bottom w:val="single" w:sz="4" w:space="0" w:color="auto"/>
              <w:right w:val="single" w:sz="4" w:space="0" w:color="auto"/>
            </w:tcBorders>
            <w:noWrap/>
            <w:vAlign w:val="bottom"/>
            <w:hideMark/>
          </w:tcPr>
          <w:p w14:paraId="332E143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7,996 </w:t>
            </w:r>
          </w:p>
        </w:tc>
        <w:tc>
          <w:tcPr>
            <w:tcW w:w="1196" w:type="dxa"/>
            <w:tcBorders>
              <w:top w:val="nil"/>
              <w:left w:val="nil"/>
              <w:bottom w:val="single" w:sz="4" w:space="0" w:color="auto"/>
              <w:right w:val="single" w:sz="4" w:space="0" w:color="auto"/>
            </w:tcBorders>
            <w:noWrap/>
            <w:vAlign w:val="bottom"/>
            <w:hideMark/>
          </w:tcPr>
          <w:p w14:paraId="09CB37E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5,012 </w:t>
            </w:r>
          </w:p>
        </w:tc>
        <w:tc>
          <w:tcPr>
            <w:tcW w:w="1198" w:type="dxa"/>
            <w:tcBorders>
              <w:top w:val="nil"/>
              <w:left w:val="nil"/>
              <w:bottom w:val="single" w:sz="4" w:space="0" w:color="auto"/>
              <w:right w:val="single" w:sz="8" w:space="0" w:color="auto"/>
            </w:tcBorders>
            <w:noWrap/>
            <w:vAlign w:val="bottom"/>
            <w:hideMark/>
          </w:tcPr>
          <w:p w14:paraId="542BBD2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9,685 </w:t>
            </w:r>
          </w:p>
        </w:tc>
      </w:tr>
      <w:tr w:rsidR="00047D0B" w:rsidRPr="00A343CD" w14:paraId="12A4BA80"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B773A3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Inventories</w:t>
            </w:r>
          </w:p>
        </w:tc>
        <w:tc>
          <w:tcPr>
            <w:tcW w:w="1210" w:type="dxa"/>
            <w:tcBorders>
              <w:top w:val="nil"/>
              <w:left w:val="nil"/>
              <w:bottom w:val="single" w:sz="4" w:space="0" w:color="auto"/>
              <w:right w:val="single" w:sz="4" w:space="0" w:color="auto"/>
            </w:tcBorders>
            <w:noWrap/>
            <w:vAlign w:val="bottom"/>
            <w:hideMark/>
          </w:tcPr>
          <w:p w14:paraId="28019DE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79,355 </w:t>
            </w:r>
          </w:p>
        </w:tc>
        <w:tc>
          <w:tcPr>
            <w:tcW w:w="1210" w:type="dxa"/>
            <w:tcBorders>
              <w:top w:val="nil"/>
              <w:left w:val="nil"/>
              <w:bottom w:val="single" w:sz="4" w:space="0" w:color="auto"/>
              <w:right w:val="single" w:sz="4" w:space="0" w:color="auto"/>
            </w:tcBorders>
            <w:noWrap/>
            <w:vAlign w:val="bottom"/>
            <w:hideMark/>
          </w:tcPr>
          <w:p w14:paraId="6112C6A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88,273 </w:t>
            </w:r>
          </w:p>
        </w:tc>
        <w:tc>
          <w:tcPr>
            <w:tcW w:w="1152" w:type="dxa"/>
            <w:tcBorders>
              <w:top w:val="nil"/>
              <w:left w:val="nil"/>
              <w:bottom w:val="single" w:sz="4" w:space="0" w:color="auto"/>
              <w:right w:val="single" w:sz="4" w:space="0" w:color="auto"/>
            </w:tcBorders>
            <w:noWrap/>
            <w:vAlign w:val="bottom"/>
            <w:hideMark/>
          </w:tcPr>
          <w:p w14:paraId="285B256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140,181 </w:t>
            </w:r>
          </w:p>
        </w:tc>
        <w:tc>
          <w:tcPr>
            <w:tcW w:w="1196" w:type="dxa"/>
            <w:tcBorders>
              <w:top w:val="nil"/>
              <w:left w:val="nil"/>
              <w:bottom w:val="single" w:sz="4" w:space="0" w:color="auto"/>
              <w:right w:val="single" w:sz="4" w:space="0" w:color="auto"/>
            </w:tcBorders>
            <w:noWrap/>
            <w:vAlign w:val="bottom"/>
            <w:hideMark/>
          </w:tcPr>
          <w:p w14:paraId="4BB666C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134,469 </w:t>
            </w:r>
          </w:p>
        </w:tc>
        <w:tc>
          <w:tcPr>
            <w:tcW w:w="1198" w:type="dxa"/>
            <w:tcBorders>
              <w:top w:val="nil"/>
              <w:left w:val="nil"/>
              <w:bottom w:val="single" w:sz="4" w:space="0" w:color="auto"/>
              <w:right w:val="single" w:sz="8" w:space="0" w:color="auto"/>
            </w:tcBorders>
            <w:noWrap/>
            <w:vAlign w:val="bottom"/>
            <w:hideMark/>
          </w:tcPr>
          <w:p w14:paraId="2F9217B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120,430 </w:t>
            </w:r>
          </w:p>
        </w:tc>
      </w:tr>
      <w:tr w:rsidR="00047D0B" w:rsidRPr="00A343CD" w14:paraId="6D13172F"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54936D0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Other current assets</w:t>
            </w:r>
          </w:p>
        </w:tc>
        <w:tc>
          <w:tcPr>
            <w:tcW w:w="1210" w:type="dxa"/>
            <w:tcBorders>
              <w:top w:val="nil"/>
              <w:left w:val="nil"/>
              <w:bottom w:val="single" w:sz="4" w:space="0" w:color="auto"/>
              <w:right w:val="single" w:sz="4" w:space="0" w:color="auto"/>
            </w:tcBorders>
            <w:noWrap/>
            <w:vAlign w:val="bottom"/>
            <w:hideMark/>
          </w:tcPr>
          <w:p w14:paraId="36C9BB8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9,478 </w:t>
            </w:r>
          </w:p>
        </w:tc>
        <w:tc>
          <w:tcPr>
            <w:tcW w:w="1210" w:type="dxa"/>
            <w:tcBorders>
              <w:top w:val="nil"/>
              <w:left w:val="nil"/>
              <w:bottom w:val="single" w:sz="4" w:space="0" w:color="auto"/>
              <w:right w:val="single" w:sz="4" w:space="0" w:color="auto"/>
            </w:tcBorders>
            <w:noWrap/>
            <w:vAlign w:val="bottom"/>
            <w:hideMark/>
          </w:tcPr>
          <w:p w14:paraId="742BB65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7,325 </w:t>
            </w:r>
          </w:p>
        </w:tc>
        <w:tc>
          <w:tcPr>
            <w:tcW w:w="1152" w:type="dxa"/>
            <w:tcBorders>
              <w:top w:val="nil"/>
              <w:left w:val="nil"/>
              <w:bottom w:val="single" w:sz="4" w:space="0" w:color="auto"/>
              <w:right w:val="single" w:sz="4" w:space="0" w:color="auto"/>
            </w:tcBorders>
            <w:noWrap/>
            <w:vAlign w:val="bottom"/>
            <w:hideMark/>
          </w:tcPr>
          <w:p w14:paraId="4BFEACA0"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w:t>
            </w:r>
          </w:p>
        </w:tc>
        <w:tc>
          <w:tcPr>
            <w:tcW w:w="1196" w:type="dxa"/>
            <w:tcBorders>
              <w:top w:val="nil"/>
              <w:left w:val="nil"/>
              <w:bottom w:val="single" w:sz="4" w:space="0" w:color="auto"/>
              <w:right w:val="single" w:sz="4" w:space="0" w:color="auto"/>
            </w:tcBorders>
            <w:noWrap/>
            <w:vAlign w:val="bottom"/>
            <w:hideMark/>
          </w:tcPr>
          <w:p w14:paraId="04315690"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w:t>
            </w:r>
          </w:p>
        </w:tc>
        <w:tc>
          <w:tcPr>
            <w:tcW w:w="1198" w:type="dxa"/>
            <w:tcBorders>
              <w:top w:val="nil"/>
              <w:left w:val="nil"/>
              <w:bottom w:val="single" w:sz="4" w:space="0" w:color="auto"/>
              <w:right w:val="single" w:sz="8" w:space="0" w:color="auto"/>
            </w:tcBorders>
            <w:noWrap/>
            <w:vAlign w:val="bottom"/>
            <w:hideMark/>
          </w:tcPr>
          <w:p w14:paraId="73D27D05"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w:t>
            </w:r>
          </w:p>
        </w:tc>
      </w:tr>
      <w:tr w:rsidR="00047D0B" w:rsidRPr="00A343CD" w14:paraId="0093552F"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106D555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Income tax receivable</w:t>
            </w:r>
          </w:p>
        </w:tc>
        <w:tc>
          <w:tcPr>
            <w:tcW w:w="1210" w:type="dxa"/>
            <w:tcBorders>
              <w:top w:val="nil"/>
              <w:left w:val="nil"/>
              <w:bottom w:val="single" w:sz="4" w:space="0" w:color="auto"/>
              <w:right w:val="single" w:sz="4" w:space="0" w:color="auto"/>
            </w:tcBorders>
            <w:noWrap/>
            <w:vAlign w:val="bottom"/>
            <w:hideMark/>
          </w:tcPr>
          <w:p w14:paraId="4D6FE0C4"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2,350 </w:t>
            </w:r>
          </w:p>
        </w:tc>
        <w:tc>
          <w:tcPr>
            <w:tcW w:w="1210" w:type="dxa"/>
            <w:tcBorders>
              <w:top w:val="nil"/>
              <w:left w:val="nil"/>
              <w:bottom w:val="single" w:sz="4" w:space="0" w:color="auto"/>
              <w:right w:val="single" w:sz="4" w:space="0" w:color="auto"/>
            </w:tcBorders>
            <w:noWrap/>
            <w:vAlign w:val="bottom"/>
            <w:hideMark/>
          </w:tcPr>
          <w:p w14:paraId="580EAA33"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3,666 </w:t>
            </w:r>
          </w:p>
        </w:tc>
        <w:tc>
          <w:tcPr>
            <w:tcW w:w="1152" w:type="dxa"/>
            <w:tcBorders>
              <w:top w:val="nil"/>
              <w:left w:val="nil"/>
              <w:bottom w:val="single" w:sz="4" w:space="0" w:color="auto"/>
              <w:right w:val="single" w:sz="4" w:space="0" w:color="auto"/>
            </w:tcBorders>
            <w:noWrap/>
            <w:vAlign w:val="bottom"/>
            <w:hideMark/>
          </w:tcPr>
          <w:p w14:paraId="45A44F0D"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4,130 </w:t>
            </w:r>
          </w:p>
        </w:tc>
        <w:tc>
          <w:tcPr>
            <w:tcW w:w="1196" w:type="dxa"/>
            <w:tcBorders>
              <w:top w:val="nil"/>
              <w:left w:val="nil"/>
              <w:bottom w:val="single" w:sz="4" w:space="0" w:color="auto"/>
              <w:right w:val="single" w:sz="4" w:space="0" w:color="auto"/>
            </w:tcBorders>
            <w:noWrap/>
            <w:vAlign w:val="bottom"/>
            <w:hideMark/>
          </w:tcPr>
          <w:p w14:paraId="4B798E79"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348 </w:t>
            </w:r>
          </w:p>
        </w:tc>
        <w:tc>
          <w:tcPr>
            <w:tcW w:w="1198" w:type="dxa"/>
            <w:tcBorders>
              <w:top w:val="nil"/>
              <w:left w:val="nil"/>
              <w:bottom w:val="single" w:sz="4" w:space="0" w:color="auto"/>
              <w:right w:val="single" w:sz="8" w:space="0" w:color="auto"/>
            </w:tcBorders>
            <w:noWrap/>
            <w:vAlign w:val="bottom"/>
            <w:hideMark/>
          </w:tcPr>
          <w:p w14:paraId="115B8F40"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3,314 </w:t>
            </w:r>
          </w:p>
        </w:tc>
      </w:tr>
      <w:tr w:rsidR="00047D0B" w:rsidRPr="00A343CD" w14:paraId="7439AF82"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C1F0C8"/>
            <w:noWrap/>
            <w:vAlign w:val="bottom"/>
            <w:hideMark/>
          </w:tcPr>
          <w:p w14:paraId="2F3791C4"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Total current assets</w:t>
            </w:r>
          </w:p>
        </w:tc>
        <w:tc>
          <w:tcPr>
            <w:tcW w:w="1210" w:type="dxa"/>
            <w:tcBorders>
              <w:top w:val="nil"/>
              <w:left w:val="nil"/>
              <w:bottom w:val="single" w:sz="4" w:space="0" w:color="auto"/>
              <w:right w:val="single" w:sz="4" w:space="0" w:color="auto"/>
            </w:tcBorders>
            <w:shd w:val="clear" w:color="000000" w:fill="C1F0C8"/>
            <w:noWrap/>
            <w:vAlign w:val="bottom"/>
            <w:hideMark/>
          </w:tcPr>
          <w:p w14:paraId="01DFCDB2"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248,877 </w:t>
            </w:r>
          </w:p>
        </w:tc>
        <w:tc>
          <w:tcPr>
            <w:tcW w:w="1210" w:type="dxa"/>
            <w:tcBorders>
              <w:top w:val="nil"/>
              <w:left w:val="nil"/>
              <w:bottom w:val="single" w:sz="4" w:space="0" w:color="auto"/>
              <w:right w:val="single" w:sz="4" w:space="0" w:color="auto"/>
            </w:tcBorders>
            <w:shd w:val="clear" w:color="000000" w:fill="C1F0C8"/>
            <w:noWrap/>
            <w:vAlign w:val="bottom"/>
            <w:hideMark/>
          </w:tcPr>
          <w:p w14:paraId="01E2DB34"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265,234 </w:t>
            </w:r>
          </w:p>
        </w:tc>
        <w:tc>
          <w:tcPr>
            <w:tcW w:w="1152" w:type="dxa"/>
            <w:tcBorders>
              <w:top w:val="nil"/>
              <w:left w:val="nil"/>
              <w:bottom w:val="single" w:sz="4" w:space="0" w:color="auto"/>
              <w:right w:val="single" w:sz="4" w:space="0" w:color="auto"/>
            </w:tcBorders>
            <w:shd w:val="clear" w:color="000000" w:fill="C1F0C8"/>
            <w:noWrap/>
            <w:vAlign w:val="bottom"/>
            <w:hideMark/>
          </w:tcPr>
          <w:p w14:paraId="77001831"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337,776 </w:t>
            </w:r>
          </w:p>
        </w:tc>
        <w:tc>
          <w:tcPr>
            <w:tcW w:w="1196" w:type="dxa"/>
            <w:tcBorders>
              <w:top w:val="nil"/>
              <w:left w:val="nil"/>
              <w:bottom w:val="single" w:sz="4" w:space="0" w:color="auto"/>
              <w:right w:val="single" w:sz="4" w:space="0" w:color="auto"/>
            </w:tcBorders>
            <w:shd w:val="clear" w:color="000000" w:fill="C1F0C8"/>
            <w:noWrap/>
            <w:vAlign w:val="bottom"/>
            <w:hideMark/>
          </w:tcPr>
          <w:p w14:paraId="59AD1521"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336,240 </w:t>
            </w:r>
          </w:p>
        </w:tc>
        <w:tc>
          <w:tcPr>
            <w:tcW w:w="1198" w:type="dxa"/>
            <w:tcBorders>
              <w:top w:val="nil"/>
              <w:left w:val="nil"/>
              <w:bottom w:val="single" w:sz="4" w:space="0" w:color="auto"/>
              <w:right w:val="single" w:sz="4" w:space="0" w:color="auto"/>
            </w:tcBorders>
            <w:shd w:val="clear" w:color="000000" w:fill="C1F0C8"/>
            <w:noWrap/>
            <w:vAlign w:val="bottom"/>
            <w:hideMark/>
          </w:tcPr>
          <w:p w14:paraId="60108135"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331,672 </w:t>
            </w:r>
          </w:p>
        </w:tc>
      </w:tr>
      <w:tr w:rsidR="00047D0B" w:rsidRPr="00A343CD" w14:paraId="610081AB"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FBE2D5"/>
            <w:noWrap/>
            <w:vAlign w:val="bottom"/>
            <w:hideMark/>
          </w:tcPr>
          <w:p w14:paraId="640F0596"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Total current assets (Given)</w:t>
            </w:r>
          </w:p>
        </w:tc>
        <w:tc>
          <w:tcPr>
            <w:tcW w:w="1210" w:type="dxa"/>
            <w:tcBorders>
              <w:top w:val="nil"/>
              <w:left w:val="nil"/>
              <w:bottom w:val="single" w:sz="4" w:space="0" w:color="auto"/>
              <w:right w:val="single" w:sz="4" w:space="0" w:color="auto"/>
            </w:tcBorders>
            <w:shd w:val="clear" w:color="000000" w:fill="FBE2D5"/>
            <w:noWrap/>
            <w:vAlign w:val="bottom"/>
            <w:hideMark/>
          </w:tcPr>
          <w:p w14:paraId="2F5632F8"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242,494 </w:t>
            </w:r>
          </w:p>
        </w:tc>
        <w:tc>
          <w:tcPr>
            <w:tcW w:w="1210" w:type="dxa"/>
            <w:tcBorders>
              <w:top w:val="nil"/>
              <w:left w:val="nil"/>
              <w:bottom w:val="single" w:sz="4" w:space="0" w:color="auto"/>
              <w:right w:val="single" w:sz="4" w:space="0" w:color="auto"/>
            </w:tcBorders>
            <w:shd w:val="clear" w:color="000000" w:fill="FBE2D5"/>
            <w:noWrap/>
            <w:vAlign w:val="bottom"/>
            <w:hideMark/>
          </w:tcPr>
          <w:p w14:paraId="18EE2804"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258,851 </w:t>
            </w:r>
          </w:p>
        </w:tc>
        <w:tc>
          <w:tcPr>
            <w:tcW w:w="1152" w:type="dxa"/>
            <w:tcBorders>
              <w:top w:val="nil"/>
              <w:left w:val="nil"/>
              <w:bottom w:val="single" w:sz="4" w:space="0" w:color="auto"/>
              <w:right w:val="single" w:sz="4" w:space="0" w:color="auto"/>
            </w:tcBorders>
            <w:shd w:val="clear" w:color="000000" w:fill="FBE2D5"/>
            <w:noWrap/>
            <w:vAlign w:val="bottom"/>
            <w:hideMark/>
          </w:tcPr>
          <w:p w14:paraId="0381E5B8"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338,040 </w:t>
            </w:r>
          </w:p>
        </w:tc>
        <w:tc>
          <w:tcPr>
            <w:tcW w:w="1196" w:type="dxa"/>
            <w:tcBorders>
              <w:top w:val="nil"/>
              <w:left w:val="nil"/>
              <w:bottom w:val="single" w:sz="4" w:space="0" w:color="auto"/>
              <w:right w:val="single" w:sz="4" w:space="0" w:color="auto"/>
            </w:tcBorders>
            <w:shd w:val="clear" w:color="000000" w:fill="FBE2D5"/>
            <w:noWrap/>
            <w:vAlign w:val="bottom"/>
            <w:hideMark/>
          </w:tcPr>
          <w:p w14:paraId="2956632A"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337,146 </w:t>
            </w:r>
          </w:p>
        </w:tc>
        <w:tc>
          <w:tcPr>
            <w:tcW w:w="1198" w:type="dxa"/>
            <w:tcBorders>
              <w:top w:val="nil"/>
              <w:left w:val="nil"/>
              <w:bottom w:val="single" w:sz="4" w:space="0" w:color="auto"/>
              <w:right w:val="single" w:sz="8" w:space="0" w:color="auto"/>
            </w:tcBorders>
            <w:shd w:val="clear" w:color="000000" w:fill="FBE2D5"/>
            <w:noWrap/>
            <w:vAlign w:val="bottom"/>
            <w:hideMark/>
          </w:tcPr>
          <w:p w14:paraId="7227193F"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326,843 </w:t>
            </w:r>
          </w:p>
        </w:tc>
      </w:tr>
      <w:tr w:rsidR="00047D0B" w:rsidRPr="00A343CD" w14:paraId="6516B488"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6B7B59A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Property, plant, and equipment, net</w:t>
            </w:r>
          </w:p>
        </w:tc>
        <w:tc>
          <w:tcPr>
            <w:tcW w:w="1210" w:type="dxa"/>
            <w:tcBorders>
              <w:top w:val="nil"/>
              <w:left w:val="nil"/>
              <w:bottom w:val="single" w:sz="4" w:space="0" w:color="auto"/>
              <w:right w:val="single" w:sz="4" w:space="0" w:color="auto"/>
            </w:tcBorders>
            <w:noWrap/>
            <w:vAlign w:val="bottom"/>
            <w:hideMark/>
          </w:tcPr>
          <w:p w14:paraId="762B686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34,207 </w:t>
            </w:r>
          </w:p>
        </w:tc>
        <w:tc>
          <w:tcPr>
            <w:tcW w:w="1210" w:type="dxa"/>
            <w:tcBorders>
              <w:top w:val="nil"/>
              <w:left w:val="nil"/>
              <w:bottom w:val="single" w:sz="4" w:space="0" w:color="auto"/>
              <w:right w:val="single" w:sz="4" w:space="0" w:color="auto"/>
            </w:tcBorders>
            <w:noWrap/>
            <w:vAlign w:val="bottom"/>
            <w:hideMark/>
          </w:tcPr>
          <w:p w14:paraId="7A50563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44,619 </w:t>
            </w:r>
          </w:p>
        </w:tc>
        <w:tc>
          <w:tcPr>
            <w:tcW w:w="1152" w:type="dxa"/>
            <w:tcBorders>
              <w:top w:val="nil"/>
              <w:left w:val="nil"/>
              <w:bottom w:val="single" w:sz="4" w:space="0" w:color="auto"/>
              <w:right w:val="single" w:sz="4" w:space="0" w:color="auto"/>
            </w:tcBorders>
            <w:noWrap/>
            <w:vAlign w:val="bottom"/>
            <w:hideMark/>
          </w:tcPr>
          <w:p w14:paraId="7709258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62,791 </w:t>
            </w:r>
          </w:p>
        </w:tc>
        <w:tc>
          <w:tcPr>
            <w:tcW w:w="1196" w:type="dxa"/>
            <w:tcBorders>
              <w:top w:val="nil"/>
              <w:left w:val="nil"/>
              <w:bottom w:val="single" w:sz="4" w:space="0" w:color="auto"/>
              <w:right w:val="single" w:sz="4" w:space="0" w:color="auto"/>
            </w:tcBorders>
            <w:noWrap/>
            <w:vAlign w:val="bottom"/>
            <w:hideMark/>
          </w:tcPr>
          <w:p w14:paraId="34F1448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74,647 </w:t>
            </w:r>
          </w:p>
        </w:tc>
        <w:tc>
          <w:tcPr>
            <w:tcW w:w="1198" w:type="dxa"/>
            <w:tcBorders>
              <w:top w:val="nil"/>
              <w:left w:val="nil"/>
              <w:bottom w:val="single" w:sz="4" w:space="0" w:color="auto"/>
              <w:right w:val="single" w:sz="8" w:space="0" w:color="auto"/>
            </w:tcBorders>
            <w:noWrap/>
            <w:vAlign w:val="bottom"/>
            <w:hideMark/>
          </w:tcPr>
          <w:p w14:paraId="26DF719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87,285 </w:t>
            </w:r>
          </w:p>
        </w:tc>
      </w:tr>
      <w:tr w:rsidR="00047D0B" w:rsidRPr="00A343CD" w14:paraId="5F6D4B44"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3318A21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Intangible assets</w:t>
            </w:r>
          </w:p>
        </w:tc>
        <w:tc>
          <w:tcPr>
            <w:tcW w:w="1210" w:type="dxa"/>
            <w:tcBorders>
              <w:top w:val="nil"/>
              <w:left w:val="nil"/>
              <w:bottom w:val="single" w:sz="4" w:space="0" w:color="auto"/>
              <w:right w:val="single" w:sz="4" w:space="0" w:color="auto"/>
            </w:tcBorders>
            <w:noWrap/>
            <w:vAlign w:val="bottom"/>
            <w:hideMark/>
          </w:tcPr>
          <w:p w14:paraId="530F40A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24,038 </w:t>
            </w:r>
          </w:p>
        </w:tc>
        <w:tc>
          <w:tcPr>
            <w:tcW w:w="1210" w:type="dxa"/>
            <w:tcBorders>
              <w:top w:val="nil"/>
              <w:left w:val="nil"/>
              <w:bottom w:val="single" w:sz="4" w:space="0" w:color="auto"/>
              <w:right w:val="single" w:sz="4" w:space="0" w:color="auto"/>
            </w:tcBorders>
            <w:noWrap/>
            <w:vAlign w:val="bottom"/>
            <w:hideMark/>
          </w:tcPr>
          <w:p w14:paraId="0B2FD03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25,349 </w:t>
            </w:r>
          </w:p>
        </w:tc>
        <w:tc>
          <w:tcPr>
            <w:tcW w:w="1152" w:type="dxa"/>
            <w:tcBorders>
              <w:top w:val="nil"/>
              <w:left w:val="nil"/>
              <w:bottom w:val="single" w:sz="4" w:space="0" w:color="auto"/>
              <w:right w:val="single" w:sz="4" w:space="0" w:color="auto"/>
            </w:tcBorders>
            <w:noWrap/>
            <w:vAlign w:val="bottom"/>
            <w:hideMark/>
          </w:tcPr>
          <w:p w14:paraId="4452778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24,470 </w:t>
            </w:r>
          </w:p>
        </w:tc>
        <w:tc>
          <w:tcPr>
            <w:tcW w:w="1196" w:type="dxa"/>
            <w:tcBorders>
              <w:top w:val="nil"/>
              <w:left w:val="nil"/>
              <w:bottom w:val="single" w:sz="4" w:space="0" w:color="auto"/>
              <w:right w:val="single" w:sz="4" w:space="0" w:color="auto"/>
            </w:tcBorders>
            <w:noWrap/>
            <w:vAlign w:val="bottom"/>
            <w:hideMark/>
          </w:tcPr>
          <w:p w14:paraId="2AC0A22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20,169 </w:t>
            </w:r>
          </w:p>
        </w:tc>
        <w:tc>
          <w:tcPr>
            <w:tcW w:w="1198" w:type="dxa"/>
            <w:tcBorders>
              <w:top w:val="nil"/>
              <w:left w:val="nil"/>
              <w:bottom w:val="single" w:sz="4" w:space="0" w:color="auto"/>
              <w:right w:val="single" w:sz="8" w:space="0" w:color="auto"/>
            </w:tcBorders>
            <w:noWrap/>
            <w:vAlign w:val="bottom"/>
            <w:hideMark/>
          </w:tcPr>
          <w:p w14:paraId="3B1994C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19,710 </w:t>
            </w:r>
          </w:p>
        </w:tc>
      </w:tr>
      <w:tr w:rsidR="00047D0B" w:rsidRPr="00A343CD" w14:paraId="3E51AF9A"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EED59A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Operating lease right-of-use assets</w:t>
            </w:r>
          </w:p>
        </w:tc>
        <w:tc>
          <w:tcPr>
            <w:tcW w:w="1210" w:type="dxa"/>
            <w:tcBorders>
              <w:top w:val="nil"/>
              <w:left w:val="nil"/>
              <w:bottom w:val="single" w:sz="4" w:space="0" w:color="auto"/>
              <w:right w:val="single" w:sz="4" w:space="0" w:color="auto"/>
            </w:tcBorders>
            <w:noWrap/>
            <w:vAlign w:val="bottom"/>
            <w:hideMark/>
          </w:tcPr>
          <w:p w14:paraId="72952F5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14,322 </w:t>
            </w:r>
          </w:p>
        </w:tc>
        <w:tc>
          <w:tcPr>
            <w:tcW w:w="1210" w:type="dxa"/>
            <w:tcBorders>
              <w:top w:val="nil"/>
              <w:left w:val="nil"/>
              <w:bottom w:val="single" w:sz="4" w:space="0" w:color="auto"/>
              <w:right w:val="single" w:sz="4" w:space="0" w:color="auto"/>
            </w:tcBorders>
            <w:noWrap/>
            <w:vAlign w:val="bottom"/>
            <w:hideMark/>
          </w:tcPr>
          <w:p w14:paraId="6046D89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18,693 </w:t>
            </w:r>
          </w:p>
        </w:tc>
        <w:tc>
          <w:tcPr>
            <w:tcW w:w="1152" w:type="dxa"/>
            <w:tcBorders>
              <w:top w:val="nil"/>
              <w:left w:val="nil"/>
              <w:bottom w:val="single" w:sz="4" w:space="0" w:color="auto"/>
              <w:right w:val="single" w:sz="4" w:space="0" w:color="auto"/>
            </w:tcBorders>
            <w:noWrap/>
            <w:vAlign w:val="bottom"/>
            <w:hideMark/>
          </w:tcPr>
          <w:p w14:paraId="18EF7ED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21,599 </w:t>
            </w:r>
          </w:p>
        </w:tc>
        <w:tc>
          <w:tcPr>
            <w:tcW w:w="1196" w:type="dxa"/>
            <w:tcBorders>
              <w:top w:val="nil"/>
              <w:left w:val="nil"/>
              <w:bottom w:val="single" w:sz="4" w:space="0" w:color="auto"/>
              <w:right w:val="single" w:sz="4" w:space="0" w:color="auto"/>
            </w:tcBorders>
            <w:noWrap/>
            <w:vAlign w:val="bottom"/>
            <w:hideMark/>
          </w:tcPr>
          <w:p w14:paraId="36E2704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19,847 </w:t>
            </w:r>
          </w:p>
        </w:tc>
        <w:tc>
          <w:tcPr>
            <w:tcW w:w="1198" w:type="dxa"/>
            <w:tcBorders>
              <w:top w:val="nil"/>
              <w:left w:val="nil"/>
              <w:bottom w:val="single" w:sz="4" w:space="0" w:color="auto"/>
              <w:right w:val="single" w:sz="8" w:space="0" w:color="auto"/>
            </w:tcBorders>
            <w:noWrap/>
            <w:vAlign w:val="bottom"/>
            <w:hideMark/>
          </w:tcPr>
          <w:p w14:paraId="27FA09A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19,522 </w:t>
            </w:r>
          </w:p>
        </w:tc>
      </w:tr>
      <w:tr w:rsidR="00047D0B" w:rsidRPr="00A343CD" w14:paraId="76082838"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5ECA6F8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Deferred income taxes</w:t>
            </w:r>
          </w:p>
        </w:tc>
        <w:tc>
          <w:tcPr>
            <w:tcW w:w="1210" w:type="dxa"/>
            <w:tcBorders>
              <w:top w:val="nil"/>
              <w:left w:val="nil"/>
              <w:bottom w:val="single" w:sz="4" w:space="0" w:color="auto"/>
              <w:right w:val="single" w:sz="4" w:space="0" w:color="auto"/>
            </w:tcBorders>
            <w:noWrap/>
            <w:vAlign w:val="bottom"/>
            <w:hideMark/>
          </w:tcPr>
          <w:p w14:paraId="17264E7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6,425 </w:t>
            </w:r>
          </w:p>
        </w:tc>
        <w:tc>
          <w:tcPr>
            <w:tcW w:w="1210" w:type="dxa"/>
            <w:tcBorders>
              <w:top w:val="nil"/>
              <w:left w:val="nil"/>
              <w:bottom w:val="single" w:sz="4" w:space="0" w:color="auto"/>
              <w:right w:val="single" w:sz="4" w:space="0" w:color="auto"/>
            </w:tcBorders>
            <w:noWrap/>
            <w:vAlign w:val="bottom"/>
            <w:hideMark/>
          </w:tcPr>
          <w:p w14:paraId="339BECD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6,787 </w:t>
            </w:r>
          </w:p>
        </w:tc>
        <w:tc>
          <w:tcPr>
            <w:tcW w:w="1152" w:type="dxa"/>
            <w:tcBorders>
              <w:top w:val="nil"/>
              <w:left w:val="nil"/>
              <w:bottom w:val="single" w:sz="4" w:space="0" w:color="auto"/>
              <w:right w:val="single" w:sz="4" w:space="0" w:color="auto"/>
            </w:tcBorders>
            <w:noWrap/>
            <w:vAlign w:val="bottom"/>
            <w:hideMark/>
          </w:tcPr>
          <w:p w14:paraId="7FD9B8E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6,242 </w:t>
            </w:r>
          </w:p>
        </w:tc>
        <w:tc>
          <w:tcPr>
            <w:tcW w:w="1196" w:type="dxa"/>
            <w:tcBorders>
              <w:top w:val="nil"/>
              <w:left w:val="nil"/>
              <w:bottom w:val="single" w:sz="4" w:space="0" w:color="auto"/>
              <w:right w:val="single" w:sz="4" w:space="0" w:color="auto"/>
            </w:tcBorders>
            <w:noWrap/>
            <w:vAlign w:val="bottom"/>
            <w:hideMark/>
          </w:tcPr>
          <w:p w14:paraId="5E96D2E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7,729 </w:t>
            </w:r>
          </w:p>
        </w:tc>
        <w:tc>
          <w:tcPr>
            <w:tcW w:w="1198" w:type="dxa"/>
            <w:tcBorders>
              <w:top w:val="nil"/>
              <w:left w:val="nil"/>
              <w:bottom w:val="single" w:sz="4" w:space="0" w:color="auto"/>
              <w:right w:val="single" w:sz="8" w:space="0" w:color="auto"/>
            </w:tcBorders>
            <w:noWrap/>
            <w:vAlign w:val="bottom"/>
            <w:hideMark/>
          </w:tcPr>
          <w:p w14:paraId="5B26AEA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5,564 </w:t>
            </w:r>
          </w:p>
        </w:tc>
      </w:tr>
      <w:tr w:rsidR="00047D0B" w:rsidRPr="00A343CD" w14:paraId="2A8BEF13"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31FBD27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Other assets</w:t>
            </w:r>
          </w:p>
        </w:tc>
        <w:tc>
          <w:tcPr>
            <w:tcW w:w="1210" w:type="dxa"/>
            <w:tcBorders>
              <w:top w:val="nil"/>
              <w:left w:val="nil"/>
              <w:bottom w:val="single" w:sz="4" w:space="0" w:color="auto"/>
              <w:right w:val="single" w:sz="4" w:space="0" w:color="auto"/>
            </w:tcBorders>
            <w:noWrap/>
            <w:vAlign w:val="bottom"/>
            <w:hideMark/>
          </w:tcPr>
          <w:p w14:paraId="24C6359D"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1,868 </w:t>
            </w:r>
          </w:p>
        </w:tc>
        <w:tc>
          <w:tcPr>
            <w:tcW w:w="1210" w:type="dxa"/>
            <w:tcBorders>
              <w:top w:val="nil"/>
              <w:left w:val="nil"/>
              <w:bottom w:val="single" w:sz="4" w:space="0" w:color="auto"/>
              <w:right w:val="single" w:sz="4" w:space="0" w:color="auto"/>
            </w:tcBorders>
            <w:noWrap/>
            <w:vAlign w:val="bottom"/>
            <w:hideMark/>
          </w:tcPr>
          <w:p w14:paraId="630390B7"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1,573 </w:t>
            </w:r>
          </w:p>
        </w:tc>
        <w:tc>
          <w:tcPr>
            <w:tcW w:w="1152" w:type="dxa"/>
            <w:tcBorders>
              <w:top w:val="nil"/>
              <w:left w:val="nil"/>
              <w:bottom w:val="single" w:sz="4" w:space="0" w:color="auto"/>
              <w:right w:val="single" w:sz="4" w:space="0" w:color="auto"/>
            </w:tcBorders>
            <w:noWrap/>
            <w:vAlign w:val="bottom"/>
            <w:hideMark/>
          </w:tcPr>
          <w:p w14:paraId="1AD39DAA"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1,936 </w:t>
            </w:r>
          </w:p>
        </w:tc>
        <w:tc>
          <w:tcPr>
            <w:tcW w:w="1196" w:type="dxa"/>
            <w:tcBorders>
              <w:top w:val="nil"/>
              <w:left w:val="nil"/>
              <w:bottom w:val="single" w:sz="4" w:space="0" w:color="auto"/>
              <w:right w:val="single" w:sz="4" w:space="0" w:color="auto"/>
            </w:tcBorders>
            <w:noWrap/>
            <w:vAlign w:val="bottom"/>
            <w:hideMark/>
          </w:tcPr>
          <w:p w14:paraId="43544CC9"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2,347 </w:t>
            </w:r>
          </w:p>
        </w:tc>
        <w:tc>
          <w:tcPr>
            <w:tcW w:w="1198" w:type="dxa"/>
            <w:tcBorders>
              <w:top w:val="nil"/>
              <w:left w:val="nil"/>
              <w:bottom w:val="single" w:sz="4" w:space="0" w:color="auto"/>
              <w:right w:val="single" w:sz="8" w:space="0" w:color="auto"/>
            </w:tcBorders>
            <w:noWrap/>
            <w:vAlign w:val="bottom"/>
            <w:hideMark/>
          </w:tcPr>
          <w:p w14:paraId="1412A68B"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2,752 </w:t>
            </w:r>
          </w:p>
        </w:tc>
      </w:tr>
      <w:tr w:rsidR="00047D0B" w:rsidRPr="00A343CD" w14:paraId="1573DB13"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C1F0C8"/>
            <w:noWrap/>
            <w:vAlign w:val="bottom"/>
            <w:hideMark/>
          </w:tcPr>
          <w:p w14:paraId="555F77CE"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Total assets</w:t>
            </w:r>
          </w:p>
        </w:tc>
        <w:tc>
          <w:tcPr>
            <w:tcW w:w="1210" w:type="dxa"/>
            <w:tcBorders>
              <w:top w:val="nil"/>
              <w:left w:val="nil"/>
              <w:bottom w:val="single" w:sz="4" w:space="0" w:color="auto"/>
              <w:right w:val="single" w:sz="4" w:space="0" w:color="auto"/>
            </w:tcBorders>
            <w:shd w:val="clear" w:color="000000" w:fill="C1F0C8"/>
            <w:noWrap/>
            <w:vAlign w:val="bottom"/>
            <w:hideMark/>
          </w:tcPr>
          <w:p w14:paraId="4A83F3C0" w14:textId="77777777" w:rsidR="00047D0B" w:rsidRPr="00A343CD" w:rsidRDefault="00047D0B" w:rsidP="00C563B5">
            <w:pPr>
              <w:spacing w:after="0" w:line="276" w:lineRule="auto"/>
              <w:jc w:val="right"/>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 xml:space="preserve">         572,231 </w:t>
            </w:r>
          </w:p>
        </w:tc>
        <w:tc>
          <w:tcPr>
            <w:tcW w:w="1210" w:type="dxa"/>
            <w:tcBorders>
              <w:top w:val="nil"/>
              <w:left w:val="nil"/>
              <w:bottom w:val="single" w:sz="4" w:space="0" w:color="auto"/>
              <w:right w:val="single" w:sz="4" w:space="0" w:color="auto"/>
            </w:tcBorders>
            <w:shd w:val="clear" w:color="000000" w:fill="C1F0C8"/>
            <w:noWrap/>
            <w:vAlign w:val="bottom"/>
            <w:hideMark/>
          </w:tcPr>
          <w:p w14:paraId="432AE564" w14:textId="77777777" w:rsidR="00047D0B" w:rsidRPr="00A343CD" w:rsidRDefault="00047D0B" w:rsidP="00C563B5">
            <w:pPr>
              <w:spacing w:after="0" w:line="276" w:lineRule="auto"/>
              <w:jc w:val="right"/>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 xml:space="preserve">         621,106 </w:t>
            </w:r>
          </w:p>
        </w:tc>
        <w:tc>
          <w:tcPr>
            <w:tcW w:w="1152" w:type="dxa"/>
            <w:tcBorders>
              <w:top w:val="nil"/>
              <w:left w:val="nil"/>
              <w:bottom w:val="single" w:sz="4" w:space="0" w:color="auto"/>
              <w:right w:val="single" w:sz="4" w:space="0" w:color="auto"/>
            </w:tcBorders>
            <w:shd w:val="clear" w:color="000000" w:fill="C1F0C8"/>
            <w:noWrap/>
            <w:vAlign w:val="bottom"/>
            <w:hideMark/>
          </w:tcPr>
          <w:p w14:paraId="5FAF0298" w14:textId="77777777" w:rsidR="00047D0B" w:rsidRPr="00A343CD" w:rsidRDefault="00047D0B" w:rsidP="00C563B5">
            <w:pPr>
              <w:spacing w:after="0" w:line="276" w:lineRule="auto"/>
              <w:jc w:val="right"/>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 xml:space="preserve">         792,854 </w:t>
            </w:r>
          </w:p>
        </w:tc>
        <w:tc>
          <w:tcPr>
            <w:tcW w:w="1196" w:type="dxa"/>
            <w:tcBorders>
              <w:top w:val="nil"/>
              <w:left w:val="nil"/>
              <w:bottom w:val="single" w:sz="4" w:space="0" w:color="auto"/>
              <w:right w:val="single" w:sz="4" w:space="0" w:color="auto"/>
            </w:tcBorders>
            <w:shd w:val="clear" w:color="000000" w:fill="C1F0C8"/>
            <w:noWrap/>
            <w:vAlign w:val="bottom"/>
            <w:hideMark/>
          </w:tcPr>
          <w:p w14:paraId="5803762E" w14:textId="77777777" w:rsidR="00047D0B" w:rsidRPr="00A343CD" w:rsidRDefault="00047D0B" w:rsidP="00C563B5">
            <w:pPr>
              <w:spacing w:after="0" w:line="276" w:lineRule="auto"/>
              <w:jc w:val="right"/>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 xml:space="preserve">         798,125 </w:t>
            </w:r>
          </w:p>
        </w:tc>
        <w:tc>
          <w:tcPr>
            <w:tcW w:w="1198" w:type="dxa"/>
            <w:tcBorders>
              <w:top w:val="nil"/>
              <w:left w:val="nil"/>
              <w:bottom w:val="single" w:sz="4" w:space="0" w:color="auto"/>
              <w:right w:val="single" w:sz="8" w:space="0" w:color="auto"/>
            </w:tcBorders>
            <w:shd w:val="clear" w:color="000000" w:fill="C1F0C8"/>
            <w:noWrap/>
            <w:vAlign w:val="bottom"/>
            <w:hideMark/>
          </w:tcPr>
          <w:p w14:paraId="17D9B14F" w14:textId="77777777" w:rsidR="00047D0B" w:rsidRPr="00A343CD" w:rsidRDefault="00047D0B" w:rsidP="00C563B5">
            <w:pPr>
              <w:spacing w:after="0" w:line="276" w:lineRule="auto"/>
              <w:jc w:val="right"/>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 xml:space="preserve">             793,348 </w:t>
            </w:r>
          </w:p>
        </w:tc>
      </w:tr>
      <w:tr w:rsidR="00047D0B" w:rsidRPr="00A343CD" w14:paraId="6686D719"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FBE2D5"/>
            <w:noWrap/>
            <w:vAlign w:val="bottom"/>
            <w:hideMark/>
          </w:tcPr>
          <w:p w14:paraId="18A8244C"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Total assets (Given Value)</w:t>
            </w:r>
          </w:p>
        </w:tc>
        <w:tc>
          <w:tcPr>
            <w:tcW w:w="1210" w:type="dxa"/>
            <w:tcBorders>
              <w:top w:val="nil"/>
              <w:left w:val="nil"/>
              <w:bottom w:val="single" w:sz="4" w:space="0" w:color="auto"/>
              <w:right w:val="single" w:sz="4" w:space="0" w:color="auto"/>
            </w:tcBorders>
            <w:shd w:val="clear" w:color="000000" w:fill="FBE2D5"/>
            <w:noWrap/>
            <w:vAlign w:val="bottom"/>
            <w:hideMark/>
          </w:tcPr>
          <w:p w14:paraId="05853A86" w14:textId="77777777" w:rsidR="00047D0B" w:rsidRPr="00A343CD" w:rsidRDefault="00047D0B" w:rsidP="00C563B5">
            <w:pPr>
              <w:spacing w:after="0" w:line="276" w:lineRule="auto"/>
              <w:jc w:val="right"/>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323,354 </w:t>
            </w:r>
          </w:p>
        </w:tc>
        <w:tc>
          <w:tcPr>
            <w:tcW w:w="1210" w:type="dxa"/>
            <w:tcBorders>
              <w:top w:val="nil"/>
              <w:left w:val="nil"/>
              <w:bottom w:val="single" w:sz="4" w:space="0" w:color="auto"/>
              <w:right w:val="single" w:sz="4" w:space="0" w:color="auto"/>
            </w:tcBorders>
            <w:shd w:val="clear" w:color="000000" w:fill="FBE2D5"/>
            <w:noWrap/>
            <w:vAlign w:val="bottom"/>
            <w:hideMark/>
          </w:tcPr>
          <w:p w14:paraId="6322E205" w14:textId="77777777" w:rsidR="00047D0B" w:rsidRPr="00A343CD" w:rsidRDefault="00047D0B" w:rsidP="00C563B5">
            <w:pPr>
              <w:spacing w:after="0" w:line="276" w:lineRule="auto"/>
              <w:jc w:val="right"/>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355,872 </w:t>
            </w:r>
          </w:p>
        </w:tc>
        <w:tc>
          <w:tcPr>
            <w:tcW w:w="1152" w:type="dxa"/>
            <w:tcBorders>
              <w:top w:val="nil"/>
              <w:left w:val="nil"/>
              <w:bottom w:val="single" w:sz="4" w:space="0" w:color="auto"/>
              <w:right w:val="single" w:sz="4" w:space="0" w:color="auto"/>
            </w:tcBorders>
            <w:shd w:val="clear" w:color="000000" w:fill="FBE2D5"/>
            <w:noWrap/>
            <w:vAlign w:val="bottom"/>
            <w:hideMark/>
          </w:tcPr>
          <w:p w14:paraId="4C45D4A0" w14:textId="77777777" w:rsidR="00047D0B" w:rsidRPr="00A343CD" w:rsidRDefault="00047D0B" w:rsidP="00C563B5">
            <w:pPr>
              <w:spacing w:after="0" w:line="276" w:lineRule="auto"/>
              <w:jc w:val="right"/>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504,163 </w:t>
            </w:r>
          </w:p>
        </w:tc>
        <w:tc>
          <w:tcPr>
            <w:tcW w:w="1196" w:type="dxa"/>
            <w:tcBorders>
              <w:top w:val="nil"/>
              <w:left w:val="nil"/>
              <w:bottom w:val="single" w:sz="4" w:space="0" w:color="auto"/>
              <w:right w:val="single" w:sz="4" w:space="0" w:color="auto"/>
            </w:tcBorders>
            <w:shd w:val="clear" w:color="000000" w:fill="FBE2D5"/>
            <w:noWrap/>
            <w:vAlign w:val="bottom"/>
            <w:hideMark/>
          </w:tcPr>
          <w:p w14:paraId="2DFACCCD" w14:textId="77777777" w:rsidR="00047D0B" w:rsidRPr="00A343CD" w:rsidRDefault="00047D0B" w:rsidP="00C563B5">
            <w:pPr>
              <w:spacing w:after="0" w:line="276" w:lineRule="auto"/>
              <w:jc w:val="right"/>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510,348 </w:t>
            </w:r>
          </w:p>
        </w:tc>
        <w:tc>
          <w:tcPr>
            <w:tcW w:w="1198" w:type="dxa"/>
            <w:tcBorders>
              <w:top w:val="nil"/>
              <w:left w:val="nil"/>
              <w:bottom w:val="single" w:sz="4" w:space="0" w:color="auto"/>
              <w:right w:val="single" w:sz="8" w:space="0" w:color="auto"/>
            </w:tcBorders>
            <w:shd w:val="clear" w:color="000000" w:fill="FBE2D5"/>
            <w:noWrap/>
            <w:vAlign w:val="bottom"/>
            <w:hideMark/>
          </w:tcPr>
          <w:p w14:paraId="098FA3AD" w14:textId="77777777" w:rsidR="00047D0B" w:rsidRPr="00A343CD" w:rsidRDefault="00047D0B" w:rsidP="00C563B5">
            <w:pPr>
              <w:spacing w:after="0" w:line="276" w:lineRule="auto"/>
              <w:jc w:val="right"/>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510,290 </w:t>
            </w:r>
          </w:p>
        </w:tc>
      </w:tr>
      <w:tr w:rsidR="00047D0B" w:rsidRPr="00A343CD" w14:paraId="7635E5BD"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5DF6BD3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Accounts payable</w:t>
            </w:r>
          </w:p>
        </w:tc>
        <w:tc>
          <w:tcPr>
            <w:tcW w:w="1210" w:type="dxa"/>
            <w:tcBorders>
              <w:top w:val="nil"/>
              <w:left w:val="nil"/>
              <w:bottom w:val="single" w:sz="4" w:space="0" w:color="auto"/>
              <w:right w:val="single" w:sz="4" w:space="0" w:color="auto"/>
            </w:tcBorders>
            <w:noWrap/>
            <w:vAlign w:val="bottom"/>
            <w:hideMark/>
          </w:tcPr>
          <w:p w14:paraId="5DC5A65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72,031 </w:t>
            </w:r>
          </w:p>
        </w:tc>
        <w:tc>
          <w:tcPr>
            <w:tcW w:w="1210" w:type="dxa"/>
            <w:tcBorders>
              <w:top w:val="nil"/>
              <w:left w:val="nil"/>
              <w:bottom w:val="single" w:sz="4" w:space="0" w:color="auto"/>
              <w:right w:val="single" w:sz="4" w:space="0" w:color="auto"/>
            </w:tcBorders>
            <w:noWrap/>
            <w:vAlign w:val="bottom"/>
            <w:hideMark/>
          </w:tcPr>
          <w:p w14:paraId="028C579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57,033 </w:t>
            </w:r>
          </w:p>
        </w:tc>
        <w:tc>
          <w:tcPr>
            <w:tcW w:w="1152" w:type="dxa"/>
            <w:tcBorders>
              <w:top w:val="nil"/>
              <w:left w:val="nil"/>
              <w:bottom w:val="single" w:sz="4" w:space="0" w:color="auto"/>
              <w:right w:val="single" w:sz="4" w:space="0" w:color="auto"/>
            </w:tcBorders>
            <w:noWrap/>
            <w:vAlign w:val="bottom"/>
            <w:hideMark/>
          </w:tcPr>
          <w:p w14:paraId="5D09F85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71,373 </w:t>
            </w:r>
          </w:p>
        </w:tc>
        <w:tc>
          <w:tcPr>
            <w:tcW w:w="1196" w:type="dxa"/>
            <w:tcBorders>
              <w:top w:val="nil"/>
              <w:left w:val="nil"/>
              <w:bottom w:val="single" w:sz="4" w:space="0" w:color="auto"/>
              <w:right w:val="single" w:sz="4" w:space="0" w:color="auto"/>
            </w:tcBorders>
            <w:noWrap/>
            <w:vAlign w:val="bottom"/>
            <w:hideMark/>
          </w:tcPr>
          <w:p w14:paraId="6289782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92,707 </w:t>
            </w:r>
          </w:p>
        </w:tc>
        <w:tc>
          <w:tcPr>
            <w:tcW w:w="1198" w:type="dxa"/>
            <w:tcBorders>
              <w:top w:val="nil"/>
              <w:left w:val="nil"/>
              <w:bottom w:val="single" w:sz="4" w:space="0" w:color="auto"/>
              <w:right w:val="single" w:sz="8" w:space="0" w:color="auto"/>
            </w:tcBorders>
            <w:noWrap/>
            <w:vAlign w:val="bottom"/>
            <w:hideMark/>
          </w:tcPr>
          <w:p w14:paraId="4ED255E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83,229 </w:t>
            </w:r>
          </w:p>
        </w:tc>
      </w:tr>
      <w:tr w:rsidR="00047D0B" w:rsidRPr="00A343CD" w14:paraId="7A31B942"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0CBB82A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Lines of credit</w:t>
            </w:r>
          </w:p>
        </w:tc>
        <w:tc>
          <w:tcPr>
            <w:tcW w:w="1210" w:type="dxa"/>
            <w:tcBorders>
              <w:top w:val="nil"/>
              <w:left w:val="nil"/>
              <w:bottom w:val="single" w:sz="4" w:space="0" w:color="auto"/>
              <w:right w:val="single" w:sz="4" w:space="0" w:color="auto"/>
            </w:tcBorders>
            <w:noWrap/>
            <w:vAlign w:val="bottom"/>
            <w:hideMark/>
          </w:tcPr>
          <w:p w14:paraId="1090891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36,960 </w:t>
            </w:r>
          </w:p>
        </w:tc>
        <w:tc>
          <w:tcPr>
            <w:tcW w:w="1210" w:type="dxa"/>
            <w:tcBorders>
              <w:top w:val="nil"/>
              <w:left w:val="nil"/>
              <w:bottom w:val="single" w:sz="4" w:space="0" w:color="auto"/>
              <w:right w:val="single" w:sz="4" w:space="0" w:color="auto"/>
            </w:tcBorders>
            <w:noWrap/>
            <w:vAlign w:val="bottom"/>
            <w:hideMark/>
          </w:tcPr>
          <w:p w14:paraId="13E8800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55,000 </w:t>
            </w:r>
          </w:p>
        </w:tc>
        <w:tc>
          <w:tcPr>
            <w:tcW w:w="1152" w:type="dxa"/>
            <w:tcBorders>
              <w:top w:val="nil"/>
              <w:left w:val="nil"/>
              <w:bottom w:val="single" w:sz="4" w:space="0" w:color="auto"/>
              <w:right w:val="single" w:sz="4" w:space="0" w:color="auto"/>
            </w:tcBorders>
            <w:noWrap/>
            <w:vAlign w:val="bottom"/>
            <w:hideMark/>
          </w:tcPr>
          <w:p w14:paraId="5983DD9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88,000 </w:t>
            </w:r>
          </w:p>
        </w:tc>
        <w:tc>
          <w:tcPr>
            <w:tcW w:w="1196" w:type="dxa"/>
            <w:tcBorders>
              <w:top w:val="nil"/>
              <w:left w:val="nil"/>
              <w:bottom w:val="single" w:sz="4" w:space="0" w:color="auto"/>
              <w:right w:val="single" w:sz="4" w:space="0" w:color="auto"/>
            </w:tcBorders>
            <w:noWrap/>
            <w:vAlign w:val="bottom"/>
            <w:hideMark/>
          </w:tcPr>
          <w:p w14:paraId="32D7BB6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56,000 </w:t>
            </w:r>
          </w:p>
        </w:tc>
        <w:tc>
          <w:tcPr>
            <w:tcW w:w="1198" w:type="dxa"/>
            <w:tcBorders>
              <w:top w:val="nil"/>
              <w:left w:val="nil"/>
              <w:bottom w:val="single" w:sz="4" w:space="0" w:color="auto"/>
              <w:right w:val="single" w:sz="8" w:space="0" w:color="auto"/>
            </w:tcBorders>
            <w:noWrap/>
            <w:vAlign w:val="bottom"/>
            <w:hideMark/>
          </w:tcPr>
          <w:p w14:paraId="193DFD7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20,000 </w:t>
            </w:r>
          </w:p>
        </w:tc>
      </w:tr>
      <w:tr w:rsidR="00047D0B" w:rsidRPr="00A343CD" w14:paraId="457B7477"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609D22E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Accrued compensation</w:t>
            </w:r>
          </w:p>
        </w:tc>
        <w:tc>
          <w:tcPr>
            <w:tcW w:w="1210" w:type="dxa"/>
            <w:tcBorders>
              <w:top w:val="nil"/>
              <w:left w:val="nil"/>
              <w:bottom w:val="single" w:sz="4" w:space="0" w:color="auto"/>
              <w:right w:val="single" w:sz="4" w:space="0" w:color="auto"/>
            </w:tcBorders>
            <w:noWrap/>
            <w:vAlign w:val="bottom"/>
            <w:hideMark/>
          </w:tcPr>
          <w:p w14:paraId="07517AA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20,927 </w:t>
            </w:r>
          </w:p>
        </w:tc>
        <w:tc>
          <w:tcPr>
            <w:tcW w:w="1210" w:type="dxa"/>
            <w:tcBorders>
              <w:top w:val="nil"/>
              <w:left w:val="nil"/>
              <w:bottom w:val="single" w:sz="4" w:space="0" w:color="auto"/>
              <w:right w:val="single" w:sz="4" w:space="0" w:color="auto"/>
            </w:tcBorders>
            <w:noWrap/>
            <w:vAlign w:val="bottom"/>
            <w:hideMark/>
          </w:tcPr>
          <w:p w14:paraId="5BDAEDA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20,305 </w:t>
            </w:r>
          </w:p>
        </w:tc>
        <w:tc>
          <w:tcPr>
            <w:tcW w:w="1152" w:type="dxa"/>
            <w:tcBorders>
              <w:top w:val="nil"/>
              <w:left w:val="nil"/>
              <w:bottom w:val="single" w:sz="4" w:space="0" w:color="auto"/>
              <w:right w:val="single" w:sz="4" w:space="0" w:color="auto"/>
            </w:tcBorders>
            <w:noWrap/>
            <w:vAlign w:val="bottom"/>
            <w:hideMark/>
          </w:tcPr>
          <w:p w14:paraId="78DBCDB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20,904 </w:t>
            </w:r>
          </w:p>
        </w:tc>
        <w:tc>
          <w:tcPr>
            <w:tcW w:w="1196" w:type="dxa"/>
            <w:tcBorders>
              <w:top w:val="nil"/>
              <w:left w:val="nil"/>
              <w:bottom w:val="single" w:sz="4" w:space="0" w:color="auto"/>
              <w:right w:val="single" w:sz="4" w:space="0" w:color="auto"/>
            </w:tcBorders>
            <w:noWrap/>
            <w:vAlign w:val="bottom"/>
            <w:hideMark/>
          </w:tcPr>
          <w:p w14:paraId="23710D6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24,217 </w:t>
            </w:r>
          </w:p>
        </w:tc>
        <w:tc>
          <w:tcPr>
            <w:tcW w:w="1198" w:type="dxa"/>
            <w:tcBorders>
              <w:top w:val="nil"/>
              <w:left w:val="nil"/>
              <w:bottom w:val="single" w:sz="4" w:space="0" w:color="auto"/>
              <w:right w:val="single" w:sz="8" w:space="0" w:color="auto"/>
            </w:tcBorders>
            <w:noWrap/>
            <w:vAlign w:val="bottom"/>
            <w:hideMark/>
          </w:tcPr>
          <w:p w14:paraId="431CDDF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28,931 </w:t>
            </w:r>
          </w:p>
        </w:tc>
      </w:tr>
      <w:tr w:rsidR="00047D0B" w:rsidRPr="00A343CD" w14:paraId="1379C72B"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2C2FD41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Accrued sales discounts, rebates, and royalties</w:t>
            </w:r>
          </w:p>
        </w:tc>
        <w:tc>
          <w:tcPr>
            <w:tcW w:w="1210" w:type="dxa"/>
            <w:tcBorders>
              <w:top w:val="nil"/>
              <w:left w:val="nil"/>
              <w:bottom w:val="single" w:sz="4" w:space="0" w:color="auto"/>
              <w:right w:val="single" w:sz="4" w:space="0" w:color="auto"/>
            </w:tcBorders>
            <w:noWrap/>
            <w:vAlign w:val="bottom"/>
            <w:hideMark/>
          </w:tcPr>
          <w:p w14:paraId="41E9696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5,204 </w:t>
            </w:r>
          </w:p>
        </w:tc>
        <w:tc>
          <w:tcPr>
            <w:tcW w:w="1210" w:type="dxa"/>
            <w:tcBorders>
              <w:top w:val="nil"/>
              <w:left w:val="nil"/>
              <w:bottom w:val="single" w:sz="4" w:space="0" w:color="auto"/>
              <w:right w:val="single" w:sz="4" w:space="0" w:color="auto"/>
            </w:tcBorders>
            <w:noWrap/>
            <w:vAlign w:val="bottom"/>
            <w:hideMark/>
          </w:tcPr>
          <w:p w14:paraId="327D5A7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5,796 </w:t>
            </w:r>
          </w:p>
        </w:tc>
        <w:tc>
          <w:tcPr>
            <w:tcW w:w="1152" w:type="dxa"/>
            <w:tcBorders>
              <w:top w:val="nil"/>
              <w:left w:val="nil"/>
              <w:bottom w:val="single" w:sz="4" w:space="0" w:color="auto"/>
              <w:right w:val="single" w:sz="4" w:space="0" w:color="auto"/>
            </w:tcBorders>
            <w:noWrap/>
            <w:vAlign w:val="bottom"/>
            <w:hideMark/>
          </w:tcPr>
          <w:p w14:paraId="0E04CDC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6,477 </w:t>
            </w:r>
          </w:p>
        </w:tc>
        <w:tc>
          <w:tcPr>
            <w:tcW w:w="1196" w:type="dxa"/>
            <w:tcBorders>
              <w:top w:val="nil"/>
              <w:left w:val="nil"/>
              <w:bottom w:val="single" w:sz="4" w:space="0" w:color="auto"/>
              <w:right w:val="single" w:sz="4" w:space="0" w:color="auto"/>
            </w:tcBorders>
            <w:noWrap/>
            <w:vAlign w:val="bottom"/>
            <w:hideMark/>
          </w:tcPr>
          <w:p w14:paraId="6957A58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9,286 </w:t>
            </w:r>
          </w:p>
        </w:tc>
        <w:tc>
          <w:tcPr>
            <w:tcW w:w="1198" w:type="dxa"/>
            <w:tcBorders>
              <w:top w:val="nil"/>
              <w:left w:val="nil"/>
              <w:bottom w:val="single" w:sz="4" w:space="0" w:color="auto"/>
              <w:right w:val="single" w:sz="8" w:space="0" w:color="auto"/>
            </w:tcBorders>
            <w:noWrap/>
            <w:vAlign w:val="bottom"/>
            <w:hideMark/>
          </w:tcPr>
          <w:p w14:paraId="62773D5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10,758 </w:t>
            </w:r>
          </w:p>
        </w:tc>
      </w:tr>
      <w:tr w:rsidR="00047D0B" w:rsidRPr="00A343CD" w14:paraId="6393172B"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41DA80C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Other accrued liabilities</w:t>
            </w:r>
          </w:p>
        </w:tc>
        <w:tc>
          <w:tcPr>
            <w:tcW w:w="1210" w:type="dxa"/>
            <w:tcBorders>
              <w:top w:val="nil"/>
              <w:left w:val="nil"/>
              <w:bottom w:val="single" w:sz="4" w:space="0" w:color="auto"/>
              <w:right w:val="single" w:sz="4" w:space="0" w:color="auto"/>
            </w:tcBorders>
            <w:noWrap/>
            <w:vAlign w:val="bottom"/>
            <w:hideMark/>
          </w:tcPr>
          <w:p w14:paraId="768C43E9"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21,008 </w:t>
            </w:r>
          </w:p>
        </w:tc>
        <w:tc>
          <w:tcPr>
            <w:tcW w:w="1210" w:type="dxa"/>
            <w:tcBorders>
              <w:top w:val="nil"/>
              <w:left w:val="nil"/>
              <w:bottom w:val="single" w:sz="4" w:space="0" w:color="auto"/>
              <w:right w:val="single" w:sz="4" w:space="0" w:color="auto"/>
            </w:tcBorders>
            <w:noWrap/>
            <w:vAlign w:val="bottom"/>
            <w:hideMark/>
          </w:tcPr>
          <w:p w14:paraId="7E16431E"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21,181 </w:t>
            </w:r>
          </w:p>
        </w:tc>
        <w:tc>
          <w:tcPr>
            <w:tcW w:w="1152" w:type="dxa"/>
            <w:tcBorders>
              <w:top w:val="nil"/>
              <w:left w:val="nil"/>
              <w:bottom w:val="single" w:sz="4" w:space="0" w:color="auto"/>
              <w:right w:val="single" w:sz="4" w:space="0" w:color="auto"/>
            </w:tcBorders>
            <w:noWrap/>
            <w:vAlign w:val="bottom"/>
            <w:hideMark/>
          </w:tcPr>
          <w:p w14:paraId="3719D14E"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24,134 </w:t>
            </w:r>
          </w:p>
        </w:tc>
        <w:tc>
          <w:tcPr>
            <w:tcW w:w="1196" w:type="dxa"/>
            <w:tcBorders>
              <w:top w:val="nil"/>
              <w:left w:val="nil"/>
              <w:bottom w:val="single" w:sz="4" w:space="0" w:color="auto"/>
              <w:right w:val="single" w:sz="4" w:space="0" w:color="auto"/>
            </w:tcBorders>
            <w:noWrap/>
            <w:vAlign w:val="bottom"/>
            <w:hideMark/>
          </w:tcPr>
          <w:p w14:paraId="747F7D77"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30,840 </w:t>
            </w:r>
          </w:p>
        </w:tc>
        <w:tc>
          <w:tcPr>
            <w:tcW w:w="1198" w:type="dxa"/>
            <w:tcBorders>
              <w:top w:val="nil"/>
              <w:left w:val="nil"/>
              <w:bottom w:val="single" w:sz="4" w:space="0" w:color="auto"/>
              <w:right w:val="single" w:sz="8" w:space="0" w:color="auto"/>
            </w:tcBorders>
            <w:noWrap/>
            <w:vAlign w:val="bottom"/>
            <w:hideMark/>
          </w:tcPr>
          <w:p w14:paraId="59FD4028"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33,057 </w:t>
            </w:r>
          </w:p>
        </w:tc>
      </w:tr>
      <w:tr w:rsidR="00047D0B" w:rsidRPr="00A343CD" w14:paraId="1F0BAF6E"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C1F0C8"/>
            <w:noWrap/>
            <w:vAlign w:val="bottom"/>
            <w:hideMark/>
          </w:tcPr>
          <w:p w14:paraId="1CECC841"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lastRenderedPageBreak/>
              <w:t>Total current liabilities</w:t>
            </w:r>
          </w:p>
        </w:tc>
        <w:tc>
          <w:tcPr>
            <w:tcW w:w="1210" w:type="dxa"/>
            <w:tcBorders>
              <w:top w:val="nil"/>
              <w:left w:val="nil"/>
              <w:bottom w:val="single" w:sz="4" w:space="0" w:color="auto"/>
              <w:right w:val="single" w:sz="4" w:space="0" w:color="auto"/>
            </w:tcBorders>
            <w:shd w:val="clear" w:color="000000" w:fill="C1F0C8"/>
            <w:noWrap/>
            <w:vAlign w:val="bottom"/>
            <w:hideMark/>
          </w:tcPr>
          <w:p w14:paraId="42CB3437"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156,130 </w:t>
            </w:r>
          </w:p>
        </w:tc>
        <w:tc>
          <w:tcPr>
            <w:tcW w:w="1210" w:type="dxa"/>
            <w:tcBorders>
              <w:top w:val="nil"/>
              <w:left w:val="nil"/>
              <w:bottom w:val="single" w:sz="4" w:space="0" w:color="auto"/>
              <w:right w:val="single" w:sz="4" w:space="0" w:color="auto"/>
            </w:tcBorders>
            <w:shd w:val="clear" w:color="000000" w:fill="C1F0C8"/>
            <w:noWrap/>
            <w:vAlign w:val="bottom"/>
            <w:hideMark/>
          </w:tcPr>
          <w:p w14:paraId="089EEA37"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159,315 </w:t>
            </w:r>
          </w:p>
        </w:tc>
        <w:tc>
          <w:tcPr>
            <w:tcW w:w="1152" w:type="dxa"/>
            <w:tcBorders>
              <w:top w:val="nil"/>
              <w:left w:val="nil"/>
              <w:bottom w:val="single" w:sz="4" w:space="0" w:color="auto"/>
              <w:right w:val="single" w:sz="4" w:space="0" w:color="auto"/>
            </w:tcBorders>
            <w:shd w:val="clear" w:color="000000" w:fill="C1F0C8"/>
            <w:noWrap/>
            <w:vAlign w:val="bottom"/>
            <w:hideMark/>
          </w:tcPr>
          <w:p w14:paraId="538BF75A"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210,888 </w:t>
            </w:r>
          </w:p>
        </w:tc>
        <w:tc>
          <w:tcPr>
            <w:tcW w:w="1196" w:type="dxa"/>
            <w:tcBorders>
              <w:top w:val="nil"/>
              <w:left w:val="nil"/>
              <w:bottom w:val="single" w:sz="4" w:space="0" w:color="auto"/>
              <w:right w:val="single" w:sz="4" w:space="0" w:color="auto"/>
            </w:tcBorders>
            <w:shd w:val="clear" w:color="000000" w:fill="C1F0C8"/>
            <w:noWrap/>
            <w:vAlign w:val="bottom"/>
            <w:hideMark/>
          </w:tcPr>
          <w:p w14:paraId="3B9D1A74"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213,050 </w:t>
            </w:r>
          </w:p>
        </w:tc>
        <w:tc>
          <w:tcPr>
            <w:tcW w:w="1198" w:type="dxa"/>
            <w:tcBorders>
              <w:top w:val="nil"/>
              <w:left w:val="nil"/>
              <w:bottom w:val="single" w:sz="4" w:space="0" w:color="auto"/>
              <w:right w:val="single" w:sz="8" w:space="0" w:color="auto"/>
            </w:tcBorders>
            <w:shd w:val="clear" w:color="000000" w:fill="C1F0C8"/>
            <w:noWrap/>
            <w:vAlign w:val="bottom"/>
            <w:hideMark/>
          </w:tcPr>
          <w:p w14:paraId="150C970E"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175,975 </w:t>
            </w:r>
          </w:p>
        </w:tc>
      </w:tr>
      <w:tr w:rsidR="00047D0B" w:rsidRPr="00A343CD" w14:paraId="20084925"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FBE2D5"/>
            <w:noWrap/>
            <w:vAlign w:val="bottom"/>
            <w:hideMark/>
          </w:tcPr>
          <w:p w14:paraId="1E55E368" w14:textId="77777777" w:rsidR="00047D0B" w:rsidRPr="00A343CD" w:rsidRDefault="00047D0B" w:rsidP="00C563B5">
            <w:pPr>
              <w:spacing w:after="0" w:line="276" w:lineRule="auto"/>
              <w:jc w:val="right"/>
              <w:rPr>
                <w:rFonts w:ascii="Arial" w:eastAsia="Times New Roman" w:hAnsi="Arial" w:cs="Arial"/>
                <w:szCs w:val="24"/>
                <w:lang w:bidi="bn-BD"/>
              </w:rPr>
            </w:pPr>
            <w:r w:rsidRPr="00A343CD">
              <w:rPr>
                <w:rFonts w:ascii="Arial" w:eastAsia="Times New Roman" w:hAnsi="Arial" w:cs="Arial"/>
                <w:szCs w:val="24"/>
                <w:lang w:bidi="bn-BD"/>
              </w:rPr>
              <w:t>Total current liabilities Given Value</w:t>
            </w:r>
          </w:p>
        </w:tc>
        <w:tc>
          <w:tcPr>
            <w:tcW w:w="1210" w:type="dxa"/>
            <w:tcBorders>
              <w:top w:val="nil"/>
              <w:left w:val="nil"/>
              <w:bottom w:val="single" w:sz="4" w:space="0" w:color="auto"/>
              <w:right w:val="single" w:sz="4" w:space="0" w:color="auto"/>
            </w:tcBorders>
            <w:shd w:val="clear" w:color="000000" w:fill="FBE2D5"/>
            <w:noWrap/>
            <w:vAlign w:val="bottom"/>
            <w:hideMark/>
          </w:tcPr>
          <w:p w14:paraId="6001DB74"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xml:space="preserve">         158,291 </w:t>
            </w:r>
          </w:p>
        </w:tc>
        <w:tc>
          <w:tcPr>
            <w:tcW w:w="1210" w:type="dxa"/>
            <w:tcBorders>
              <w:top w:val="nil"/>
              <w:left w:val="nil"/>
              <w:bottom w:val="single" w:sz="4" w:space="0" w:color="auto"/>
              <w:right w:val="single" w:sz="4" w:space="0" w:color="auto"/>
            </w:tcBorders>
            <w:shd w:val="clear" w:color="000000" w:fill="FBE2D5"/>
            <w:noWrap/>
            <w:vAlign w:val="bottom"/>
            <w:hideMark/>
          </w:tcPr>
          <w:p w14:paraId="424CE6B4"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xml:space="preserve">         161,148 </w:t>
            </w:r>
          </w:p>
        </w:tc>
        <w:tc>
          <w:tcPr>
            <w:tcW w:w="1152" w:type="dxa"/>
            <w:tcBorders>
              <w:top w:val="nil"/>
              <w:left w:val="nil"/>
              <w:bottom w:val="single" w:sz="4" w:space="0" w:color="auto"/>
              <w:right w:val="single" w:sz="4" w:space="0" w:color="auto"/>
            </w:tcBorders>
            <w:shd w:val="clear" w:color="000000" w:fill="FBE2D5"/>
            <w:noWrap/>
            <w:vAlign w:val="bottom"/>
            <w:hideMark/>
          </w:tcPr>
          <w:p w14:paraId="1B3B6102"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xml:space="preserve">         216,473 </w:t>
            </w:r>
          </w:p>
        </w:tc>
        <w:tc>
          <w:tcPr>
            <w:tcW w:w="1196" w:type="dxa"/>
            <w:tcBorders>
              <w:top w:val="nil"/>
              <w:left w:val="nil"/>
              <w:bottom w:val="single" w:sz="4" w:space="0" w:color="auto"/>
              <w:right w:val="single" w:sz="4" w:space="0" w:color="auto"/>
            </w:tcBorders>
            <w:shd w:val="clear" w:color="000000" w:fill="FBE2D5"/>
            <w:noWrap/>
            <w:vAlign w:val="bottom"/>
            <w:hideMark/>
          </w:tcPr>
          <w:p w14:paraId="5005467E"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xml:space="preserve">         216,787 </w:t>
            </w:r>
          </w:p>
        </w:tc>
        <w:tc>
          <w:tcPr>
            <w:tcW w:w="1198" w:type="dxa"/>
            <w:tcBorders>
              <w:top w:val="nil"/>
              <w:left w:val="nil"/>
              <w:bottom w:val="single" w:sz="4" w:space="0" w:color="auto"/>
              <w:right w:val="single" w:sz="8" w:space="0" w:color="auto"/>
            </w:tcBorders>
            <w:shd w:val="clear" w:color="000000" w:fill="FBE2D5"/>
            <w:noWrap/>
            <w:vAlign w:val="bottom"/>
            <w:hideMark/>
          </w:tcPr>
          <w:p w14:paraId="756E3586"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xml:space="preserve">             179,510 </w:t>
            </w:r>
          </w:p>
        </w:tc>
      </w:tr>
      <w:tr w:rsidR="00047D0B" w:rsidRPr="00A343CD" w14:paraId="52CBE22C"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8EAE6D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Operating lease obligations</w:t>
            </w:r>
          </w:p>
        </w:tc>
        <w:tc>
          <w:tcPr>
            <w:tcW w:w="1210" w:type="dxa"/>
            <w:tcBorders>
              <w:top w:val="nil"/>
              <w:left w:val="nil"/>
              <w:bottom w:val="single" w:sz="4" w:space="0" w:color="auto"/>
              <w:right w:val="single" w:sz="4" w:space="0" w:color="auto"/>
            </w:tcBorders>
            <w:noWrap/>
            <w:vAlign w:val="bottom"/>
            <w:hideMark/>
          </w:tcPr>
          <w:p w14:paraId="66A663C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9,232 </w:t>
            </w:r>
          </w:p>
        </w:tc>
        <w:tc>
          <w:tcPr>
            <w:tcW w:w="1210" w:type="dxa"/>
            <w:tcBorders>
              <w:top w:val="nil"/>
              <w:left w:val="nil"/>
              <w:bottom w:val="single" w:sz="4" w:space="0" w:color="auto"/>
              <w:right w:val="single" w:sz="4" w:space="0" w:color="auto"/>
            </w:tcBorders>
            <w:noWrap/>
            <w:vAlign w:val="bottom"/>
            <w:hideMark/>
          </w:tcPr>
          <w:p w14:paraId="184EA07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12,560 </w:t>
            </w:r>
          </w:p>
        </w:tc>
        <w:tc>
          <w:tcPr>
            <w:tcW w:w="1152" w:type="dxa"/>
            <w:tcBorders>
              <w:top w:val="nil"/>
              <w:left w:val="nil"/>
              <w:bottom w:val="single" w:sz="4" w:space="0" w:color="auto"/>
              <w:right w:val="single" w:sz="4" w:space="0" w:color="auto"/>
            </w:tcBorders>
            <w:noWrap/>
            <w:vAlign w:val="bottom"/>
            <w:hideMark/>
          </w:tcPr>
          <w:p w14:paraId="1B6DA5A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15,027 </w:t>
            </w:r>
          </w:p>
        </w:tc>
        <w:tc>
          <w:tcPr>
            <w:tcW w:w="1196" w:type="dxa"/>
            <w:tcBorders>
              <w:top w:val="nil"/>
              <w:left w:val="nil"/>
              <w:bottom w:val="single" w:sz="4" w:space="0" w:color="auto"/>
              <w:right w:val="single" w:sz="4" w:space="0" w:color="auto"/>
            </w:tcBorders>
            <w:noWrap/>
            <w:vAlign w:val="bottom"/>
            <w:hideMark/>
          </w:tcPr>
          <w:p w14:paraId="5879D88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14,266 </w:t>
            </w:r>
          </w:p>
        </w:tc>
        <w:tc>
          <w:tcPr>
            <w:tcW w:w="1198" w:type="dxa"/>
            <w:tcBorders>
              <w:top w:val="nil"/>
              <w:left w:val="nil"/>
              <w:bottom w:val="single" w:sz="4" w:space="0" w:color="auto"/>
              <w:right w:val="single" w:sz="8" w:space="0" w:color="auto"/>
            </w:tcBorders>
            <w:noWrap/>
            <w:vAlign w:val="bottom"/>
            <w:hideMark/>
          </w:tcPr>
          <w:p w14:paraId="5573B3F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13,681 </w:t>
            </w:r>
          </w:p>
        </w:tc>
      </w:tr>
      <w:tr w:rsidR="00047D0B" w:rsidRPr="00A343CD" w14:paraId="632A856A"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2B08AD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Deferred income taxes</w:t>
            </w:r>
          </w:p>
        </w:tc>
        <w:tc>
          <w:tcPr>
            <w:tcW w:w="1210" w:type="dxa"/>
            <w:tcBorders>
              <w:top w:val="nil"/>
              <w:left w:val="nil"/>
              <w:bottom w:val="single" w:sz="4" w:space="0" w:color="auto"/>
              <w:right w:val="single" w:sz="4" w:space="0" w:color="auto"/>
            </w:tcBorders>
            <w:noWrap/>
            <w:vAlign w:val="bottom"/>
            <w:hideMark/>
          </w:tcPr>
          <w:p w14:paraId="79CB910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1,931 </w:t>
            </w:r>
          </w:p>
        </w:tc>
        <w:tc>
          <w:tcPr>
            <w:tcW w:w="1210" w:type="dxa"/>
            <w:tcBorders>
              <w:top w:val="nil"/>
              <w:left w:val="nil"/>
              <w:bottom w:val="single" w:sz="4" w:space="0" w:color="auto"/>
              <w:right w:val="single" w:sz="4" w:space="0" w:color="auto"/>
            </w:tcBorders>
            <w:noWrap/>
            <w:vAlign w:val="bottom"/>
            <w:hideMark/>
          </w:tcPr>
          <w:p w14:paraId="1186BC0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1,992 </w:t>
            </w:r>
          </w:p>
        </w:tc>
        <w:tc>
          <w:tcPr>
            <w:tcW w:w="1152" w:type="dxa"/>
            <w:tcBorders>
              <w:top w:val="nil"/>
              <w:left w:val="nil"/>
              <w:bottom w:val="single" w:sz="4" w:space="0" w:color="auto"/>
              <w:right w:val="single" w:sz="4" w:space="0" w:color="auto"/>
            </w:tcBorders>
            <w:noWrap/>
            <w:vAlign w:val="bottom"/>
            <w:hideMark/>
          </w:tcPr>
          <w:p w14:paraId="78E89C0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2,724 </w:t>
            </w:r>
          </w:p>
        </w:tc>
        <w:tc>
          <w:tcPr>
            <w:tcW w:w="1196" w:type="dxa"/>
            <w:tcBorders>
              <w:top w:val="nil"/>
              <w:left w:val="nil"/>
              <w:bottom w:val="single" w:sz="4" w:space="0" w:color="auto"/>
              <w:right w:val="single" w:sz="4" w:space="0" w:color="auto"/>
            </w:tcBorders>
            <w:noWrap/>
            <w:vAlign w:val="bottom"/>
            <w:hideMark/>
          </w:tcPr>
          <w:p w14:paraId="0EB6B4E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2,394 </w:t>
            </w:r>
          </w:p>
        </w:tc>
        <w:tc>
          <w:tcPr>
            <w:tcW w:w="1198" w:type="dxa"/>
            <w:tcBorders>
              <w:top w:val="nil"/>
              <w:left w:val="nil"/>
              <w:bottom w:val="single" w:sz="4" w:space="0" w:color="auto"/>
              <w:right w:val="single" w:sz="8" w:space="0" w:color="auto"/>
            </w:tcBorders>
            <w:noWrap/>
            <w:vAlign w:val="bottom"/>
            <w:hideMark/>
          </w:tcPr>
          <w:p w14:paraId="1247AFA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1,913 </w:t>
            </w:r>
          </w:p>
        </w:tc>
      </w:tr>
      <w:tr w:rsidR="00047D0B" w:rsidRPr="00A343CD" w14:paraId="3CB335B1"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14D14F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Income tax payable</w:t>
            </w:r>
          </w:p>
        </w:tc>
        <w:tc>
          <w:tcPr>
            <w:tcW w:w="1210" w:type="dxa"/>
            <w:tcBorders>
              <w:top w:val="nil"/>
              <w:left w:val="nil"/>
              <w:bottom w:val="single" w:sz="4" w:space="0" w:color="auto"/>
              <w:right w:val="single" w:sz="4" w:space="0" w:color="auto"/>
            </w:tcBorders>
            <w:noWrap/>
            <w:vAlign w:val="bottom"/>
            <w:hideMark/>
          </w:tcPr>
          <w:p w14:paraId="352B13D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72 </w:t>
            </w:r>
          </w:p>
        </w:tc>
        <w:tc>
          <w:tcPr>
            <w:tcW w:w="1210" w:type="dxa"/>
            <w:tcBorders>
              <w:top w:val="nil"/>
              <w:left w:val="nil"/>
              <w:bottom w:val="single" w:sz="4" w:space="0" w:color="auto"/>
              <w:right w:val="single" w:sz="4" w:space="0" w:color="auto"/>
            </w:tcBorders>
            <w:noWrap/>
            <w:vAlign w:val="bottom"/>
            <w:hideMark/>
          </w:tcPr>
          <w:p w14:paraId="50A3ED9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435 </w:t>
            </w:r>
          </w:p>
        </w:tc>
        <w:tc>
          <w:tcPr>
            <w:tcW w:w="1152" w:type="dxa"/>
            <w:tcBorders>
              <w:top w:val="nil"/>
              <w:left w:val="nil"/>
              <w:bottom w:val="single" w:sz="4" w:space="0" w:color="auto"/>
              <w:right w:val="single" w:sz="4" w:space="0" w:color="auto"/>
            </w:tcBorders>
            <w:noWrap/>
            <w:vAlign w:val="bottom"/>
            <w:hideMark/>
          </w:tcPr>
          <w:p w14:paraId="3BDEFB0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723 </w:t>
            </w:r>
          </w:p>
        </w:tc>
        <w:tc>
          <w:tcPr>
            <w:tcW w:w="1196" w:type="dxa"/>
            <w:tcBorders>
              <w:top w:val="nil"/>
              <w:left w:val="nil"/>
              <w:bottom w:val="single" w:sz="4" w:space="0" w:color="auto"/>
              <w:right w:val="single" w:sz="4" w:space="0" w:color="auto"/>
            </w:tcBorders>
            <w:noWrap/>
            <w:vAlign w:val="bottom"/>
            <w:hideMark/>
          </w:tcPr>
          <w:p w14:paraId="7450D2F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939 </w:t>
            </w:r>
          </w:p>
        </w:tc>
        <w:tc>
          <w:tcPr>
            <w:tcW w:w="1198" w:type="dxa"/>
            <w:tcBorders>
              <w:top w:val="nil"/>
              <w:left w:val="nil"/>
              <w:bottom w:val="single" w:sz="4" w:space="0" w:color="auto"/>
              <w:right w:val="single" w:sz="8" w:space="0" w:color="auto"/>
            </w:tcBorders>
            <w:noWrap/>
            <w:vAlign w:val="bottom"/>
            <w:hideMark/>
          </w:tcPr>
          <w:p w14:paraId="5BBB54D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1,054 </w:t>
            </w:r>
          </w:p>
        </w:tc>
      </w:tr>
      <w:tr w:rsidR="00047D0B" w:rsidRPr="00A343CD" w14:paraId="38AEB235"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421FA2D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Other long-term liabilities</w:t>
            </w:r>
          </w:p>
        </w:tc>
        <w:tc>
          <w:tcPr>
            <w:tcW w:w="1210" w:type="dxa"/>
            <w:tcBorders>
              <w:top w:val="nil"/>
              <w:left w:val="nil"/>
              <w:bottom w:val="single" w:sz="4" w:space="0" w:color="auto"/>
              <w:right w:val="single" w:sz="4" w:space="0" w:color="auto"/>
            </w:tcBorders>
            <w:noWrap/>
            <w:vAlign w:val="bottom"/>
            <w:hideMark/>
          </w:tcPr>
          <w:p w14:paraId="52B7D0C6"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723 </w:t>
            </w:r>
          </w:p>
        </w:tc>
        <w:tc>
          <w:tcPr>
            <w:tcW w:w="1210" w:type="dxa"/>
            <w:tcBorders>
              <w:top w:val="nil"/>
              <w:left w:val="nil"/>
              <w:bottom w:val="single" w:sz="4" w:space="0" w:color="auto"/>
              <w:right w:val="single" w:sz="4" w:space="0" w:color="auto"/>
            </w:tcBorders>
            <w:noWrap/>
            <w:vAlign w:val="bottom"/>
            <w:hideMark/>
          </w:tcPr>
          <w:p w14:paraId="70D1299F"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817 </w:t>
            </w:r>
          </w:p>
        </w:tc>
        <w:tc>
          <w:tcPr>
            <w:tcW w:w="1152" w:type="dxa"/>
            <w:tcBorders>
              <w:top w:val="nil"/>
              <w:left w:val="nil"/>
              <w:bottom w:val="single" w:sz="4" w:space="0" w:color="auto"/>
              <w:right w:val="single" w:sz="4" w:space="0" w:color="auto"/>
            </w:tcBorders>
            <w:noWrap/>
            <w:vAlign w:val="bottom"/>
            <w:hideMark/>
          </w:tcPr>
          <w:p w14:paraId="2336B5F8"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810 </w:t>
            </w:r>
          </w:p>
        </w:tc>
        <w:tc>
          <w:tcPr>
            <w:tcW w:w="1196" w:type="dxa"/>
            <w:tcBorders>
              <w:top w:val="nil"/>
              <w:left w:val="nil"/>
              <w:bottom w:val="single" w:sz="4" w:space="0" w:color="auto"/>
              <w:right w:val="single" w:sz="4" w:space="0" w:color="auto"/>
            </w:tcBorders>
            <w:noWrap/>
            <w:vAlign w:val="bottom"/>
            <w:hideMark/>
          </w:tcPr>
          <w:p w14:paraId="04EFB2A7"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13 </w:t>
            </w:r>
          </w:p>
        </w:tc>
        <w:tc>
          <w:tcPr>
            <w:tcW w:w="1198" w:type="dxa"/>
            <w:tcBorders>
              <w:top w:val="nil"/>
              <w:left w:val="nil"/>
              <w:bottom w:val="single" w:sz="4" w:space="0" w:color="auto"/>
              <w:right w:val="single" w:sz="8" w:space="0" w:color="auto"/>
            </w:tcBorders>
            <w:noWrap/>
            <w:vAlign w:val="bottom"/>
            <w:hideMark/>
          </w:tcPr>
          <w:p w14:paraId="7AA5760C"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539 </w:t>
            </w:r>
          </w:p>
        </w:tc>
      </w:tr>
      <w:tr w:rsidR="00047D0B" w:rsidRPr="00A343CD" w14:paraId="7EC9F541"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20F75AD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Total Non-Current Liabilities</w:t>
            </w:r>
          </w:p>
        </w:tc>
        <w:tc>
          <w:tcPr>
            <w:tcW w:w="1210" w:type="dxa"/>
            <w:tcBorders>
              <w:top w:val="nil"/>
              <w:left w:val="nil"/>
              <w:bottom w:val="single" w:sz="4" w:space="0" w:color="auto"/>
              <w:right w:val="single" w:sz="4" w:space="0" w:color="auto"/>
            </w:tcBorders>
            <w:noWrap/>
            <w:vAlign w:val="bottom"/>
            <w:hideMark/>
          </w:tcPr>
          <w:p w14:paraId="4C65D8A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11,958 </w:t>
            </w:r>
          </w:p>
        </w:tc>
        <w:tc>
          <w:tcPr>
            <w:tcW w:w="1210" w:type="dxa"/>
            <w:tcBorders>
              <w:top w:val="nil"/>
              <w:left w:val="nil"/>
              <w:bottom w:val="single" w:sz="4" w:space="0" w:color="auto"/>
              <w:right w:val="single" w:sz="4" w:space="0" w:color="auto"/>
            </w:tcBorders>
            <w:noWrap/>
            <w:vAlign w:val="bottom"/>
            <w:hideMark/>
          </w:tcPr>
          <w:p w14:paraId="7A356EF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15,804 </w:t>
            </w:r>
          </w:p>
        </w:tc>
        <w:tc>
          <w:tcPr>
            <w:tcW w:w="1152" w:type="dxa"/>
            <w:tcBorders>
              <w:top w:val="nil"/>
              <w:left w:val="nil"/>
              <w:bottom w:val="single" w:sz="4" w:space="0" w:color="auto"/>
              <w:right w:val="single" w:sz="4" w:space="0" w:color="auto"/>
            </w:tcBorders>
            <w:noWrap/>
            <w:vAlign w:val="bottom"/>
            <w:hideMark/>
          </w:tcPr>
          <w:p w14:paraId="6EEF9E1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19,284 </w:t>
            </w:r>
          </w:p>
        </w:tc>
        <w:tc>
          <w:tcPr>
            <w:tcW w:w="1196" w:type="dxa"/>
            <w:tcBorders>
              <w:top w:val="nil"/>
              <w:left w:val="nil"/>
              <w:bottom w:val="single" w:sz="4" w:space="0" w:color="auto"/>
              <w:right w:val="single" w:sz="4" w:space="0" w:color="auto"/>
            </w:tcBorders>
            <w:noWrap/>
            <w:vAlign w:val="bottom"/>
            <w:hideMark/>
          </w:tcPr>
          <w:p w14:paraId="79911C4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17,612 </w:t>
            </w:r>
          </w:p>
        </w:tc>
        <w:tc>
          <w:tcPr>
            <w:tcW w:w="1198" w:type="dxa"/>
            <w:tcBorders>
              <w:top w:val="nil"/>
              <w:left w:val="nil"/>
              <w:bottom w:val="single" w:sz="4" w:space="0" w:color="auto"/>
              <w:right w:val="single" w:sz="8" w:space="0" w:color="auto"/>
            </w:tcBorders>
            <w:noWrap/>
            <w:vAlign w:val="bottom"/>
            <w:hideMark/>
          </w:tcPr>
          <w:p w14:paraId="4EF742C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17,187 </w:t>
            </w:r>
          </w:p>
        </w:tc>
      </w:tr>
      <w:tr w:rsidR="00047D0B" w:rsidRPr="00A343CD" w14:paraId="1D7E6A92"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C1F0C8"/>
            <w:noWrap/>
            <w:vAlign w:val="bottom"/>
            <w:hideMark/>
          </w:tcPr>
          <w:p w14:paraId="24D2AF75"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Total liabilities</w:t>
            </w:r>
          </w:p>
        </w:tc>
        <w:tc>
          <w:tcPr>
            <w:tcW w:w="1210" w:type="dxa"/>
            <w:tcBorders>
              <w:top w:val="nil"/>
              <w:left w:val="nil"/>
              <w:bottom w:val="single" w:sz="4" w:space="0" w:color="auto"/>
              <w:right w:val="single" w:sz="4" w:space="0" w:color="auto"/>
            </w:tcBorders>
            <w:shd w:val="clear" w:color="000000" w:fill="C1F0C8"/>
            <w:noWrap/>
            <w:vAlign w:val="bottom"/>
            <w:hideMark/>
          </w:tcPr>
          <w:p w14:paraId="41A1E44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168,088 </w:t>
            </w:r>
          </w:p>
        </w:tc>
        <w:tc>
          <w:tcPr>
            <w:tcW w:w="1210" w:type="dxa"/>
            <w:tcBorders>
              <w:top w:val="nil"/>
              <w:left w:val="nil"/>
              <w:bottom w:val="single" w:sz="4" w:space="0" w:color="auto"/>
              <w:right w:val="single" w:sz="4" w:space="0" w:color="auto"/>
            </w:tcBorders>
            <w:shd w:val="clear" w:color="000000" w:fill="C1F0C8"/>
            <w:noWrap/>
            <w:vAlign w:val="bottom"/>
            <w:hideMark/>
          </w:tcPr>
          <w:p w14:paraId="7ABEA020"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175,119 </w:t>
            </w:r>
          </w:p>
        </w:tc>
        <w:tc>
          <w:tcPr>
            <w:tcW w:w="1152" w:type="dxa"/>
            <w:tcBorders>
              <w:top w:val="nil"/>
              <w:left w:val="nil"/>
              <w:bottom w:val="single" w:sz="4" w:space="0" w:color="auto"/>
              <w:right w:val="single" w:sz="4" w:space="0" w:color="auto"/>
            </w:tcBorders>
            <w:shd w:val="clear" w:color="000000" w:fill="C1F0C8"/>
            <w:noWrap/>
            <w:vAlign w:val="bottom"/>
            <w:hideMark/>
          </w:tcPr>
          <w:p w14:paraId="7E11D7E5"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230,172 </w:t>
            </w:r>
          </w:p>
        </w:tc>
        <w:tc>
          <w:tcPr>
            <w:tcW w:w="1196" w:type="dxa"/>
            <w:tcBorders>
              <w:top w:val="nil"/>
              <w:left w:val="nil"/>
              <w:bottom w:val="single" w:sz="4" w:space="0" w:color="auto"/>
              <w:right w:val="single" w:sz="4" w:space="0" w:color="auto"/>
            </w:tcBorders>
            <w:shd w:val="clear" w:color="000000" w:fill="C1F0C8"/>
            <w:noWrap/>
            <w:vAlign w:val="bottom"/>
            <w:hideMark/>
          </w:tcPr>
          <w:p w14:paraId="0D94582B"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230,662 </w:t>
            </w:r>
          </w:p>
        </w:tc>
        <w:tc>
          <w:tcPr>
            <w:tcW w:w="1198" w:type="dxa"/>
            <w:tcBorders>
              <w:top w:val="nil"/>
              <w:left w:val="nil"/>
              <w:bottom w:val="single" w:sz="4" w:space="0" w:color="auto"/>
              <w:right w:val="single" w:sz="8" w:space="0" w:color="auto"/>
            </w:tcBorders>
            <w:shd w:val="clear" w:color="000000" w:fill="C1F0C8"/>
            <w:noWrap/>
            <w:vAlign w:val="bottom"/>
            <w:hideMark/>
          </w:tcPr>
          <w:p w14:paraId="0F07135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193,162 </w:t>
            </w:r>
          </w:p>
        </w:tc>
      </w:tr>
      <w:tr w:rsidR="00047D0B" w:rsidRPr="00A343CD" w14:paraId="27957795"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FBE2D5"/>
            <w:noWrap/>
            <w:vAlign w:val="bottom"/>
            <w:hideMark/>
          </w:tcPr>
          <w:p w14:paraId="15CB14B8" w14:textId="77777777" w:rsidR="00047D0B" w:rsidRPr="00A343CD" w:rsidRDefault="00047D0B" w:rsidP="00C563B5">
            <w:pPr>
              <w:spacing w:after="0" w:line="276" w:lineRule="auto"/>
              <w:jc w:val="right"/>
              <w:rPr>
                <w:rFonts w:ascii="Arial" w:eastAsia="Times New Roman" w:hAnsi="Arial" w:cs="Arial"/>
                <w:color w:val="FF0000"/>
                <w:szCs w:val="24"/>
                <w:lang w:bidi="bn-BD"/>
              </w:rPr>
            </w:pPr>
            <w:r w:rsidRPr="00A343CD">
              <w:rPr>
                <w:rFonts w:ascii="Arial" w:eastAsia="Times New Roman" w:hAnsi="Arial" w:cs="Arial"/>
                <w:color w:val="FF0000"/>
                <w:szCs w:val="24"/>
                <w:lang w:bidi="bn-BD"/>
              </w:rPr>
              <w:t>Total Liabilities Given Value</w:t>
            </w:r>
          </w:p>
        </w:tc>
        <w:tc>
          <w:tcPr>
            <w:tcW w:w="1210" w:type="dxa"/>
            <w:tcBorders>
              <w:top w:val="nil"/>
              <w:left w:val="nil"/>
              <w:bottom w:val="single" w:sz="4" w:space="0" w:color="auto"/>
              <w:right w:val="single" w:sz="4" w:space="0" w:color="auto"/>
            </w:tcBorders>
            <w:shd w:val="clear" w:color="000000" w:fill="FBE2D5"/>
            <w:noWrap/>
            <w:vAlign w:val="bottom"/>
            <w:hideMark/>
          </w:tcPr>
          <w:p w14:paraId="2AE69ABB" w14:textId="77777777" w:rsidR="00047D0B" w:rsidRPr="00A343CD" w:rsidRDefault="00047D0B" w:rsidP="00C563B5">
            <w:pPr>
              <w:spacing w:after="0" w:line="276" w:lineRule="auto"/>
              <w:jc w:val="right"/>
              <w:rPr>
                <w:rFonts w:ascii="Arial" w:eastAsia="Times New Roman" w:hAnsi="Arial" w:cs="Arial"/>
                <w:color w:val="FF0000"/>
                <w:szCs w:val="24"/>
                <w:lang w:bidi="bn-BD"/>
              </w:rPr>
            </w:pPr>
            <w:r w:rsidRPr="00A343CD">
              <w:rPr>
                <w:rFonts w:ascii="Arial" w:eastAsia="Times New Roman" w:hAnsi="Arial" w:cs="Arial"/>
                <w:color w:val="FF0000"/>
                <w:szCs w:val="24"/>
                <w:lang w:bidi="bn-BD"/>
              </w:rPr>
              <w:t xml:space="preserve">         170,249 </w:t>
            </w:r>
          </w:p>
        </w:tc>
        <w:tc>
          <w:tcPr>
            <w:tcW w:w="1210" w:type="dxa"/>
            <w:tcBorders>
              <w:top w:val="nil"/>
              <w:left w:val="nil"/>
              <w:bottom w:val="single" w:sz="4" w:space="0" w:color="auto"/>
              <w:right w:val="single" w:sz="4" w:space="0" w:color="auto"/>
            </w:tcBorders>
            <w:shd w:val="clear" w:color="000000" w:fill="FBE2D5"/>
            <w:noWrap/>
            <w:vAlign w:val="bottom"/>
            <w:hideMark/>
          </w:tcPr>
          <w:p w14:paraId="6BCAC123" w14:textId="77777777" w:rsidR="00047D0B" w:rsidRPr="00A343CD" w:rsidRDefault="00047D0B" w:rsidP="00C563B5">
            <w:pPr>
              <w:spacing w:after="0" w:line="276" w:lineRule="auto"/>
              <w:jc w:val="right"/>
              <w:rPr>
                <w:rFonts w:ascii="Arial" w:eastAsia="Times New Roman" w:hAnsi="Arial" w:cs="Arial"/>
                <w:color w:val="FF0000"/>
                <w:szCs w:val="24"/>
                <w:lang w:bidi="bn-BD"/>
              </w:rPr>
            </w:pPr>
            <w:r w:rsidRPr="00A343CD">
              <w:rPr>
                <w:rFonts w:ascii="Arial" w:eastAsia="Times New Roman" w:hAnsi="Arial" w:cs="Arial"/>
                <w:color w:val="FF0000"/>
                <w:szCs w:val="24"/>
                <w:lang w:bidi="bn-BD"/>
              </w:rPr>
              <w:t xml:space="preserve">         176,952 </w:t>
            </w:r>
          </w:p>
        </w:tc>
        <w:tc>
          <w:tcPr>
            <w:tcW w:w="1152" w:type="dxa"/>
            <w:tcBorders>
              <w:top w:val="nil"/>
              <w:left w:val="nil"/>
              <w:bottom w:val="single" w:sz="4" w:space="0" w:color="auto"/>
              <w:right w:val="single" w:sz="4" w:space="0" w:color="auto"/>
            </w:tcBorders>
            <w:shd w:val="clear" w:color="000000" w:fill="FBE2D5"/>
            <w:noWrap/>
            <w:vAlign w:val="bottom"/>
            <w:hideMark/>
          </w:tcPr>
          <w:p w14:paraId="5C60474F" w14:textId="77777777" w:rsidR="00047D0B" w:rsidRPr="00A343CD" w:rsidRDefault="00047D0B" w:rsidP="00C563B5">
            <w:pPr>
              <w:spacing w:after="0" w:line="276" w:lineRule="auto"/>
              <w:jc w:val="right"/>
              <w:rPr>
                <w:rFonts w:ascii="Arial" w:eastAsia="Times New Roman" w:hAnsi="Arial" w:cs="Arial"/>
                <w:color w:val="FF0000"/>
                <w:szCs w:val="24"/>
                <w:lang w:bidi="bn-BD"/>
              </w:rPr>
            </w:pPr>
            <w:r w:rsidRPr="00A343CD">
              <w:rPr>
                <w:rFonts w:ascii="Arial" w:eastAsia="Times New Roman" w:hAnsi="Arial" w:cs="Arial"/>
                <w:color w:val="FF0000"/>
                <w:szCs w:val="24"/>
                <w:lang w:bidi="bn-BD"/>
              </w:rPr>
              <w:t xml:space="preserve">         235,757 </w:t>
            </w:r>
          </w:p>
        </w:tc>
        <w:tc>
          <w:tcPr>
            <w:tcW w:w="1196" w:type="dxa"/>
            <w:tcBorders>
              <w:top w:val="nil"/>
              <w:left w:val="nil"/>
              <w:bottom w:val="single" w:sz="4" w:space="0" w:color="auto"/>
              <w:right w:val="single" w:sz="4" w:space="0" w:color="auto"/>
            </w:tcBorders>
            <w:shd w:val="clear" w:color="000000" w:fill="FBE2D5"/>
            <w:noWrap/>
            <w:vAlign w:val="bottom"/>
            <w:hideMark/>
          </w:tcPr>
          <w:p w14:paraId="749C9B9B" w14:textId="77777777" w:rsidR="00047D0B" w:rsidRPr="00A343CD" w:rsidRDefault="00047D0B" w:rsidP="00C563B5">
            <w:pPr>
              <w:spacing w:after="0" w:line="276" w:lineRule="auto"/>
              <w:jc w:val="right"/>
              <w:rPr>
                <w:rFonts w:ascii="Arial" w:eastAsia="Times New Roman" w:hAnsi="Arial" w:cs="Arial"/>
                <w:color w:val="FF0000"/>
                <w:szCs w:val="24"/>
                <w:lang w:bidi="bn-BD"/>
              </w:rPr>
            </w:pPr>
            <w:r w:rsidRPr="00A343CD">
              <w:rPr>
                <w:rFonts w:ascii="Arial" w:eastAsia="Times New Roman" w:hAnsi="Arial" w:cs="Arial"/>
                <w:color w:val="FF0000"/>
                <w:szCs w:val="24"/>
                <w:lang w:bidi="bn-BD"/>
              </w:rPr>
              <w:t xml:space="preserve">         234,399 </w:t>
            </w:r>
          </w:p>
        </w:tc>
        <w:tc>
          <w:tcPr>
            <w:tcW w:w="1198" w:type="dxa"/>
            <w:tcBorders>
              <w:top w:val="nil"/>
              <w:left w:val="nil"/>
              <w:bottom w:val="single" w:sz="4" w:space="0" w:color="auto"/>
              <w:right w:val="single" w:sz="8" w:space="0" w:color="auto"/>
            </w:tcBorders>
            <w:shd w:val="clear" w:color="000000" w:fill="FBE2D5"/>
            <w:noWrap/>
            <w:vAlign w:val="bottom"/>
            <w:hideMark/>
          </w:tcPr>
          <w:p w14:paraId="370A7774" w14:textId="77777777" w:rsidR="00047D0B" w:rsidRPr="00A343CD" w:rsidRDefault="00047D0B" w:rsidP="00C563B5">
            <w:pPr>
              <w:spacing w:after="0" w:line="276" w:lineRule="auto"/>
              <w:jc w:val="right"/>
              <w:rPr>
                <w:rFonts w:ascii="Arial" w:eastAsia="Times New Roman" w:hAnsi="Arial" w:cs="Arial"/>
                <w:color w:val="FF0000"/>
                <w:szCs w:val="24"/>
                <w:lang w:bidi="bn-BD"/>
              </w:rPr>
            </w:pPr>
            <w:r w:rsidRPr="00A343CD">
              <w:rPr>
                <w:rFonts w:ascii="Arial" w:eastAsia="Times New Roman" w:hAnsi="Arial" w:cs="Arial"/>
                <w:color w:val="FF0000"/>
                <w:szCs w:val="24"/>
                <w:lang w:bidi="bn-BD"/>
              </w:rPr>
              <w:t xml:space="preserve">             196,989 </w:t>
            </w:r>
          </w:p>
        </w:tc>
      </w:tr>
      <w:tr w:rsidR="00047D0B" w:rsidRPr="00A343CD" w14:paraId="41E7CC61"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2C194BD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Common stock</w:t>
            </w:r>
          </w:p>
        </w:tc>
        <w:tc>
          <w:tcPr>
            <w:tcW w:w="1210" w:type="dxa"/>
            <w:tcBorders>
              <w:top w:val="nil"/>
              <w:left w:val="nil"/>
              <w:bottom w:val="single" w:sz="4" w:space="0" w:color="auto"/>
              <w:right w:val="single" w:sz="4" w:space="0" w:color="auto"/>
            </w:tcBorders>
            <w:noWrap/>
            <w:vAlign w:val="bottom"/>
            <w:hideMark/>
          </w:tcPr>
          <w:p w14:paraId="617E961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257 </w:t>
            </w:r>
          </w:p>
        </w:tc>
        <w:tc>
          <w:tcPr>
            <w:tcW w:w="1210" w:type="dxa"/>
            <w:tcBorders>
              <w:top w:val="nil"/>
              <w:left w:val="nil"/>
              <w:bottom w:val="single" w:sz="4" w:space="0" w:color="auto"/>
              <w:right w:val="single" w:sz="4" w:space="0" w:color="auto"/>
            </w:tcBorders>
            <w:noWrap/>
            <w:vAlign w:val="bottom"/>
            <w:hideMark/>
          </w:tcPr>
          <w:p w14:paraId="5050282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253 </w:t>
            </w:r>
          </w:p>
        </w:tc>
        <w:tc>
          <w:tcPr>
            <w:tcW w:w="1152" w:type="dxa"/>
            <w:tcBorders>
              <w:top w:val="nil"/>
              <w:left w:val="nil"/>
              <w:bottom w:val="single" w:sz="4" w:space="0" w:color="auto"/>
              <w:right w:val="single" w:sz="4" w:space="0" w:color="auto"/>
            </w:tcBorders>
            <w:noWrap/>
            <w:vAlign w:val="bottom"/>
            <w:hideMark/>
          </w:tcPr>
          <w:p w14:paraId="2E20299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250 </w:t>
            </w:r>
          </w:p>
        </w:tc>
        <w:tc>
          <w:tcPr>
            <w:tcW w:w="1196" w:type="dxa"/>
            <w:tcBorders>
              <w:top w:val="nil"/>
              <w:left w:val="nil"/>
              <w:bottom w:val="single" w:sz="4" w:space="0" w:color="auto"/>
              <w:right w:val="single" w:sz="4" w:space="0" w:color="auto"/>
            </w:tcBorders>
            <w:noWrap/>
            <w:vAlign w:val="bottom"/>
            <w:hideMark/>
          </w:tcPr>
          <w:p w14:paraId="22E786A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247 </w:t>
            </w:r>
          </w:p>
        </w:tc>
        <w:tc>
          <w:tcPr>
            <w:tcW w:w="1198" w:type="dxa"/>
            <w:tcBorders>
              <w:top w:val="nil"/>
              <w:left w:val="nil"/>
              <w:bottom w:val="single" w:sz="4" w:space="0" w:color="auto"/>
              <w:right w:val="single" w:sz="8" w:space="0" w:color="auto"/>
            </w:tcBorders>
            <w:noWrap/>
            <w:vAlign w:val="bottom"/>
            <w:hideMark/>
          </w:tcPr>
          <w:p w14:paraId="272497F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244 </w:t>
            </w:r>
          </w:p>
        </w:tc>
      </w:tr>
      <w:tr w:rsidR="00047D0B" w:rsidRPr="00A343CD" w14:paraId="79798010"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4988EA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Paid-in capital</w:t>
            </w:r>
          </w:p>
        </w:tc>
        <w:tc>
          <w:tcPr>
            <w:tcW w:w="1210" w:type="dxa"/>
            <w:tcBorders>
              <w:top w:val="nil"/>
              <w:left w:val="nil"/>
              <w:bottom w:val="single" w:sz="4" w:space="0" w:color="auto"/>
              <w:right w:val="single" w:sz="4" w:space="0" w:color="auto"/>
            </w:tcBorders>
            <w:noWrap/>
            <w:vAlign w:val="bottom"/>
            <w:hideMark/>
          </w:tcPr>
          <w:p w14:paraId="1BA5D90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344,697 </w:t>
            </w:r>
          </w:p>
        </w:tc>
        <w:tc>
          <w:tcPr>
            <w:tcW w:w="1210" w:type="dxa"/>
            <w:tcBorders>
              <w:top w:val="nil"/>
              <w:left w:val="nil"/>
              <w:bottom w:val="single" w:sz="4" w:space="0" w:color="auto"/>
              <w:right w:val="single" w:sz="4" w:space="0" w:color="auto"/>
            </w:tcBorders>
            <w:noWrap/>
            <w:vAlign w:val="bottom"/>
            <w:hideMark/>
          </w:tcPr>
          <w:p w14:paraId="448420F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336,938 </w:t>
            </w:r>
          </w:p>
        </w:tc>
        <w:tc>
          <w:tcPr>
            <w:tcW w:w="1152" w:type="dxa"/>
            <w:tcBorders>
              <w:top w:val="nil"/>
              <w:left w:val="nil"/>
              <w:bottom w:val="single" w:sz="4" w:space="0" w:color="auto"/>
              <w:right w:val="single" w:sz="4" w:space="0" w:color="auto"/>
            </w:tcBorders>
            <w:noWrap/>
            <w:vAlign w:val="bottom"/>
            <w:hideMark/>
          </w:tcPr>
          <w:p w14:paraId="1BF240E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326,839 </w:t>
            </w:r>
          </w:p>
        </w:tc>
        <w:tc>
          <w:tcPr>
            <w:tcW w:w="1196" w:type="dxa"/>
            <w:tcBorders>
              <w:top w:val="nil"/>
              <w:left w:val="nil"/>
              <w:bottom w:val="single" w:sz="4" w:space="0" w:color="auto"/>
              <w:right w:val="single" w:sz="4" w:space="0" w:color="auto"/>
            </w:tcBorders>
            <w:noWrap/>
            <w:vAlign w:val="bottom"/>
            <w:hideMark/>
          </w:tcPr>
          <w:p w14:paraId="37B0EA8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314,094 </w:t>
            </w:r>
          </w:p>
        </w:tc>
        <w:tc>
          <w:tcPr>
            <w:tcW w:w="1198" w:type="dxa"/>
            <w:tcBorders>
              <w:top w:val="nil"/>
              <w:left w:val="nil"/>
              <w:bottom w:val="single" w:sz="4" w:space="0" w:color="auto"/>
              <w:right w:val="single" w:sz="8" w:space="0" w:color="auto"/>
            </w:tcBorders>
            <w:noWrap/>
            <w:vAlign w:val="bottom"/>
            <w:hideMark/>
          </w:tcPr>
          <w:p w14:paraId="1923477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302,084 </w:t>
            </w:r>
          </w:p>
        </w:tc>
      </w:tr>
      <w:tr w:rsidR="00047D0B" w:rsidRPr="00A343CD" w14:paraId="3E454E8B"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4532CBD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Treasury stock</w:t>
            </w:r>
          </w:p>
        </w:tc>
        <w:tc>
          <w:tcPr>
            <w:tcW w:w="1210" w:type="dxa"/>
            <w:tcBorders>
              <w:top w:val="nil"/>
              <w:left w:val="nil"/>
              <w:bottom w:val="single" w:sz="4" w:space="0" w:color="auto"/>
              <w:right w:val="single" w:sz="4" w:space="0" w:color="auto"/>
            </w:tcBorders>
            <w:noWrap/>
            <w:vAlign w:val="bottom"/>
            <w:hideMark/>
          </w:tcPr>
          <w:p w14:paraId="48C3C66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(371,930)</w:t>
            </w:r>
          </w:p>
        </w:tc>
        <w:tc>
          <w:tcPr>
            <w:tcW w:w="1210" w:type="dxa"/>
            <w:tcBorders>
              <w:top w:val="nil"/>
              <w:left w:val="nil"/>
              <w:bottom w:val="single" w:sz="4" w:space="0" w:color="auto"/>
              <w:right w:val="single" w:sz="4" w:space="0" w:color="auto"/>
            </w:tcBorders>
            <w:noWrap/>
            <w:vAlign w:val="bottom"/>
            <w:hideMark/>
          </w:tcPr>
          <w:p w14:paraId="199F7DE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(369,973)</w:t>
            </w:r>
          </w:p>
        </w:tc>
        <w:tc>
          <w:tcPr>
            <w:tcW w:w="1152" w:type="dxa"/>
            <w:tcBorders>
              <w:top w:val="nil"/>
              <w:left w:val="nil"/>
              <w:bottom w:val="single" w:sz="4" w:space="0" w:color="auto"/>
              <w:right w:val="single" w:sz="4" w:space="0" w:color="auto"/>
            </w:tcBorders>
            <w:noWrap/>
            <w:vAlign w:val="bottom"/>
            <w:hideMark/>
          </w:tcPr>
          <w:p w14:paraId="16AE56B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(368,194)</w:t>
            </w:r>
          </w:p>
        </w:tc>
        <w:tc>
          <w:tcPr>
            <w:tcW w:w="1196" w:type="dxa"/>
            <w:tcBorders>
              <w:top w:val="nil"/>
              <w:left w:val="nil"/>
              <w:bottom w:val="single" w:sz="4" w:space="0" w:color="auto"/>
              <w:right w:val="single" w:sz="4" w:space="0" w:color="auto"/>
            </w:tcBorders>
            <w:noWrap/>
            <w:vAlign w:val="bottom"/>
            <w:hideMark/>
          </w:tcPr>
          <w:p w14:paraId="3940B89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(355,159)</w:t>
            </w:r>
          </w:p>
        </w:tc>
        <w:tc>
          <w:tcPr>
            <w:tcW w:w="1198" w:type="dxa"/>
            <w:tcBorders>
              <w:top w:val="nil"/>
              <w:left w:val="nil"/>
              <w:bottom w:val="single" w:sz="4" w:space="0" w:color="auto"/>
              <w:right w:val="single" w:sz="8" w:space="0" w:color="auto"/>
            </w:tcBorders>
            <w:noWrap/>
            <w:vAlign w:val="bottom"/>
            <w:hideMark/>
          </w:tcPr>
          <w:p w14:paraId="02F64F1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(295,495)</w:t>
            </w:r>
          </w:p>
        </w:tc>
      </w:tr>
      <w:tr w:rsidR="00047D0B" w:rsidRPr="00A343CD" w14:paraId="2FD41C5A"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03E309E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Accumulated other comprehensive income (loss)</w:t>
            </w:r>
          </w:p>
        </w:tc>
        <w:tc>
          <w:tcPr>
            <w:tcW w:w="1210" w:type="dxa"/>
            <w:tcBorders>
              <w:top w:val="nil"/>
              <w:left w:val="nil"/>
              <w:bottom w:val="single" w:sz="4" w:space="0" w:color="auto"/>
              <w:right w:val="single" w:sz="4" w:space="0" w:color="auto"/>
            </w:tcBorders>
            <w:noWrap/>
            <w:vAlign w:val="bottom"/>
            <w:hideMark/>
          </w:tcPr>
          <w:p w14:paraId="37FEF65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(28,350)</w:t>
            </w:r>
          </w:p>
        </w:tc>
        <w:tc>
          <w:tcPr>
            <w:tcW w:w="1210" w:type="dxa"/>
            <w:tcBorders>
              <w:top w:val="nil"/>
              <w:left w:val="nil"/>
              <w:bottom w:val="single" w:sz="4" w:space="0" w:color="auto"/>
              <w:right w:val="single" w:sz="4" w:space="0" w:color="auto"/>
            </w:tcBorders>
            <w:noWrap/>
            <w:vAlign w:val="bottom"/>
            <w:hideMark/>
          </w:tcPr>
          <w:p w14:paraId="4B3D869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(20,758)</w:t>
            </w:r>
          </w:p>
        </w:tc>
        <w:tc>
          <w:tcPr>
            <w:tcW w:w="1152" w:type="dxa"/>
            <w:tcBorders>
              <w:top w:val="nil"/>
              <w:left w:val="nil"/>
              <w:bottom w:val="single" w:sz="4" w:space="0" w:color="auto"/>
              <w:right w:val="single" w:sz="4" w:space="0" w:color="auto"/>
            </w:tcBorders>
            <w:noWrap/>
            <w:vAlign w:val="bottom"/>
            <w:hideMark/>
          </w:tcPr>
          <w:p w14:paraId="1261ACB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(21,187)</w:t>
            </w:r>
          </w:p>
        </w:tc>
        <w:tc>
          <w:tcPr>
            <w:tcW w:w="1196" w:type="dxa"/>
            <w:tcBorders>
              <w:top w:val="nil"/>
              <w:left w:val="nil"/>
              <w:bottom w:val="single" w:sz="4" w:space="0" w:color="auto"/>
              <w:right w:val="single" w:sz="4" w:space="0" w:color="auto"/>
            </w:tcBorders>
            <w:noWrap/>
            <w:vAlign w:val="bottom"/>
            <w:hideMark/>
          </w:tcPr>
          <w:p w14:paraId="482BE27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(13,524)</w:t>
            </w:r>
          </w:p>
        </w:tc>
        <w:tc>
          <w:tcPr>
            <w:tcW w:w="1198" w:type="dxa"/>
            <w:tcBorders>
              <w:top w:val="nil"/>
              <w:left w:val="nil"/>
              <w:bottom w:val="single" w:sz="4" w:space="0" w:color="auto"/>
              <w:right w:val="single" w:sz="8" w:space="0" w:color="auto"/>
            </w:tcBorders>
            <w:noWrap/>
            <w:vAlign w:val="bottom"/>
            <w:hideMark/>
          </w:tcPr>
          <w:p w14:paraId="569BBDF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(18,522)</w:t>
            </w:r>
          </w:p>
        </w:tc>
      </w:tr>
      <w:tr w:rsidR="00047D0B" w:rsidRPr="00A343CD" w14:paraId="57388EAA"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7507E2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Retained earnings</w:t>
            </w:r>
          </w:p>
        </w:tc>
        <w:tc>
          <w:tcPr>
            <w:tcW w:w="1210" w:type="dxa"/>
            <w:tcBorders>
              <w:top w:val="nil"/>
              <w:left w:val="nil"/>
              <w:bottom w:val="single" w:sz="4" w:space="0" w:color="auto"/>
              <w:right w:val="single" w:sz="4" w:space="0" w:color="auto"/>
            </w:tcBorders>
            <w:noWrap/>
            <w:vAlign w:val="bottom"/>
            <w:hideMark/>
          </w:tcPr>
          <w:p w14:paraId="6605DAF1"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208,431 </w:t>
            </w:r>
          </w:p>
        </w:tc>
        <w:tc>
          <w:tcPr>
            <w:tcW w:w="1210" w:type="dxa"/>
            <w:tcBorders>
              <w:top w:val="nil"/>
              <w:left w:val="nil"/>
              <w:bottom w:val="single" w:sz="4" w:space="0" w:color="auto"/>
              <w:right w:val="single" w:sz="4" w:space="0" w:color="auto"/>
            </w:tcBorders>
            <w:noWrap/>
            <w:vAlign w:val="bottom"/>
            <w:hideMark/>
          </w:tcPr>
          <w:p w14:paraId="09AD31C9"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232,460 </w:t>
            </w:r>
          </w:p>
        </w:tc>
        <w:tc>
          <w:tcPr>
            <w:tcW w:w="1152" w:type="dxa"/>
            <w:tcBorders>
              <w:top w:val="nil"/>
              <w:left w:val="nil"/>
              <w:bottom w:val="single" w:sz="4" w:space="0" w:color="auto"/>
              <w:right w:val="single" w:sz="4" w:space="0" w:color="auto"/>
            </w:tcBorders>
            <w:noWrap/>
            <w:vAlign w:val="bottom"/>
            <w:hideMark/>
          </w:tcPr>
          <w:p w14:paraId="545BA484"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330,698 </w:t>
            </w:r>
          </w:p>
        </w:tc>
        <w:tc>
          <w:tcPr>
            <w:tcW w:w="1196" w:type="dxa"/>
            <w:tcBorders>
              <w:top w:val="nil"/>
              <w:left w:val="nil"/>
              <w:bottom w:val="single" w:sz="4" w:space="0" w:color="auto"/>
              <w:right w:val="single" w:sz="4" w:space="0" w:color="auto"/>
            </w:tcBorders>
            <w:noWrap/>
            <w:vAlign w:val="bottom"/>
            <w:hideMark/>
          </w:tcPr>
          <w:p w14:paraId="5AC33424"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330,291 </w:t>
            </w:r>
          </w:p>
        </w:tc>
        <w:tc>
          <w:tcPr>
            <w:tcW w:w="1198" w:type="dxa"/>
            <w:tcBorders>
              <w:top w:val="nil"/>
              <w:left w:val="nil"/>
              <w:bottom w:val="single" w:sz="4" w:space="0" w:color="auto"/>
              <w:right w:val="single" w:sz="8" w:space="0" w:color="auto"/>
            </w:tcBorders>
            <w:noWrap/>
            <w:vAlign w:val="bottom"/>
            <w:hideMark/>
          </w:tcPr>
          <w:p w14:paraId="0DB44144"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324,990 </w:t>
            </w:r>
          </w:p>
        </w:tc>
      </w:tr>
      <w:tr w:rsidR="00047D0B" w:rsidRPr="00A343CD" w14:paraId="2D758E6A"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2FC5FC1B"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Total shareholders' equity</w:t>
            </w:r>
          </w:p>
        </w:tc>
        <w:tc>
          <w:tcPr>
            <w:tcW w:w="1210" w:type="dxa"/>
            <w:tcBorders>
              <w:top w:val="nil"/>
              <w:left w:val="nil"/>
              <w:bottom w:val="single" w:sz="4" w:space="0" w:color="auto"/>
              <w:right w:val="single" w:sz="4" w:space="0" w:color="auto"/>
            </w:tcBorders>
            <w:noWrap/>
            <w:vAlign w:val="bottom"/>
            <w:hideMark/>
          </w:tcPr>
          <w:p w14:paraId="5965644F"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153,105 </w:t>
            </w:r>
          </w:p>
        </w:tc>
        <w:tc>
          <w:tcPr>
            <w:tcW w:w="1210" w:type="dxa"/>
            <w:tcBorders>
              <w:top w:val="nil"/>
              <w:left w:val="nil"/>
              <w:bottom w:val="single" w:sz="4" w:space="0" w:color="auto"/>
              <w:right w:val="single" w:sz="4" w:space="0" w:color="auto"/>
            </w:tcBorders>
            <w:noWrap/>
            <w:vAlign w:val="bottom"/>
            <w:hideMark/>
          </w:tcPr>
          <w:p w14:paraId="21C61600"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178,920 </w:t>
            </w:r>
          </w:p>
        </w:tc>
        <w:tc>
          <w:tcPr>
            <w:tcW w:w="1152" w:type="dxa"/>
            <w:tcBorders>
              <w:top w:val="nil"/>
              <w:left w:val="nil"/>
              <w:bottom w:val="single" w:sz="4" w:space="0" w:color="auto"/>
              <w:right w:val="single" w:sz="4" w:space="0" w:color="auto"/>
            </w:tcBorders>
            <w:noWrap/>
            <w:vAlign w:val="bottom"/>
            <w:hideMark/>
          </w:tcPr>
          <w:p w14:paraId="4746B5AC"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268,406 </w:t>
            </w:r>
          </w:p>
        </w:tc>
        <w:tc>
          <w:tcPr>
            <w:tcW w:w="1196" w:type="dxa"/>
            <w:tcBorders>
              <w:top w:val="nil"/>
              <w:left w:val="nil"/>
              <w:bottom w:val="single" w:sz="4" w:space="0" w:color="auto"/>
              <w:right w:val="single" w:sz="4" w:space="0" w:color="auto"/>
            </w:tcBorders>
            <w:noWrap/>
            <w:vAlign w:val="bottom"/>
            <w:hideMark/>
          </w:tcPr>
          <w:p w14:paraId="7EB45FBF"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275,949 </w:t>
            </w:r>
          </w:p>
        </w:tc>
        <w:tc>
          <w:tcPr>
            <w:tcW w:w="1198" w:type="dxa"/>
            <w:tcBorders>
              <w:top w:val="nil"/>
              <w:left w:val="nil"/>
              <w:bottom w:val="single" w:sz="4" w:space="0" w:color="auto"/>
              <w:right w:val="single" w:sz="8" w:space="0" w:color="auto"/>
            </w:tcBorders>
            <w:noWrap/>
            <w:vAlign w:val="bottom"/>
            <w:hideMark/>
          </w:tcPr>
          <w:p w14:paraId="68CA218A"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313,301 </w:t>
            </w:r>
          </w:p>
        </w:tc>
      </w:tr>
      <w:tr w:rsidR="00047D0B" w:rsidRPr="00A343CD" w14:paraId="161A7309"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11E545D6"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Total liabilities and equity</w:t>
            </w:r>
          </w:p>
        </w:tc>
        <w:tc>
          <w:tcPr>
            <w:tcW w:w="1210" w:type="dxa"/>
            <w:tcBorders>
              <w:top w:val="nil"/>
              <w:left w:val="nil"/>
              <w:bottom w:val="single" w:sz="4" w:space="0" w:color="auto"/>
              <w:right w:val="single" w:sz="4" w:space="0" w:color="auto"/>
            </w:tcBorders>
            <w:noWrap/>
            <w:vAlign w:val="bottom"/>
            <w:hideMark/>
          </w:tcPr>
          <w:p w14:paraId="23B4E79A" w14:textId="77777777" w:rsidR="00047D0B" w:rsidRPr="00A343CD" w:rsidRDefault="00047D0B" w:rsidP="00C563B5">
            <w:pPr>
              <w:spacing w:after="0" w:line="276" w:lineRule="auto"/>
              <w:jc w:val="right"/>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 xml:space="preserve">         321,193 </w:t>
            </w:r>
          </w:p>
        </w:tc>
        <w:tc>
          <w:tcPr>
            <w:tcW w:w="1210" w:type="dxa"/>
            <w:tcBorders>
              <w:top w:val="nil"/>
              <w:left w:val="nil"/>
              <w:bottom w:val="single" w:sz="4" w:space="0" w:color="auto"/>
              <w:right w:val="single" w:sz="4" w:space="0" w:color="auto"/>
            </w:tcBorders>
            <w:noWrap/>
            <w:vAlign w:val="bottom"/>
            <w:hideMark/>
          </w:tcPr>
          <w:p w14:paraId="6E25D602" w14:textId="77777777" w:rsidR="00047D0B" w:rsidRPr="00A343CD" w:rsidRDefault="00047D0B" w:rsidP="00C563B5">
            <w:pPr>
              <w:spacing w:after="0" w:line="276" w:lineRule="auto"/>
              <w:jc w:val="right"/>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 xml:space="preserve">         354,039 </w:t>
            </w:r>
          </w:p>
        </w:tc>
        <w:tc>
          <w:tcPr>
            <w:tcW w:w="1152" w:type="dxa"/>
            <w:tcBorders>
              <w:top w:val="nil"/>
              <w:left w:val="nil"/>
              <w:bottom w:val="single" w:sz="4" w:space="0" w:color="auto"/>
              <w:right w:val="single" w:sz="4" w:space="0" w:color="auto"/>
            </w:tcBorders>
            <w:noWrap/>
            <w:vAlign w:val="bottom"/>
            <w:hideMark/>
          </w:tcPr>
          <w:p w14:paraId="3C900D7A" w14:textId="77777777" w:rsidR="00047D0B" w:rsidRPr="00A343CD" w:rsidRDefault="00047D0B" w:rsidP="00C563B5">
            <w:pPr>
              <w:spacing w:after="0" w:line="276" w:lineRule="auto"/>
              <w:jc w:val="right"/>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 xml:space="preserve">         498,578 </w:t>
            </w:r>
          </w:p>
        </w:tc>
        <w:tc>
          <w:tcPr>
            <w:tcW w:w="1196" w:type="dxa"/>
            <w:tcBorders>
              <w:top w:val="nil"/>
              <w:left w:val="nil"/>
              <w:bottom w:val="single" w:sz="4" w:space="0" w:color="auto"/>
              <w:right w:val="single" w:sz="4" w:space="0" w:color="auto"/>
            </w:tcBorders>
            <w:noWrap/>
            <w:vAlign w:val="bottom"/>
            <w:hideMark/>
          </w:tcPr>
          <w:p w14:paraId="7D61D9CF" w14:textId="77777777" w:rsidR="00047D0B" w:rsidRPr="00A343CD" w:rsidRDefault="00047D0B" w:rsidP="00C563B5">
            <w:pPr>
              <w:spacing w:after="0" w:line="276" w:lineRule="auto"/>
              <w:jc w:val="right"/>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 xml:space="preserve">         506,611 </w:t>
            </w:r>
          </w:p>
        </w:tc>
        <w:tc>
          <w:tcPr>
            <w:tcW w:w="1198" w:type="dxa"/>
            <w:tcBorders>
              <w:top w:val="nil"/>
              <w:left w:val="nil"/>
              <w:bottom w:val="single" w:sz="4" w:space="0" w:color="auto"/>
              <w:right w:val="single" w:sz="8" w:space="0" w:color="auto"/>
            </w:tcBorders>
            <w:noWrap/>
            <w:vAlign w:val="bottom"/>
            <w:hideMark/>
          </w:tcPr>
          <w:p w14:paraId="2DEDC7E5" w14:textId="77777777" w:rsidR="00047D0B" w:rsidRPr="00A343CD" w:rsidRDefault="00047D0B" w:rsidP="00C563B5">
            <w:pPr>
              <w:spacing w:after="0" w:line="276" w:lineRule="auto"/>
              <w:jc w:val="right"/>
              <w:rPr>
                <w:rFonts w:ascii="Arial" w:eastAsia="Times New Roman" w:hAnsi="Arial" w:cs="Arial"/>
                <w:b/>
                <w:bCs/>
                <w:color w:val="000000"/>
                <w:szCs w:val="24"/>
                <w:u w:val="double"/>
                <w:lang w:bidi="bn-BD"/>
              </w:rPr>
            </w:pPr>
            <w:r w:rsidRPr="00A343CD">
              <w:rPr>
                <w:rFonts w:ascii="Arial" w:eastAsia="Times New Roman" w:hAnsi="Arial" w:cs="Arial"/>
                <w:b/>
                <w:bCs/>
                <w:color w:val="000000"/>
                <w:szCs w:val="24"/>
                <w:u w:val="double"/>
                <w:lang w:bidi="bn-BD"/>
              </w:rPr>
              <w:t xml:space="preserve">             506,463 </w:t>
            </w:r>
          </w:p>
        </w:tc>
      </w:tr>
      <w:tr w:rsidR="00047D0B" w:rsidRPr="00A343CD" w14:paraId="66154F23"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E8E8E8"/>
            <w:noWrap/>
            <w:vAlign w:val="bottom"/>
            <w:hideMark/>
          </w:tcPr>
          <w:p w14:paraId="0FBBE7C1" w14:textId="77777777" w:rsidR="00047D0B" w:rsidRPr="00A343CD" w:rsidRDefault="00047D0B" w:rsidP="00C563B5">
            <w:pPr>
              <w:spacing w:after="0" w:line="276" w:lineRule="auto"/>
              <w:rPr>
                <w:rFonts w:ascii="Arial" w:eastAsia="Times New Roman" w:hAnsi="Arial" w:cs="Arial"/>
                <w:color w:val="FF0000"/>
                <w:szCs w:val="24"/>
                <w:lang w:bidi="bn-BD"/>
              </w:rPr>
            </w:pPr>
            <w:r w:rsidRPr="00A343CD">
              <w:rPr>
                <w:rFonts w:ascii="Arial" w:eastAsia="Times New Roman" w:hAnsi="Arial" w:cs="Arial"/>
                <w:color w:val="FF0000"/>
                <w:szCs w:val="24"/>
                <w:lang w:bidi="bn-BD"/>
              </w:rPr>
              <w:t>Difference (Total Assets-Total Liabilities and Equity)</w:t>
            </w:r>
          </w:p>
        </w:tc>
        <w:tc>
          <w:tcPr>
            <w:tcW w:w="1210" w:type="dxa"/>
            <w:tcBorders>
              <w:top w:val="nil"/>
              <w:left w:val="nil"/>
              <w:bottom w:val="single" w:sz="4" w:space="0" w:color="auto"/>
              <w:right w:val="single" w:sz="4" w:space="0" w:color="auto"/>
            </w:tcBorders>
            <w:shd w:val="clear" w:color="000000" w:fill="E8E8E8"/>
            <w:noWrap/>
            <w:vAlign w:val="bottom"/>
            <w:hideMark/>
          </w:tcPr>
          <w:p w14:paraId="36B69588" w14:textId="77777777" w:rsidR="00047D0B" w:rsidRPr="00A343CD" w:rsidRDefault="00047D0B" w:rsidP="00C563B5">
            <w:pPr>
              <w:spacing w:after="0" w:line="276" w:lineRule="auto"/>
              <w:rPr>
                <w:rFonts w:ascii="Arial" w:eastAsia="Times New Roman" w:hAnsi="Arial" w:cs="Arial"/>
                <w:color w:val="FF0000"/>
                <w:szCs w:val="24"/>
                <w:lang w:bidi="bn-BD"/>
              </w:rPr>
            </w:pPr>
            <w:r w:rsidRPr="00A343CD">
              <w:rPr>
                <w:rFonts w:ascii="Arial" w:eastAsia="Times New Roman" w:hAnsi="Arial" w:cs="Arial"/>
                <w:color w:val="FF0000"/>
                <w:szCs w:val="24"/>
                <w:lang w:bidi="bn-BD"/>
              </w:rPr>
              <w:t xml:space="preserve">       (251,038)</w:t>
            </w:r>
          </w:p>
        </w:tc>
        <w:tc>
          <w:tcPr>
            <w:tcW w:w="1210" w:type="dxa"/>
            <w:tcBorders>
              <w:top w:val="nil"/>
              <w:left w:val="nil"/>
              <w:bottom w:val="single" w:sz="4" w:space="0" w:color="auto"/>
              <w:right w:val="single" w:sz="4" w:space="0" w:color="auto"/>
            </w:tcBorders>
            <w:shd w:val="clear" w:color="000000" w:fill="E8E8E8"/>
            <w:noWrap/>
            <w:vAlign w:val="bottom"/>
            <w:hideMark/>
          </w:tcPr>
          <w:p w14:paraId="159341A6" w14:textId="77777777" w:rsidR="00047D0B" w:rsidRPr="00A343CD" w:rsidRDefault="00047D0B" w:rsidP="00C563B5">
            <w:pPr>
              <w:spacing w:after="0" w:line="276" w:lineRule="auto"/>
              <w:rPr>
                <w:rFonts w:ascii="Arial" w:eastAsia="Times New Roman" w:hAnsi="Arial" w:cs="Arial"/>
                <w:color w:val="FF0000"/>
                <w:szCs w:val="24"/>
                <w:lang w:bidi="bn-BD"/>
              </w:rPr>
            </w:pPr>
            <w:r w:rsidRPr="00A343CD">
              <w:rPr>
                <w:rFonts w:ascii="Arial" w:eastAsia="Times New Roman" w:hAnsi="Arial" w:cs="Arial"/>
                <w:color w:val="FF0000"/>
                <w:szCs w:val="24"/>
                <w:lang w:bidi="bn-BD"/>
              </w:rPr>
              <w:t xml:space="preserve">       (267,067)</w:t>
            </w:r>
          </w:p>
        </w:tc>
        <w:tc>
          <w:tcPr>
            <w:tcW w:w="1152" w:type="dxa"/>
            <w:tcBorders>
              <w:top w:val="nil"/>
              <w:left w:val="nil"/>
              <w:bottom w:val="single" w:sz="4" w:space="0" w:color="auto"/>
              <w:right w:val="single" w:sz="4" w:space="0" w:color="auto"/>
            </w:tcBorders>
            <w:shd w:val="clear" w:color="000000" w:fill="E8E8E8"/>
            <w:noWrap/>
            <w:vAlign w:val="bottom"/>
            <w:hideMark/>
          </w:tcPr>
          <w:p w14:paraId="4D4A3C78" w14:textId="77777777" w:rsidR="00047D0B" w:rsidRPr="00A343CD" w:rsidRDefault="00047D0B" w:rsidP="00C563B5">
            <w:pPr>
              <w:spacing w:after="0" w:line="276" w:lineRule="auto"/>
              <w:rPr>
                <w:rFonts w:ascii="Arial" w:eastAsia="Times New Roman" w:hAnsi="Arial" w:cs="Arial"/>
                <w:color w:val="FF0000"/>
                <w:szCs w:val="24"/>
                <w:lang w:bidi="bn-BD"/>
              </w:rPr>
            </w:pPr>
            <w:r w:rsidRPr="00A343CD">
              <w:rPr>
                <w:rFonts w:ascii="Arial" w:eastAsia="Times New Roman" w:hAnsi="Arial" w:cs="Arial"/>
                <w:color w:val="FF0000"/>
                <w:szCs w:val="24"/>
                <w:lang w:bidi="bn-BD"/>
              </w:rPr>
              <w:t xml:space="preserve">       (294,276)</w:t>
            </w:r>
          </w:p>
        </w:tc>
        <w:tc>
          <w:tcPr>
            <w:tcW w:w="1196" w:type="dxa"/>
            <w:tcBorders>
              <w:top w:val="nil"/>
              <w:left w:val="nil"/>
              <w:bottom w:val="single" w:sz="4" w:space="0" w:color="auto"/>
              <w:right w:val="single" w:sz="4" w:space="0" w:color="auto"/>
            </w:tcBorders>
            <w:shd w:val="clear" w:color="000000" w:fill="E8E8E8"/>
            <w:noWrap/>
            <w:vAlign w:val="bottom"/>
            <w:hideMark/>
          </w:tcPr>
          <w:p w14:paraId="33FEA628" w14:textId="77777777" w:rsidR="00047D0B" w:rsidRPr="00A343CD" w:rsidRDefault="00047D0B" w:rsidP="00C563B5">
            <w:pPr>
              <w:spacing w:after="0" w:line="276" w:lineRule="auto"/>
              <w:rPr>
                <w:rFonts w:ascii="Arial" w:eastAsia="Times New Roman" w:hAnsi="Arial" w:cs="Arial"/>
                <w:color w:val="FF0000"/>
                <w:szCs w:val="24"/>
                <w:lang w:bidi="bn-BD"/>
              </w:rPr>
            </w:pPr>
            <w:r w:rsidRPr="00A343CD">
              <w:rPr>
                <w:rFonts w:ascii="Arial" w:eastAsia="Times New Roman" w:hAnsi="Arial" w:cs="Arial"/>
                <w:color w:val="FF0000"/>
                <w:szCs w:val="24"/>
                <w:lang w:bidi="bn-BD"/>
              </w:rPr>
              <w:t xml:space="preserve">       (291,514)</w:t>
            </w:r>
          </w:p>
        </w:tc>
        <w:tc>
          <w:tcPr>
            <w:tcW w:w="1198" w:type="dxa"/>
            <w:tcBorders>
              <w:top w:val="nil"/>
              <w:left w:val="nil"/>
              <w:bottom w:val="single" w:sz="4" w:space="0" w:color="auto"/>
              <w:right w:val="single" w:sz="8" w:space="0" w:color="auto"/>
            </w:tcBorders>
            <w:shd w:val="clear" w:color="000000" w:fill="E8E8E8"/>
            <w:noWrap/>
            <w:vAlign w:val="bottom"/>
            <w:hideMark/>
          </w:tcPr>
          <w:p w14:paraId="4B3908D9" w14:textId="77777777" w:rsidR="00047D0B" w:rsidRPr="00A343CD" w:rsidRDefault="00047D0B" w:rsidP="00C563B5">
            <w:pPr>
              <w:spacing w:after="0" w:line="276" w:lineRule="auto"/>
              <w:rPr>
                <w:rFonts w:ascii="Arial" w:eastAsia="Times New Roman" w:hAnsi="Arial" w:cs="Arial"/>
                <w:color w:val="FF0000"/>
                <w:szCs w:val="24"/>
                <w:lang w:bidi="bn-BD"/>
              </w:rPr>
            </w:pPr>
            <w:r w:rsidRPr="00A343CD">
              <w:rPr>
                <w:rFonts w:ascii="Arial" w:eastAsia="Times New Roman" w:hAnsi="Arial" w:cs="Arial"/>
                <w:color w:val="FF0000"/>
                <w:szCs w:val="24"/>
                <w:lang w:bidi="bn-BD"/>
              </w:rPr>
              <w:t xml:space="preserve">           (286,885)</w:t>
            </w:r>
          </w:p>
        </w:tc>
      </w:tr>
      <w:tr w:rsidR="00047D0B" w:rsidRPr="00A343CD" w14:paraId="51B5B207" w14:textId="77777777" w:rsidTr="00C563B5">
        <w:trPr>
          <w:trHeight w:val="20"/>
        </w:trPr>
        <w:tc>
          <w:tcPr>
            <w:tcW w:w="3341" w:type="dxa"/>
            <w:tcBorders>
              <w:top w:val="nil"/>
              <w:left w:val="single" w:sz="8" w:space="0" w:color="auto"/>
              <w:bottom w:val="single" w:sz="8" w:space="0" w:color="auto"/>
              <w:right w:val="single" w:sz="4" w:space="0" w:color="auto"/>
            </w:tcBorders>
            <w:shd w:val="clear" w:color="000000" w:fill="FBE2D5"/>
            <w:noWrap/>
            <w:vAlign w:val="bottom"/>
            <w:hideMark/>
          </w:tcPr>
          <w:p w14:paraId="5A89D78B" w14:textId="77777777" w:rsidR="00047D0B" w:rsidRPr="00A343CD" w:rsidRDefault="00047D0B" w:rsidP="00C563B5">
            <w:pPr>
              <w:spacing w:after="0" w:line="276" w:lineRule="auto"/>
              <w:jc w:val="right"/>
              <w:rPr>
                <w:rFonts w:ascii="Arial" w:eastAsia="Times New Roman" w:hAnsi="Arial" w:cs="Arial"/>
                <w:szCs w:val="24"/>
                <w:lang w:bidi="bn-BD"/>
              </w:rPr>
            </w:pPr>
            <w:r w:rsidRPr="00A343CD">
              <w:rPr>
                <w:rFonts w:ascii="Arial" w:eastAsia="Times New Roman" w:hAnsi="Arial" w:cs="Arial"/>
                <w:szCs w:val="24"/>
                <w:lang w:bidi="bn-BD"/>
              </w:rPr>
              <w:t>Total liabilities and equity Given Value</w:t>
            </w:r>
          </w:p>
        </w:tc>
        <w:tc>
          <w:tcPr>
            <w:tcW w:w="1210" w:type="dxa"/>
            <w:tcBorders>
              <w:top w:val="nil"/>
              <w:left w:val="nil"/>
              <w:bottom w:val="single" w:sz="8" w:space="0" w:color="auto"/>
              <w:right w:val="single" w:sz="4" w:space="0" w:color="auto"/>
            </w:tcBorders>
            <w:shd w:val="clear" w:color="000000" w:fill="FBE2D5"/>
            <w:noWrap/>
            <w:vAlign w:val="bottom"/>
            <w:hideMark/>
          </w:tcPr>
          <w:p w14:paraId="751EC390"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xml:space="preserve">         323,354 </w:t>
            </w:r>
          </w:p>
        </w:tc>
        <w:tc>
          <w:tcPr>
            <w:tcW w:w="1210" w:type="dxa"/>
            <w:tcBorders>
              <w:top w:val="nil"/>
              <w:left w:val="nil"/>
              <w:bottom w:val="single" w:sz="8" w:space="0" w:color="auto"/>
              <w:right w:val="single" w:sz="4" w:space="0" w:color="auto"/>
            </w:tcBorders>
            <w:shd w:val="clear" w:color="000000" w:fill="FBE2D5"/>
            <w:noWrap/>
            <w:vAlign w:val="bottom"/>
            <w:hideMark/>
          </w:tcPr>
          <w:p w14:paraId="384163DF"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xml:space="preserve">         355,872 </w:t>
            </w:r>
          </w:p>
        </w:tc>
        <w:tc>
          <w:tcPr>
            <w:tcW w:w="1152" w:type="dxa"/>
            <w:tcBorders>
              <w:top w:val="nil"/>
              <w:left w:val="nil"/>
              <w:bottom w:val="single" w:sz="8" w:space="0" w:color="auto"/>
              <w:right w:val="single" w:sz="4" w:space="0" w:color="auto"/>
            </w:tcBorders>
            <w:shd w:val="clear" w:color="000000" w:fill="FBE2D5"/>
            <w:noWrap/>
            <w:vAlign w:val="bottom"/>
            <w:hideMark/>
          </w:tcPr>
          <w:p w14:paraId="3FA145E4"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xml:space="preserve">         504,163 </w:t>
            </w:r>
          </w:p>
        </w:tc>
        <w:tc>
          <w:tcPr>
            <w:tcW w:w="1196" w:type="dxa"/>
            <w:tcBorders>
              <w:top w:val="nil"/>
              <w:left w:val="nil"/>
              <w:bottom w:val="single" w:sz="8" w:space="0" w:color="auto"/>
              <w:right w:val="single" w:sz="4" w:space="0" w:color="auto"/>
            </w:tcBorders>
            <w:shd w:val="clear" w:color="000000" w:fill="FBE2D5"/>
            <w:noWrap/>
            <w:vAlign w:val="bottom"/>
            <w:hideMark/>
          </w:tcPr>
          <w:p w14:paraId="29031A8A"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xml:space="preserve">         510,348 </w:t>
            </w:r>
          </w:p>
        </w:tc>
        <w:tc>
          <w:tcPr>
            <w:tcW w:w="1198" w:type="dxa"/>
            <w:tcBorders>
              <w:top w:val="nil"/>
              <w:left w:val="nil"/>
              <w:bottom w:val="single" w:sz="8" w:space="0" w:color="auto"/>
              <w:right w:val="single" w:sz="8" w:space="0" w:color="auto"/>
            </w:tcBorders>
            <w:shd w:val="clear" w:color="000000" w:fill="FBE2D5"/>
            <w:noWrap/>
            <w:vAlign w:val="bottom"/>
            <w:hideMark/>
          </w:tcPr>
          <w:p w14:paraId="771DEA62" w14:textId="77777777" w:rsidR="00047D0B" w:rsidRPr="00A343CD" w:rsidRDefault="00047D0B" w:rsidP="00C563B5">
            <w:pPr>
              <w:spacing w:after="0" w:line="276" w:lineRule="auto"/>
              <w:rPr>
                <w:rFonts w:ascii="Arial" w:eastAsia="Times New Roman" w:hAnsi="Arial" w:cs="Arial"/>
                <w:szCs w:val="24"/>
                <w:lang w:bidi="bn-BD"/>
              </w:rPr>
            </w:pPr>
            <w:r w:rsidRPr="00A343CD">
              <w:rPr>
                <w:rFonts w:ascii="Arial" w:eastAsia="Times New Roman" w:hAnsi="Arial" w:cs="Arial"/>
                <w:szCs w:val="24"/>
                <w:lang w:bidi="bn-BD"/>
              </w:rPr>
              <w:t xml:space="preserve">             510,290 </w:t>
            </w:r>
          </w:p>
        </w:tc>
      </w:tr>
    </w:tbl>
    <w:p w14:paraId="427B9D45" w14:textId="77777777" w:rsidR="00047D0B" w:rsidRPr="00A343CD" w:rsidRDefault="00047D0B" w:rsidP="00047D0B">
      <w:pPr>
        <w:spacing w:after="0" w:line="276" w:lineRule="auto"/>
        <w:rPr>
          <w:rFonts w:ascii="Arial" w:hAnsi="Arial" w:cs="Arial"/>
        </w:rPr>
      </w:pPr>
    </w:p>
    <w:p w14:paraId="1B4D3B08" w14:textId="77777777" w:rsidR="00047D0B" w:rsidRPr="00A343CD" w:rsidRDefault="00047D0B" w:rsidP="00047D0B">
      <w:pPr>
        <w:spacing w:after="0" w:line="276" w:lineRule="auto"/>
        <w:rPr>
          <w:rFonts w:ascii="Arial" w:hAnsi="Arial" w:cs="Arial"/>
        </w:rPr>
      </w:pPr>
    </w:p>
    <w:p w14:paraId="7CDE6903" w14:textId="77777777" w:rsidR="00047D0B" w:rsidRPr="00A343CD" w:rsidRDefault="00047D0B" w:rsidP="00047D0B">
      <w:pPr>
        <w:spacing w:after="0" w:line="276" w:lineRule="auto"/>
        <w:rPr>
          <w:rFonts w:ascii="Arial" w:hAnsi="Arial" w:cs="Arial"/>
        </w:rPr>
      </w:pPr>
    </w:p>
    <w:p w14:paraId="7B6F8063" w14:textId="77777777" w:rsidR="00047D0B" w:rsidRPr="00A343CD" w:rsidRDefault="00047D0B" w:rsidP="00047D0B">
      <w:pPr>
        <w:spacing w:after="0" w:line="276" w:lineRule="auto"/>
        <w:rPr>
          <w:rFonts w:ascii="Arial" w:hAnsi="Arial" w:cs="Arial"/>
        </w:rPr>
      </w:pPr>
    </w:p>
    <w:p w14:paraId="7F9D502B" w14:textId="77777777" w:rsidR="00047D0B" w:rsidRPr="00A343CD" w:rsidRDefault="00047D0B" w:rsidP="00047D0B">
      <w:pPr>
        <w:spacing w:after="0" w:line="276" w:lineRule="auto"/>
        <w:rPr>
          <w:rFonts w:ascii="Arial" w:hAnsi="Arial" w:cs="Arial"/>
        </w:rPr>
      </w:pPr>
    </w:p>
    <w:tbl>
      <w:tblPr>
        <w:tblW w:w="9583" w:type="dxa"/>
        <w:tblLook w:val="04A0" w:firstRow="1" w:lastRow="0" w:firstColumn="1" w:lastColumn="0" w:noHBand="0" w:noVBand="1"/>
      </w:tblPr>
      <w:tblGrid>
        <w:gridCol w:w="3500"/>
        <w:gridCol w:w="1244"/>
        <w:gridCol w:w="1268"/>
        <w:gridCol w:w="1268"/>
        <w:gridCol w:w="1110"/>
        <w:gridCol w:w="1270"/>
      </w:tblGrid>
      <w:tr w:rsidR="00047D0B" w:rsidRPr="00A343CD" w14:paraId="5C11BC54" w14:textId="77777777" w:rsidTr="00C563B5">
        <w:trPr>
          <w:trHeight w:val="383"/>
        </w:trPr>
        <w:tc>
          <w:tcPr>
            <w:tcW w:w="9583" w:type="dxa"/>
            <w:gridSpan w:val="6"/>
            <w:tcBorders>
              <w:top w:val="single" w:sz="8" w:space="0" w:color="auto"/>
              <w:left w:val="single" w:sz="8" w:space="0" w:color="auto"/>
              <w:bottom w:val="single" w:sz="4" w:space="0" w:color="auto"/>
              <w:right w:val="single" w:sz="8" w:space="0" w:color="000000"/>
            </w:tcBorders>
            <w:shd w:val="clear" w:color="000000" w:fill="C1F0C8"/>
            <w:noWrap/>
            <w:vAlign w:val="bottom"/>
            <w:hideMark/>
          </w:tcPr>
          <w:p w14:paraId="51198BB7" w14:textId="77777777" w:rsidR="00047D0B" w:rsidRPr="00A343CD" w:rsidRDefault="00047D0B" w:rsidP="00C563B5">
            <w:pPr>
              <w:spacing w:after="0" w:line="276" w:lineRule="auto"/>
              <w:jc w:val="center"/>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Consolidated Cash Flow Statement (£m)</w:t>
            </w:r>
          </w:p>
        </w:tc>
      </w:tr>
      <w:tr w:rsidR="00047D0B" w:rsidRPr="00A343CD" w14:paraId="6D370640"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2F72BBFB"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Item</w:t>
            </w:r>
          </w:p>
        </w:tc>
        <w:tc>
          <w:tcPr>
            <w:tcW w:w="1177" w:type="dxa"/>
            <w:tcBorders>
              <w:top w:val="nil"/>
              <w:left w:val="nil"/>
              <w:bottom w:val="single" w:sz="4" w:space="0" w:color="auto"/>
              <w:right w:val="single" w:sz="4" w:space="0" w:color="auto"/>
            </w:tcBorders>
            <w:noWrap/>
            <w:vAlign w:val="bottom"/>
            <w:hideMark/>
          </w:tcPr>
          <w:p w14:paraId="5FA26160"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2024</w:t>
            </w:r>
          </w:p>
        </w:tc>
        <w:tc>
          <w:tcPr>
            <w:tcW w:w="1268" w:type="dxa"/>
            <w:tcBorders>
              <w:top w:val="nil"/>
              <w:left w:val="nil"/>
              <w:bottom w:val="single" w:sz="4" w:space="0" w:color="auto"/>
              <w:right w:val="single" w:sz="4" w:space="0" w:color="auto"/>
            </w:tcBorders>
            <w:noWrap/>
            <w:vAlign w:val="bottom"/>
            <w:hideMark/>
          </w:tcPr>
          <w:p w14:paraId="737E8DDE"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2023</w:t>
            </w:r>
          </w:p>
        </w:tc>
        <w:tc>
          <w:tcPr>
            <w:tcW w:w="1268" w:type="dxa"/>
            <w:tcBorders>
              <w:top w:val="nil"/>
              <w:left w:val="nil"/>
              <w:bottom w:val="single" w:sz="4" w:space="0" w:color="auto"/>
              <w:right w:val="single" w:sz="4" w:space="0" w:color="auto"/>
            </w:tcBorders>
            <w:noWrap/>
            <w:vAlign w:val="bottom"/>
            <w:hideMark/>
          </w:tcPr>
          <w:p w14:paraId="5915705D"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2022</w:t>
            </w:r>
          </w:p>
        </w:tc>
        <w:tc>
          <w:tcPr>
            <w:tcW w:w="1086" w:type="dxa"/>
            <w:tcBorders>
              <w:top w:val="nil"/>
              <w:left w:val="nil"/>
              <w:bottom w:val="single" w:sz="4" w:space="0" w:color="auto"/>
              <w:right w:val="single" w:sz="4" w:space="0" w:color="auto"/>
            </w:tcBorders>
            <w:noWrap/>
            <w:vAlign w:val="bottom"/>
            <w:hideMark/>
          </w:tcPr>
          <w:p w14:paraId="26847D39"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2021</w:t>
            </w:r>
          </w:p>
        </w:tc>
        <w:tc>
          <w:tcPr>
            <w:tcW w:w="1270" w:type="dxa"/>
            <w:tcBorders>
              <w:top w:val="nil"/>
              <w:left w:val="nil"/>
              <w:bottom w:val="single" w:sz="4" w:space="0" w:color="auto"/>
              <w:right w:val="single" w:sz="8" w:space="0" w:color="auto"/>
            </w:tcBorders>
            <w:noWrap/>
            <w:vAlign w:val="bottom"/>
            <w:hideMark/>
          </w:tcPr>
          <w:p w14:paraId="43C4BA97"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2020</w:t>
            </w:r>
          </w:p>
        </w:tc>
      </w:tr>
      <w:tr w:rsidR="00047D0B" w:rsidRPr="00A343CD" w14:paraId="76BBE5FD"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72F7A57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Net income (loss)</w:t>
            </w:r>
          </w:p>
        </w:tc>
        <w:tc>
          <w:tcPr>
            <w:tcW w:w="1177" w:type="dxa"/>
            <w:tcBorders>
              <w:top w:val="nil"/>
              <w:left w:val="nil"/>
              <w:bottom w:val="single" w:sz="4" w:space="0" w:color="auto"/>
              <w:right w:val="single" w:sz="4" w:space="0" w:color="auto"/>
            </w:tcBorders>
            <w:noWrap/>
            <w:vAlign w:val="bottom"/>
            <w:hideMark/>
          </w:tcPr>
          <w:p w14:paraId="21935C0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(24,029)</w:t>
            </w:r>
          </w:p>
        </w:tc>
        <w:tc>
          <w:tcPr>
            <w:tcW w:w="1268" w:type="dxa"/>
            <w:tcBorders>
              <w:top w:val="nil"/>
              <w:left w:val="nil"/>
              <w:bottom w:val="single" w:sz="4" w:space="0" w:color="auto"/>
              <w:right w:val="single" w:sz="4" w:space="0" w:color="auto"/>
            </w:tcBorders>
            <w:noWrap/>
            <w:vAlign w:val="bottom"/>
            <w:hideMark/>
          </w:tcPr>
          <w:p w14:paraId="2D3E99B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(98,238)</w:t>
            </w:r>
          </w:p>
        </w:tc>
        <w:tc>
          <w:tcPr>
            <w:tcW w:w="1268" w:type="dxa"/>
            <w:tcBorders>
              <w:top w:val="nil"/>
              <w:left w:val="nil"/>
              <w:bottom w:val="single" w:sz="4" w:space="0" w:color="auto"/>
              <w:right w:val="single" w:sz="4" w:space="0" w:color="auto"/>
            </w:tcBorders>
            <w:noWrap/>
            <w:vAlign w:val="bottom"/>
            <w:hideMark/>
          </w:tcPr>
          <w:p w14:paraId="559BD02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407 </w:t>
            </w:r>
          </w:p>
        </w:tc>
        <w:tc>
          <w:tcPr>
            <w:tcW w:w="1086" w:type="dxa"/>
            <w:tcBorders>
              <w:top w:val="nil"/>
              <w:left w:val="nil"/>
              <w:bottom w:val="single" w:sz="4" w:space="0" w:color="auto"/>
              <w:right w:val="single" w:sz="4" w:space="0" w:color="auto"/>
            </w:tcBorders>
            <w:noWrap/>
            <w:vAlign w:val="bottom"/>
            <w:hideMark/>
          </w:tcPr>
          <w:p w14:paraId="558D5DB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5,301 </w:t>
            </w:r>
          </w:p>
        </w:tc>
        <w:tc>
          <w:tcPr>
            <w:tcW w:w="1270" w:type="dxa"/>
            <w:tcBorders>
              <w:top w:val="nil"/>
              <w:left w:val="nil"/>
              <w:bottom w:val="single" w:sz="4" w:space="0" w:color="auto"/>
              <w:right w:val="single" w:sz="8" w:space="0" w:color="auto"/>
            </w:tcBorders>
            <w:noWrap/>
            <w:vAlign w:val="bottom"/>
            <w:hideMark/>
          </w:tcPr>
          <w:p w14:paraId="2B51A88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38,572 </w:t>
            </w:r>
          </w:p>
        </w:tc>
      </w:tr>
      <w:tr w:rsidR="00047D0B" w:rsidRPr="00A343CD" w14:paraId="0158CD5F"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217300A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Depreciation and amortization</w:t>
            </w:r>
          </w:p>
        </w:tc>
        <w:tc>
          <w:tcPr>
            <w:tcW w:w="1177" w:type="dxa"/>
            <w:tcBorders>
              <w:top w:val="nil"/>
              <w:left w:val="nil"/>
              <w:bottom w:val="single" w:sz="4" w:space="0" w:color="auto"/>
              <w:right w:val="single" w:sz="4" w:space="0" w:color="auto"/>
            </w:tcBorders>
            <w:noWrap/>
            <w:vAlign w:val="bottom"/>
            <w:hideMark/>
          </w:tcPr>
          <w:p w14:paraId="53ED470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18,058 </w:t>
            </w:r>
          </w:p>
        </w:tc>
        <w:tc>
          <w:tcPr>
            <w:tcW w:w="1268" w:type="dxa"/>
            <w:tcBorders>
              <w:top w:val="nil"/>
              <w:left w:val="nil"/>
              <w:bottom w:val="single" w:sz="4" w:space="0" w:color="auto"/>
              <w:right w:val="single" w:sz="4" w:space="0" w:color="auto"/>
            </w:tcBorders>
            <w:noWrap/>
            <w:vAlign w:val="bottom"/>
            <w:hideMark/>
          </w:tcPr>
          <w:p w14:paraId="50C9FBF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22,927 </w:t>
            </w:r>
          </w:p>
        </w:tc>
        <w:tc>
          <w:tcPr>
            <w:tcW w:w="1268" w:type="dxa"/>
            <w:tcBorders>
              <w:top w:val="nil"/>
              <w:left w:val="nil"/>
              <w:bottom w:val="single" w:sz="4" w:space="0" w:color="auto"/>
              <w:right w:val="single" w:sz="4" w:space="0" w:color="auto"/>
            </w:tcBorders>
            <w:noWrap/>
            <w:vAlign w:val="bottom"/>
            <w:hideMark/>
          </w:tcPr>
          <w:p w14:paraId="6FD4A75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24,033 </w:t>
            </w:r>
          </w:p>
        </w:tc>
        <w:tc>
          <w:tcPr>
            <w:tcW w:w="1086" w:type="dxa"/>
            <w:tcBorders>
              <w:top w:val="nil"/>
              <w:left w:val="nil"/>
              <w:bottom w:val="single" w:sz="4" w:space="0" w:color="auto"/>
              <w:right w:val="single" w:sz="4" w:space="0" w:color="auto"/>
            </w:tcBorders>
            <w:noWrap/>
            <w:vAlign w:val="bottom"/>
            <w:hideMark/>
          </w:tcPr>
          <w:p w14:paraId="4C25C38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26,747 </w:t>
            </w:r>
          </w:p>
        </w:tc>
        <w:tc>
          <w:tcPr>
            <w:tcW w:w="1270" w:type="dxa"/>
            <w:tcBorders>
              <w:top w:val="nil"/>
              <w:left w:val="nil"/>
              <w:bottom w:val="single" w:sz="4" w:space="0" w:color="auto"/>
              <w:right w:val="single" w:sz="8" w:space="0" w:color="auto"/>
            </w:tcBorders>
            <w:noWrap/>
            <w:vAlign w:val="bottom"/>
            <w:hideMark/>
          </w:tcPr>
          <w:p w14:paraId="5FCAC79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29,735 </w:t>
            </w:r>
          </w:p>
        </w:tc>
      </w:tr>
      <w:tr w:rsidR="00047D0B" w:rsidRPr="00A343CD" w14:paraId="29C00EDE"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6CB683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Provision for credit losses</w:t>
            </w:r>
          </w:p>
        </w:tc>
        <w:tc>
          <w:tcPr>
            <w:tcW w:w="1177" w:type="dxa"/>
            <w:tcBorders>
              <w:top w:val="nil"/>
              <w:left w:val="nil"/>
              <w:bottom w:val="single" w:sz="4" w:space="0" w:color="auto"/>
              <w:right w:val="single" w:sz="4" w:space="0" w:color="auto"/>
            </w:tcBorders>
            <w:noWrap/>
            <w:vAlign w:val="bottom"/>
            <w:hideMark/>
          </w:tcPr>
          <w:p w14:paraId="046AC4E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1,081 </w:t>
            </w:r>
          </w:p>
        </w:tc>
        <w:tc>
          <w:tcPr>
            <w:tcW w:w="1268" w:type="dxa"/>
            <w:tcBorders>
              <w:top w:val="nil"/>
              <w:left w:val="nil"/>
              <w:bottom w:val="single" w:sz="4" w:space="0" w:color="auto"/>
              <w:right w:val="single" w:sz="4" w:space="0" w:color="auto"/>
            </w:tcBorders>
            <w:noWrap/>
            <w:vAlign w:val="bottom"/>
            <w:hideMark/>
          </w:tcPr>
          <w:p w14:paraId="0F0FAD1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70 </w:t>
            </w:r>
          </w:p>
        </w:tc>
        <w:tc>
          <w:tcPr>
            <w:tcW w:w="1268" w:type="dxa"/>
            <w:tcBorders>
              <w:top w:val="nil"/>
              <w:left w:val="nil"/>
              <w:bottom w:val="single" w:sz="4" w:space="0" w:color="auto"/>
              <w:right w:val="single" w:sz="4" w:space="0" w:color="auto"/>
            </w:tcBorders>
            <w:noWrap/>
            <w:vAlign w:val="bottom"/>
            <w:hideMark/>
          </w:tcPr>
          <w:p w14:paraId="676F9AB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(182)</w:t>
            </w:r>
          </w:p>
        </w:tc>
        <w:tc>
          <w:tcPr>
            <w:tcW w:w="1086" w:type="dxa"/>
            <w:tcBorders>
              <w:top w:val="nil"/>
              <w:left w:val="nil"/>
              <w:bottom w:val="single" w:sz="4" w:space="0" w:color="auto"/>
              <w:right w:val="single" w:sz="4" w:space="0" w:color="auto"/>
            </w:tcBorders>
            <w:noWrap/>
            <w:vAlign w:val="bottom"/>
            <w:hideMark/>
          </w:tcPr>
          <w:p w14:paraId="3F8FAFD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70" w:type="dxa"/>
            <w:tcBorders>
              <w:top w:val="nil"/>
              <w:left w:val="nil"/>
              <w:bottom w:val="single" w:sz="4" w:space="0" w:color="auto"/>
              <w:right w:val="single" w:sz="8" w:space="0" w:color="auto"/>
            </w:tcBorders>
            <w:noWrap/>
            <w:vAlign w:val="bottom"/>
            <w:hideMark/>
          </w:tcPr>
          <w:p w14:paraId="0659453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332 </w:t>
            </w:r>
          </w:p>
        </w:tc>
      </w:tr>
      <w:tr w:rsidR="00047D0B" w:rsidRPr="00A343CD" w14:paraId="15F67EFF"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807189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Deferred income taxes</w:t>
            </w:r>
          </w:p>
        </w:tc>
        <w:tc>
          <w:tcPr>
            <w:tcW w:w="1177" w:type="dxa"/>
            <w:tcBorders>
              <w:top w:val="nil"/>
              <w:left w:val="nil"/>
              <w:bottom w:val="single" w:sz="4" w:space="0" w:color="auto"/>
              <w:right w:val="single" w:sz="4" w:space="0" w:color="auto"/>
            </w:tcBorders>
            <w:noWrap/>
            <w:vAlign w:val="bottom"/>
            <w:hideMark/>
          </w:tcPr>
          <w:p w14:paraId="5348213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(256)</w:t>
            </w:r>
          </w:p>
        </w:tc>
        <w:tc>
          <w:tcPr>
            <w:tcW w:w="1268" w:type="dxa"/>
            <w:tcBorders>
              <w:top w:val="nil"/>
              <w:left w:val="nil"/>
              <w:bottom w:val="single" w:sz="4" w:space="0" w:color="auto"/>
              <w:right w:val="single" w:sz="4" w:space="0" w:color="auto"/>
            </w:tcBorders>
            <w:noWrap/>
            <w:vAlign w:val="bottom"/>
            <w:hideMark/>
          </w:tcPr>
          <w:p w14:paraId="112E2CB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(1,149)</w:t>
            </w:r>
          </w:p>
        </w:tc>
        <w:tc>
          <w:tcPr>
            <w:tcW w:w="1268" w:type="dxa"/>
            <w:tcBorders>
              <w:top w:val="nil"/>
              <w:left w:val="nil"/>
              <w:bottom w:val="single" w:sz="4" w:space="0" w:color="auto"/>
              <w:right w:val="single" w:sz="4" w:space="0" w:color="auto"/>
            </w:tcBorders>
            <w:noWrap/>
            <w:vAlign w:val="bottom"/>
            <w:hideMark/>
          </w:tcPr>
          <w:p w14:paraId="33755E9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1,377 </w:t>
            </w:r>
          </w:p>
        </w:tc>
        <w:tc>
          <w:tcPr>
            <w:tcW w:w="1086" w:type="dxa"/>
            <w:tcBorders>
              <w:top w:val="nil"/>
              <w:left w:val="nil"/>
              <w:bottom w:val="single" w:sz="4" w:space="0" w:color="auto"/>
              <w:right w:val="single" w:sz="4" w:space="0" w:color="auto"/>
            </w:tcBorders>
            <w:noWrap/>
            <w:vAlign w:val="bottom"/>
            <w:hideMark/>
          </w:tcPr>
          <w:p w14:paraId="38BB7E7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(1,560)</w:t>
            </w:r>
          </w:p>
        </w:tc>
        <w:tc>
          <w:tcPr>
            <w:tcW w:w="1270" w:type="dxa"/>
            <w:tcBorders>
              <w:top w:val="nil"/>
              <w:left w:val="nil"/>
              <w:bottom w:val="single" w:sz="4" w:space="0" w:color="auto"/>
              <w:right w:val="single" w:sz="8" w:space="0" w:color="auto"/>
            </w:tcBorders>
            <w:noWrap/>
            <w:vAlign w:val="bottom"/>
            <w:hideMark/>
          </w:tcPr>
          <w:p w14:paraId="0BF01F8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(478)</w:t>
            </w:r>
          </w:p>
        </w:tc>
      </w:tr>
      <w:tr w:rsidR="00047D0B" w:rsidRPr="00A343CD" w14:paraId="4B8124B2"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2C72C74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Shares issued for employee benefit plan</w:t>
            </w:r>
          </w:p>
        </w:tc>
        <w:tc>
          <w:tcPr>
            <w:tcW w:w="1177" w:type="dxa"/>
            <w:tcBorders>
              <w:top w:val="nil"/>
              <w:left w:val="nil"/>
              <w:bottom w:val="single" w:sz="4" w:space="0" w:color="auto"/>
              <w:right w:val="single" w:sz="4" w:space="0" w:color="auto"/>
            </w:tcBorders>
            <w:noWrap/>
            <w:vAlign w:val="bottom"/>
            <w:hideMark/>
          </w:tcPr>
          <w:p w14:paraId="4A53523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1,063 </w:t>
            </w:r>
          </w:p>
        </w:tc>
        <w:tc>
          <w:tcPr>
            <w:tcW w:w="1268" w:type="dxa"/>
            <w:tcBorders>
              <w:top w:val="nil"/>
              <w:left w:val="nil"/>
              <w:bottom w:val="single" w:sz="4" w:space="0" w:color="auto"/>
              <w:right w:val="single" w:sz="4" w:space="0" w:color="auto"/>
            </w:tcBorders>
            <w:noWrap/>
            <w:vAlign w:val="bottom"/>
            <w:hideMark/>
          </w:tcPr>
          <w:p w14:paraId="79870CD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1,293 </w:t>
            </w:r>
          </w:p>
        </w:tc>
        <w:tc>
          <w:tcPr>
            <w:tcW w:w="1268" w:type="dxa"/>
            <w:tcBorders>
              <w:top w:val="nil"/>
              <w:left w:val="nil"/>
              <w:bottom w:val="single" w:sz="4" w:space="0" w:color="auto"/>
              <w:right w:val="single" w:sz="4" w:space="0" w:color="auto"/>
            </w:tcBorders>
            <w:noWrap/>
            <w:vAlign w:val="bottom"/>
            <w:hideMark/>
          </w:tcPr>
          <w:p w14:paraId="4D0522D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1,199 </w:t>
            </w:r>
          </w:p>
        </w:tc>
        <w:tc>
          <w:tcPr>
            <w:tcW w:w="1086" w:type="dxa"/>
            <w:tcBorders>
              <w:top w:val="nil"/>
              <w:left w:val="nil"/>
              <w:bottom w:val="single" w:sz="4" w:space="0" w:color="auto"/>
              <w:right w:val="single" w:sz="4" w:space="0" w:color="auto"/>
            </w:tcBorders>
            <w:noWrap/>
            <w:vAlign w:val="bottom"/>
            <w:hideMark/>
          </w:tcPr>
          <w:p w14:paraId="5915B67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1,092 </w:t>
            </w:r>
          </w:p>
        </w:tc>
        <w:tc>
          <w:tcPr>
            <w:tcW w:w="1270" w:type="dxa"/>
            <w:tcBorders>
              <w:top w:val="nil"/>
              <w:left w:val="nil"/>
              <w:bottom w:val="single" w:sz="4" w:space="0" w:color="auto"/>
              <w:right w:val="single" w:sz="8" w:space="0" w:color="auto"/>
            </w:tcBorders>
            <w:noWrap/>
            <w:vAlign w:val="bottom"/>
            <w:hideMark/>
          </w:tcPr>
          <w:p w14:paraId="3105EDD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1,136 </w:t>
            </w:r>
          </w:p>
        </w:tc>
      </w:tr>
      <w:tr w:rsidR="00047D0B" w:rsidRPr="00A343CD" w14:paraId="378E3266"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34699C3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Employee and director stock-based compensation</w:t>
            </w:r>
          </w:p>
        </w:tc>
        <w:tc>
          <w:tcPr>
            <w:tcW w:w="1177" w:type="dxa"/>
            <w:tcBorders>
              <w:top w:val="nil"/>
              <w:left w:val="nil"/>
              <w:bottom w:val="single" w:sz="4" w:space="0" w:color="auto"/>
              <w:right w:val="single" w:sz="4" w:space="0" w:color="auto"/>
            </w:tcBorders>
            <w:noWrap/>
            <w:vAlign w:val="bottom"/>
            <w:hideMark/>
          </w:tcPr>
          <w:p w14:paraId="529B358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6,700 </w:t>
            </w:r>
          </w:p>
        </w:tc>
        <w:tc>
          <w:tcPr>
            <w:tcW w:w="1268" w:type="dxa"/>
            <w:tcBorders>
              <w:top w:val="nil"/>
              <w:left w:val="nil"/>
              <w:bottom w:val="single" w:sz="4" w:space="0" w:color="auto"/>
              <w:right w:val="single" w:sz="4" w:space="0" w:color="auto"/>
            </w:tcBorders>
            <w:noWrap/>
            <w:vAlign w:val="bottom"/>
            <w:hideMark/>
          </w:tcPr>
          <w:p w14:paraId="27629CA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8,809 </w:t>
            </w:r>
          </w:p>
        </w:tc>
        <w:tc>
          <w:tcPr>
            <w:tcW w:w="1268" w:type="dxa"/>
            <w:tcBorders>
              <w:top w:val="nil"/>
              <w:left w:val="nil"/>
              <w:bottom w:val="single" w:sz="4" w:space="0" w:color="auto"/>
              <w:right w:val="single" w:sz="4" w:space="0" w:color="auto"/>
            </w:tcBorders>
            <w:noWrap/>
            <w:vAlign w:val="bottom"/>
            <w:hideMark/>
          </w:tcPr>
          <w:p w14:paraId="0D203CC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10,013 </w:t>
            </w:r>
          </w:p>
        </w:tc>
        <w:tc>
          <w:tcPr>
            <w:tcW w:w="1086" w:type="dxa"/>
            <w:tcBorders>
              <w:top w:val="nil"/>
              <w:left w:val="nil"/>
              <w:bottom w:val="single" w:sz="4" w:space="0" w:color="auto"/>
              <w:right w:val="single" w:sz="4" w:space="0" w:color="auto"/>
            </w:tcBorders>
            <w:noWrap/>
            <w:vAlign w:val="bottom"/>
            <w:hideMark/>
          </w:tcPr>
          <w:p w14:paraId="28C8B28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9,969 </w:t>
            </w:r>
          </w:p>
        </w:tc>
        <w:tc>
          <w:tcPr>
            <w:tcW w:w="1270" w:type="dxa"/>
            <w:tcBorders>
              <w:top w:val="nil"/>
              <w:left w:val="nil"/>
              <w:bottom w:val="single" w:sz="4" w:space="0" w:color="auto"/>
              <w:right w:val="single" w:sz="8" w:space="0" w:color="auto"/>
            </w:tcBorders>
            <w:noWrap/>
            <w:vAlign w:val="bottom"/>
            <w:hideMark/>
          </w:tcPr>
          <w:p w14:paraId="3674BD4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9,122 </w:t>
            </w:r>
          </w:p>
        </w:tc>
      </w:tr>
      <w:tr w:rsidR="00047D0B" w:rsidRPr="00A343CD" w14:paraId="122263C6"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6530323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Impairment of goodwill</w:t>
            </w:r>
          </w:p>
        </w:tc>
        <w:tc>
          <w:tcPr>
            <w:tcW w:w="1177" w:type="dxa"/>
            <w:tcBorders>
              <w:top w:val="nil"/>
              <w:left w:val="nil"/>
              <w:bottom w:val="single" w:sz="4" w:space="0" w:color="auto"/>
              <w:right w:val="single" w:sz="4" w:space="0" w:color="auto"/>
            </w:tcBorders>
            <w:noWrap/>
            <w:vAlign w:val="bottom"/>
            <w:hideMark/>
          </w:tcPr>
          <w:p w14:paraId="05036CE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6F75BC9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49,075 </w:t>
            </w:r>
          </w:p>
        </w:tc>
        <w:tc>
          <w:tcPr>
            <w:tcW w:w="1268" w:type="dxa"/>
            <w:tcBorders>
              <w:top w:val="nil"/>
              <w:left w:val="nil"/>
              <w:bottom w:val="single" w:sz="4" w:space="0" w:color="auto"/>
              <w:right w:val="single" w:sz="4" w:space="0" w:color="auto"/>
            </w:tcBorders>
            <w:noWrap/>
            <w:vAlign w:val="bottom"/>
            <w:hideMark/>
          </w:tcPr>
          <w:p w14:paraId="12D11BE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086" w:type="dxa"/>
            <w:tcBorders>
              <w:top w:val="nil"/>
              <w:left w:val="nil"/>
              <w:bottom w:val="single" w:sz="4" w:space="0" w:color="auto"/>
              <w:right w:val="single" w:sz="4" w:space="0" w:color="auto"/>
            </w:tcBorders>
            <w:noWrap/>
            <w:vAlign w:val="bottom"/>
            <w:hideMark/>
          </w:tcPr>
          <w:p w14:paraId="7B27B94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70" w:type="dxa"/>
            <w:tcBorders>
              <w:top w:val="nil"/>
              <w:left w:val="nil"/>
              <w:bottom w:val="single" w:sz="4" w:space="0" w:color="auto"/>
              <w:right w:val="single" w:sz="8" w:space="0" w:color="auto"/>
            </w:tcBorders>
            <w:noWrap/>
            <w:vAlign w:val="bottom"/>
            <w:hideMark/>
          </w:tcPr>
          <w:p w14:paraId="3DFC465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r>
      <w:tr w:rsidR="00047D0B" w:rsidRPr="00A343CD" w14:paraId="29BD69AD"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C5A6E4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Impairment of long-lived assets</w:t>
            </w:r>
          </w:p>
        </w:tc>
        <w:tc>
          <w:tcPr>
            <w:tcW w:w="1177" w:type="dxa"/>
            <w:tcBorders>
              <w:top w:val="nil"/>
              <w:left w:val="nil"/>
              <w:bottom w:val="single" w:sz="4" w:space="0" w:color="auto"/>
              <w:right w:val="single" w:sz="4" w:space="0" w:color="auto"/>
            </w:tcBorders>
            <w:noWrap/>
            <w:vAlign w:val="bottom"/>
            <w:hideMark/>
          </w:tcPr>
          <w:p w14:paraId="44469C3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333 </w:t>
            </w:r>
          </w:p>
        </w:tc>
        <w:tc>
          <w:tcPr>
            <w:tcW w:w="1268" w:type="dxa"/>
            <w:tcBorders>
              <w:top w:val="nil"/>
              <w:left w:val="nil"/>
              <w:bottom w:val="single" w:sz="4" w:space="0" w:color="auto"/>
              <w:right w:val="single" w:sz="4" w:space="0" w:color="auto"/>
            </w:tcBorders>
            <w:noWrap/>
            <w:vAlign w:val="bottom"/>
            <w:hideMark/>
          </w:tcPr>
          <w:p w14:paraId="63E31FA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7,963 </w:t>
            </w:r>
          </w:p>
        </w:tc>
        <w:tc>
          <w:tcPr>
            <w:tcW w:w="1268" w:type="dxa"/>
            <w:tcBorders>
              <w:top w:val="nil"/>
              <w:left w:val="nil"/>
              <w:bottom w:val="single" w:sz="4" w:space="0" w:color="auto"/>
              <w:right w:val="single" w:sz="4" w:space="0" w:color="auto"/>
            </w:tcBorders>
            <w:noWrap/>
            <w:vAlign w:val="bottom"/>
            <w:hideMark/>
          </w:tcPr>
          <w:p w14:paraId="1B421C5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2,888 </w:t>
            </w:r>
          </w:p>
        </w:tc>
        <w:tc>
          <w:tcPr>
            <w:tcW w:w="1086" w:type="dxa"/>
            <w:tcBorders>
              <w:top w:val="nil"/>
              <w:left w:val="nil"/>
              <w:bottom w:val="single" w:sz="4" w:space="0" w:color="auto"/>
              <w:right w:val="single" w:sz="4" w:space="0" w:color="auto"/>
            </w:tcBorders>
            <w:noWrap/>
            <w:vAlign w:val="bottom"/>
            <w:hideMark/>
          </w:tcPr>
          <w:p w14:paraId="5245105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3,338 </w:t>
            </w:r>
          </w:p>
        </w:tc>
        <w:tc>
          <w:tcPr>
            <w:tcW w:w="1270" w:type="dxa"/>
            <w:tcBorders>
              <w:top w:val="nil"/>
              <w:left w:val="nil"/>
              <w:bottom w:val="single" w:sz="4" w:space="0" w:color="auto"/>
              <w:right w:val="single" w:sz="8" w:space="0" w:color="auto"/>
            </w:tcBorders>
            <w:noWrap/>
            <w:vAlign w:val="bottom"/>
            <w:hideMark/>
          </w:tcPr>
          <w:p w14:paraId="3E8FB27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134 </w:t>
            </w:r>
          </w:p>
        </w:tc>
      </w:tr>
      <w:tr w:rsidR="00047D0B" w:rsidRPr="00A343CD" w14:paraId="2269C071"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628BD66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Accounts receivable and contract assets</w:t>
            </w:r>
          </w:p>
        </w:tc>
        <w:tc>
          <w:tcPr>
            <w:tcW w:w="1177" w:type="dxa"/>
            <w:tcBorders>
              <w:top w:val="nil"/>
              <w:left w:val="nil"/>
              <w:bottom w:val="single" w:sz="4" w:space="0" w:color="auto"/>
              <w:right w:val="single" w:sz="4" w:space="0" w:color="auto"/>
            </w:tcBorders>
            <w:noWrap/>
            <w:vAlign w:val="bottom"/>
            <w:hideMark/>
          </w:tcPr>
          <w:p w14:paraId="29AD355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(12,174)</w:t>
            </w:r>
          </w:p>
        </w:tc>
        <w:tc>
          <w:tcPr>
            <w:tcW w:w="1268" w:type="dxa"/>
            <w:tcBorders>
              <w:top w:val="nil"/>
              <w:left w:val="nil"/>
              <w:bottom w:val="single" w:sz="4" w:space="0" w:color="auto"/>
              <w:right w:val="single" w:sz="4" w:space="0" w:color="auto"/>
            </w:tcBorders>
            <w:noWrap/>
            <w:vAlign w:val="bottom"/>
            <w:hideMark/>
          </w:tcPr>
          <w:p w14:paraId="74E4111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5,040 </w:t>
            </w:r>
          </w:p>
        </w:tc>
        <w:tc>
          <w:tcPr>
            <w:tcW w:w="1268" w:type="dxa"/>
            <w:tcBorders>
              <w:top w:val="nil"/>
              <w:left w:val="nil"/>
              <w:bottom w:val="single" w:sz="4" w:space="0" w:color="auto"/>
              <w:right w:val="single" w:sz="4" w:space="0" w:color="auto"/>
            </w:tcBorders>
            <w:noWrap/>
            <w:vAlign w:val="bottom"/>
            <w:hideMark/>
          </w:tcPr>
          <w:p w14:paraId="6C715C7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12,765 </w:t>
            </w:r>
          </w:p>
        </w:tc>
        <w:tc>
          <w:tcPr>
            <w:tcW w:w="1086" w:type="dxa"/>
            <w:tcBorders>
              <w:top w:val="nil"/>
              <w:left w:val="nil"/>
              <w:bottom w:val="single" w:sz="4" w:space="0" w:color="auto"/>
              <w:right w:val="single" w:sz="4" w:space="0" w:color="auto"/>
            </w:tcBorders>
            <w:noWrap/>
            <w:vAlign w:val="bottom"/>
            <w:hideMark/>
          </w:tcPr>
          <w:p w14:paraId="53F49C9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2,007 </w:t>
            </w:r>
          </w:p>
        </w:tc>
        <w:tc>
          <w:tcPr>
            <w:tcW w:w="1270" w:type="dxa"/>
            <w:tcBorders>
              <w:top w:val="nil"/>
              <w:left w:val="nil"/>
              <w:bottom w:val="single" w:sz="4" w:space="0" w:color="auto"/>
              <w:right w:val="single" w:sz="8" w:space="0" w:color="auto"/>
            </w:tcBorders>
            <w:noWrap/>
            <w:vAlign w:val="bottom"/>
            <w:hideMark/>
          </w:tcPr>
          <w:p w14:paraId="6A282D9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14,884 </w:t>
            </w:r>
          </w:p>
        </w:tc>
      </w:tr>
      <w:tr w:rsidR="00047D0B" w:rsidRPr="00A343CD" w14:paraId="5535DFC5"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E08669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Inventories</w:t>
            </w:r>
          </w:p>
        </w:tc>
        <w:tc>
          <w:tcPr>
            <w:tcW w:w="1177" w:type="dxa"/>
            <w:tcBorders>
              <w:top w:val="nil"/>
              <w:left w:val="nil"/>
              <w:bottom w:val="single" w:sz="4" w:space="0" w:color="auto"/>
              <w:right w:val="single" w:sz="4" w:space="0" w:color="auto"/>
            </w:tcBorders>
            <w:noWrap/>
            <w:vAlign w:val="bottom"/>
            <w:hideMark/>
          </w:tcPr>
          <w:p w14:paraId="3353DFB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6,239 </w:t>
            </w:r>
          </w:p>
        </w:tc>
        <w:tc>
          <w:tcPr>
            <w:tcW w:w="1268" w:type="dxa"/>
            <w:tcBorders>
              <w:top w:val="nil"/>
              <w:left w:val="nil"/>
              <w:bottom w:val="single" w:sz="4" w:space="0" w:color="auto"/>
              <w:right w:val="single" w:sz="4" w:space="0" w:color="auto"/>
            </w:tcBorders>
            <w:noWrap/>
            <w:vAlign w:val="bottom"/>
            <w:hideMark/>
          </w:tcPr>
          <w:p w14:paraId="33BAE9F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51,458 </w:t>
            </w:r>
          </w:p>
        </w:tc>
        <w:tc>
          <w:tcPr>
            <w:tcW w:w="1268" w:type="dxa"/>
            <w:tcBorders>
              <w:top w:val="nil"/>
              <w:left w:val="nil"/>
              <w:bottom w:val="single" w:sz="4" w:space="0" w:color="auto"/>
              <w:right w:val="single" w:sz="4" w:space="0" w:color="auto"/>
            </w:tcBorders>
            <w:noWrap/>
            <w:vAlign w:val="bottom"/>
            <w:hideMark/>
          </w:tcPr>
          <w:p w14:paraId="24AE8B3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(9,913)</w:t>
            </w:r>
          </w:p>
        </w:tc>
        <w:tc>
          <w:tcPr>
            <w:tcW w:w="1086" w:type="dxa"/>
            <w:tcBorders>
              <w:top w:val="nil"/>
              <w:left w:val="nil"/>
              <w:bottom w:val="single" w:sz="4" w:space="0" w:color="auto"/>
              <w:right w:val="single" w:sz="4" w:space="0" w:color="auto"/>
            </w:tcBorders>
            <w:noWrap/>
            <w:vAlign w:val="bottom"/>
            <w:hideMark/>
          </w:tcPr>
          <w:p w14:paraId="571E7DD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(14,985)</w:t>
            </w:r>
          </w:p>
        </w:tc>
        <w:tc>
          <w:tcPr>
            <w:tcW w:w="1270" w:type="dxa"/>
            <w:tcBorders>
              <w:top w:val="nil"/>
              <w:left w:val="nil"/>
              <w:bottom w:val="single" w:sz="4" w:space="0" w:color="auto"/>
              <w:right w:val="single" w:sz="8" w:space="0" w:color="auto"/>
            </w:tcBorders>
            <w:noWrap/>
            <w:vAlign w:val="bottom"/>
            <w:hideMark/>
          </w:tcPr>
          <w:p w14:paraId="47CE6CE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28,295 </w:t>
            </w:r>
          </w:p>
        </w:tc>
      </w:tr>
      <w:tr w:rsidR="00047D0B" w:rsidRPr="00A343CD" w14:paraId="125AE2BA"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0ED6655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Prepaid expenses and other assets</w:t>
            </w:r>
          </w:p>
        </w:tc>
        <w:tc>
          <w:tcPr>
            <w:tcW w:w="1177" w:type="dxa"/>
            <w:tcBorders>
              <w:top w:val="nil"/>
              <w:left w:val="nil"/>
              <w:bottom w:val="single" w:sz="4" w:space="0" w:color="auto"/>
              <w:right w:val="single" w:sz="4" w:space="0" w:color="auto"/>
            </w:tcBorders>
            <w:noWrap/>
            <w:vAlign w:val="bottom"/>
            <w:hideMark/>
          </w:tcPr>
          <w:p w14:paraId="51FA1C6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764 </w:t>
            </w:r>
          </w:p>
        </w:tc>
        <w:tc>
          <w:tcPr>
            <w:tcW w:w="1268" w:type="dxa"/>
            <w:tcBorders>
              <w:top w:val="nil"/>
              <w:left w:val="nil"/>
              <w:bottom w:val="single" w:sz="4" w:space="0" w:color="auto"/>
              <w:right w:val="single" w:sz="4" w:space="0" w:color="auto"/>
            </w:tcBorders>
            <w:noWrap/>
            <w:vAlign w:val="bottom"/>
            <w:hideMark/>
          </w:tcPr>
          <w:p w14:paraId="0320BA4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2,860 </w:t>
            </w:r>
          </w:p>
        </w:tc>
        <w:tc>
          <w:tcPr>
            <w:tcW w:w="1268" w:type="dxa"/>
            <w:tcBorders>
              <w:top w:val="nil"/>
              <w:left w:val="nil"/>
              <w:bottom w:val="single" w:sz="4" w:space="0" w:color="auto"/>
              <w:right w:val="single" w:sz="4" w:space="0" w:color="auto"/>
            </w:tcBorders>
            <w:noWrap/>
            <w:vAlign w:val="bottom"/>
            <w:hideMark/>
          </w:tcPr>
          <w:p w14:paraId="19969F8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(917)</w:t>
            </w:r>
          </w:p>
        </w:tc>
        <w:tc>
          <w:tcPr>
            <w:tcW w:w="1086" w:type="dxa"/>
            <w:tcBorders>
              <w:top w:val="nil"/>
              <w:left w:val="nil"/>
              <w:bottom w:val="single" w:sz="4" w:space="0" w:color="auto"/>
              <w:right w:val="single" w:sz="4" w:space="0" w:color="auto"/>
            </w:tcBorders>
            <w:noWrap/>
            <w:vAlign w:val="bottom"/>
            <w:hideMark/>
          </w:tcPr>
          <w:p w14:paraId="42734CF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(630)</w:t>
            </w:r>
          </w:p>
        </w:tc>
        <w:tc>
          <w:tcPr>
            <w:tcW w:w="1270" w:type="dxa"/>
            <w:tcBorders>
              <w:top w:val="nil"/>
              <w:left w:val="nil"/>
              <w:bottom w:val="single" w:sz="4" w:space="0" w:color="auto"/>
              <w:right w:val="single" w:sz="8" w:space="0" w:color="auto"/>
            </w:tcBorders>
            <w:noWrap/>
            <w:vAlign w:val="bottom"/>
            <w:hideMark/>
          </w:tcPr>
          <w:p w14:paraId="5C5DB7A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(245)</w:t>
            </w:r>
          </w:p>
        </w:tc>
      </w:tr>
      <w:tr w:rsidR="00047D0B" w:rsidRPr="00A343CD" w14:paraId="78F70407"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3B8AC5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Accounts payable and accrued liabilities</w:t>
            </w:r>
          </w:p>
        </w:tc>
        <w:tc>
          <w:tcPr>
            <w:tcW w:w="1177" w:type="dxa"/>
            <w:tcBorders>
              <w:top w:val="nil"/>
              <w:left w:val="nil"/>
              <w:bottom w:val="single" w:sz="4" w:space="0" w:color="auto"/>
              <w:right w:val="single" w:sz="4" w:space="0" w:color="auto"/>
            </w:tcBorders>
            <w:noWrap/>
            <w:vAlign w:val="bottom"/>
            <w:hideMark/>
          </w:tcPr>
          <w:p w14:paraId="1EB9983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15,733 </w:t>
            </w:r>
          </w:p>
        </w:tc>
        <w:tc>
          <w:tcPr>
            <w:tcW w:w="1268" w:type="dxa"/>
            <w:tcBorders>
              <w:top w:val="nil"/>
              <w:left w:val="nil"/>
              <w:bottom w:val="single" w:sz="4" w:space="0" w:color="auto"/>
              <w:right w:val="single" w:sz="4" w:space="0" w:color="auto"/>
            </w:tcBorders>
            <w:noWrap/>
            <w:vAlign w:val="bottom"/>
            <w:hideMark/>
          </w:tcPr>
          <w:p w14:paraId="51108E4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(21,379)</w:t>
            </w:r>
          </w:p>
        </w:tc>
        <w:tc>
          <w:tcPr>
            <w:tcW w:w="1268" w:type="dxa"/>
            <w:tcBorders>
              <w:top w:val="nil"/>
              <w:left w:val="nil"/>
              <w:bottom w:val="single" w:sz="4" w:space="0" w:color="auto"/>
              <w:right w:val="single" w:sz="4" w:space="0" w:color="auto"/>
            </w:tcBorders>
            <w:noWrap/>
            <w:vAlign w:val="bottom"/>
            <w:hideMark/>
          </w:tcPr>
          <w:p w14:paraId="032F2B0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(28,670)</w:t>
            </w:r>
          </w:p>
        </w:tc>
        <w:tc>
          <w:tcPr>
            <w:tcW w:w="1086" w:type="dxa"/>
            <w:tcBorders>
              <w:top w:val="nil"/>
              <w:left w:val="nil"/>
              <w:bottom w:val="single" w:sz="4" w:space="0" w:color="auto"/>
              <w:right w:val="single" w:sz="4" w:space="0" w:color="auto"/>
            </w:tcBorders>
            <w:noWrap/>
            <w:vAlign w:val="bottom"/>
            <w:hideMark/>
          </w:tcPr>
          <w:p w14:paraId="4391D72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870 </w:t>
            </w:r>
          </w:p>
        </w:tc>
        <w:tc>
          <w:tcPr>
            <w:tcW w:w="1270" w:type="dxa"/>
            <w:tcBorders>
              <w:top w:val="nil"/>
              <w:left w:val="nil"/>
              <w:bottom w:val="single" w:sz="4" w:space="0" w:color="auto"/>
              <w:right w:val="single" w:sz="8" w:space="0" w:color="auto"/>
            </w:tcBorders>
            <w:noWrap/>
            <w:vAlign w:val="bottom"/>
            <w:hideMark/>
          </w:tcPr>
          <w:p w14:paraId="4CF89EF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(33,543)</w:t>
            </w:r>
          </w:p>
        </w:tc>
      </w:tr>
      <w:tr w:rsidR="00047D0B" w:rsidRPr="00A343CD" w14:paraId="1A38E74C"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3762776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Accrued income taxes</w:t>
            </w:r>
          </w:p>
        </w:tc>
        <w:tc>
          <w:tcPr>
            <w:tcW w:w="1177" w:type="dxa"/>
            <w:tcBorders>
              <w:top w:val="nil"/>
              <w:left w:val="nil"/>
              <w:bottom w:val="single" w:sz="4" w:space="0" w:color="auto"/>
              <w:right w:val="single" w:sz="4" w:space="0" w:color="auto"/>
            </w:tcBorders>
            <w:noWrap/>
            <w:vAlign w:val="bottom"/>
            <w:hideMark/>
          </w:tcPr>
          <w:p w14:paraId="578AA15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1,310 </w:t>
            </w:r>
          </w:p>
        </w:tc>
        <w:tc>
          <w:tcPr>
            <w:tcW w:w="1268" w:type="dxa"/>
            <w:tcBorders>
              <w:top w:val="nil"/>
              <w:left w:val="nil"/>
              <w:bottom w:val="single" w:sz="4" w:space="0" w:color="auto"/>
              <w:right w:val="single" w:sz="4" w:space="0" w:color="auto"/>
            </w:tcBorders>
            <w:noWrap/>
            <w:vAlign w:val="bottom"/>
            <w:hideMark/>
          </w:tcPr>
          <w:p w14:paraId="7C5DB13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(3,539)</w:t>
            </w:r>
          </w:p>
        </w:tc>
        <w:tc>
          <w:tcPr>
            <w:tcW w:w="1268" w:type="dxa"/>
            <w:tcBorders>
              <w:top w:val="nil"/>
              <w:left w:val="nil"/>
              <w:bottom w:val="single" w:sz="4" w:space="0" w:color="auto"/>
              <w:right w:val="single" w:sz="4" w:space="0" w:color="auto"/>
            </w:tcBorders>
            <w:noWrap/>
            <w:vAlign w:val="bottom"/>
            <w:hideMark/>
          </w:tcPr>
          <w:p w14:paraId="3165A1C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(2,074)</w:t>
            </w:r>
          </w:p>
        </w:tc>
        <w:tc>
          <w:tcPr>
            <w:tcW w:w="1086" w:type="dxa"/>
            <w:tcBorders>
              <w:top w:val="nil"/>
              <w:left w:val="nil"/>
              <w:bottom w:val="single" w:sz="4" w:space="0" w:color="auto"/>
              <w:right w:val="single" w:sz="4" w:space="0" w:color="auto"/>
            </w:tcBorders>
            <w:noWrap/>
            <w:vAlign w:val="bottom"/>
            <w:hideMark/>
          </w:tcPr>
          <w:p w14:paraId="22FBBAF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2,860 </w:t>
            </w:r>
          </w:p>
        </w:tc>
        <w:tc>
          <w:tcPr>
            <w:tcW w:w="1270" w:type="dxa"/>
            <w:tcBorders>
              <w:top w:val="nil"/>
              <w:left w:val="nil"/>
              <w:bottom w:val="single" w:sz="4" w:space="0" w:color="auto"/>
              <w:right w:val="single" w:sz="8" w:space="0" w:color="auto"/>
            </w:tcBorders>
            <w:noWrap/>
            <w:vAlign w:val="bottom"/>
            <w:hideMark/>
          </w:tcPr>
          <w:p w14:paraId="2E414D2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(6,486)</w:t>
            </w:r>
          </w:p>
        </w:tc>
      </w:tr>
      <w:tr w:rsidR="00047D0B" w:rsidRPr="00A343CD" w14:paraId="4380776D"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C1F0C8"/>
            <w:noWrap/>
            <w:vAlign w:val="bottom"/>
            <w:hideMark/>
          </w:tcPr>
          <w:p w14:paraId="140E0F33"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Net cash provided by (used for) operating activities</w:t>
            </w:r>
          </w:p>
        </w:tc>
        <w:tc>
          <w:tcPr>
            <w:tcW w:w="1177" w:type="dxa"/>
            <w:tcBorders>
              <w:top w:val="nil"/>
              <w:left w:val="nil"/>
              <w:bottom w:val="single" w:sz="4" w:space="0" w:color="auto"/>
              <w:right w:val="single" w:sz="4" w:space="0" w:color="auto"/>
            </w:tcBorders>
            <w:shd w:val="clear" w:color="000000" w:fill="C1F0C8"/>
            <w:noWrap/>
            <w:vAlign w:val="bottom"/>
            <w:hideMark/>
          </w:tcPr>
          <w:p w14:paraId="7A69E107"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14,822 </w:t>
            </w:r>
          </w:p>
        </w:tc>
        <w:tc>
          <w:tcPr>
            <w:tcW w:w="1268" w:type="dxa"/>
            <w:tcBorders>
              <w:top w:val="nil"/>
              <w:left w:val="nil"/>
              <w:bottom w:val="single" w:sz="4" w:space="0" w:color="auto"/>
              <w:right w:val="single" w:sz="4" w:space="0" w:color="auto"/>
            </w:tcBorders>
            <w:shd w:val="clear" w:color="000000" w:fill="C1F0C8"/>
            <w:noWrap/>
            <w:vAlign w:val="bottom"/>
            <w:hideMark/>
          </w:tcPr>
          <w:p w14:paraId="4AEAD103"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25,190 </w:t>
            </w:r>
          </w:p>
        </w:tc>
        <w:tc>
          <w:tcPr>
            <w:tcW w:w="1268" w:type="dxa"/>
            <w:tcBorders>
              <w:top w:val="nil"/>
              <w:left w:val="nil"/>
              <w:bottom w:val="single" w:sz="4" w:space="0" w:color="auto"/>
              <w:right w:val="single" w:sz="4" w:space="0" w:color="auto"/>
            </w:tcBorders>
            <w:shd w:val="clear" w:color="000000" w:fill="C1F0C8"/>
            <w:noWrap/>
            <w:vAlign w:val="bottom"/>
            <w:hideMark/>
          </w:tcPr>
          <w:p w14:paraId="2D614984"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10,926 </w:t>
            </w:r>
          </w:p>
        </w:tc>
        <w:tc>
          <w:tcPr>
            <w:tcW w:w="1086" w:type="dxa"/>
            <w:tcBorders>
              <w:top w:val="nil"/>
              <w:left w:val="nil"/>
              <w:bottom w:val="single" w:sz="4" w:space="0" w:color="auto"/>
              <w:right w:val="single" w:sz="4" w:space="0" w:color="auto"/>
            </w:tcBorders>
            <w:shd w:val="clear" w:color="000000" w:fill="C1F0C8"/>
            <w:noWrap/>
            <w:vAlign w:val="bottom"/>
            <w:hideMark/>
          </w:tcPr>
          <w:p w14:paraId="084E163D"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35,009 </w:t>
            </w:r>
          </w:p>
        </w:tc>
        <w:tc>
          <w:tcPr>
            <w:tcW w:w="1270" w:type="dxa"/>
            <w:tcBorders>
              <w:top w:val="nil"/>
              <w:left w:val="nil"/>
              <w:bottom w:val="single" w:sz="4" w:space="0" w:color="auto"/>
              <w:right w:val="single" w:sz="8" w:space="0" w:color="auto"/>
            </w:tcBorders>
            <w:shd w:val="clear" w:color="000000" w:fill="C1F0C8"/>
            <w:noWrap/>
            <w:vAlign w:val="bottom"/>
            <w:hideMark/>
          </w:tcPr>
          <w:p w14:paraId="36B7C800"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81,458 </w:t>
            </w:r>
          </w:p>
        </w:tc>
      </w:tr>
      <w:tr w:rsidR="00047D0B" w:rsidRPr="00A343CD" w14:paraId="248948BC" w14:textId="77777777" w:rsidTr="00C563B5">
        <w:trPr>
          <w:trHeight w:val="692"/>
        </w:trPr>
        <w:tc>
          <w:tcPr>
            <w:tcW w:w="3500" w:type="dxa"/>
            <w:tcBorders>
              <w:top w:val="nil"/>
              <w:left w:val="single" w:sz="8" w:space="0" w:color="auto"/>
              <w:bottom w:val="single" w:sz="4" w:space="0" w:color="auto"/>
              <w:right w:val="single" w:sz="4" w:space="0" w:color="auto"/>
            </w:tcBorders>
            <w:shd w:val="clear" w:color="000000" w:fill="FBE2D5"/>
            <w:noWrap/>
            <w:vAlign w:val="bottom"/>
            <w:hideMark/>
          </w:tcPr>
          <w:p w14:paraId="327258C1"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Net cash provided by (used for) operating activities</w:t>
            </w:r>
          </w:p>
        </w:tc>
        <w:tc>
          <w:tcPr>
            <w:tcW w:w="1177" w:type="dxa"/>
            <w:tcBorders>
              <w:top w:val="nil"/>
              <w:left w:val="nil"/>
              <w:bottom w:val="single" w:sz="4" w:space="0" w:color="auto"/>
              <w:right w:val="single" w:sz="4" w:space="0" w:color="auto"/>
            </w:tcBorders>
            <w:shd w:val="clear" w:color="000000" w:fill="FBE2D5"/>
            <w:noWrap/>
            <w:vAlign w:val="bottom"/>
            <w:hideMark/>
          </w:tcPr>
          <w:p w14:paraId="67C3BAE1"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14,822 </w:t>
            </w:r>
          </w:p>
        </w:tc>
        <w:tc>
          <w:tcPr>
            <w:tcW w:w="1268" w:type="dxa"/>
            <w:tcBorders>
              <w:top w:val="nil"/>
              <w:left w:val="nil"/>
              <w:bottom w:val="single" w:sz="4" w:space="0" w:color="auto"/>
              <w:right w:val="single" w:sz="4" w:space="0" w:color="auto"/>
            </w:tcBorders>
            <w:shd w:val="clear" w:color="000000" w:fill="FBE2D5"/>
            <w:noWrap/>
            <w:vAlign w:val="bottom"/>
            <w:hideMark/>
          </w:tcPr>
          <w:p w14:paraId="5AE5309D"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25,190 </w:t>
            </w:r>
          </w:p>
        </w:tc>
        <w:tc>
          <w:tcPr>
            <w:tcW w:w="1268" w:type="dxa"/>
            <w:tcBorders>
              <w:top w:val="nil"/>
              <w:left w:val="nil"/>
              <w:bottom w:val="single" w:sz="4" w:space="0" w:color="auto"/>
              <w:right w:val="single" w:sz="4" w:space="0" w:color="auto"/>
            </w:tcBorders>
            <w:shd w:val="clear" w:color="000000" w:fill="FBE2D5"/>
            <w:noWrap/>
            <w:vAlign w:val="bottom"/>
            <w:hideMark/>
          </w:tcPr>
          <w:p w14:paraId="2586DFF0"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10,926 </w:t>
            </w:r>
          </w:p>
        </w:tc>
        <w:tc>
          <w:tcPr>
            <w:tcW w:w="1086" w:type="dxa"/>
            <w:tcBorders>
              <w:top w:val="nil"/>
              <w:left w:val="nil"/>
              <w:bottom w:val="single" w:sz="4" w:space="0" w:color="auto"/>
              <w:right w:val="single" w:sz="4" w:space="0" w:color="auto"/>
            </w:tcBorders>
            <w:shd w:val="clear" w:color="000000" w:fill="FBE2D5"/>
            <w:noWrap/>
            <w:vAlign w:val="bottom"/>
            <w:hideMark/>
          </w:tcPr>
          <w:p w14:paraId="4249B90D" w14:textId="77777777" w:rsidR="00047D0B" w:rsidRPr="00A343CD" w:rsidRDefault="00047D0B" w:rsidP="00C563B5">
            <w:pPr>
              <w:spacing w:after="0" w:line="276" w:lineRule="auto"/>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40,283 </w:t>
            </w:r>
          </w:p>
        </w:tc>
        <w:tc>
          <w:tcPr>
            <w:tcW w:w="1270" w:type="dxa"/>
            <w:tcBorders>
              <w:top w:val="nil"/>
              <w:left w:val="nil"/>
              <w:bottom w:val="single" w:sz="4" w:space="0" w:color="auto"/>
              <w:right w:val="single" w:sz="8" w:space="0" w:color="auto"/>
            </w:tcBorders>
            <w:shd w:val="clear" w:color="000000" w:fill="FBE2D5"/>
            <w:noWrap/>
            <w:vAlign w:val="bottom"/>
            <w:hideMark/>
          </w:tcPr>
          <w:p w14:paraId="214D10C6" w14:textId="77777777" w:rsidR="00047D0B" w:rsidRPr="00A343CD" w:rsidRDefault="00047D0B" w:rsidP="00C563B5">
            <w:pPr>
              <w:spacing w:after="0" w:line="276" w:lineRule="auto"/>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73,392 </w:t>
            </w:r>
          </w:p>
        </w:tc>
      </w:tr>
      <w:tr w:rsidR="00047D0B" w:rsidRPr="00A343CD" w14:paraId="258478F3"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1B80EB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Purchase of term deposit</w:t>
            </w:r>
          </w:p>
        </w:tc>
        <w:tc>
          <w:tcPr>
            <w:tcW w:w="1177" w:type="dxa"/>
            <w:tcBorders>
              <w:top w:val="nil"/>
              <w:left w:val="nil"/>
              <w:bottom w:val="single" w:sz="4" w:space="0" w:color="auto"/>
              <w:right w:val="single" w:sz="4" w:space="0" w:color="auto"/>
            </w:tcBorders>
            <w:noWrap/>
            <w:vAlign w:val="bottom"/>
            <w:hideMark/>
          </w:tcPr>
          <w:p w14:paraId="4D1A5C93"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075E4D2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47C3355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(7,487)</w:t>
            </w:r>
          </w:p>
        </w:tc>
        <w:tc>
          <w:tcPr>
            <w:tcW w:w="1086" w:type="dxa"/>
            <w:tcBorders>
              <w:top w:val="nil"/>
              <w:left w:val="nil"/>
              <w:bottom w:val="single" w:sz="4" w:space="0" w:color="auto"/>
              <w:right w:val="single" w:sz="4" w:space="0" w:color="auto"/>
            </w:tcBorders>
            <w:noWrap/>
            <w:vAlign w:val="bottom"/>
            <w:hideMark/>
          </w:tcPr>
          <w:p w14:paraId="26E18EA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70" w:type="dxa"/>
            <w:tcBorders>
              <w:top w:val="nil"/>
              <w:left w:val="nil"/>
              <w:bottom w:val="single" w:sz="4" w:space="0" w:color="auto"/>
              <w:right w:val="single" w:sz="8" w:space="0" w:color="auto"/>
            </w:tcBorders>
            <w:noWrap/>
            <w:vAlign w:val="bottom"/>
            <w:hideMark/>
          </w:tcPr>
          <w:p w14:paraId="362ADD9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r>
      <w:tr w:rsidR="00047D0B" w:rsidRPr="00A343CD" w14:paraId="374225FF"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6620BC7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Redemption of term deposit</w:t>
            </w:r>
          </w:p>
        </w:tc>
        <w:tc>
          <w:tcPr>
            <w:tcW w:w="1177" w:type="dxa"/>
            <w:tcBorders>
              <w:top w:val="nil"/>
              <w:left w:val="nil"/>
              <w:bottom w:val="single" w:sz="4" w:space="0" w:color="auto"/>
              <w:right w:val="single" w:sz="4" w:space="0" w:color="auto"/>
            </w:tcBorders>
            <w:noWrap/>
            <w:vAlign w:val="bottom"/>
            <w:hideMark/>
          </w:tcPr>
          <w:p w14:paraId="10EC3326"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5072F89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65B6C29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7,803 </w:t>
            </w:r>
          </w:p>
        </w:tc>
        <w:tc>
          <w:tcPr>
            <w:tcW w:w="1086" w:type="dxa"/>
            <w:tcBorders>
              <w:top w:val="nil"/>
              <w:left w:val="nil"/>
              <w:bottom w:val="single" w:sz="4" w:space="0" w:color="auto"/>
              <w:right w:val="single" w:sz="4" w:space="0" w:color="auto"/>
            </w:tcBorders>
            <w:noWrap/>
            <w:vAlign w:val="bottom"/>
            <w:hideMark/>
          </w:tcPr>
          <w:p w14:paraId="2F550F7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70" w:type="dxa"/>
            <w:tcBorders>
              <w:top w:val="nil"/>
              <w:left w:val="nil"/>
              <w:bottom w:val="single" w:sz="4" w:space="0" w:color="auto"/>
              <w:right w:val="single" w:sz="8" w:space="0" w:color="auto"/>
            </w:tcBorders>
            <w:noWrap/>
            <w:vAlign w:val="bottom"/>
            <w:hideMark/>
          </w:tcPr>
          <w:p w14:paraId="6D3F7A4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r>
      <w:tr w:rsidR="00047D0B" w:rsidRPr="00A343CD" w14:paraId="793638A0"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7FB8706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Acquisition of the net assets</w:t>
            </w:r>
          </w:p>
        </w:tc>
        <w:tc>
          <w:tcPr>
            <w:tcW w:w="1177" w:type="dxa"/>
            <w:tcBorders>
              <w:top w:val="nil"/>
              <w:left w:val="nil"/>
              <w:bottom w:val="single" w:sz="4" w:space="0" w:color="auto"/>
              <w:right w:val="single" w:sz="4" w:space="0" w:color="auto"/>
            </w:tcBorders>
            <w:noWrap/>
            <w:vAlign w:val="bottom"/>
            <w:hideMark/>
          </w:tcPr>
          <w:p w14:paraId="61BC947A"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1A98F8B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798B647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(939)</w:t>
            </w:r>
          </w:p>
        </w:tc>
        <w:tc>
          <w:tcPr>
            <w:tcW w:w="1086" w:type="dxa"/>
            <w:tcBorders>
              <w:top w:val="nil"/>
              <w:left w:val="nil"/>
              <w:bottom w:val="single" w:sz="4" w:space="0" w:color="auto"/>
              <w:right w:val="single" w:sz="4" w:space="0" w:color="auto"/>
            </w:tcBorders>
            <w:noWrap/>
            <w:vAlign w:val="bottom"/>
            <w:hideMark/>
          </w:tcPr>
          <w:p w14:paraId="739B1CF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70" w:type="dxa"/>
            <w:tcBorders>
              <w:top w:val="nil"/>
              <w:left w:val="nil"/>
              <w:bottom w:val="single" w:sz="4" w:space="0" w:color="auto"/>
              <w:right w:val="single" w:sz="8" w:space="0" w:color="auto"/>
            </w:tcBorders>
            <w:noWrap/>
            <w:vAlign w:val="bottom"/>
            <w:hideMark/>
          </w:tcPr>
          <w:p w14:paraId="20B274C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r>
      <w:tr w:rsidR="00047D0B" w:rsidRPr="00A343CD" w14:paraId="61728C15"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30273F8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lastRenderedPageBreak/>
              <w:t>Acquisition of property, plant, and equipment</w:t>
            </w:r>
          </w:p>
        </w:tc>
        <w:tc>
          <w:tcPr>
            <w:tcW w:w="1177" w:type="dxa"/>
            <w:tcBorders>
              <w:top w:val="nil"/>
              <w:left w:val="nil"/>
              <w:bottom w:val="single" w:sz="4" w:space="0" w:color="auto"/>
              <w:right w:val="single" w:sz="4" w:space="0" w:color="auto"/>
            </w:tcBorders>
            <w:noWrap/>
            <w:vAlign w:val="bottom"/>
            <w:hideMark/>
          </w:tcPr>
          <w:p w14:paraId="6CBCB2A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(4,572)</w:t>
            </w:r>
          </w:p>
        </w:tc>
        <w:tc>
          <w:tcPr>
            <w:tcW w:w="1268" w:type="dxa"/>
            <w:tcBorders>
              <w:top w:val="nil"/>
              <w:left w:val="nil"/>
              <w:bottom w:val="single" w:sz="4" w:space="0" w:color="auto"/>
              <w:right w:val="single" w:sz="4" w:space="0" w:color="auto"/>
            </w:tcBorders>
            <w:noWrap/>
            <w:vAlign w:val="bottom"/>
            <w:hideMark/>
          </w:tcPr>
          <w:p w14:paraId="1E1E624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(8,116)</w:t>
            </w:r>
          </w:p>
        </w:tc>
        <w:tc>
          <w:tcPr>
            <w:tcW w:w="1268" w:type="dxa"/>
            <w:tcBorders>
              <w:top w:val="nil"/>
              <w:left w:val="nil"/>
              <w:bottom w:val="single" w:sz="4" w:space="0" w:color="auto"/>
              <w:right w:val="single" w:sz="4" w:space="0" w:color="auto"/>
            </w:tcBorders>
            <w:noWrap/>
            <w:vAlign w:val="bottom"/>
            <w:hideMark/>
          </w:tcPr>
          <w:p w14:paraId="0EACD48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(14,006)</w:t>
            </w:r>
          </w:p>
        </w:tc>
        <w:tc>
          <w:tcPr>
            <w:tcW w:w="1086" w:type="dxa"/>
            <w:tcBorders>
              <w:top w:val="nil"/>
              <w:left w:val="nil"/>
              <w:bottom w:val="single" w:sz="4" w:space="0" w:color="auto"/>
              <w:right w:val="single" w:sz="4" w:space="0" w:color="auto"/>
            </w:tcBorders>
            <w:noWrap/>
            <w:vAlign w:val="bottom"/>
            <w:hideMark/>
          </w:tcPr>
          <w:p w14:paraId="1760E76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(12,586)</w:t>
            </w:r>
          </w:p>
        </w:tc>
        <w:tc>
          <w:tcPr>
            <w:tcW w:w="1270" w:type="dxa"/>
            <w:tcBorders>
              <w:top w:val="nil"/>
              <w:left w:val="nil"/>
              <w:bottom w:val="single" w:sz="4" w:space="0" w:color="auto"/>
              <w:right w:val="single" w:sz="8" w:space="0" w:color="auto"/>
            </w:tcBorders>
            <w:noWrap/>
            <w:vAlign w:val="bottom"/>
            <w:hideMark/>
          </w:tcPr>
          <w:p w14:paraId="7B9A170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(16,862)</w:t>
            </w:r>
          </w:p>
        </w:tc>
      </w:tr>
      <w:tr w:rsidR="00047D0B" w:rsidRPr="00A343CD" w14:paraId="460D6B07"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0274FD5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Acquisition of intangible assets</w:t>
            </w:r>
          </w:p>
        </w:tc>
        <w:tc>
          <w:tcPr>
            <w:tcW w:w="1177" w:type="dxa"/>
            <w:tcBorders>
              <w:top w:val="nil"/>
              <w:left w:val="nil"/>
              <w:bottom w:val="single" w:sz="4" w:space="0" w:color="auto"/>
              <w:right w:val="single" w:sz="4" w:space="0" w:color="auto"/>
            </w:tcBorders>
            <w:noWrap/>
            <w:vAlign w:val="bottom"/>
            <w:hideMark/>
          </w:tcPr>
          <w:p w14:paraId="5D27A1C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(3,856)</w:t>
            </w:r>
          </w:p>
        </w:tc>
        <w:tc>
          <w:tcPr>
            <w:tcW w:w="1268" w:type="dxa"/>
            <w:tcBorders>
              <w:top w:val="nil"/>
              <w:left w:val="nil"/>
              <w:bottom w:val="single" w:sz="4" w:space="0" w:color="auto"/>
              <w:right w:val="single" w:sz="4" w:space="0" w:color="auto"/>
            </w:tcBorders>
            <w:noWrap/>
            <w:vAlign w:val="bottom"/>
            <w:hideMark/>
          </w:tcPr>
          <w:p w14:paraId="54776CA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(5,761)</w:t>
            </w:r>
          </w:p>
        </w:tc>
        <w:tc>
          <w:tcPr>
            <w:tcW w:w="1268" w:type="dxa"/>
            <w:tcBorders>
              <w:top w:val="nil"/>
              <w:left w:val="nil"/>
              <w:bottom w:val="single" w:sz="4" w:space="0" w:color="auto"/>
              <w:right w:val="single" w:sz="4" w:space="0" w:color="auto"/>
            </w:tcBorders>
            <w:noWrap/>
            <w:vAlign w:val="bottom"/>
            <w:hideMark/>
          </w:tcPr>
          <w:p w14:paraId="0490F79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(6,579)</w:t>
            </w:r>
          </w:p>
        </w:tc>
        <w:tc>
          <w:tcPr>
            <w:tcW w:w="1086" w:type="dxa"/>
            <w:tcBorders>
              <w:top w:val="nil"/>
              <w:left w:val="nil"/>
              <w:bottom w:val="single" w:sz="4" w:space="0" w:color="auto"/>
              <w:right w:val="single" w:sz="4" w:space="0" w:color="auto"/>
            </w:tcBorders>
            <w:noWrap/>
            <w:vAlign w:val="bottom"/>
            <w:hideMark/>
          </w:tcPr>
          <w:p w14:paraId="48777EC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(4,455)</w:t>
            </w:r>
          </w:p>
        </w:tc>
        <w:tc>
          <w:tcPr>
            <w:tcW w:w="1270" w:type="dxa"/>
            <w:tcBorders>
              <w:top w:val="nil"/>
              <w:left w:val="nil"/>
              <w:bottom w:val="single" w:sz="4" w:space="0" w:color="auto"/>
              <w:right w:val="single" w:sz="8" w:space="0" w:color="auto"/>
            </w:tcBorders>
            <w:noWrap/>
            <w:vAlign w:val="bottom"/>
            <w:hideMark/>
          </w:tcPr>
          <w:p w14:paraId="2B46613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(6,372)</w:t>
            </w:r>
          </w:p>
        </w:tc>
      </w:tr>
      <w:tr w:rsidR="00047D0B" w:rsidRPr="00A343CD" w14:paraId="207B001E" w14:textId="77777777" w:rsidTr="00C563B5">
        <w:trPr>
          <w:trHeight w:val="692"/>
        </w:trPr>
        <w:tc>
          <w:tcPr>
            <w:tcW w:w="3500" w:type="dxa"/>
            <w:tcBorders>
              <w:top w:val="nil"/>
              <w:left w:val="single" w:sz="8" w:space="0" w:color="auto"/>
              <w:bottom w:val="single" w:sz="4" w:space="0" w:color="auto"/>
              <w:right w:val="single" w:sz="4" w:space="0" w:color="auto"/>
            </w:tcBorders>
            <w:shd w:val="clear" w:color="000000" w:fill="C1F0C8"/>
            <w:noWrap/>
            <w:vAlign w:val="bottom"/>
            <w:hideMark/>
          </w:tcPr>
          <w:p w14:paraId="0BCFCDC7"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Net cash provided by (used for) investing activities</w:t>
            </w:r>
          </w:p>
        </w:tc>
        <w:tc>
          <w:tcPr>
            <w:tcW w:w="1177" w:type="dxa"/>
            <w:tcBorders>
              <w:top w:val="nil"/>
              <w:left w:val="nil"/>
              <w:bottom w:val="single" w:sz="4" w:space="0" w:color="auto"/>
              <w:right w:val="single" w:sz="4" w:space="0" w:color="auto"/>
            </w:tcBorders>
            <w:shd w:val="clear" w:color="000000" w:fill="C1F0C8"/>
            <w:noWrap/>
            <w:vAlign w:val="bottom"/>
            <w:hideMark/>
          </w:tcPr>
          <w:p w14:paraId="3E1603CA"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(8,428)</w:t>
            </w:r>
          </w:p>
        </w:tc>
        <w:tc>
          <w:tcPr>
            <w:tcW w:w="1268" w:type="dxa"/>
            <w:tcBorders>
              <w:top w:val="nil"/>
              <w:left w:val="nil"/>
              <w:bottom w:val="single" w:sz="4" w:space="0" w:color="auto"/>
              <w:right w:val="single" w:sz="4" w:space="0" w:color="auto"/>
            </w:tcBorders>
            <w:shd w:val="clear" w:color="000000" w:fill="C1F0C8"/>
            <w:noWrap/>
            <w:vAlign w:val="bottom"/>
            <w:hideMark/>
          </w:tcPr>
          <w:p w14:paraId="6D9C3492"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(13,877)</w:t>
            </w:r>
          </w:p>
        </w:tc>
        <w:tc>
          <w:tcPr>
            <w:tcW w:w="1268" w:type="dxa"/>
            <w:tcBorders>
              <w:top w:val="nil"/>
              <w:left w:val="nil"/>
              <w:bottom w:val="single" w:sz="4" w:space="0" w:color="auto"/>
              <w:right w:val="single" w:sz="4" w:space="0" w:color="auto"/>
            </w:tcBorders>
            <w:shd w:val="clear" w:color="000000" w:fill="C1F0C8"/>
            <w:noWrap/>
            <w:vAlign w:val="bottom"/>
            <w:hideMark/>
          </w:tcPr>
          <w:p w14:paraId="1C99BD3A"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(21,208)</w:t>
            </w:r>
          </w:p>
        </w:tc>
        <w:tc>
          <w:tcPr>
            <w:tcW w:w="1086" w:type="dxa"/>
            <w:tcBorders>
              <w:top w:val="nil"/>
              <w:left w:val="nil"/>
              <w:bottom w:val="single" w:sz="4" w:space="0" w:color="auto"/>
              <w:right w:val="single" w:sz="4" w:space="0" w:color="auto"/>
            </w:tcBorders>
            <w:shd w:val="clear" w:color="000000" w:fill="C1F0C8"/>
            <w:noWrap/>
            <w:vAlign w:val="bottom"/>
            <w:hideMark/>
          </w:tcPr>
          <w:p w14:paraId="50FD1B08"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(17,041)</w:t>
            </w:r>
          </w:p>
        </w:tc>
        <w:tc>
          <w:tcPr>
            <w:tcW w:w="1270" w:type="dxa"/>
            <w:tcBorders>
              <w:top w:val="nil"/>
              <w:left w:val="nil"/>
              <w:bottom w:val="single" w:sz="4" w:space="0" w:color="auto"/>
              <w:right w:val="single" w:sz="8" w:space="0" w:color="auto"/>
            </w:tcBorders>
            <w:shd w:val="clear" w:color="000000" w:fill="C1F0C8"/>
            <w:noWrap/>
            <w:vAlign w:val="bottom"/>
            <w:hideMark/>
          </w:tcPr>
          <w:p w14:paraId="1902EE41"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(23,234)</w:t>
            </w:r>
          </w:p>
        </w:tc>
      </w:tr>
      <w:tr w:rsidR="00047D0B" w:rsidRPr="00A343CD" w14:paraId="1A48D79D"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FBE2D5"/>
            <w:noWrap/>
            <w:vAlign w:val="bottom"/>
            <w:hideMark/>
          </w:tcPr>
          <w:p w14:paraId="29C043D6"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Net cash provided by (used for) investing activities Given Value</w:t>
            </w:r>
          </w:p>
        </w:tc>
        <w:tc>
          <w:tcPr>
            <w:tcW w:w="1177" w:type="dxa"/>
            <w:tcBorders>
              <w:top w:val="nil"/>
              <w:left w:val="nil"/>
              <w:bottom w:val="single" w:sz="4" w:space="0" w:color="auto"/>
              <w:right w:val="single" w:sz="4" w:space="0" w:color="auto"/>
            </w:tcBorders>
            <w:shd w:val="clear" w:color="000000" w:fill="FBE2D5"/>
            <w:noWrap/>
            <w:vAlign w:val="bottom"/>
            <w:hideMark/>
          </w:tcPr>
          <w:p w14:paraId="4FF7206A"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(8,428)</w:t>
            </w:r>
          </w:p>
        </w:tc>
        <w:tc>
          <w:tcPr>
            <w:tcW w:w="1268" w:type="dxa"/>
            <w:tcBorders>
              <w:top w:val="nil"/>
              <w:left w:val="nil"/>
              <w:bottom w:val="single" w:sz="4" w:space="0" w:color="auto"/>
              <w:right w:val="single" w:sz="4" w:space="0" w:color="auto"/>
            </w:tcBorders>
            <w:shd w:val="clear" w:color="000000" w:fill="FBE2D5"/>
            <w:noWrap/>
            <w:vAlign w:val="bottom"/>
            <w:hideMark/>
          </w:tcPr>
          <w:p w14:paraId="56A35AC6"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(13,877)</w:t>
            </w:r>
          </w:p>
        </w:tc>
        <w:tc>
          <w:tcPr>
            <w:tcW w:w="1268" w:type="dxa"/>
            <w:tcBorders>
              <w:top w:val="nil"/>
              <w:left w:val="nil"/>
              <w:bottom w:val="single" w:sz="4" w:space="0" w:color="auto"/>
              <w:right w:val="single" w:sz="4" w:space="0" w:color="auto"/>
            </w:tcBorders>
            <w:shd w:val="clear" w:color="000000" w:fill="FBE2D5"/>
            <w:noWrap/>
            <w:vAlign w:val="bottom"/>
            <w:hideMark/>
          </w:tcPr>
          <w:p w14:paraId="53DE36B8"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21,208 </w:t>
            </w:r>
          </w:p>
        </w:tc>
        <w:tc>
          <w:tcPr>
            <w:tcW w:w="1086" w:type="dxa"/>
            <w:tcBorders>
              <w:top w:val="nil"/>
              <w:left w:val="nil"/>
              <w:bottom w:val="single" w:sz="4" w:space="0" w:color="auto"/>
              <w:right w:val="single" w:sz="4" w:space="0" w:color="auto"/>
            </w:tcBorders>
            <w:shd w:val="clear" w:color="000000" w:fill="FBE2D5"/>
            <w:noWrap/>
            <w:vAlign w:val="bottom"/>
            <w:hideMark/>
          </w:tcPr>
          <w:p w14:paraId="0EE6140D"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17,041 </w:t>
            </w:r>
          </w:p>
        </w:tc>
        <w:tc>
          <w:tcPr>
            <w:tcW w:w="1270" w:type="dxa"/>
            <w:tcBorders>
              <w:top w:val="nil"/>
              <w:left w:val="nil"/>
              <w:bottom w:val="single" w:sz="4" w:space="0" w:color="auto"/>
              <w:right w:val="single" w:sz="8" w:space="0" w:color="auto"/>
            </w:tcBorders>
            <w:shd w:val="clear" w:color="000000" w:fill="FBE2D5"/>
            <w:noWrap/>
            <w:vAlign w:val="bottom"/>
            <w:hideMark/>
          </w:tcPr>
          <w:p w14:paraId="2B9BFD15"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23,734 </w:t>
            </w:r>
          </w:p>
        </w:tc>
      </w:tr>
      <w:tr w:rsidR="00047D0B" w:rsidRPr="00A343CD" w14:paraId="7CE14B8C"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7784525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Borrowings under lines of credit</w:t>
            </w:r>
          </w:p>
        </w:tc>
        <w:tc>
          <w:tcPr>
            <w:tcW w:w="1177" w:type="dxa"/>
            <w:tcBorders>
              <w:top w:val="nil"/>
              <w:left w:val="nil"/>
              <w:bottom w:val="single" w:sz="4" w:space="0" w:color="auto"/>
              <w:right w:val="single" w:sz="4" w:space="0" w:color="auto"/>
            </w:tcBorders>
            <w:noWrap/>
            <w:vAlign w:val="bottom"/>
            <w:hideMark/>
          </w:tcPr>
          <w:p w14:paraId="2A5899B2"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102,193 </w:t>
            </w:r>
          </w:p>
        </w:tc>
        <w:tc>
          <w:tcPr>
            <w:tcW w:w="1268" w:type="dxa"/>
            <w:tcBorders>
              <w:top w:val="nil"/>
              <w:left w:val="nil"/>
              <w:bottom w:val="single" w:sz="4" w:space="0" w:color="auto"/>
              <w:right w:val="single" w:sz="4" w:space="0" w:color="auto"/>
            </w:tcBorders>
            <w:noWrap/>
            <w:vAlign w:val="bottom"/>
            <w:hideMark/>
          </w:tcPr>
          <w:p w14:paraId="240D085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78,000 </w:t>
            </w:r>
          </w:p>
        </w:tc>
        <w:tc>
          <w:tcPr>
            <w:tcW w:w="1268" w:type="dxa"/>
            <w:tcBorders>
              <w:top w:val="nil"/>
              <w:left w:val="nil"/>
              <w:bottom w:val="single" w:sz="4" w:space="0" w:color="auto"/>
              <w:right w:val="single" w:sz="4" w:space="0" w:color="auto"/>
            </w:tcBorders>
            <w:noWrap/>
            <w:vAlign w:val="bottom"/>
            <w:hideMark/>
          </w:tcPr>
          <w:p w14:paraId="230516A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133,000 </w:t>
            </w:r>
          </w:p>
        </w:tc>
        <w:tc>
          <w:tcPr>
            <w:tcW w:w="1086" w:type="dxa"/>
            <w:tcBorders>
              <w:top w:val="nil"/>
              <w:left w:val="nil"/>
              <w:bottom w:val="single" w:sz="4" w:space="0" w:color="auto"/>
              <w:right w:val="single" w:sz="4" w:space="0" w:color="auto"/>
            </w:tcBorders>
            <w:noWrap/>
            <w:vAlign w:val="bottom"/>
            <w:hideMark/>
          </w:tcPr>
          <w:p w14:paraId="15427E2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112,000 </w:t>
            </w:r>
          </w:p>
        </w:tc>
        <w:tc>
          <w:tcPr>
            <w:tcW w:w="1270" w:type="dxa"/>
            <w:tcBorders>
              <w:top w:val="nil"/>
              <w:left w:val="nil"/>
              <w:bottom w:val="single" w:sz="4" w:space="0" w:color="auto"/>
              <w:right w:val="single" w:sz="8" w:space="0" w:color="auto"/>
            </w:tcBorders>
            <w:noWrap/>
            <w:vAlign w:val="bottom"/>
            <w:hideMark/>
          </w:tcPr>
          <w:p w14:paraId="32EE5936"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75,000 </w:t>
            </w:r>
          </w:p>
        </w:tc>
      </w:tr>
      <w:tr w:rsidR="00047D0B" w:rsidRPr="00A343CD" w14:paraId="159F8497"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6A1C3F61"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Repayments on lines of credit</w:t>
            </w:r>
          </w:p>
        </w:tc>
        <w:tc>
          <w:tcPr>
            <w:tcW w:w="1177" w:type="dxa"/>
            <w:tcBorders>
              <w:top w:val="nil"/>
              <w:left w:val="nil"/>
              <w:bottom w:val="single" w:sz="4" w:space="0" w:color="auto"/>
              <w:right w:val="single" w:sz="4" w:space="0" w:color="auto"/>
            </w:tcBorders>
            <w:noWrap/>
            <w:vAlign w:val="bottom"/>
            <w:hideMark/>
          </w:tcPr>
          <w:p w14:paraId="58B8607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(120,000)</w:t>
            </w:r>
          </w:p>
        </w:tc>
        <w:tc>
          <w:tcPr>
            <w:tcW w:w="1268" w:type="dxa"/>
            <w:tcBorders>
              <w:top w:val="nil"/>
              <w:left w:val="nil"/>
              <w:bottom w:val="single" w:sz="4" w:space="0" w:color="auto"/>
              <w:right w:val="single" w:sz="4" w:space="0" w:color="auto"/>
            </w:tcBorders>
            <w:noWrap/>
            <w:vAlign w:val="bottom"/>
            <w:hideMark/>
          </w:tcPr>
          <w:p w14:paraId="3459116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(111,000)</w:t>
            </w:r>
          </w:p>
        </w:tc>
        <w:tc>
          <w:tcPr>
            <w:tcW w:w="1268" w:type="dxa"/>
            <w:tcBorders>
              <w:top w:val="nil"/>
              <w:left w:val="nil"/>
              <w:bottom w:val="single" w:sz="4" w:space="0" w:color="auto"/>
              <w:right w:val="single" w:sz="4" w:space="0" w:color="auto"/>
            </w:tcBorders>
            <w:noWrap/>
            <w:vAlign w:val="bottom"/>
            <w:hideMark/>
          </w:tcPr>
          <w:p w14:paraId="57FDF01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(101,000)</w:t>
            </w:r>
          </w:p>
        </w:tc>
        <w:tc>
          <w:tcPr>
            <w:tcW w:w="1086" w:type="dxa"/>
            <w:tcBorders>
              <w:top w:val="nil"/>
              <w:left w:val="nil"/>
              <w:bottom w:val="single" w:sz="4" w:space="0" w:color="auto"/>
              <w:right w:val="single" w:sz="4" w:space="0" w:color="auto"/>
            </w:tcBorders>
            <w:noWrap/>
            <w:vAlign w:val="bottom"/>
            <w:hideMark/>
          </w:tcPr>
          <w:p w14:paraId="43F0815D"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(76,000)</w:t>
            </w:r>
          </w:p>
        </w:tc>
        <w:tc>
          <w:tcPr>
            <w:tcW w:w="1270" w:type="dxa"/>
            <w:tcBorders>
              <w:top w:val="nil"/>
              <w:left w:val="nil"/>
              <w:bottom w:val="single" w:sz="4" w:space="0" w:color="auto"/>
              <w:right w:val="single" w:sz="8" w:space="0" w:color="auto"/>
            </w:tcBorders>
            <w:noWrap/>
            <w:vAlign w:val="bottom"/>
            <w:hideMark/>
          </w:tcPr>
          <w:p w14:paraId="7C9FB2E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(123,000)</w:t>
            </w:r>
          </w:p>
        </w:tc>
      </w:tr>
      <w:tr w:rsidR="00047D0B" w:rsidRPr="00A343CD" w14:paraId="65A29667"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23AE56B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Proceeds from stock option exercised</w:t>
            </w:r>
          </w:p>
        </w:tc>
        <w:tc>
          <w:tcPr>
            <w:tcW w:w="1177" w:type="dxa"/>
            <w:tcBorders>
              <w:top w:val="nil"/>
              <w:left w:val="nil"/>
              <w:bottom w:val="single" w:sz="4" w:space="0" w:color="auto"/>
              <w:right w:val="single" w:sz="4" w:space="0" w:color="auto"/>
            </w:tcBorders>
            <w:noWrap/>
            <w:vAlign w:val="bottom"/>
            <w:hideMark/>
          </w:tcPr>
          <w:p w14:paraId="72419DB8"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5A4C839E"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4462344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1,536 </w:t>
            </w:r>
          </w:p>
        </w:tc>
        <w:tc>
          <w:tcPr>
            <w:tcW w:w="1086" w:type="dxa"/>
            <w:tcBorders>
              <w:top w:val="nil"/>
              <w:left w:val="nil"/>
              <w:bottom w:val="single" w:sz="4" w:space="0" w:color="auto"/>
              <w:right w:val="single" w:sz="4" w:space="0" w:color="auto"/>
            </w:tcBorders>
            <w:noWrap/>
            <w:vAlign w:val="bottom"/>
            <w:hideMark/>
          </w:tcPr>
          <w:p w14:paraId="067BF5D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1,638 </w:t>
            </w:r>
          </w:p>
        </w:tc>
        <w:tc>
          <w:tcPr>
            <w:tcW w:w="1270" w:type="dxa"/>
            <w:tcBorders>
              <w:top w:val="nil"/>
              <w:left w:val="nil"/>
              <w:bottom w:val="single" w:sz="4" w:space="0" w:color="auto"/>
              <w:right w:val="single" w:sz="8" w:space="0" w:color="auto"/>
            </w:tcBorders>
            <w:noWrap/>
            <w:vAlign w:val="bottom"/>
            <w:hideMark/>
          </w:tcPr>
          <w:p w14:paraId="5C91EF9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2,805 </w:t>
            </w:r>
          </w:p>
        </w:tc>
      </w:tr>
      <w:tr w:rsidR="00047D0B" w:rsidRPr="00A343CD" w14:paraId="1FC5D0AA"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2970DFF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Treasury stock purchased</w:t>
            </w:r>
          </w:p>
        </w:tc>
        <w:tc>
          <w:tcPr>
            <w:tcW w:w="1177" w:type="dxa"/>
            <w:tcBorders>
              <w:top w:val="nil"/>
              <w:left w:val="nil"/>
              <w:bottom w:val="single" w:sz="4" w:space="0" w:color="auto"/>
              <w:right w:val="single" w:sz="4" w:space="0" w:color="auto"/>
            </w:tcBorders>
            <w:noWrap/>
            <w:vAlign w:val="bottom"/>
            <w:hideMark/>
          </w:tcPr>
          <w:p w14:paraId="6A4D95F8"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(1,957)</w:t>
            </w:r>
          </w:p>
        </w:tc>
        <w:tc>
          <w:tcPr>
            <w:tcW w:w="1268" w:type="dxa"/>
            <w:tcBorders>
              <w:top w:val="nil"/>
              <w:left w:val="nil"/>
              <w:bottom w:val="single" w:sz="4" w:space="0" w:color="auto"/>
              <w:right w:val="single" w:sz="4" w:space="0" w:color="auto"/>
            </w:tcBorders>
            <w:noWrap/>
            <w:vAlign w:val="bottom"/>
            <w:hideMark/>
          </w:tcPr>
          <w:p w14:paraId="3D7F399D"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(1,779)</w:t>
            </w:r>
          </w:p>
        </w:tc>
        <w:tc>
          <w:tcPr>
            <w:tcW w:w="1268" w:type="dxa"/>
            <w:tcBorders>
              <w:top w:val="nil"/>
              <w:left w:val="nil"/>
              <w:bottom w:val="single" w:sz="4" w:space="0" w:color="auto"/>
              <w:right w:val="single" w:sz="4" w:space="0" w:color="auto"/>
            </w:tcBorders>
            <w:noWrap/>
            <w:vAlign w:val="bottom"/>
            <w:hideMark/>
          </w:tcPr>
          <w:p w14:paraId="54D212CD"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(13,035)</w:t>
            </w:r>
          </w:p>
        </w:tc>
        <w:tc>
          <w:tcPr>
            <w:tcW w:w="1086" w:type="dxa"/>
            <w:tcBorders>
              <w:top w:val="nil"/>
              <w:left w:val="nil"/>
              <w:bottom w:val="single" w:sz="4" w:space="0" w:color="auto"/>
              <w:right w:val="single" w:sz="4" w:space="0" w:color="auto"/>
            </w:tcBorders>
            <w:noWrap/>
            <w:vAlign w:val="bottom"/>
            <w:hideMark/>
          </w:tcPr>
          <w:p w14:paraId="1A28295A"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(59,664)</w:t>
            </w:r>
          </w:p>
        </w:tc>
        <w:tc>
          <w:tcPr>
            <w:tcW w:w="1270" w:type="dxa"/>
            <w:tcBorders>
              <w:top w:val="nil"/>
              <w:left w:val="nil"/>
              <w:bottom w:val="single" w:sz="4" w:space="0" w:color="auto"/>
              <w:right w:val="single" w:sz="8" w:space="0" w:color="auto"/>
            </w:tcBorders>
            <w:noWrap/>
            <w:vAlign w:val="bottom"/>
            <w:hideMark/>
          </w:tcPr>
          <w:p w14:paraId="11C7243C" w14:textId="77777777" w:rsidR="00047D0B" w:rsidRPr="00A343CD" w:rsidRDefault="00047D0B" w:rsidP="00C563B5">
            <w:pPr>
              <w:spacing w:after="0" w:line="276" w:lineRule="auto"/>
              <w:rPr>
                <w:rFonts w:ascii="Arial" w:eastAsia="Times New Roman" w:hAnsi="Arial" w:cs="Arial"/>
                <w:color w:val="000000"/>
                <w:szCs w:val="24"/>
                <w:u w:val="single"/>
                <w:lang w:bidi="bn-BD"/>
              </w:rPr>
            </w:pPr>
            <w:r w:rsidRPr="00A343CD">
              <w:rPr>
                <w:rFonts w:ascii="Arial" w:eastAsia="Times New Roman" w:hAnsi="Arial" w:cs="Arial"/>
                <w:color w:val="000000"/>
                <w:szCs w:val="24"/>
                <w:u w:val="single"/>
                <w:lang w:bidi="bn-BD"/>
              </w:rPr>
              <w:t xml:space="preserve">             (17,678)</w:t>
            </w:r>
          </w:p>
        </w:tc>
      </w:tr>
      <w:tr w:rsidR="00047D0B" w:rsidRPr="00A343CD" w14:paraId="5BDFB094" w14:textId="77777777" w:rsidTr="00C563B5">
        <w:trPr>
          <w:trHeight w:val="692"/>
        </w:trPr>
        <w:tc>
          <w:tcPr>
            <w:tcW w:w="3500" w:type="dxa"/>
            <w:tcBorders>
              <w:top w:val="nil"/>
              <w:left w:val="single" w:sz="8" w:space="0" w:color="auto"/>
              <w:bottom w:val="single" w:sz="4" w:space="0" w:color="auto"/>
              <w:right w:val="single" w:sz="4" w:space="0" w:color="auto"/>
            </w:tcBorders>
            <w:shd w:val="clear" w:color="000000" w:fill="C1F0C8"/>
            <w:noWrap/>
            <w:vAlign w:val="bottom"/>
            <w:hideMark/>
          </w:tcPr>
          <w:p w14:paraId="02E2CC73"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Net cash provided by (used for) financing activities</w:t>
            </w:r>
          </w:p>
        </w:tc>
        <w:tc>
          <w:tcPr>
            <w:tcW w:w="1177" w:type="dxa"/>
            <w:tcBorders>
              <w:top w:val="nil"/>
              <w:left w:val="nil"/>
              <w:bottom w:val="single" w:sz="4" w:space="0" w:color="auto"/>
              <w:right w:val="single" w:sz="4" w:space="0" w:color="auto"/>
            </w:tcBorders>
            <w:shd w:val="clear" w:color="000000" w:fill="C1F0C8"/>
            <w:noWrap/>
            <w:vAlign w:val="bottom"/>
            <w:hideMark/>
          </w:tcPr>
          <w:p w14:paraId="51C9FE37"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(19,764)</w:t>
            </w:r>
          </w:p>
        </w:tc>
        <w:tc>
          <w:tcPr>
            <w:tcW w:w="1268" w:type="dxa"/>
            <w:tcBorders>
              <w:top w:val="nil"/>
              <w:left w:val="nil"/>
              <w:bottom w:val="single" w:sz="4" w:space="0" w:color="auto"/>
              <w:right w:val="single" w:sz="4" w:space="0" w:color="auto"/>
            </w:tcBorders>
            <w:shd w:val="clear" w:color="000000" w:fill="C1F0C8"/>
            <w:noWrap/>
            <w:vAlign w:val="bottom"/>
            <w:hideMark/>
          </w:tcPr>
          <w:p w14:paraId="4D2A64CA"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(34,779)</w:t>
            </w:r>
          </w:p>
        </w:tc>
        <w:tc>
          <w:tcPr>
            <w:tcW w:w="1268" w:type="dxa"/>
            <w:tcBorders>
              <w:top w:val="nil"/>
              <w:left w:val="nil"/>
              <w:bottom w:val="single" w:sz="4" w:space="0" w:color="auto"/>
              <w:right w:val="single" w:sz="4" w:space="0" w:color="auto"/>
            </w:tcBorders>
            <w:shd w:val="clear" w:color="000000" w:fill="C1F0C8"/>
            <w:noWrap/>
            <w:vAlign w:val="bottom"/>
            <w:hideMark/>
          </w:tcPr>
          <w:p w14:paraId="6E697DEF"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20,501 </w:t>
            </w:r>
          </w:p>
        </w:tc>
        <w:tc>
          <w:tcPr>
            <w:tcW w:w="1086" w:type="dxa"/>
            <w:tcBorders>
              <w:top w:val="nil"/>
              <w:left w:val="nil"/>
              <w:bottom w:val="single" w:sz="4" w:space="0" w:color="auto"/>
              <w:right w:val="single" w:sz="4" w:space="0" w:color="auto"/>
            </w:tcBorders>
            <w:shd w:val="clear" w:color="000000" w:fill="C1F0C8"/>
            <w:noWrap/>
            <w:vAlign w:val="bottom"/>
            <w:hideMark/>
          </w:tcPr>
          <w:p w14:paraId="601130E2"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(22,026)</w:t>
            </w:r>
          </w:p>
        </w:tc>
        <w:tc>
          <w:tcPr>
            <w:tcW w:w="1270" w:type="dxa"/>
            <w:tcBorders>
              <w:top w:val="nil"/>
              <w:left w:val="nil"/>
              <w:bottom w:val="single" w:sz="4" w:space="0" w:color="auto"/>
              <w:right w:val="single" w:sz="8" w:space="0" w:color="auto"/>
            </w:tcBorders>
            <w:shd w:val="clear" w:color="000000" w:fill="C1F0C8"/>
            <w:noWrap/>
            <w:vAlign w:val="bottom"/>
            <w:hideMark/>
          </w:tcPr>
          <w:p w14:paraId="0E8D4012"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(62,873)</w:t>
            </w:r>
          </w:p>
        </w:tc>
      </w:tr>
      <w:tr w:rsidR="00047D0B" w:rsidRPr="00A343CD" w14:paraId="652645E4"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FBE2D5"/>
            <w:noWrap/>
            <w:vAlign w:val="bottom"/>
            <w:hideMark/>
          </w:tcPr>
          <w:p w14:paraId="2F8606E4"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Net cash provided by (used for) financing activities</w:t>
            </w:r>
          </w:p>
        </w:tc>
        <w:tc>
          <w:tcPr>
            <w:tcW w:w="1177" w:type="dxa"/>
            <w:tcBorders>
              <w:top w:val="nil"/>
              <w:left w:val="nil"/>
              <w:bottom w:val="single" w:sz="4" w:space="0" w:color="auto"/>
              <w:right w:val="single" w:sz="4" w:space="0" w:color="auto"/>
            </w:tcBorders>
            <w:shd w:val="clear" w:color="000000" w:fill="FBE2D5"/>
            <w:noWrap/>
            <w:vAlign w:val="bottom"/>
            <w:hideMark/>
          </w:tcPr>
          <w:p w14:paraId="43C32C99" w14:textId="77777777" w:rsidR="00047D0B" w:rsidRPr="00A343CD" w:rsidRDefault="00047D0B" w:rsidP="00C563B5">
            <w:pPr>
              <w:spacing w:after="0" w:line="276" w:lineRule="auto"/>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(19,764)</w:t>
            </w:r>
          </w:p>
        </w:tc>
        <w:tc>
          <w:tcPr>
            <w:tcW w:w="1268" w:type="dxa"/>
            <w:tcBorders>
              <w:top w:val="nil"/>
              <w:left w:val="nil"/>
              <w:bottom w:val="single" w:sz="4" w:space="0" w:color="auto"/>
              <w:right w:val="single" w:sz="4" w:space="0" w:color="auto"/>
            </w:tcBorders>
            <w:shd w:val="clear" w:color="000000" w:fill="FBE2D5"/>
            <w:noWrap/>
            <w:vAlign w:val="bottom"/>
            <w:hideMark/>
          </w:tcPr>
          <w:p w14:paraId="3192C645" w14:textId="77777777" w:rsidR="00047D0B" w:rsidRPr="00A343CD" w:rsidRDefault="00047D0B" w:rsidP="00C563B5">
            <w:pPr>
              <w:spacing w:after="0" w:line="276" w:lineRule="auto"/>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(34,779)</w:t>
            </w:r>
          </w:p>
        </w:tc>
        <w:tc>
          <w:tcPr>
            <w:tcW w:w="1268" w:type="dxa"/>
            <w:tcBorders>
              <w:top w:val="nil"/>
              <w:left w:val="nil"/>
              <w:bottom w:val="single" w:sz="4" w:space="0" w:color="auto"/>
              <w:right w:val="single" w:sz="4" w:space="0" w:color="auto"/>
            </w:tcBorders>
            <w:shd w:val="clear" w:color="000000" w:fill="FBE2D5"/>
            <w:noWrap/>
            <w:vAlign w:val="bottom"/>
            <w:hideMark/>
          </w:tcPr>
          <w:p w14:paraId="66CD12FD" w14:textId="77777777" w:rsidR="00047D0B" w:rsidRPr="00A343CD" w:rsidRDefault="00047D0B" w:rsidP="00C563B5">
            <w:pPr>
              <w:spacing w:after="0" w:line="276" w:lineRule="auto"/>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20,501 </w:t>
            </w:r>
          </w:p>
        </w:tc>
        <w:tc>
          <w:tcPr>
            <w:tcW w:w="1086" w:type="dxa"/>
            <w:tcBorders>
              <w:top w:val="nil"/>
              <w:left w:val="nil"/>
              <w:bottom w:val="single" w:sz="4" w:space="0" w:color="auto"/>
              <w:right w:val="single" w:sz="4" w:space="0" w:color="auto"/>
            </w:tcBorders>
            <w:shd w:val="clear" w:color="000000" w:fill="FBE2D5"/>
            <w:noWrap/>
            <w:vAlign w:val="bottom"/>
            <w:hideMark/>
          </w:tcPr>
          <w:p w14:paraId="645E7084" w14:textId="77777777" w:rsidR="00047D0B" w:rsidRPr="00A343CD" w:rsidRDefault="00047D0B" w:rsidP="00C563B5">
            <w:pPr>
              <w:spacing w:after="0" w:line="276" w:lineRule="auto"/>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(22,026)</w:t>
            </w:r>
          </w:p>
        </w:tc>
        <w:tc>
          <w:tcPr>
            <w:tcW w:w="1270" w:type="dxa"/>
            <w:tcBorders>
              <w:top w:val="nil"/>
              <w:left w:val="nil"/>
              <w:bottom w:val="single" w:sz="4" w:space="0" w:color="auto"/>
              <w:right w:val="single" w:sz="8" w:space="0" w:color="auto"/>
            </w:tcBorders>
            <w:shd w:val="clear" w:color="000000" w:fill="FBE2D5"/>
            <w:noWrap/>
            <w:vAlign w:val="bottom"/>
            <w:hideMark/>
          </w:tcPr>
          <w:p w14:paraId="160F546B" w14:textId="77777777" w:rsidR="00047D0B" w:rsidRPr="00A343CD" w:rsidRDefault="00047D0B" w:rsidP="00C563B5">
            <w:pPr>
              <w:spacing w:after="0" w:line="276" w:lineRule="auto"/>
              <w:rPr>
                <w:rFonts w:ascii="Arial" w:eastAsia="Times New Roman" w:hAnsi="Arial" w:cs="Arial"/>
                <w:b/>
                <w:bCs/>
                <w:color w:val="FF0000"/>
                <w:szCs w:val="24"/>
                <w:lang w:bidi="bn-BD"/>
              </w:rPr>
            </w:pPr>
            <w:r w:rsidRPr="00A343CD">
              <w:rPr>
                <w:rFonts w:ascii="Arial" w:eastAsia="Times New Roman" w:hAnsi="Arial" w:cs="Arial"/>
                <w:b/>
                <w:bCs/>
                <w:color w:val="FF0000"/>
                <w:szCs w:val="24"/>
                <w:lang w:bidi="bn-BD"/>
              </w:rPr>
              <w:t xml:space="preserve">               65,964 </w:t>
            </w:r>
          </w:p>
        </w:tc>
      </w:tr>
      <w:tr w:rsidR="00047D0B" w:rsidRPr="00A343CD" w14:paraId="13F6E805"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08541E70"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Effect of foreign currency exchange rate changes on cash and cash equivalents</w:t>
            </w:r>
          </w:p>
        </w:tc>
        <w:tc>
          <w:tcPr>
            <w:tcW w:w="1177" w:type="dxa"/>
            <w:tcBorders>
              <w:top w:val="nil"/>
              <w:left w:val="nil"/>
              <w:bottom w:val="single" w:sz="4" w:space="0" w:color="auto"/>
              <w:right w:val="single" w:sz="4" w:space="0" w:color="auto"/>
            </w:tcBorders>
            <w:noWrap/>
            <w:vAlign w:val="bottom"/>
            <w:hideMark/>
          </w:tcPr>
          <w:p w14:paraId="1E2063AA"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(2,598)</w:t>
            </w:r>
          </w:p>
        </w:tc>
        <w:tc>
          <w:tcPr>
            <w:tcW w:w="1268" w:type="dxa"/>
            <w:tcBorders>
              <w:top w:val="nil"/>
              <w:left w:val="nil"/>
              <w:bottom w:val="single" w:sz="4" w:space="0" w:color="auto"/>
              <w:right w:val="single" w:sz="4" w:space="0" w:color="auto"/>
            </w:tcBorders>
            <w:noWrap/>
            <w:vAlign w:val="bottom"/>
            <w:hideMark/>
          </w:tcPr>
          <w:p w14:paraId="5B9C3457"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(523)</w:t>
            </w:r>
          </w:p>
        </w:tc>
        <w:tc>
          <w:tcPr>
            <w:tcW w:w="1268" w:type="dxa"/>
            <w:tcBorders>
              <w:top w:val="nil"/>
              <w:left w:val="nil"/>
              <w:bottom w:val="single" w:sz="4" w:space="0" w:color="auto"/>
              <w:right w:val="single" w:sz="4" w:space="0" w:color="auto"/>
            </w:tcBorders>
            <w:noWrap/>
            <w:vAlign w:val="bottom"/>
            <w:hideMark/>
          </w:tcPr>
          <w:p w14:paraId="1290E7A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(4,292)</w:t>
            </w:r>
          </w:p>
        </w:tc>
        <w:tc>
          <w:tcPr>
            <w:tcW w:w="1086" w:type="dxa"/>
            <w:tcBorders>
              <w:top w:val="nil"/>
              <w:left w:val="nil"/>
              <w:bottom w:val="single" w:sz="4" w:space="0" w:color="auto"/>
              <w:right w:val="single" w:sz="4" w:space="0" w:color="auto"/>
            </w:tcBorders>
            <w:noWrap/>
            <w:vAlign w:val="bottom"/>
            <w:hideMark/>
          </w:tcPr>
          <w:p w14:paraId="5C143A7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2,444 </w:t>
            </w:r>
          </w:p>
        </w:tc>
        <w:tc>
          <w:tcPr>
            <w:tcW w:w="1270" w:type="dxa"/>
            <w:tcBorders>
              <w:top w:val="nil"/>
              <w:left w:val="nil"/>
              <w:bottom w:val="single" w:sz="4" w:space="0" w:color="auto"/>
              <w:right w:val="single" w:sz="8" w:space="0" w:color="auto"/>
            </w:tcBorders>
            <w:noWrap/>
            <w:vAlign w:val="bottom"/>
            <w:hideMark/>
          </w:tcPr>
          <w:p w14:paraId="0F142C5F"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(843)</w:t>
            </w:r>
          </w:p>
        </w:tc>
      </w:tr>
      <w:tr w:rsidR="00047D0B" w:rsidRPr="00A343CD" w14:paraId="1DC9FD7D" w14:textId="77777777" w:rsidTr="00C563B5">
        <w:trPr>
          <w:trHeight w:val="692"/>
        </w:trPr>
        <w:tc>
          <w:tcPr>
            <w:tcW w:w="3500" w:type="dxa"/>
            <w:tcBorders>
              <w:top w:val="nil"/>
              <w:left w:val="single" w:sz="8" w:space="0" w:color="auto"/>
              <w:bottom w:val="single" w:sz="4" w:space="0" w:color="auto"/>
              <w:right w:val="single" w:sz="4" w:space="0" w:color="auto"/>
            </w:tcBorders>
            <w:shd w:val="clear" w:color="000000" w:fill="C1F0C8"/>
            <w:noWrap/>
            <w:vAlign w:val="bottom"/>
            <w:hideMark/>
          </w:tcPr>
          <w:p w14:paraId="022FC171" w14:textId="77777777" w:rsidR="00047D0B" w:rsidRPr="00A343CD" w:rsidRDefault="00047D0B" w:rsidP="00C563B5">
            <w:pPr>
              <w:spacing w:after="0" w:line="276" w:lineRule="auto"/>
              <w:jc w:val="right"/>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Net increase (decrease) in cash and cash equivalents</w:t>
            </w:r>
          </w:p>
        </w:tc>
        <w:tc>
          <w:tcPr>
            <w:tcW w:w="1177" w:type="dxa"/>
            <w:tcBorders>
              <w:top w:val="nil"/>
              <w:left w:val="nil"/>
              <w:bottom w:val="single" w:sz="4" w:space="0" w:color="auto"/>
              <w:right w:val="single" w:sz="4" w:space="0" w:color="auto"/>
            </w:tcBorders>
            <w:shd w:val="clear" w:color="000000" w:fill="C1F0C8"/>
            <w:noWrap/>
            <w:vAlign w:val="bottom"/>
            <w:hideMark/>
          </w:tcPr>
          <w:p w14:paraId="7D1CB34F"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(15,968)</w:t>
            </w:r>
          </w:p>
        </w:tc>
        <w:tc>
          <w:tcPr>
            <w:tcW w:w="1268" w:type="dxa"/>
            <w:tcBorders>
              <w:top w:val="nil"/>
              <w:left w:val="nil"/>
              <w:bottom w:val="single" w:sz="4" w:space="0" w:color="auto"/>
              <w:right w:val="single" w:sz="4" w:space="0" w:color="auto"/>
            </w:tcBorders>
            <w:shd w:val="clear" w:color="000000" w:fill="C1F0C8"/>
            <w:noWrap/>
            <w:vAlign w:val="bottom"/>
            <w:hideMark/>
          </w:tcPr>
          <w:p w14:paraId="5117E4CC"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(23,989)</w:t>
            </w:r>
          </w:p>
        </w:tc>
        <w:tc>
          <w:tcPr>
            <w:tcW w:w="1268" w:type="dxa"/>
            <w:tcBorders>
              <w:top w:val="nil"/>
              <w:left w:val="nil"/>
              <w:bottom w:val="single" w:sz="4" w:space="0" w:color="auto"/>
              <w:right w:val="single" w:sz="4" w:space="0" w:color="auto"/>
            </w:tcBorders>
            <w:shd w:val="clear" w:color="000000" w:fill="C1F0C8"/>
            <w:noWrap/>
            <w:vAlign w:val="bottom"/>
            <w:hideMark/>
          </w:tcPr>
          <w:p w14:paraId="1CB143B3"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5,927 </w:t>
            </w:r>
          </w:p>
        </w:tc>
        <w:tc>
          <w:tcPr>
            <w:tcW w:w="1086" w:type="dxa"/>
            <w:tcBorders>
              <w:top w:val="nil"/>
              <w:left w:val="nil"/>
              <w:bottom w:val="single" w:sz="4" w:space="0" w:color="auto"/>
              <w:right w:val="single" w:sz="4" w:space="0" w:color="auto"/>
            </w:tcBorders>
            <w:shd w:val="clear" w:color="000000" w:fill="C1F0C8"/>
            <w:noWrap/>
            <w:vAlign w:val="bottom"/>
            <w:hideMark/>
          </w:tcPr>
          <w:p w14:paraId="577ED87B"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(1,614)</w:t>
            </w:r>
          </w:p>
        </w:tc>
        <w:tc>
          <w:tcPr>
            <w:tcW w:w="1270" w:type="dxa"/>
            <w:tcBorders>
              <w:top w:val="nil"/>
              <w:left w:val="nil"/>
              <w:bottom w:val="single" w:sz="4" w:space="0" w:color="auto"/>
              <w:right w:val="single" w:sz="8" w:space="0" w:color="auto"/>
            </w:tcBorders>
            <w:shd w:val="clear" w:color="000000" w:fill="C1F0C8"/>
            <w:noWrap/>
            <w:vAlign w:val="bottom"/>
            <w:hideMark/>
          </w:tcPr>
          <w:p w14:paraId="3843D833"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(5,492)</w:t>
            </w:r>
          </w:p>
        </w:tc>
      </w:tr>
      <w:tr w:rsidR="00047D0B" w:rsidRPr="00A343CD" w14:paraId="365C70C2"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FBE2D5"/>
            <w:noWrap/>
            <w:vAlign w:val="bottom"/>
            <w:hideMark/>
          </w:tcPr>
          <w:p w14:paraId="690E5988"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Net increase (decrease) in cash and cash equivalents</w:t>
            </w:r>
          </w:p>
        </w:tc>
        <w:tc>
          <w:tcPr>
            <w:tcW w:w="1177" w:type="dxa"/>
            <w:tcBorders>
              <w:top w:val="nil"/>
              <w:left w:val="nil"/>
              <w:bottom w:val="single" w:sz="4" w:space="0" w:color="auto"/>
              <w:right w:val="single" w:sz="4" w:space="0" w:color="auto"/>
            </w:tcBorders>
            <w:shd w:val="clear" w:color="000000" w:fill="FBE2D5"/>
            <w:noWrap/>
            <w:vAlign w:val="bottom"/>
            <w:hideMark/>
          </w:tcPr>
          <w:p w14:paraId="668DAE4A" w14:textId="77777777" w:rsidR="00047D0B" w:rsidRPr="00A343CD" w:rsidRDefault="00047D0B" w:rsidP="00C563B5">
            <w:pPr>
              <w:spacing w:after="0" w:line="276" w:lineRule="auto"/>
              <w:rPr>
                <w:rFonts w:ascii="Arial" w:eastAsia="Times New Roman" w:hAnsi="Arial" w:cs="Arial"/>
                <w:b/>
                <w:bCs/>
                <w:szCs w:val="24"/>
                <w:lang w:bidi="bn-BD"/>
              </w:rPr>
            </w:pPr>
            <w:r w:rsidRPr="00A343CD">
              <w:rPr>
                <w:rFonts w:ascii="Arial" w:eastAsia="Times New Roman" w:hAnsi="Arial" w:cs="Arial"/>
                <w:b/>
                <w:bCs/>
                <w:szCs w:val="24"/>
                <w:lang w:bidi="bn-BD"/>
              </w:rPr>
              <w:t xml:space="preserve">         (15,968)</w:t>
            </w:r>
          </w:p>
        </w:tc>
        <w:tc>
          <w:tcPr>
            <w:tcW w:w="1268" w:type="dxa"/>
            <w:tcBorders>
              <w:top w:val="nil"/>
              <w:left w:val="nil"/>
              <w:bottom w:val="single" w:sz="4" w:space="0" w:color="auto"/>
              <w:right w:val="single" w:sz="4" w:space="0" w:color="auto"/>
            </w:tcBorders>
            <w:shd w:val="clear" w:color="000000" w:fill="FBE2D5"/>
            <w:noWrap/>
            <w:vAlign w:val="bottom"/>
            <w:hideMark/>
          </w:tcPr>
          <w:p w14:paraId="64643EB2" w14:textId="77777777" w:rsidR="00047D0B" w:rsidRPr="00A343CD" w:rsidRDefault="00047D0B" w:rsidP="00C563B5">
            <w:pPr>
              <w:spacing w:after="0" w:line="276" w:lineRule="auto"/>
              <w:rPr>
                <w:rFonts w:ascii="Arial" w:eastAsia="Times New Roman" w:hAnsi="Arial" w:cs="Arial"/>
                <w:b/>
                <w:bCs/>
                <w:szCs w:val="24"/>
                <w:lang w:bidi="bn-BD"/>
              </w:rPr>
            </w:pPr>
            <w:r w:rsidRPr="00A343CD">
              <w:rPr>
                <w:rFonts w:ascii="Arial" w:eastAsia="Times New Roman" w:hAnsi="Arial" w:cs="Arial"/>
                <w:b/>
                <w:bCs/>
                <w:szCs w:val="24"/>
                <w:lang w:bidi="bn-BD"/>
              </w:rPr>
              <w:t xml:space="preserve">         (23,989)</w:t>
            </w:r>
          </w:p>
        </w:tc>
        <w:tc>
          <w:tcPr>
            <w:tcW w:w="1268" w:type="dxa"/>
            <w:tcBorders>
              <w:top w:val="nil"/>
              <w:left w:val="nil"/>
              <w:bottom w:val="single" w:sz="4" w:space="0" w:color="auto"/>
              <w:right w:val="single" w:sz="4" w:space="0" w:color="auto"/>
            </w:tcBorders>
            <w:shd w:val="clear" w:color="000000" w:fill="FBE2D5"/>
            <w:noWrap/>
            <w:vAlign w:val="bottom"/>
            <w:hideMark/>
          </w:tcPr>
          <w:p w14:paraId="74C62F7E" w14:textId="77777777" w:rsidR="00047D0B" w:rsidRPr="00A343CD" w:rsidRDefault="00047D0B" w:rsidP="00C563B5">
            <w:pPr>
              <w:spacing w:after="0" w:line="276" w:lineRule="auto"/>
              <w:rPr>
                <w:rFonts w:ascii="Arial" w:eastAsia="Times New Roman" w:hAnsi="Arial" w:cs="Arial"/>
                <w:b/>
                <w:bCs/>
                <w:szCs w:val="24"/>
                <w:lang w:bidi="bn-BD"/>
              </w:rPr>
            </w:pPr>
            <w:r w:rsidRPr="00A343CD">
              <w:rPr>
                <w:rFonts w:ascii="Arial" w:eastAsia="Times New Roman" w:hAnsi="Arial" w:cs="Arial"/>
                <w:b/>
                <w:bCs/>
                <w:szCs w:val="24"/>
                <w:lang w:bidi="bn-BD"/>
              </w:rPr>
              <w:t xml:space="preserve">             5,927 </w:t>
            </w:r>
          </w:p>
        </w:tc>
        <w:tc>
          <w:tcPr>
            <w:tcW w:w="1086" w:type="dxa"/>
            <w:tcBorders>
              <w:top w:val="nil"/>
              <w:left w:val="nil"/>
              <w:bottom w:val="single" w:sz="4" w:space="0" w:color="auto"/>
              <w:right w:val="single" w:sz="4" w:space="0" w:color="auto"/>
            </w:tcBorders>
            <w:shd w:val="clear" w:color="000000" w:fill="FBE2D5"/>
            <w:noWrap/>
            <w:vAlign w:val="bottom"/>
            <w:hideMark/>
          </w:tcPr>
          <w:p w14:paraId="7218E623" w14:textId="77777777" w:rsidR="00047D0B" w:rsidRPr="00A343CD" w:rsidRDefault="00047D0B" w:rsidP="00C563B5">
            <w:pPr>
              <w:spacing w:after="0" w:line="276" w:lineRule="auto"/>
              <w:rPr>
                <w:rFonts w:ascii="Arial" w:eastAsia="Times New Roman" w:hAnsi="Arial" w:cs="Arial"/>
                <w:b/>
                <w:bCs/>
                <w:szCs w:val="24"/>
                <w:lang w:bidi="bn-BD"/>
              </w:rPr>
            </w:pPr>
            <w:r w:rsidRPr="00A343CD">
              <w:rPr>
                <w:rFonts w:ascii="Arial" w:eastAsia="Times New Roman" w:hAnsi="Arial" w:cs="Arial"/>
                <w:b/>
                <w:bCs/>
                <w:szCs w:val="24"/>
                <w:lang w:bidi="bn-BD"/>
              </w:rPr>
              <w:t xml:space="preserve">             3,660 </w:t>
            </w:r>
          </w:p>
        </w:tc>
        <w:tc>
          <w:tcPr>
            <w:tcW w:w="1270" w:type="dxa"/>
            <w:tcBorders>
              <w:top w:val="nil"/>
              <w:left w:val="nil"/>
              <w:bottom w:val="single" w:sz="4" w:space="0" w:color="auto"/>
              <w:right w:val="single" w:sz="8" w:space="0" w:color="auto"/>
            </w:tcBorders>
            <w:shd w:val="clear" w:color="000000" w:fill="FBE2D5"/>
            <w:noWrap/>
            <w:vAlign w:val="bottom"/>
            <w:hideMark/>
          </w:tcPr>
          <w:p w14:paraId="4041C62D" w14:textId="77777777" w:rsidR="00047D0B" w:rsidRPr="00A343CD" w:rsidRDefault="00047D0B" w:rsidP="00C563B5">
            <w:pPr>
              <w:spacing w:after="0" w:line="276" w:lineRule="auto"/>
              <w:rPr>
                <w:rFonts w:ascii="Arial" w:eastAsia="Times New Roman" w:hAnsi="Arial" w:cs="Arial"/>
                <w:b/>
                <w:bCs/>
                <w:szCs w:val="24"/>
                <w:lang w:bidi="bn-BD"/>
              </w:rPr>
            </w:pPr>
            <w:r w:rsidRPr="00A343CD">
              <w:rPr>
                <w:rFonts w:ascii="Arial" w:eastAsia="Times New Roman" w:hAnsi="Arial" w:cs="Arial"/>
                <w:b/>
                <w:bCs/>
                <w:szCs w:val="24"/>
                <w:lang w:bidi="bn-BD"/>
              </w:rPr>
              <w:t xml:space="preserve">             (17,149)</w:t>
            </w:r>
          </w:p>
        </w:tc>
      </w:tr>
      <w:tr w:rsidR="00047D0B" w:rsidRPr="00A343CD" w14:paraId="496CCF56"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C1F0C8"/>
            <w:noWrap/>
            <w:vAlign w:val="bottom"/>
            <w:hideMark/>
          </w:tcPr>
          <w:p w14:paraId="135E9619"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Cash and cash equivalents at the beginning of period</w:t>
            </w:r>
          </w:p>
        </w:tc>
        <w:tc>
          <w:tcPr>
            <w:tcW w:w="1177" w:type="dxa"/>
            <w:tcBorders>
              <w:top w:val="nil"/>
              <w:left w:val="nil"/>
              <w:bottom w:val="single" w:sz="4" w:space="0" w:color="auto"/>
              <w:right w:val="single" w:sz="4" w:space="0" w:color="auto"/>
            </w:tcBorders>
            <w:shd w:val="clear" w:color="000000" w:fill="C1F0C8"/>
            <w:noWrap/>
            <w:vAlign w:val="bottom"/>
            <w:hideMark/>
          </w:tcPr>
          <w:p w14:paraId="2EB10BD5"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49,134 </w:t>
            </w:r>
          </w:p>
        </w:tc>
        <w:tc>
          <w:tcPr>
            <w:tcW w:w="1268" w:type="dxa"/>
            <w:tcBorders>
              <w:top w:val="nil"/>
              <w:left w:val="nil"/>
              <w:bottom w:val="single" w:sz="4" w:space="0" w:color="auto"/>
              <w:right w:val="single" w:sz="4" w:space="0" w:color="auto"/>
            </w:tcBorders>
            <w:shd w:val="clear" w:color="000000" w:fill="C1F0C8"/>
            <w:noWrap/>
            <w:vAlign w:val="bottom"/>
            <w:hideMark/>
          </w:tcPr>
          <w:p w14:paraId="591FC08C"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73,123 </w:t>
            </w:r>
          </w:p>
        </w:tc>
        <w:tc>
          <w:tcPr>
            <w:tcW w:w="1268" w:type="dxa"/>
            <w:tcBorders>
              <w:top w:val="nil"/>
              <w:left w:val="nil"/>
              <w:bottom w:val="single" w:sz="4" w:space="0" w:color="auto"/>
              <w:right w:val="single" w:sz="4" w:space="0" w:color="auto"/>
            </w:tcBorders>
            <w:shd w:val="clear" w:color="000000" w:fill="C1F0C8"/>
            <w:noWrap/>
            <w:vAlign w:val="bottom"/>
            <w:hideMark/>
          </w:tcPr>
          <w:p w14:paraId="322A905B"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67,196 </w:t>
            </w:r>
          </w:p>
        </w:tc>
        <w:tc>
          <w:tcPr>
            <w:tcW w:w="1086" w:type="dxa"/>
            <w:tcBorders>
              <w:top w:val="nil"/>
              <w:left w:val="nil"/>
              <w:bottom w:val="single" w:sz="4" w:space="0" w:color="auto"/>
              <w:right w:val="single" w:sz="4" w:space="0" w:color="auto"/>
            </w:tcBorders>
            <w:shd w:val="clear" w:color="000000" w:fill="C1F0C8"/>
            <w:noWrap/>
            <w:vAlign w:val="bottom"/>
            <w:hideMark/>
          </w:tcPr>
          <w:p w14:paraId="25F0B034"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68,810 </w:t>
            </w:r>
          </w:p>
        </w:tc>
        <w:tc>
          <w:tcPr>
            <w:tcW w:w="1270" w:type="dxa"/>
            <w:tcBorders>
              <w:top w:val="nil"/>
              <w:left w:val="nil"/>
              <w:bottom w:val="single" w:sz="4" w:space="0" w:color="auto"/>
              <w:right w:val="single" w:sz="8" w:space="0" w:color="auto"/>
            </w:tcBorders>
            <w:shd w:val="clear" w:color="000000" w:fill="C1F0C8"/>
            <w:noWrap/>
            <w:vAlign w:val="bottom"/>
            <w:hideMark/>
          </w:tcPr>
          <w:p w14:paraId="1DA476C3" w14:textId="77777777" w:rsidR="00047D0B" w:rsidRPr="00A343CD" w:rsidRDefault="00047D0B" w:rsidP="00C563B5">
            <w:pPr>
              <w:spacing w:after="0" w:line="276" w:lineRule="auto"/>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74,302 </w:t>
            </w:r>
          </w:p>
        </w:tc>
      </w:tr>
      <w:tr w:rsidR="00047D0B" w:rsidRPr="00A343CD" w14:paraId="38E606E6"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FBE2D5"/>
            <w:noWrap/>
            <w:vAlign w:val="bottom"/>
            <w:hideMark/>
          </w:tcPr>
          <w:p w14:paraId="6E5AEE6E"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Cash and cash equivalents at the end of period</w:t>
            </w:r>
          </w:p>
        </w:tc>
        <w:tc>
          <w:tcPr>
            <w:tcW w:w="1177" w:type="dxa"/>
            <w:tcBorders>
              <w:top w:val="nil"/>
              <w:left w:val="nil"/>
              <w:bottom w:val="single" w:sz="4" w:space="0" w:color="auto"/>
              <w:right w:val="single" w:sz="4" w:space="0" w:color="auto"/>
            </w:tcBorders>
            <w:shd w:val="clear" w:color="000000" w:fill="FBE2D5"/>
            <w:noWrap/>
            <w:vAlign w:val="bottom"/>
            <w:hideMark/>
          </w:tcPr>
          <w:p w14:paraId="3179EA26"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42,751 </w:t>
            </w:r>
          </w:p>
        </w:tc>
        <w:tc>
          <w:tcPr>
            <w:tcW w:w="1268" w:type="dxa"/>
            <w:tcBorders>
              <w:top w:val="nil"/>
              <w:left w:val="nil"/>
              <w:bottom w:val="single" w:sz="4" w:space="0" w:color="auto"/>
              <w:right w:val="single" w:sz="4" w:space="0" w:color="auto"/>
            </w:tcBorders>
            <w:shd w:val="clear" w:color="000000" w:fill="FBE2D5"/>
            <w:noWrap/>
            <w:vAlign w:val="bottom"/>
            <w:hideMark/>
          </w:tcPr>
          <w:p w14:paraId="2D1874C5"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66,740 </w:t>
            </w:r>
          </w:p>
        </w:tc>
        <w:tc>
          <w:tcPr>
            <w:tcW w:w="1268" w:type="dxa"/>
            <w:tcBorders>
              <w:top w:val="nil"/>
              <w:left w:val="nil"/>
              <w:bottom w:val="single" w:sz="4" w:space="0" w:color="auto"/>
              <w:right w:val="single" w:sz="4" w:space="0" w:color="auto"/>
            </w:tcBorders>
            <w:shd w:val="clear" w:color="000000" w:fill="FBE2D5"/>
            <w:noWrap/>
            <w:vAlign w:val="bottom"/>
            <w:hideMark/>
          </w:tcPr>
          <w:p w14:paraId="1E446F8D"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60,813 </w:t>
            </w:r>
          </w:p>
        </w:tc>
        <w:tc>
          <w:tcPr>
            <w:tcW w:w="1086" w:type="dxa"/>
            <w:tcBorders>
              <w:top w:val="nil"/>
              <w:left w:val="nil"/>
              <w:bottom w:val="single" w:sz="4" w:space="0" w:color="auto"/>
              <w:right w:val="single" w:sz="4" w:space="0" w:color="auto"/>
            </w:tcBorders>
            <w:shd w:val="clear" w:color="000000" w:fill="FBE2D5"/>
            <w:noWrap/>
            <w:vAlign w:val="bottom"/>
            <w:hideMark/>
          </w:tcPr>
          <w:p w14:paraId="427840BA"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57,153 </w:t>
            </w:r>
          </w:p>
        </w:tc>
        <w:tc>
          <w:tcPr>
            <w:tcW w:w="1270" w:type="dxa"/>
            <w:tcBorders>
              <w:top w:val="nil"/>
              <w:left w:val="nil"/>
              <w:bottom w:val="single" w:sz="4" w:space="0" w:color="auto"/>
              <w:right w:val="single" w:sz="8" w:space="0" w:color="auto"/>
            </w:tcBorders>
            <w:shd w:val="clear" w:color="000000" w:fill="FBE2D5"/>
            <w:noWrap/>
            <w:vAlign w:val="bottom"/>
            <w:hideMark/>
          </w:tcPr>
          <w:p w14:paraId="1A57E482"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               74,302 </w:t>
            </w:r>
          </w:p>
        </w:tc>
      </w:tr>
      <w:tr w:rsidR="00047D0B" w:rsidRPr="00A343CD" w14:paraId="22FEED70" w14:textId="77777777" w:rsidTr="00C563B5">
        <w:trPr>
          <w:trHeight w:val="383"/>
        </w:trPr>
        <w:tc>
          <w:tcPr>
            <w:tcW w:w="3500" w:type="dxa"/>
            <w:tcBorders>
              <w:top w:val="nil"/>
              <w:left w:val="single" w:sz="8" w:space="0" w:color="auto"/>
              <w:bottom w:val="single" w:sz="8" w:space="0" w:color="auto"/>
              <w:right w:val="single" w:sz="4" w:space="0" w:color="auto"/>
            </w:tcBorders>
            <w:shd w:val="clear" w:color="000000" w:fill="C1F0C8"/>
            <w:noWrap/>
            <w:vAlign w:val="bottom"/>
            <w:hideMark/>
          </w:tcPr>
          <w:p w14:paraId="6BA37DD1"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Cash and cash equivalents at the end of period</w:t>
            </w:r>
          </w:p>
        </w:tc>
        <w:tc>
          <w:tcPr>
            <w:tcW w:w="1177" w:type="dxa"/>
            <w:tcBorders>
              <w:top w:val="nil"/>
              <w:left w:val="nil"/>
              <w:bottom w:val="single" w:sz="8" w:space="0" w:color="auto"/>
              <w:right w:val="single" w:sz="4" w:space="0" w:color="auto"/>
            </w:tcBorders>
            <w:shd w:val="clear" w:color="000000" w:fill="C1F0C8"/>
            <w:noWrap/>
            <w:vAlign w:val="bottom"/>
            <w:hideMark/>
          </w:tcPr>
          <w:p w14:paraId="7A1EBA13"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 xml:space="preserve">           33,166 </w:t>
            </w:r>
          </w:p>
        </w:tc>
        <w:tc>
          <w:tcPr>
            <w:tcW w:w="1268" w:type="dxa"/>
            <w:tcBorders>
              <w:top w:val="nil"/>
              <w:left w:val="nil"/>
              <w:bottom w:val="single" w:sz="8" w:space="0" w:color="auto"/>
              <w:right w:val="single" w:sz="4" w:space="0" w:color="auto"/>
            </w:tcBorders>
            <w:shd w:val="clear" w:color="000000" w:fill="C1F0C8"/>
            <w:noWrap/>
            <w:vAlign w:val="bottom"/>
            <w:hideMark/>
          </w:tcPr>
          <w:p w14:paraId="07D5748D"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 xml:space="preserve">           49,134 </w:t>
            </w:r>
          </w:p>
        </w:tc>
        <w:tc>
          <w:tcPr>
            <w:tcW w:w="1268" w:type="dxa"/>
            <w:tcBorders>
              <w:top w:val="nil"/>
              <w:left w:val="nil"/>
              <w:bottom w:val="single" w:sz="8" w:space="0" w:color="auto"/>
              <w:right w:val="single" w:sz="4" w:space="0" w:color="auto"/>
            </w:tcBorders>
            <w:shd w:val="clear" w:color="000000" w:fill="C1F0C8"/>
            <w:noWrap/>
            <w:vAlign w:val="bottom"/>
            <w:hideMark/>
          </w:tcPr>
          <w:p w14:paraId="22E4EC43"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 xml:space="preserve">           73,123 </w:t>
            </w:r>
          </w:p>
        </w:tc>
        <w:tc>
          <w:tcPr>
            <w:tcW w:w="1086" w:type="dxa"/>
            <w:tcBorders>
              <w:top w:val="nil"/>
              <w:left w:val="nil"/>
              <w:bottom w:val="single" w:sz="8" w:space="0" w:color="auto"/>
              <w:right w:val="single" w:sz="4" w:space="0" w:color="auto"/>
            </w:tcBorders>
            <w:shd w:val="clear" w:color="000000" w:fill="C1F0C8"/>
            <w:noWrap/>
            <w:vAlign w:val="bottom"/>
            <w:hideMark/>
          </w:tcPr>
          <w:p w14:paraId="4348922B"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 xml:space="preserve">           67,196 </w:t>
            </w:r>
          </w:p>
        </w:tc>
        <w:tc>
          <w:tcPr>
            <w:tcW w:w="1270" w:type="dxa"/>
            <w:tcBorders>
              <w:top w:val="nil"/>
              <w:left w:val="nil"/>
              <w:bottom w:val="single" w:sz="8" w:space="0" w:color="auto"/>
              <w:right w:val="single" w:sz="8" w:space="0" w:color="auto"/>
            </w:tcBorders>
            <w:shd w:val="clear" w:color="000000" w:fill="C1F0C8"/>
            <w:noWrap/>
            <w:vAlign w:val="bottom"/>
            <w:hideMark/>
          </w:tcPr>
          <w:p w14:paraId="521C4E91"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 xml:space="preserve">               68,810 </w:t>
            </w:r>
          </w:p>
        </w:tc>
      </w:tr>
      <w:tr w:rsidR="00047D0B" w:rsidRPr="00A343CD" w14:paraId="389B7E3C" w14:textId="77777777" w:rsidTr="00C563B5">
        <w:trPr>
          <w:trHeight w:val="383"/>
        </w:trPr>
        <w:tc>
          <w:tcPr>
            <w:tcW w:w="3500" w:type="dxa"/>
            <w:tcBorders>
              <w:top w:val="single" w:sz="4" w:space="0" w:color="auto"/>
              <w:left w:val="single" w:sz="8" w:space="0" w:color="auto"/>
              <w:bottom w:val="single" w:sz="8" w:space="0" w:color="auto"/>
              <w:right w:val="single" w:sz="4" w:space="0" w:color="auto"/>
            </w:tcBorders>
            <w:shd w:val="clear" w:color="000000" w:fill="FBE2D5"/>
            <w:noWrap/>
            <w:vAlign w:val="bottom"/>
            <w:hideMark/>
          </w:tcPr>
          <w:p w14:paraId="28E7B695"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Cash and cash equivalents at the end of period Given Value</w:t>
            </w:r>
          </w:p>
        </w:tc>
        <w:tc>
          <w:tcPr>
            <w:tcW w:w="1177" w:type="dxa"/>
            <w:tcBorders>
              <w:top w:val="single" w:sz="4" w:space="0" w:color="auto"/>
              <w:left w:val="nil"/>
              <w:bottom w:val="single" w:sz="8" w:space="0" w:color="auto"/>
              <w:right w:val="single" w:sz="4" w:space="0" w:color="auto"/>
            </w:tcBorders>
            <w:shd w:val="clear" w:color="000000" w:fill="FBE2D5"/>
            <w:noWrap/>
            <w:vAlign w:val="bottom"/>
            <w:hideMark/>
          </w:tcPr>
          <w:p w14:paraId="5C544440"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 xml:space="preserve">           26,783 </w:t>
            </w:r>
          </w:p>
        </w:tc>
        <w:tc>
          <w:tcPr>
            <w:tcW w:w="1268" w:type="dxa"/>
            <w:tcBorders>
              <w:top w:val="single" w:sz="4" w:space="0" w:color="auto"/>
              <w:left w:val="nil"/>
              <w:bottom w:val="single" w:sz="8" w:space="0" w:color="auto"/>
              <w:right w:val="single" w:sz="4" w:space="0" w:color="auto"/>
            </w:tcBorders>
            <w:shd w:val="clear" w:color="000000" w:fill="FBE2D5"/>
            <w:noWrap/>
            <w:vAlign w:val="bottom"/>
            <w:hideMark/>
          </w:tcPr>
          <w:p w14:paraId="27CB2817"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 xml:space="preserve">           42,751 </w:t>
            </w:r>
          </w:p>
        </w:tc>
        <w:tc>
          <w:tcPr>
            <w:tcW w:w="1268" w:type="dxa"/>
            <w:tcBorders>
              <w:top w:val="single" w:sz="4" w:space="0" w:color="auto"/>
              <w:left w:val="nil"/>
              <w:bottom w:val="single" w:sz="8" w:space="0" w:color="auto"/>
              <w:right w:val="single" w:sz="4" w:space="0" w:color="auto"/>
            </w:tcBorders>
            <w:shd w:val="clear" w:color="000000" w:fill="FBE2D5"/>
            <w:noWrap/>
            <w:vAlign w:val="bottom"/>
            <w:hideMark/>
          </w:tcPr>
          <w:p w14:paraId="37CDAFDB"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 xml:space="preserve">           66,740 </w:t>
            </w:r>
          </w:p>
        </w:tc>
        <w:tc>
          <w:tcPr>
            <w:tcW w:w="1086" w:type="dxa"/>
            <w:tcBorders>
              <w:top w:val="single" w:sz="4" w:space="0" w:color="auto"/>
              <w:left w:val="nil"/>
              <w:bottom w:val="single" w:sz="8" w:space="0" w:color="auto"/>
              <w:right w:val="single" w:sz="4" w:space="0" w:color="auto"/>
            </w:tcBorders>
            <w:shd w:val="clear" w:color="000000" w:fill="FBE2D5"/>
            <w:noWrap/>
            <w:vAlign w:val="bottom"/>
            <w:hideMark/>
          </w:tcPr>
          <w:p w14:paraId="68E0328F"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 xml:space="preserve">           60,813 </w:t>
            </w:r>
          </w:p>
        </w:tc>
        <w:tc>
          <w:tcPr>
            <w:tcW w:w="1270" w:type="dxa"/>
            <w:tcBorders>
              <w:top w:val="single" w:sz="4" w:space="0" w:color="auto"/>
              <w:left w:val="nil"/>
              <w:bottom w:val="single" w:sz="8" w:space="0" w:color="auto"/>
              <w:right w:val="single" w:sz="8" w:space="0" w:color="auto"/>
            </w:tcBorders>
            <w:shd w:val="clear" w:color="000000" w:fill="FBE2D5"/>
            <w:noWrap/>
            <w:vAlign w:val="bottom"/>
            <w:hideMark/>
          </w:tcPr>
          <w:p w14:paraId="7C007528" w14:textId="77777777" w:rsidR="00047D0B" w:rsidRPr="00A343CD" w:rsidRDefault="00047D0B" w:rsidP="00C563B5">
            <w:pPr>
              <w:spacing w:after="0" w:line="276" w:lineRule="auto"/>
              <w:jc w:val="right"/>
              <w:rPr>
                <w:rFonts w:ascii="Arial" w:eastAsia="Times New Roman" w:hAnsi="Arial" w:cs="Arial"/>
                <w:b/>
                <w:bCs/>
                <w:szCs w:val="24"/>
                <w:lang w:bidi="bn-BD"/>
              </w:rPr>
            </w:pPr>
            <w:r w:rsidRPr="00A343CD">
              <w:rPr>
                <w:rFonts w:ascii="Arial" w:eastAsia="Times New Roman" w:hAnsi="Arial" w:cs="Arial"/>
                <w:b/>
                <w:bCs/>
                <w:szCs w:val="24"/>
                <w:lang w:bidi="bn-BD"/>
              </w:rPr>
              <w:t xml:space="preserve">               57,153 </w:t>
            </w:r>
          </w:p>
        </w:tc>
      </w:tr>
      <w:tr w:rsidR="00047D0B" w:rsidRPr="00A343CD" w14:paraId="164439BA" w14:textId="77777777" w:rsidTr="00C563B5">
        <w:trPr>
          <w:trHeight w:val="383"/>
        </w:trPr>
        <w:tc>
          <w:tcPr>
            <w:tcW w:w="3500" w:type="dxa"/>
            <w:tcBorders>
              <w:top w:val="nil"/>
              <w:left w:val="single" w:sz="8" w:space="0" w:color="auto"/>
              <w:bottom w:val="single" w:sz="8" w:space="0" w:color="auto"/>
              <w:right w:val="nil"/>
            </w:tcBorders>
            <w:noWrap/>
            <w:vAlign w:val="bottom"/>
            <w:hideMark/>
          </w:tcPr>
          <w:p w14:paraId="4046A3A1"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xml:space="preserve">***Mismatched Found </w:t>
            </w:r>
          </w:p>
        </w:tc>
        <w:tc>
          <w:tcPr>
            <w:tcW w:w="1177" w:type="dxa"/>
            <w:tcBorders>
              <w:top w:val="nil"/>
              <w:left w:val="nil"/>
              <w:bottom w:val="single" w:sz="8" w:space="0" w:color="auto"/>
              <w:right w:val="nil"/>
            </w:tcBorders>
            <w:noWrap/>
            <w:vAlign w:val="bottom"/>
            <w:hideMark/>
          </w:tcPr>
          <w:p w14:paraId="71003D8A"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w:t>
            </w:r>
          </w:p>
        </w:tc>
        <w:tc>
          <w:tcPr>
            <w:tcW w:w="1268" w:type="dxa"/>
            <w:tcBorders>
              <w:top w:val="nil"/>
              <w:left w:val="nil"/>
              <w:bottom w:val="single" w:sz="8" w:space="0" w:color="auto"/>
              <w:right w:val="nil"/>
            </w:tcBorders>
            <w:noWrap/>
            <w:vAlign w:val="bottom"/>
            <w:hideMark/>
          </w:tcPr>
          <w:p w14:paraId="3145C01C"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w:t>
            </w:r>
          </w:p>
        </w:tc>
        <w:tc>
          <w:tcPr>
            <w:tcW w:w="1268" w:type="dxa"/>
            <w:tcBorders>
              <w:top w:val="nil"/>
              <w:left w:val="nil"/>
              <w:bottom w:val="single" w:sz="8" w:space="0" w:color="auto"/>
              <w:right w:val="nil"/>
            </w:tcBorders>
            <w:noWrap/>
            <w:vAlign w:val="bottom"/>
            <w:hideMark/>
          </w:tcPr>
          <w:p w14:paraId="5BE7B814"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w:t>
            </w:r>
          </w:p>
        </w:tc>
        <w:tc>
          <w:tcPr>
            <w:tcW w:w="1086" w:type="dxa"/>
            <w:tcBorders>
              <w:top w:val="nil"/>
              <w:left w:val="nil"/>
              <w:bottom w:val="single" w:sz="8" w:space="0" w:color="auto"/>
              <w:right w:val="nil"/>
            </w:tcBorders>
            <w:noWrap/>
            <w:vAlign w:val="bottom"/>
            <w:hideMark/>
          </w:tcPr>
          <w:p w14:paraId="638DC329"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w:t>
            </w:r>
          </w:p>
        </w:tc>
        <w:tc>
          <w:tcPr>
            <w:tcW w:w="1270" w:type="dxa"/>
            <w:tcBorders>
              <w:top w:val="nil"/>
              <w:left w:val="nil"/>
              <w:bottom w:val="single" w:sz="8" w:space="0" w:color="auto"/>
              <w:right w:val="single" w:sz="8" w:space="0" w:color="auto"/>
            </w:tcBorders>
            <w:noWrap/>
            <w:vAlign w:val="bottom"/>
            <w:hideMark/>
          </w:tcPr>
          <w:p w14:paraId="5084EB50" w14:textId="77777777" w:rsidR="00047D0B" w:rsidRPr="00A343CD" w:rsidRDefault="00047D0B" w:rsidP="00C563B5">
            <w:pPr>
              <w:spacing w:after="0" w:line="276" w:lineRule="auto"/>
              <w:rPr>
                <w:rFonts w:ascii="Arial" w:eastAsia="Times New Roman" w:hAnsi="Arial" w:cs="Arial"/>
                <w:b/>
                <w:bCs/>
                <w:color w:val="000000"/>
                <w:szCs w:val="24"/>
                <w:lang w:bidi="bn-BD"/>
              </w:rPr>
            </w:pPr>
            <w:r w:rsidRPr="00A343CD">
              <w:rPr>
                <w:rFonts w:ascii="Arial" w:eastAsia="Times New Roman" w:hAnsi="Arial" w:cs="Arial"/>
                <w:b/>
                <w:bCs/>
                <w:color w:val="000000"/>
                <w:szCs w:val="24"/>
                <w:lang w:bidi="bn-BD"/>
              </w:rPr>
              <w:t> </w:t>
            </w:r>
          </w:p>
        </w:tc>
      </w:tr>
    </w:tbl>
    <w:p w14:paraId="526749FE" w14:textId="77777777" w:rsidR="00047D0B" w:rsidRPr="00A343CD" w:rsidRDefault="00047D0B" w:rsidP="00047D0B">
      <w:pPr>
        <w:spacing w:after="0" w:line="276" w:lineRule="auto"/>
        <w:rPr>
          <w:rFonts w:ascii="Arial" w:hAnsi="Arial" w:cs="Arial"/>
        </w:rPr>
      </w:pPr>
      <w:r w:rsidRPr="00A343CD">
        <w:rPr>
          <w:rFonts w:ascii="Arial" w:hAnsi="Arial" w:cs="Arial"/>
        </w:rPr>
        <w:br w:type="page"/>
      </w:r>
    </w:p>
    <w:tbl>
      <w:tblPr>
        <w:tblW w:w="0" w:type="auto"/>
        <w:jc w:val="center"/>
        <w:tblLayout w:type="fixed"/>
        <w:tblLook w:val="04A0" w:firstRow="1" w:lastRow="0" w:firstColumn="1" w:lastColumn="0" w:noHBand="0" w:noVBand="1"/>
      </w:tblPr>
      <w:tblGrid>
        <w:gridCol w:w="782"/>
        <w:gridCol w:w="1851"/>
        <w:gridCol w:w="427"/>
        <w:gridCol w:w="863"/>
        <w:gridCol w:w="355"/>
        <w:gridCol w:w="935"/>
        <w:gridCol w:w="252"/>
        <w:gridCol w:w="1019"/>
        <w:gridCol w:w="204"/>
        <w:gridCol w:w="1052"/>
        <w:gridCol w:w="15"/>
        <w:gridCol w:w="1271"/>
      </w:tblGrid>
      <w:tr w:rsidR="00047D0B" w:rsidRPr="00A343CD" w14:paraId="5E73036C" w14:textId="77777777" w:rsidTr="00C563B5">
        <w:trPr>
          <w:trHeight w:val="312"/>
          <w:jc w:val="center"/>
        </w:trPr>
        <w:tc>
          <w:tcPr>
            <w:tcW w:w="5465" w:type="dxa"/>
            <w:gridSpan w:val="7"/>
            <w:tcBorders>
              <w:top w:val="nil"/>
              <w:left w:val="nil"/>
              <w:bottom w:val="nil"/>
              <w:right w:val="nil"/>
            </w:tcBorders>
            <w:noWrap/>
            <w:vAlign w:val="bottom"/>
            <w:hideMark/>
          </w:tcPr>
          <w:p w14:paraId="5F8E82AB" w14:textId="77777777" w:rsidR="00047D0B" w:rsidRPr="00A343CD" w:rsidRDefault="00047D0B" w:rsidP="00C563B5">
            <w:pPr>
              <w:spacing w:after="0" w:line="276" w:lineRule="auto"/>
              <w:jc w:val="left"/>
              <w:rPr>
                <w:rFonts w:ascii="Arial" w:eastAsia="Times New Roman" w:hAnsi="Arial" w:cs="Arial"/>
                <w:b/>
                <w:bCs/>
                <w:szCs w:val="24"/>
                <w:lang w:bidi="bn-BD"/>
              </w:rPr>
            </w:pPr>
            <w:r w:rsidRPr="00A343CD">
              <w:rPr>
                <w:rFonts w:ascii="Arial" w:eastAsia="Times New Roman" w:hAnsi="Arial" w:cs="Arial"/>
                <w:b/>
                <w:bCs/>
                <w:szCs w:val="24"/>
                <w:lang w:bidi="bn-BD"/>
              </w:rPr>
              <w:lastRenderedPageBreak/>
              <w:t>Key Ratios</w:t>
            </w:r>
          </w:p>
        </w:tc>
        <w:tc>
          <w:tcPr>
            <w:tcW w:w="1223" w:type="dxa"/>
            <w:gridSpan w:val="2"/>
            <w:tcBorders>
              <w:top w:val="nil"/>
              <w:left w:val="nil"/>
              <w:bottom w:val="nil"/>
              <w:right w:val="nil"/>
            </w:tcBorders>
            <w:noWrap/>
            <w:vAlign w:val="bottom"/>
            <w:hideMark/>
          </w:tcPr>
          <w:p w14:paraId="7937BB73" w14:textId="77777777" w:rsidR="00047D0B" w:rsidRPr="00A343CD" w:rsidRDefault="00047D0B" w:rsidP="00C563B5">
            <w:pPr>
              <w:spacing w:after="0" w:line="276" w:lineRule="auto"/>
              <w:jc w:val="left"/>
              <w:rPr>
                <w:rFonts w:ascii="Arial" w:eastAsia="Times New Roman" w:hAnsi="Arial" w:cs="Arial"/>
                <w:b/>
                <w:bCs/>
                <w:szCs w:val="24"/>
                <w:lang w:bidi="bn-BD"/>
              </w:rPr>
            </w:pPr>
          </w:p>
        </w:tc>
        <w:tc>
          <w:tcPr>
            <w:tcW w:w="1052" w:type="dxa"/>
            <w:tcBorders>
              <w:top w:val="nil"/>
              <w:left w:val="nil"/>
              <w:bottom w:val="nil"/>
              <w:right w:val="nil"/>
            </w:tcBorders>
            <w:noWrap/>
            <w:vAlign w:val="bottom"/>
            <w:hideMark/>
          </w:tcPr>
          <w:p w14:paraId="6A1F291B"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86" w:type="dxa"/>
            <w:gridSpan w:val="2"/>
            <w:tcBorders>
              <w:top w:val="nil"/>
              <w:left w:val="nil"/>
              <w:bottom w:val="nil"/>
              <w:right w:val="nil"/>
            </w:tcBorders>
            <w:noWrap/>
            <w:vAlign w:val="bottom"/>
            <w:hideMark/>
          </w:tcPr>
          <w:p w14:paraId="4878D43D" w14:textId="77777777" w:rsidR="00047D0B" w:rsidRPr="00A343CD" w:rsidRDefault="00047D0B" w:rsidP="00C563B5">
            <w:pPr>
              <w:spacing w:after="0" w:line="276" w:lineRule="auto"/>
              <w:jc w:val="left"/>
              <w:rPr>
                <w:rFonts w:ascii="Arial" w:eastAsia="Times New Roman" w:hAnsi="Arial" w:cs="Arial"/>
                <w:sz w:val="20"/>
                <w:szCs w:val="20"/>
                <w:lang w:bidi="bn-BD"/>
              </w:rPr>
            </w:pPr>
          </w:p>
        </w:tc>
      </w:tr>
      <w:tr w:rsidR="00047D0B" w:rsidRPr="00A343CD" w14:paraId="659274BB" w14:textId="77777777" w:rsidTr="00C563B5">
        <w:trPr>
          <w:trHeight w:val="528"/>
          <w:jc w:val="center"/>
        </w:trPr>
        <w:tc>
          <w:tcPr>
            <w:tcW w:w="782" w:type="dxa"/>
            <w:tcBorders>
              <w:top w:val="single" w:sz="4" w:space="0" w:color="999999"/>
              <w:left w:val="single" w:sz="4" w:space="0" w:color="999999"/>
              <w:bottom w:val="nil"/>
              <w:right w:val="single" w:sz="4" w:space="0" w:color="999999"/>
            </w:tcBorders>
            <w:shd w:val="clear" w:color="DDEBF7" w:fill="DDEBF7"/>
            <w:noWrap/>
            <w:vAlign w:val="bottom"/>
            <w:hideMark/>
          </w:tcPr>
          <w:p w14:paraId="7D572936" w14:textId="77777777" w:rsidR="00047D0B" w:rsidRPr="00A343CD" w:rsidRDefault="00047D0B" w:rsidP="00C563B5">
            <w:pPr>
              <w:spacing w:after="0" w:line="276" w:lineRule="auto"/>
              <w:jc w:val="left"/>
              <w:rPr>
                <w:rFonts w:ascii="Arial" w:eastAsia="Times New Roman" w:hAnsi="Arial" w:cs="Arial"/>
                <w:b/>
                <w:bCs/>
                <w:szCs w:val="24"/>
                <w:lang w:bidi="bn-BD"/>
              </w:rPr>
            </w:pPr>
            <w:r w:rsidRPr="00A343CD">
              <w:rPr>
                <w:rFonts w:ascii="Arial" w:eastAsia="Times New Roman" w:hAnsi="Arial" w:cs="Arial"/>
                <w:b/>
                <w:bCs/>
                <w:szCs w:val="24"/>
                <w:lang w:bidi="bn-BD"/>
              </w:rPr>
              <w:t>Category</w:t>
            </w:r>
          </w:p>
        </w:tc>
        <w:tc>
          <w:tcPr>
            <w:tcW w:w="2278" w:type="dxa"/>
            <w:gridSpan w:val="2"/>
            <w:tcBorders>
              <w:top w:val="single" w:sz="4" w:space="0" w:color="999999"/>
              <w:left w:val="nil"/>
              <w:bottom w:val="nil"/>
              <w:right w:val="single" w:sz="4" w:space="0" w:color="999999"/>
            </w:tcBorders>
            <w:shd w:val="clear" w:color="DDEBF7" w:fill="DDEBF7"/>
            <w:noWrap/>
            <w:vAlign w:val="bottom"/>
            <w:hideMark/>
          </w:tcPr>
          <w:p w14:paraId="13D4FACD" w14:textId="77777777" w:rsidR="00047D0B" w:rsidRPr="00A343CD" w:rsidRDefault="00047D0B" w:rsidP="00C563B5">
            <w:pPr>
              <w:spacing w:after="0" w:line="276" w:lineRule="auto"/>
              <w:jc w:val="left"/>
              <w:rPr>
                <w:rFonts w:ascii="Arial" w:eastAsia="Times New Roman" w:hAnsi="Arial" w:cs="Arial"/>
                <w:b/>
                <w:bCs/>
                <w:szCs w:val="24"/>
                <w:lang w:bidi="bn-BD"/>
              </w:rPr>
            </w:pPr>
            <w:r w:rsidRPr="00A343CD">
              <w:rPr>
                <w:rFonts w:ascii="Arial" w:eastAsia="Times New Roman" w:hAnsi="Arial" w:cs="Arial"/>
                <w:b/>
                <w:bCs/>
                <w:szCs w:val="24"/>
                <w:lang w:bidi="bn-BD"/>
              </w:rPr>
              <w:t>Ratio Name</w:t>
            </w:r>
          </w:p>
        </w:tc>
        <w:tc>
          <w:tcPr>
            <w:tcW w:w="1218" w:type="dxa"/>
            <w:gridSpan w:val="2"/>
            <w:tcBorders>
              <w:top w:val="single" w:sz="4" w:space="0" w:color="999999"/>
              <w:left w:val="nil"/>
              <w:bottom w:val="nil"/>
              <w:right w:val="single" w:sz="4" w:space="0" w:color="999999"/>
            </w:tcBorders>
            <w:shd w:val="clear" w:color="DDEBF7" w:fill="DDEBF7"/>
            <w:noWrap/>
            <w:vAlign w:val="bottom"/>
            <w:hideMark/>
          </w:tcPr>
          <w:p w14:paraId="6CA63973" w14:textId="77777777" w:rsidR="00047D0B" w:rsidRPr="00A343CD" w:rsidRDefault="00047D0B" w:rsidP="00C563B5">
            <w:pPr>
              <w:spacing w:after="0" w:line="276" w:lineRule="auto"/>
              <w:jc w:val="left"/>
              <w:rPr>
                <w:rFonts w:ascii="Arial" w:eastAsia="Times New Roman" w:hAnsi="Arial" w:cs="Arial"/>
                <w:b/>
                <w:bCs/>
                <w:szCs w:val="24"/>
                <w:lang w:bidi="bn-BD"/>
              </w:rPr>
            </w:pPr>
            <w:r w:rsidRPr="00A343CD">
              <w:rPr>
                <w:rFonts w:ascii="Arial" w:eastAsia="Times New Roman" w:hAnsi="Arial" w:cs="Arial"/>
                <w:b/>
                <w:bCs/>
                <w:szCs w:val="24"/>
                <w:lang w:bidi="bn-BD"/>
              </w:rPr>
              <w:t>2024</w:t>
            </w:r>
          </w:p>
        </w:tc>
        <w:tc>
          <w:tcPr>
            <w:tcW w:w="1187" w:type="dxa"/>
            <w:gridSpan w:val="2"/>
            <w:tcBorders>
              <w:top w:val="single" w:sz="4" w:space="0" w:color="999999"/>
              <w:left w:val="nil"/>
              <w:bottom w:val="nil"/>
              <w:right w:val="single" w:sz="4" w:space="0" w:color="999999"/>
            </w:tcBorders>
            <w:shd w:val="clear" w:color="DDEBF7" w:fill="DDEBF7"/>
            <w:noWrap/>
            <w:vAlign w:val="bottom"/>
            <w:hideMark/>
          </w:tcPr>
          <w:p w14:paraId="3FF6ECB6" w14:textId="77777777" w:rsidR="00047D0B" w:rsidRPr="00A343CD" w:rsidRDefault="00047D0B" w:rsidP="00C563B5">
            <w:pPr>
              <w:spacing w:after="0" w:line="276" w:lineRule="auto"/>
              <w:jc w:val="left"/>
              <w:rPr>
                <w:rFonts w:ascii="Arial" w:eastAsia="Times New Roman" w:hAnsi="Arial" w:cs="Arial"/>
                <w:b/>
                <w:bCs/>
                <w:szCs w:val="24"/>
                <w:lang w:bidi="bn-BD"/>
              </w:rPr>
            </w:pPr>
            <w:r w:rsidRPr="00A343CD">
              <w:rPr>
                <w:rFonts w:ascii="Arial" w:eastAsia="Times New Roman" w:hAnsi="Arial" w:cs="Arial"/>
                <w:b/>
                <w:bCs/>
                <w:szCs w:val="24"/>
                <w:lang w:bidi="bn-BD"/>
              </w:rPr>
              <w:t>2023</w:t>
            </w:r>
          </w:p>
        </w:tc>
        <w:tc>
          <w:tcPr>
            <w:tcW w:w="1223" w:type="dxa"/>
            <w:gridSpan w:val="2"/>
            <w:tcBorders>
              <w:top w:val="single" w:sz="4" w:space="0" w:color="999999"/>
              <w:left w:val="nil"/>
              <w:bottom w:val="nil"/>
              <w:right w:val="single" w:sz="4" w:space="0" w:color="999999"/>
            </w:tcBorders>
            <w:shd w:val="clear" w:color="DDEBF7" w:fill="DDEBF7"/>
            <w:noWrap/>
            <w:vAlign w:val="bottom"/>
            <w:hideMark/>
          </w:tcPr>
          <w:p w14:paraId="7EE3C660" w14:textId="77777777" w:rsidR="00047D0B" w:rsidRPr="00A343CD" w:rsidRDefault="00047D0B" w:rsidP="00C563B5">
            <w:pPr>
              <w:spacing w:after="0" w:line="276" w:lineRule="auto"/>
              <w:jc w:val="left"/>
              <w:rPr>
                <w:rFonts w:ascii="Arial" w:eastAsia="Times New Roman" w:hAnsi="Arial" w:cs="Arial"/>
                <w:b/>
                <w:bCs/>
                <w:szCs w:val="24"/>
                <w:lang w:bidi="bn-BD"/>
              </w:rPr>
            </w:pPr>
            <w:r w:rsidRPr="00A343CD">
              <w:rPr>
                <w:rFonts w:ascii="Arial" w:eastAsia="Times New Roman" w:hAnsi="Arial" w:cs="Arial"/>
                <w:b/>
                <w:bCs/>
                <w:szCs w:val="24"/>
                <w:lang w:bidi="bn-BD"/>
              </w:rPr>
              <w:t>2022</w:t>
            </w:r>
          </w:p>
        </w:tc>
        <w:tc>
          <w:tcPr>
            <w:tcW w:w="1052" w:type="dxa"/>
            <w:tcBorders>
              <w:top w:val="single" w:sz="4" w:space="0" w:color="999999"/>
              <w:left w:val="nil"/>
              <w:bottom w:val="nil"/>
              <w:right w:val="single" w:sz="4" w:space="0" w:color="999999"/>
            </w:tcBorders>
            <w:shd w:val="clear" w:color="DDEBF7" w:fill="DDEBF7"/>
            <w:noWrap/>
            <w:vAlign w:val="bottom"/>
            <w:hideMark/>
          </w:tcPr>
          <w:p w14:paraId="033E3CED" w14:textId="77777777" w:rsidR="00047D0B" w:rsidRPr="00A343CD" w:rsidRDefault="00047D0B" w:rsidP="00C563B5">
            <w:pPr>
              <w:spacing w:after="0" w:line="276" w:lineRule="auto"/>
              <w:jc w:val="left"/>
              <w:rPr>
                <w:rFonts w:ascii="Arial" w:eastAsia="Times New Roman" w:hAnsi="Arial" w:cs="Arial"/>
                <w:b/>
                <w:bCs/>
                <w:szCs w:val="24"/>
                <w:lang w:bidi="bn-BD"/>
              </w:rPr>
            </w:pPr>
            <w:r w:rsidRPr="00A343CD">
              <w:rPr>
                <w:rFonts w:ascii="Arial" w:eastAsia="Times New Roman" w:hAnsi="Arial" w:cs="Arial"/>
                <w:b/>
                <w:bCs/>
                <w:szCs w:val="24"/>
                <w:lang w:bidi="bn-BD"/>
              </w:rPr>
              <w:t>2021</w:t>
            </w:r>
          </w:p>
        </w:tc>
        <w:tc>
          <w:tcPr>
            <w:tcW w:w="1286" w:type="dxa"/>
            <w:gridSpan w:val="2"/>
            <w:tcBorders>
              <w:top w:val="single" w:sz="4" w:space="0" w:color="999999"/>
              <w:left w:val="nil"/>
              <w:bottom w:val="nil"/>
              <w:right w:val="single" w:sz="4" w:space="0" w:color="999999"/>
            </w:tcBorders>
            <w:shd w:val="clear" w:color="DDEBF7" w:fill="DDEBF7"/>
            <w:noWrap/>
            <w:vAlign w:val="bottom"/>
            <w:hideMark/>
          </w:tcPr>
          <w:p w14:paraId="05B400E1" w14:textId="77777777" w:rsidR="00047D0B" w:rsidRPr="00A343CD" w:rsidRDefault="00047D0B" w:rsidP="00C563B5">
            <w:pPr>
              <w:spacing w:after="0" w:line="276" w:lineRule="auto"/>
              <w:jc w:val="left"/>
              <w:rPr>
                <w:rFonts w:ascii="Arial" w:eastAsia="Times New Roman" w:hAnsi="Arial" w:cs="Arial"/>
                <w:b/>
                <w:bCs/>
                <w:szCs w:val="24"/>
                <w:lang w:bidi="bn-BD"/>
              </w:rPr>
            </w:pPr>
            <w:r w:rsidRPr="00A343CD">
              <w:rPr>
                <w:rFonts w:ascii="Arial" w:eastAsia="Times New Roman" w:hAnsi="Arial" w:cs="Arial"/>
                <w:b/>
                <w:bCs/>
                <w:szCs w:val="24"/>
                <w:lang w:bidi="bn-BD"/>
              </w:rPr>
              <w:t>2020</w:t>
            </w:r>
          </w:p>
        </w:tc>
      </w:tr>
      <w:tr w:rsidR="00047D0B" w:rsidRPr="00A343CD" w14:paraId="0B9C3B01" w14:textId="77777777" w:rsidTr="00C563B5">
        <w:trPr>
          <w:cantSplit/>
          <w:trHeight w:val="377"/>
          <w:jc w:val="center"/>
        </w:trPr>
        <w:tc>
          <w:tcPr>
            <w:tcW w:w="782" w:type="dxa"/>
            <w:vMerge w:val="restart"/>
            <w:tcBorders>
              <w:top w:val="single" w:sz="4" w:space="0" w:color="auto"/>
              <w:left w:val="single" w:sz="4" w:space="0" w:color="auto"/>
              <w:bottom w:val="single" w:sz="4" w:space="0" w:color="auto"/>
              <w:right w:val="single" w:sz="4" w:space="0" w:color="auto"/>
            </w:tcBorders>
            <w:shd w:val="clear" w:color="F8F9FA" w:fill="F8F9FA"/>
            <w:noWrap/>
            <w:textDirection w:val="btLr"/>
            <w:vAlign w:val="center"/>
            <w:hideMark/>
          </w:tcPr>
          <w:p w14:paraId="3E951539" w14:textId="77777777" w:rsidR="00047D0B" w:rsidRPr="00A343CD" w:rsidRDefault="00047D0B" w:rsidP="00C563B5">
            <w:pPr>
              <w:spacing w:after="0" w:line="276" w:lineRule="auto"/>
              <w:ind w:left="113" w:right="113"/>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Profitability</w:t>
            </w:r>
          </w:p>
        </w:tc>
        <w:tc>
          <w:tcPr>
            <w:tcW w:w="2278" w:type="dxa"/>
            <w:gridSpan w:val="2"/>
            <w:tcBorders>
              <w:top w:val="single" w:sz="4" w:space="0" w:color="auto"/>
              <w:left w:val="nil"/>
              <w:bottom w:val="single" w:sz="4" w:space="0" w:color="auto"/>
              <w:right w:val="single" w:sz="4" w:space="0" w:color="auto"/>
            </w:tcBorders>
            <w:shd w:val="clear" w:color="F8F9FA" w:fill="F8F9FA"/>
            <w:noWrap/>
            <w:vAlign w:val="center"/>
            <w:hideMark/>
          </w:tcPr>
          <w:p w14:paraId="785BFA74"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Gross Margin</w:t>
            </w:r>
          </w:p>
        </w:tc>
        <w:tc>
          <w:tcPr>
            <w:tcW w:w="1218" w:type="dxa"/>
            <w:gridSpan w:val="2"/>
            <w:tcBorders>
              <w:top w:val="single" w:sz="4" w:space="0" w:color="auto"/>
              <w:left w:val="nil"/>
              <w:bottom w:val="single" w:sz="4" w:space="0" w:color="auto"/>
              <w:right w:val="single" w:sz="4" w:space="0" w:color="auto"/>
            </w:tcBorders>
            <w:noWrap/>
            <w:vAlign w:val="bottom"/>
            <w:hideMark/>
          </w:tcPr>
          <w:p w14:paraId="7BA430AB"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28.87%</w:t>
            </w:r>
          </w:p>
        </w:tc>
        <w:tc>
          <w:tcPr>
            <w:tcW w:w="1187" w:type="dxa"/>
            <w:gridSpan w:val="2"/>
            <w:tcBorders>
              <w:top w:val="single" w:sz="4" w:space="0" w:color="auto"/>
              <w:left w:val="nil"/>
              <w:bottom w:val="single" w:sz="4" w:space="0" w:color="auto"/>
              <w:right w:val="single" w:sz="4" w:space="0" w:color="auto"/>
            </w:tcBorders>
            <w:noWrap/>
            <w:vAlign w:val="bottom"/>
            <w:hideMark/>
          </w:tcPr>
          <w:p w14:paraId="64EC0C20"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23.20%</w:t>
            </w:r>
          </w:p>
        </w:tc>
        <w:tc>
          <w:tcPr>
            <w:tcW w:w="1223" w:type="dxa"/>
            <w:gridSpan w:val="2"/>
            <w:tcBorders>
              <w:top w:val="single" w:sz="4" w:space="0" w:color="auto"/>
              <w:left w:val="nil"/>
              <w:bottom w:val="single" w:sz="4" w:space="0" w:color="auto"/>
              <w:right w:val="single" w:sz="4" w:space="0" w:color="auto"/>
            </w:tcBorders>
            <w:noWrap/>
            <w:vAlign w:val="bottom"/>
            <w:hideMark/>
          </w:tcPr>
          <w:p w14:paraId="4E9A1924"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28.06%</w:t>
            </w:r>
          </w:p>
        </w:tc>
        <w:tc>
          <w:tcPr>
            <w:tcW w:w="1052" w:type="dxa"/>
            <w:tcBorders>
              <w:top w:val="single" w:sz="4" w:space="0" w:color="auto"/>
              <w:left w:val="nil"/>
              <w:bottom w:val="single" w:sz="4" w:space="0" w:color="auto"/>
              <w:right w:val="single" w:sz="4" w:space="0" w:color="auto"/>
            </w:tcBorders>
            <w:noWrap/>
            <w:vAlign w:val="bottom"/>
            <w:hideMark/>
          </w:tcPr>
          <w:p w14:paraId="08C35B0A"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28.76%</w:t>
            </w:r>
          </w:p>
        </w:tc>
        <w:tc>
          <w:tcPr>
            <w:tcW w:w="1286" w:type="dxa"/>
            <w:gridSpan w:val="2"/>
            <w:tcBorders>
              <w:top w:val="single" w:sz="4" w:space="0" w:color="auto"/>
              <w:left w:val="nil"/>
              <w:bottom w:val="single" w:sz="4" w:space="0" w:color="auto"/>
              <w:right w:val="single" w:sz="4" w:space="0" w:color="auto"/>
            </w:tcBorders>
            <w:noWrap/>
            <w:vAlign w:val="bottom"/>
            <w:hideMark/>
          </w:tcPr>
          <w:p w14:paraId="498843C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28.67%</w:t>
            </w:r>
          </w:p>
        </w:tc>
      </w:tr>
      <w:tr w:rsidR="00047D0B" w:rsidRPr="00A343CD" w14:paraId="39FECEE2" w14:textId="77777777" w:rsidTr="00C563B5">
        <w:trPr>
          <w:cantSplit/>
          <w:trHeight w:val="341"/>
          <w:jc w:val="center"/>
        </w:trPr>
        <w:tc>
          <w:tcPr>
            <w:tcW w:w="782" w:type="dxa"/>
            <w:vMerge/>
            <w:tcBorders>
              <w:top w:val="single" w:sz="4" w:space="0" w:color="auto"/>
              <w:left w:val="single" w:sz="4" w:space="0" w:color="auto"/>
              <w:bottom w:val="single" w:sz="4" w:space="0" w:color="auto"/>
              <w:right w:val="single" w:sz="4" w:space="0" w:color="auto"/>
            </w:tcBorders>
            <w:textDirection w:val="btLr"/>
            <w:vAlign w:val="center"/>
            <w:hideMark/>
          </w:tcPr>
          <w:p w14:paraId="03903A75"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4F1F4A9B"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Operating Margin </w:t>
            </w:r>
          </w:p>
        </w:tc>
        <w:tc>
          <w:tcPr>
            <w:tcW w:w="1218" w:type="dxa"/>
            <w:gridSpan w:val="2"/>
            <w:tcBorders>
              <w:top w:val="nil"/>
              <w:left w:val="nil"/>
              <w:bottom w:val="single" w:sz="4" w:space="0" w:color="auto"/>
              <w:right w:val="single" w:sz="4" w:space="0" w:color="auto"/>
            </w:tcBorders>
            <w:noWrap/>
            <w:vAlign w:val="bottom"/>
            <w:hideMark/>
          </w:tcPr>
          <w:p w14:paraId="7E7E0DA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-3.87%</w:t>
            </w:r>
          </w:p>
        </w:tc>
        <w:tc>
          <w:tcPr>
            <w:tcW w:w="1187" w:type="dxa"/>
            <w:gridSpan w:val="2"/>
            <w:tcBorders>
              <w:top w:val="nil"/>
              <w:left w:val="nil"/>
              <w:bottom w:val="single" w:sz="4" w:space="0" w:color="auto"/>
              <w:right w:val="single" w:sz="4" w:space="0" w:color="auto"/>
            </w:tcBorders>
            <w:noWrap/>
            <w:vAlign w:val="bottom"/>
            <w:hideMark/>
          </w:tcPr>
          <w:p w14:paraId="44DF78DE"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-20.29%</w:t>
            </w:r>
          </w:p>
        </w:tc>
        <w:tc>
          <w:tcPr>
            <w:tcW w:w="1223" w:type="dxa"/>
            <w:gridSpan w:val="2"/>
            <w:tcBorders>
              <w:top w:val="nil"/>
              <w:left w:val="nil"/>
              <w:bottom w:val="single" w:sz="4" w:space="0" w:color="auto"/>
              <w:right w:val="single" w:sz="4" w:space="0" w:color="auto"/>
            </w:tcBorders>
            <w:noWrap/>
            <w:vAlign w:val="bottom"/>
            <w:hideMark/>
          </w:tcPr>
          <w:p w14:paraId="4C2CC061"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2.68%</w:t>
            </w:r>
          </w:p>
        </w:tc>
        <w:tc>
          <w:tcPr>
            <w:tcW w:w="1052" w:type="dxa"/>
            <w:tcBorders>
              <w:top w:val="nil"/>
              <w:left w:val="nil"/>
              <w:bottom w:val="single" w:sz="4" w:space="0" w:color="auto"/>
              <w:right w:val="single" w:sz="4" w:space="0" w:color="auto"/>
            </w:tcBorders>
            <w:noWrap/>
            <w:vAlign w:val="bottom"/>
            <w:hideMark/>
          </w:tcPr>
          <w:p w14:paraId="6BDD1A0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3.87%</w:t>
            </w:r>
          </w:p>
        </w:tc>
        <w:tc>
          <w:tcPr>
            <w:tcW w:w="1286" w:type="dxa"/>
            <w:gridSpan w:val="2"/>
            <w:tcBorders>
              <w:top w:val="nil"/>
              <w:left w:val="nil"/>
              <w:bottom w:val="single" w:sz="4" w:space="0" w:color="auto"/>
              <w:right w:val="single" w:sz="4" w:space="0" w:color="auto"/>
            </w:tcBorders>
            <w:noWrap/>
            <w:vAlign w:val="bottom"/>
            <w:hideMark/>
          </w:tcPr>
          <w:p w14:paraId="1C3BB797"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6.06%</w:t>
            </w:r>
          </w:p>
        </w:tc>
      </w:tr>
      <w:tr w:rsidR="00047D0B" w:rsidRPr="00A343CD" w14:paraId="7C00C113" w14:textId="77777777" w:rsidTr="00C563B5">
        <w:trPr>
          <w:cantSplit/>
          <w:trHeight w:val="449"/>
          <w:jc w:val="center"/>
        </w:trPr>
        <w:tc>
          <w:tcPr>
            <w:tcW w:w="782" w:type="dxa"/>
            <w:vMerge/>
            <w:tcBorders>
              <w:top w:val="single" w:sz="4" w:space="0" w:color="auto"/>
              <w:left w:val="single" w:sz="4" w:space="0" w:color="auto"/>
              <w:bottom w:val="single" w:sz="4" w:space="0" w:color="auto"/>
              <w:right w:val="single" w:sz="4" w:space="0" w:color="auto"/>
            </w:tcBorders>
            <w:textDirection w:val="btLr"/>
            <w:vAlign w:val="center"/>
            <w:hideMark/>
          </w:tcPr>
          <w:p w14:paraId="7F538253"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41BB9C45"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Net Profit Margin</w:t>
            </w:r>
          </w:p>
        </w:tc>
        <w:tc>
          <w:tcPr>
            <w:tcW w:w="1218" w:type="dxa"/>
            <w:gridSpan w:val="2"/>
            <w:tcBorders>
              <w:top w:val="nil"/>
              <w:left w:val="nil"/>
              <w:bottom w:val="single" w:sz="4" w:space="0" w:color="auto"/>
              <w:right w:val="single" w:sz="4" w:space="0" w:color="auto"/>
            </w:tcBorders>
            <w:noWrap/>
            <w:vAlign w:val="bottom"/>
            <w:hideMark/>
          </w:tcPr>
          <w:p w14:paraId="5566CF1E"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-6.09%</w:t>
            </w:r>
          </w:p>
        </w:tc>
        <w:tc>
          <w:tcPr>
            <w:tcW w:w="1187" w:type="dxa"/>
            <w:gridSpan w:val="2"/>
            <w:tcBorders>
              <w:top w:val="nil"/>
              <w:left w:val="nil"/>
              <w:bottom w:val="single" w:sz="4" w:space="0" w:color="auto"/>
              <w:right w:val="single" w:sz="4" w:space="0" w:color="auto"/>
            </w:tcBorders>
            <w:noWrap/>
            <w:vAlign w:val="bottom"/>
            <w:hideMark/>
          </w:tcPr>
          <w:p w14:paraId="642499BF"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-23.36%</w:t>
            </w:r>
          </w:p>
        </w:tc>
        <w:tc>
          <w:tcPr>
            <w:tcW w:w="1223" w:type="dxa"/>
            <w:gridSpan w:val="2"/>
            <w:tcBorders>
              <w:top w:val="nil"/>
              <w:left w:val="nil"/>
              <w:bottom w:val="single" w:sz="4" w:space="0" w:color="auto"/>
              <w:right w:val="single" w:sz="4" w:space="0" w:color="auto"/>
            </w:tcBorders>
            <w:noWrap/>
            <w:vAlign w:val="bottom"/>
            <w:hideMark/>
          </w:tcPr>
          <w:p w14:paraId="6B2B2B25"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0.07%</w:t>
            </w:r>
          </w:p>
        </w:tc>
        <w:tc>
          <w:tcPr>
            <w:tcW w:w="1052" w:type="dxa"/>
            <w:tcBorders>
              <w:top w:val="nil"/>
              <w:left w:val="nil"/>
              <w:bottom w:val="single" w:sz="4" w:space="0" w:color="auto"/>
              <w:right w:val="single" w:sz="4" w:space="0" w:color="auto"/>
            </w:tcBorders>
            <w:noWrap/>
            <w:vAlign w:val="bottom"/>
            <w:hideMark/>
          </w:tcPr>
          <w:p w14:paraId="722326D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0.88%</w:t>
            </w:r>
          </w:p>
        </w:tc>
        <w:tc>
          <w:tcPr>
            <w:tcW w:w="1286" w:type="dxa"/>
            <w:gridSpan w:val="2"/>
            <w:tcBorders>
              <w:top w:val="nil"/>
              <w:left w:val="nil"/>
              <w:bottom w:val="single" w:sz="4" w:space="0" w:color="auto"/>
              <w:right w:val="single" w:sz="4" w:space="0" w:color="auto"/>
            </w:tcBorders>
            <w:noWrap/>
            <w:vAlign w:val="bottom"/>
            <w:hideMark/>
          </w:tcPr>
          <w:p w14:paraId="49953435"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6.28%</w:t>
            </w:r>
          </w:p>
        </w:tc>
      </w:tr>
      <w:tr w:rsidR="00047D0B" w:rsidRPr="00A343CD" w14:paraId="12CE124F" w14:textId="77777777" w:rsidTr="00C563B5">
        <w:trPr>
          <w:cantSplit/>
          <w:trHeight w:val="620"/>
          <w:jc w:val="center"/>
        </w:trPr>
        <w:tc>
          <w:tcPr>
            <w:tcW w:w="782" w:type="dxa"/>
            <w:vMerge/>
            <w:tcBorders>
              <w:top w:val="single" w:sz="4" w:space="0" w:color="auto"/>
              <w:left w:val="single" w:sz="4" w:space="0" w:color="auto"/>
              <w:bottom w:val="single" w:sz="4" w:space="0" w:color="auto"/>
              <w:right w:val="single" w:sz="4" w:space="0" w:color="auto"/>
            </w:tcBorders>
            <w:textDirection w:val="btLr"/>
            <w:vAlign w:val="center"/>
            <w:hideMark/>
          </w:tcPr>
          <w:p w14:paraId="43FBDE5A"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308E04A1"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Return on Capital Employed (ROCE)</w:t>
            </w:r>
          </w:p>
        </w:tc>
        <w:tc>
          <w:tcPr>
            <w:tcW w:w="1218" w:type="dxa"/>
            <w:gridSpan w:val="2"/>
            <w:tcBorders>
              <w:top w:val="nil"/>
              <w:left w:val="nil"/>
              <w:bottom w:val="single" w:sz="4" w:space="0" w:color="auto"/>
              <w:right w:val="single" w:sz="4" w:space="0" w:color="auto"/>
            </w:tcBorders>
            <w:noWrap/>
            <w:vAlign w:val="bottom"/>
            <w:hideMark/>
          </w:tcPr>
          <w:p w14:paraId="53545779"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-3.66%</w:t>
            </w:r>
          </w:p>
        </w:tc>
        <w:tc>
          <w:tcPr>
            <w:tcW w:w="1187" w:type="dxa"/>
            <w:gridSpan w:val="2"/>
            <w:tcBorders>
              <w:top w:val="nil"/>
              <w:left w:val="nil"/>
              <w:bottom w:val="single" w:sz="4" w:space="0" w:color="auto"/>
              <w:right w:val="single" w:sz="4" w:space="0" w:color="auto"/>
            </w:tcBorders>
            <w:noWrap/>
            <w:vAlign w:val="bottom"/>
            <w:hideMark/>
          </w:tcPr>
          <w:p w14:paraId="65ACA5A1"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-19.04%</w:t>
            </w:r>
          </w:p>
        </w:tc>
        <w:tc>
          <w:tcPr>
            <w:tcW w:w="1223" w:type="dxa"/>
            <w:gridSpan w:val="2"/>
            <w:tcBorders>
              <w:top w:val="nil"/>
              <w:left w:val="nil"/>
              <w:bottom w:val="single" w:sz="4" w:space="0" w:color="auto"/>
              <w:right w:val="single" w:sz="4" w:space="0" w:color="auto"/>
            </w:tcBorders>
            <w:noWrap/>
            <w:vAlign w:val="bottom"/>
            <w:hideMark/>
          </w:tcPr>
          <w:p w14:paraId="2B5B082D"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2.34%</w:t>
            </w:r>
          </w:p>
        </w:tc>
        <w:tc>
          <w:tcPr>
            <w:tcW w:w="1052" w:type="dxa"/>
            <w:tcBorders>
              <w:top w:val="nil"/>
              <w:left w:val="nil"/>
              <w:bottom w:val="single" w:sz="4" w:space="0" w:color="auto"/>
              <w:right w:val="single" w:sz="4" w:space="0" w:color="auto"/>
            </w:tcBorders>
            <w:noWrap/>
            <w:vAlign w:val="bottom"/>
            <w:hideMark/>
          </w:tcPr>
          <w:p w14:paraId="5E557565"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2.85%</w:t>
            </w:r>
          </w:p>
        </w:tc>
        <w:tc>
          <w:tcPr>
            <w:tcW w:w="1286" w:type="dxa"/>
            <w:gridSpan w:val="2"/>
            <w:tcBorders>
              <w:top w:val="nil"/>
              <w:left w:val="nil"/>
              <w:bottom w:val="single" w:sz="4" w:space="0" w:color="auto"/>
              <w:right w:val="single" w:sz="4" w:space="0" w:color="auto"/>
            </w:tcBorders>
            <w:noWrap/>
            <w:vAlign w:val="bottom"/>
            <w:hideMark/>
          </w:tcPr>
          <w:p w14:paraId="0F8595B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7.34%</w:t>
            </w:r>
          </w:p>
        </w:tc>
      </w:tr>
      <w:tr w:rsidR="00047D0B" w:rsidRPr="00A343CD" w14:paraId="7FCEE04E" w14:textId="77777777" w:rsidTr="00C563B5">
        <w:trPr>
          <w:cantSplit/>
          <w:trHeight w:val="431"/>
          <w:jc w:val="center"/>
        </w:trPr>
        <w:tc>
          <w:tcPr>
            <w:tcW w:w="782" w:type="dxa"/>
            <w:vMerge w:val="restart"/>
            <w:tcBorders>
              <w:top w:val="nil"/>
              <w:left w:val="single" w:sz="4" w:space="0" w:color="auto"/>
              <w:bottom w:val="single" w:sz="4" w:space="0" w:color="auto"/>
              <w:right w:val="single" w:sz="4" w:space="0" w:color="auto"/>
            </w:tcBorders>
            <w:shd w:val="clear" w:color="F8F9FA" w:fill="F8F9FA"/>
            <w:noWrap/>
            <w:textDirection w:val="btLr"/>
            <w:vAlign w:val="center"/>
            <w:hideMark/>
          </w:tcPr>
          <w:p w14:paraId="06A11F58" w14:textId="77777777" w:rsidR="00047D0B" w:rsidRPr="00A343CD" w:rsidRDefault="00047D0B" w:rsidP="00C563B5">
            <w:pPr>
              <w:spacing w:after="0" w:line="276" w:lineRule="auto"/>
              <w:ind w:left="113" w:right="113"/>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Liquidity</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6E3C20BF"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Current Ratio</w:t>
            </w:r>
          </w:p>
        </w:tc>
        <w:tc>
          <w:tcPr>
            <w:tcW w:w="1218" w:type="dxa"/>
            <w:gridSpan w:val="2"/>
            <w:tcBorders>
              <w:top w:val="nil"/>
              <w:left w:val="nil"/>
              <w:bottom w:val="single" w:sz="4" w:space="0" w:color="auto"/>
              <w:right w:val="single" w:sz="4" w:space="0" w:color="auto"/>
            </w:tcBorders>
            <w:noWrap/>
            <w:vAlign w:val="bottom"/>
            <w:hideMark/>
          </w:tcPr>
          <w:p w14:paraId="13C13EEB"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1.59:1</w:t>
            </w:r>
          </w:p>
        </w:tc>
        <w:tc>
          <w:tcPr>
            <w:tcW w:w="1187" w:type="dxa"/>
            <w:gridSpan w:val="2"/>
            <w:tcBorders>
              <w:top w:val="nil"/>
              <w:left w:val="nil"/>
              <w:bottom w:val="single" w:sz="4" w:space="0" w:color="auto"/>
              <w:right w:val="single" w:sz="4" w:space="0" w:color="auto"/>
            </w:tcBorders>
            <w:noWrap/>
            <w:vAlign w:val="bottom"/>
            <w:hideMark/>
          </w:tcPr>
          <w:p w14:paraId="779776D7"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1.66:1</w:t>
            </w:r>
          </w:p>
        </w:tc>
        <w:tc>
          <w:tcPr>
            <w:tcW w:w="1223" w:type="dxa"/>
            <w:gridSpan w:val="2"/>
            <w:tcBorders>
              <w:top w:val="nil"/>
              <w:left w:val="nil"/>
              <w:bottom w:val="single" w:sz="4" w:space="0" w:color="auto"/>
              <w:right w:val="single" w:sz="4" w:space="0" w:color="auto"/>
            </w:tcBorders>
            <w:noWrap/>
            <w:vAlign w:val="bottom"/>
            <w:hideMark/>
          </w:tcPr>
          <w:p w14:paraId="08B6FC29"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1.60:1</w:t>
            </w:r>
          </w:p>
        </w:tc>
        <w:tc>
          <w:tcPr>
            <w:tcW w:w="1052" w:type="dxa"/>
            <w:tcBorders>
              <w:top w:val="nil"/>
              <w:left w:val="nil"/>
              <w:bottom w:val="single" w:sz="4" w:space="0" w:color="auto"/>
              <w:right w:val="single" w:sz="4" w:space="0" w:color="auto"/>
            </w:tcBorders>
            <w:noWrap/>
            <w:vAlign w:val="bottom"/>
            <w:hideMark/>
          </w:tcPr>
          <w:p w14:paraId="6EF473A7"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1.58:1</w:t>
            </w:r>
          </w:p>
        </w:tc>
        <w:tc>
          <w:tcPr>
            <w:tcW w:w="1286" w:type="dxa"/>
            <w:gridSpan w:val="2"/>
            <w:tcBorders>
              <w:top w:val="nil"/>
              <w:left w:val="nil"/>
              <w:bottom w:val="single" w:sz="4" w:space="0" w:color="auto"/>
              <w:right w:val="single" w:sz="4" w:space="0" w:color="auto"/>
            </w:tcBorders>
            <w:noWrap/>
            <w:vAlign w:val="bottom"/>
            <w:hideMark/>
          </w:tcPr>
          <w:p w14:paraId="3305C7CD"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1.88:1</w:t>
            </w:r>
          </w:p>
        </w:tc>
      </w:tr>
      <w:tr w:rsidR="00047D0B" w:rsidRPr="00A343CD" w14:paraId="3F5CDBF6" w14:textId="77777777" w:rsidTr="00C563B5">
        <w:trPr>
          <w:cantSplit/>
          <w:trHeight w:val="449"/>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3E801290"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5254EC76"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Quick Ratio</w:t>
            </w:r>
          </w:p>
        </w:tc>
        <w:tc>
          <w:tcPr>
            <w:tcW w:w="1218" w:type="dxa"/>
            <w:gridSpan w:val="2"/>
            <w:tcBorders>
              <w:top w:val="nil"/>
              <w:left w:val="nil"/>
              <w:bottom w:val="single" w:sz="4" w:space="0" w:color="auto"/>
              <w:right w:val="single" w:sz="4" w:space="0" w:color="auto"/>
            </w:tcBorders>
            <w:noWrap/>
            <w:vAlign w:val="bottom"/>
            <w:hideMark/>
          </w:tcPr>
          <w:p w14:paraId="1F005604"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1.09:1</w:t>
            </w:r>
          </w:p>
        </w:tc>
        <w:tc>
          <w:tcPr>
            <w:tcW w:w="1187" w:type="dxa"/>
            <w:gridSpan w:val="2"/>
            <w:tcBorders>
              <w:top w:val="nil"/>
              <w:left w:val="nil"/>
              <w:bottom w:val="single" w:sz="4" w:space="0" w:color="auto"/>
              <w:right w:val="single" w:sz="4" w:space="0" w:color="auto"/>
            </w:tcBorders>
            <w:noWrap/>
            <w:vAlign w:val="bottom"/>
            <w:hideMark/>
          </w:tcPr>
          <w:p w14:paraId="6AF0A78D"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1.11:1</w:t>
            </w:r>
          </w:p>
        </w:tc>
        <w:tc>
          <w:tcPr>
            <w:tcW w:w="1223" w:type="dxa"/>
            <w:gridSpan w:val="2"/>
            <w:tcBorders>
              <w:top w:val="nil"/>
              <w:left w:val="nil"/>
              <w:bottom w:val="single" w:sz="4" w:space="0" w:color="auto"/>
              <w:right w:val="single" w:sz="4" w:space="0" w:color="auto"/>
            </w:tcBorders>
            <w:noWrap/>
            <w:vAlign w:val="bottom"/>
            <w:hideMark/>
          </w:tcPr>
          <w:p w14:paraId="2D58ACBB"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0.94:1</w:t>
            </w:r>
          </w:p>
        </w:tc>
        <w:tc>
          <w:tcPr>
            <w:tcW w:w="1052" w:type="dxa"/>
            <w:tcBorders>
              <w:top w:val="nil"/>
              <w:left w:val="nil"/>
              <w:bottom w:val="single" w:sz="4" w:space="0" w:color="auto"/>
              <w:right w:val="single" w:sz="4" w:space="0" w:color="auto"/>
            </w:tcBorders>
            <w:noWrap/>
            <w:vAlign w:val="bottom"/>
            <w:hideMark/>
          </w:tcPr>
          <w:p w14:paraId="3DE759FA"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0.95:1</w:t>
            </w:r>
          </w:p>
        </w:tc>
        <w:tc>
          <w:tcPr>
            <w:tcW w:w="1286" w:type="dxa"/>
            <w:gridSpan w:val="2"/>
            <w:tcBorders>
              <w:top w:val="nil"/>
              <w:left w:val="nil"/>
              <w:bottom w:val="single" w:sz="4" w:space="0" w:color="auto"/>
              <w:right w:val="single" w:sz="4" w:space="0" w:color="auto"/>
            </w:tcBorders>
            <w:noWrap/>
            <w:vAlign w:val="bottom"/>
            <w:hideMark/>
          </w:tcPr>
          <w:p w14:paraId="6F738FB4"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1.20:1</w:t>
            </w:r>
          </w:p>
        </w:tc>
      </w:tr>
      <w:tr w:rsidR="00047D0B" w:rsidRPr="00A343CD" w14:paraId="027435E7"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686F31AC"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0CD1945D"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Cash Ratio</w:t>
            </w:r>
          </w:p>
        </w:tc>
        <w:tc>
          <w:tcPr>
            <w:tcW w:w="1218" w:type="dxa"/>
            <w:gridSpan w:val="2"/>
            <w:tcBorders>
              <w:top w:val="nil"/>
              <w:left w:val="nil"/>
              <w:bottom w:val="single" w:sz="4" w:space="0" w:color="auto"/>
              <w:right w:val="single" w:sz="4" w:space="0" w:color="auto"/>
            </w:tcBorders>
            <w:noWrap/>
            <w:vAlign w:val="bottom"/>
            <w:hideMark/>
          </w:tcPr>
          <w:p w14:paraId="5F35777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0.21:1</w:t>
            </w:r>
          </w:p>
        </w:tc>
        <w:tc>
          <w:tcPr>
            <w:tcW w:w="1187" w:type="dxa"/>
            <w:gridSpan w:val="2"/>
            <w:tcBorders>
              <w:top w:val="nil"/>
              <w:left w:val="nil"/>
              <w:bottom w:val="single" w:sz="4" w:space="0" w:color="auto"/>
              <w:right w:val="single" w:sz="4" w:space="0" w:color="auto"/>
            </w:tcBorders>
            <w:noWrap/>
            <w:vAlign w:val="bottom"/>
            <w:hideMark/>
          </w:tcPr>
          <w:p w14:paraId="21342B14"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0.31:1</w:t>
            </w:r>
          </w:p>
        </w:tc>
        <w:tc>
          <w:tcPr>
            <w:tcW w:w="1223" w:type="dxa"/>
            <w:gridSpan w:val="2"/>
            <w:tcBorders>
              <w:top w:val="nil"/>
              <w:left w:val="nil"/>
              <w:bottom w:val="single" w:sz="4" w:space="0" w:color="auto"/>
              <w:right w:val="single" w:sz="4" w:space="0" w:color="auto"/>
            </w:tcBorders>
            <w:noWrap/>
            <w:vAlign w:val="bottom"/>
            <w:hideMark/>
          </w:tcPr>
          <w:p w14:paraId="69656FD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0.35:1</w:t>
            </w:r>
          </w:p>
        </w:tc>
        <w:tc>
          <w:tcPr>
            <w:tcW w:w="1052" w:type="dxa"/>
            <w:tcBorders>
              <w:top w:val="nil"/>
              <w:left w:val="nil"/>
              <w:bottom w:val="single" w:sz="4" w:space="0" w:color="auto"/>
              <w:right w:val="single" w:sz="4" w:space="0" w:color="auto"/>
            </w:tcBorders>
            <w:noWrap/>
            <w:vAlign w:val="bottom"/>
            <w:hideMark/>
          </w:tcPr>
          <w:p w14:paraId="738143B4"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0.32:1</w:t>
            </w:r>
          </w:p>
        </w:tc>
        <w:tc>
          <w:tcPr>
            <w:tcW w:w="1286" w:type="dxa"/>
            <w:gridSpan w:val="2"/>
            <w:tcBorders>
              <w:top w:val="nil"/>
              <w:left w:val="nil"/>
              <w:bottom w:val="single" w:sz="4" w:space="0" w:color="auto"/>
              <w:right w:val="single" w:sz="4" w:space="0" w:color="auto"/>
            </w:tcBorders>
            <w:noWrap/>
            <w:vAlign w:val="bottom"/>
            <w:hideMark/>
          </w:tcPr>
          <w:p w14:paraId="410F491A"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0.39:1</w:t>
            </w:r>
          </w:p>
        </w:tc>
      </w:tr>
      <w:tr w:rsidR="00047D0B" w:rsidRPr="00A343CD" w14:paraId="28FD3BBA" w14:textId="77777777" w:rsidTr="00C563B5">
        <w:trPr>
          <w:trHeight w:val="300"/>
          <w:jc w:val="center"/>
        </w:trPr>
        <w:tc>
          <w:tcPr>
            <w:tcW w:w="782" w:type="dxa"/>
            <w:vMerge w:val="restart"/>
            <w:tcBorders>
              <w:top w:val="nil"/>
              <w:left w:val="single" w:sz="4" w:space="0" w:color="auto"/>
              <w:bottom w:val="single" w:sz="4" w:space="0" w:color="000000"/>
              <w:right w:val="single" w:sz="4" w:space="0" w:color="auto"/>
            </w:tcBorders>
            <w:shd w:val="clear" w:color="F8F9FA" w:fill="F8F9FA"/>
            <w:noWrap/>
            <w:textDirection w:val="btLr"/>
            <w:vAlign w:val="center"/>
            <w:hideMark/>
          </w:tcPr>
          <w:p w14:paraId="3F448F06" w14:textId="77777777" w:rsidR="00047D0B" w:rsidRPr="00A343CD" w:rsidRDefault="00047D0B" w:rsidP="00C563B5">
            <w:pPr>
              <w:spacing w:after="0" w:line="276" w:lineRule="auto"/>
              <w:ind w:left="113" w:right="113"/>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Working Capital Ratio</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442FA42F"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Inventory Turnover</w:t>
            </w:r>
          </w:p>
        </w:tc>
        <w:tc>
          <w:tcPr>
            <w:tcW w:w="1218" w:type="dxa"/>
            <w:gridSpan w:val="2"/>
            <w:tcBorders>
              <w:top w:val="nil"/>
              <w:left w:val="nil"/>
              <w:bottom w:val="single" w:sz="4" w:space="0" w:color="auto"/>
              <w:right w:val="single" w:sz="4" w:space="0" w:color="auto"/>
            </w:tcBorders>
            <w:noWrap/>
            <w:vAlign w:val="bottom"/>
            <w:hideMark/>
          </w:tcPr>
          <w:p w14:paraId="72BA8918"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3.54 Days</w:t>
            </w:r>
          </w:p>
        </w:tc>
        <w:tc>
          <w:tcPr>
            <w:tcW w:w="1187" w:type="dxa"/>
            <w:gridSpan w:val="2"/>
            <w:tcBorders>
              <w:top w:val="nil"/>
              <w:left w:val="nil"/>
              <w:bottom w:val="single" w:sz="4" w:space="0" w:color="auto"/>
              <w:right w:val="single" w:sz="4" w:space="0" w:color="auto"/>
            </w:tcBorders>
            <w:noWrap/>
            <w:vAlign w:val="bottom"/>
            <w:hideMark/>
          </w:tcPr>
          <w:p w14:paraId="792A5EBE"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3.66 Days</w:t>
            </w:r>
          </w:p>
        </w:tc>
        <w:tc>
          <w:tcPr>
            <w:tcW w:w="1223" w:type="dxa"/>
            <w:gridSpan w:val="2"/>
            <w:tcBorders>
              <w:top w:val="nil"/>
              <w:left w:val="nil"/>
              <w:bottom w:val="single" w:sz="4" w:space="0" w:color="auto"/>
              <w:right w:val="single" w:sz="4" w:space="0" w:color="auto"/>
            </w:tcBorders>
            <w:noWrap/>
            <w:vAlign w:val="bottom"/>
            <w:hideMark/>
          </w:tcPr>
          <w:p w14:paraId="6981972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2.79 Days</w:t>
            </w:r>
          </w:p>
        </w:tc>
        <w:tc>
          <w:tcPr>
            <w:tcW w:w="1052" w:type="dxa"/>
            <w:tcBorders>
              <w:top w:val="nil"/>
              <w:left w:val="nil"/>
              <w:bottom w:val="single" w:sz="4" w:space="0" w:color="auto"/>
              <w:right w:val="single" w:sz="4" w:space="0" w:color="auto"/>
            </w:tcBorders>
            <w:noWrap/>
            <w:vAlign w:val="bottom"/>
            <w:hideMark/>
          </w:tcPr>
          <w:p w14:paraId="2B8FD3C9"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3.19 Days</w:t>
            </w:r>
          </w:p>
        </w:tc>
        <w:tc>
          <w:tcPr>
            <w:tcW w:w="1286" w:type="dxa"/>
            <w:gridSpan w:val="2"/>
            <w:tcBorders>
              <w:top w:val="nil"/>
              <w:left w:val="nil"/>
              <w:bottom w:val="single" w:sz="4" w:space="0" w:color="auto"/>
              <w:right w:val="single" w:sz="4" w:space="0" w:color="auto"/>
            </w:tcBorders>
            <w:noWrap/>
            <w:vAlign w:val="bottom"/>
            <w:hideMark/>
          </w:tcPr>
          <w:p w14:paraId="47BC9718"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3.64 Days</w:t>
            </w:r>
          </w:p>
        </w:tc>
      </w:tr>
      <w:tr w:rsidR="00047D0B" w:rsidRPr="00A343CD" w14:paraId="10228F7A" w14:textId="77777777" w:rsidTr="00C563B5">
        <w:trPr>
          <w:trHeight w:val="300"/>
          <w:jc w:val="center"/>
        </w:trPr>
        <w:tc>
          <w:tcPr>
            <w:tcW w:w="782" w:type="dxa"/>
            <w:vMerge/>
            <w:tcBorders>
              <w:top w:val="nil"/>
              <w:left w:val="single" w:sz="4" w:space="0" w:color="auto"/>
              <w:bottom w:val="single" w:sz="4" w:space="0" w:color="000000"/>
              <w:right w:val="single" w:sz="4" w:space="0" w:color="auto"/>
            </w:tcBorders>
            <w:textDirection w:val="btLr"/>
            <w:vAlign w:val="center"/>
            <w:hideMark/>
          </w:tcPr>
          <w:p w14:paraId="15E91767"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2A33932D"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Accounts Payable Days</w:t>
            </w:r>
          </w:p>
        </w:tc>
        <w:tc>
          <w:tcPr>
            <w:tcW w:w="1218" w:type="dxa"/>
            <w:gridSpan w:val="2"/>
            <w:tcBorders>
              <w:top w:val="nil"/>
              <w:left w:val="nil"/>
              <w:bottom w:val="single" w:sz="4" w:space="0" w:color="auto"/>
              <w:right w:val="single" w:sz="4" w:space="0" w:color="auto"/>
            </w:tcBorders>
            <w:noWrap/>
            <w:vAlign w:val="bottom"/>
            <w:hideMark/>
          </w:tcPr>
          <w:p w14:paraId="17A1E723"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93.60 Days</w:t>
            </w:r>
          </w:p>
        </w:tc>
        <w:tc>
          <w:tcPr>
            <w:tcW w:w="1187" w:type="dxa"/>
            <w:gridSpan w:val="2"/>
            <w:tcBorders>
              <w:top w:val="nil"/>
              <w:left w:val="nil"/>
              <w:bottom w:val="single" w:sz="4" w:space="0" w:color="auto"/>
              <w:right w:val="single" w:sz="4" w:space="0" w:color="auto"/>
            </w:tcBorders>
            <w:noWrap/>
            <w:vAlign w:val="bottom"/>
            <w:hideMark/>
          </w:tcPr>
          <w:p w14:paraId="392CEFA0"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64.47 Days</w:t>
            </w:r>
          </w:p>
        </w:tc>
        <w:tc>
          <w:tcPr>
            <w:tcW w:w="1223" w:type="dxa"/>
            <w:gridSpan w:val="2"/>
            <w:tcBorders>
              <w:top w:val="nil"/>
              <w:left w:val="nil"/>
              <w:bottom w:val="single" w:sz="4" w:space="0" w:color="auto"/>
              <w:right w:val="single" w:sz="4" w:space="0" w:color="auto"/>
            </w:tcBorders>
            <w:noWrap/>
            <w:vAlign w:val="bottom"/>
            <w:hideMark/>
          </w:tcPr>
          <w:p w14:paraId="0BF192A9"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66.72 Days</w:t>
            </w:r>
          </w:p>
        </w:tc>
        <w:tc>
          <w:tcPr>
            <w:tcW w:w="1052" w:type="dxa"/>
            <w:tcBorders>
              <w:top w:val="nil"/>
              <w:left w:val="nil"/>
              <w:bottom w:val="single" w:sz="4" w:space="0" w:color="auto"/>
              <w:right w:val="single" w:sz="4" w:space="0" w:color="auto"/>
            </w:tcBorders>
            <w:noWrap/>
            <w:vAlign w:val="bottom"/>
            <w:hideMark/>
          </w:tcPr>
          <w:p w14:paraId="4D942673"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78.95 Days</w:t>
            </w:r>
          </w:p>
        </w:tc>
        <w:tc>
          <w:tcPr>
            <w:tcW w:w="1286" w:type="dxa"/>
            <w:gridSpan w:val="2"/>
            <w:tcBorders>
              <w:top w:val="nil"/>
              <w:left w:val="nil"/>
              <w:bottom w:val="single" w:sz="4" w:space="0" w:color="auto"/>
              <w:right w:val="single" w:sz="4" w:space="0" w:color="auto"/>
            </w:tcBorders>
            <w:noWrap/>
            <w:vAlign w:val="bottom"/>
            <w:hideMark/>
          </w:tcPr>
          <w:p w14:paraId="4793E770"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69.29 Days</w:t>
            </w:r>
          </w:p>
        </w:tc>
      </w:tr>
      <w:tr w:rsidR="00047D0B" w:rsidRPr="00A343CD" w14:paraId="4062795E" w14:textId="77777777" w:rsidTr="00C563B5">
        <w:trPr>
          <w:trHeight w:val="312"/>
          <w:jc w:val="center"/>
        </w:trPr>
        <w:tc>
          <w:tcPr>
            <w:tcW w:w="782" w:type="dxa"/>
            <w:vMerge/>
            <w:tcBorders>
              <w:top w:val="nil"/>
              <w:left w:val="single" w:sz="4" w:space="0" w:color="auto"/>
              <w:bottom w:val="single" w:sz="4" w:space="0" w:color="000000"/>
              <w:right w:val="single" w:sz="4" w:space="0" w:color="auto"/>
            </w:tcBorders>
            <w:textDirection w:val="btLr"/>
            <w:vAlign w:val="center"/>
            <w:hideMark/>
          </w:tcPr>
          <w:p w14:paraId="18E7025B"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71521806"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Account Receivables Turnover</w:t>
            </w:r>
          </w:p>
        </w:tc>
        <w:tc>
          <w:tcPr>
            <w:tcW w:w="1218" w:type="dxa"/>
            <w:gridSpan w:val="2"/>
            <w:tcBorders>
              <w:top w:val="nil"/>
              <w:left w:val="nil"/>
              <w:bottom w:val="single" w:sz="4" w:space="0" w:color="auto"/>
              <w:right w:val="single" w:sz="4" w:space="0" w:color="auto"/>
            </w:tcBorders>
            <w:noWrap/>
            <w:vAlign w:val="bottom"/>
            <w:hideMark/>
          </w:tcPr>
          <w:p w14:paraId="75709C8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105.54 Days</w:t>
            </w:r>
          </w:p>
        </w:tc>
        <w:tc>
          <w:tcPr>
            <w:tcW w:w="1187" w:type="dxa"/>
            <w:gridSpan w:val="2"/>
            <w:tcBorders>
              <w:top w:val="nil"/>
              <w:left w:val="nil"/>
              <w:bottom w:val="single" w:sz="4" w:space="0" w:color="auto"/>
              <w:right w:val="single" w:sz="4" w:space="0" w:color="auto"/>
            </w:tcBorders>
            <w:noWrap/>
            <w:vAlign w:val="bottom"/>
            <w:hideMark/>
          </w:tcPr>
          <w:p w14:paraId="7C310AA7"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97.74 Days</w:t>
            </w:r>
          </w:p>
        </w:tc>
        <w:tc>
          <w:tcPr>
            <w:tcW w:w="1223" w:type="dxa"/>
            <w:gridSpan w:val="2"/>
            <w:tcBorders>
              <w:top w:val="nil"/>
              <w:left w:val="nil"/>
              <w:bottom w:val="single" w:sz="4" w:space="0" w:color="auto"/>
              <w:right w:val="single" w:sz="4" w:space="0" w:color="auto"/>
            </w:tcBorders>
            <w:noWrap/>
            <w:vAlign w:val="bottom"/>
            <w:hideMark/>
          </w:tcPr>
          <w:p w14:paraId="0072AA60"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75.55 Days</w:t>
            </w:r>
          </w:p>
        </w:tc>
        <w:tc>
          <w:tcPr>
            <w:tcW w:w="1052" w:type="dxa"/>
            <w:tcBorders>
              <w:top w:val="nil"/>
              <w:left w:val="nil"/>
              <w:bottom w:val="single" w:sz="4" w:space="0" w:color="auto"/>
              <w:right w:val="single" w:sz="4" w:space="0" w:color="auto"/>
            </w:tcBorders>
            <w:noWrap/>
            <w:vAlign w:val="bottom"/>
            <w:hideMark/>
          </w:tcPr>
          <w:p w14:paraId="49FEC22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78.40 Days</w:t>
            </w:r>
          </w:p>
        </w:tc>
        <w:tc>
          <w:tcPr>
            <w:tcW w:w="1286" w:type="dxa"/>
            <w:gridSpan w:val="2"/>
            <w:tcBorders>
              <w:top w:val="nil"/>
              <w:left w:val="nil"/>
              <w:bottom w:val="single" w:sz="4" w:space="0" w:color="auto"/>
              <w:right w:val="single" w:sz="4" w:space="0" w:color="auto"/>
            </w:tcBorders>
            <w:noWrap/>
            <w:vAlign w:val="bottom"/>
            <w:hideMark/>
          </w:tcPr>
          <w:p w14:paraId="4D6BECA6"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76.86 Days</w:t>
            </w:r>
          </w:p>
        </w:tc>
      </w:tr>
      <w:tr w:rsidR="00047D0B" w:rsidRPr="00A343CD" w14:paraId="2BBEBA5F" w14:textId="77777777" w:rsidTr="00C563B5">
        <w:trPr>
          <w:trHeight w:val="312"/>
          <w:jc w:val="center"/>
        </w:trPr>
        <w:tc>
          <w:tcPr>
            <w:tcW w:w="782" w:type="dxa"/>
            <w:vMerge/>
            <w:tcBorders>
              <w:top w:val="nil"/>
              <w:left w:val="single" w:sz="4" w:space="0" w:color="auto"/>
              <w:bottom w:val="single" w:sz="4" w:space="0" w:color="000000"/>
              <w:right w:val="single" w:sz="4" w:space="0" w:color="auto"/>
            </w:tcBorders>
            <w:textDirection w:val="btLr"/>
            <w:vAlign w:val="center"/>
            <w:hideMark/>
          </w:tcPr>
          <w:p w14:paraId="1CD6D58E"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78CB6A38"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Cash Conversion Cycle (CCC)</w:t>
            </w:r>
          </w:p>
        </w:tc>
        <w:tc>
          <w:tcPr>
            <w:tcW w:w="1218" w:type="dxa"/>
            <w:gridSpan w:val="2"/>
            <w:tcBorders>
              <w:top w:val="nil"/>
              <w:left w:val="nil"/>
              <w:bottom w:val="single" w:sz="4" w:space="0" w:color="auto"/>
              <w:right w:val="single" w:sz="4" w:space="0" w:color="auto"/>
            </w:tcBorders>
            <w:noWrap/>
            <w:vAlign w:val="bottom"/>
            <w:hideMark/>
          </w:tcPr>
          <w:p w14:paraId="2EB6EB0B"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15.48 Days</w:t>
            </w:r>
          </w:p>
        </w:tc>
        <w:tc>
          <w:tcPr>
            <w:tcW w:w="1187" w:type="dxa"/>
            <w:gridSpan w:val="2"/>
            <w:tcBorders>
              <w:top w:val="nil"/>
              <w:left w:val="nil"/>
              <w:bottom w:val="single" w:sz="4" w:space="0" w:color="auto"/>
              <w:right w:val="single" w:sz="4" w:space="0" w:color="auto"/>
            </w:tcBorders>
            <w:noWrap/>
            <w:vAlign w:val="bottom"/>
            <w:hideMark/>
          </w:tcPr>
          <w:p w14:paraId="3A63D2D9"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36.93 Days</w:t>
            </w:r>
          </w:p>
        </w:tc>
        <w:tc>
          <w:tcPr>
            <w:tcW w:w="1223" w:type="dxa"/>
            <w:gridSpan w:val="2"/>
            <w:tcBorders>
              <w:top w:val="nil"/>
              <w:left w:val="nil"/>
              <w:bottom w:val="single" w:sz="4" w:space="0" w:color="auto"/>
              <w:right w:val="single" w:sz="4" w:space="0" w:color="auto"/>
            </w:tcBorders>
            <w:noWrap/>
            <w:vAlign w:val="bottom"/>
            <w:hideMark/>
          </w:tcPr>
          <w:p w14:paraId="229C9E1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11.62 Days</w:t>
            </w:r>
          </w:p>
        </w:tc>
        <w:tc>
          <w:tcPr>
            <w:tcW w:w="1052" w:type="dxa"/>
            <w:tcBorders>
              <w:top w:val="nil"/>
              <w:left w:val="nil"/>
              <w:bottom w:val="single" w:sz="4" w:space="0" w:color="auto"/>
              <w:right w:val="single" w:sz="4" w:space="0" w:color="auto"/>
            </w:tcBorders>
            <w:noWrap/>
            <w:vAlign w:val="bottom"/>
            <w:hideMark/>
          </w:tcPr>
          <w:p w14:paraId="6D6A5264"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2.63 Days</w:t>
            </w:r>
          </w:p>
        </w:tc>
        <w:tc>
          <w:tcPr>
            <w:tcW w:w="1286" w:type="dxa"/>
            <w:gridSpan w:val="2"/>
            <w:tcBorders>
              <w:top w:val="nil"/>
              <w:left w:val="nil"/>
              <w:bottom w:val="single" w:sz="4" w:space="0" w:color="auto"/>
              <w:right w:val="single" w:sz="4" w:space="0" w:color="auto"/>
            </w:tcBorders>
            <w:noWrap/>
            <w:vAlign w:val="bottom"/>
            <w:hideMark/>
          </w:tcPr>
          <w:p w14:paraId="22E7A557"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11.21 Days</w:t>
            </w:r>
          </w:p>
        </w:tc>
      </w:tr>
      <w:tr w:rsidR="00047D0B" w:rsidRPr="00A343CD" w14:paraId="7FAB0E58" w14:textId="77777777" w:rsidTr="00C563B5">
        <w:trPr>
          <w:trHeight w:val="312"/>
          <w:jc w:val="center"/>
        </w:trPr>
        <w:tc>
          <w:tcPr>
            <w:tcW w:w="782" w:type="dxa"/>
            <w:vMerge w:val="restart"/>
            <w:tcBorders>
              <w:top w:val="nil"/>
              <w:left w:val="single" w:sz="4" w:space="0" w:color="auto"/>
              <w:bottom w:val="single" w:sz="4" w:space="0" w:color="auto"/>
              <w:right w:val="single" w:sz="4" w:space="0" w:color="auto"/>
            </w:tcBorders>
            <w:shd w:val="clear" w:color="F8F9FA" w:fill="F8F9FA"/>
            <w:noWrap/>
            <w:textDirection w:val="btLr"/>
            <w:vAlign w:val="center"/>
            <w:hideMark/>
          </w:tcPr>
          <w:p w14:paraId="4F009817" w14:textId="77777777" w:rsidR="00047D0B" w:rsidRPr="00A343CD" w:rsidRDefault="00047D0B" w:rsidP="00C563B5">
            <w:pPr>
              <w:spacing w:after="0" w:line="276" w:lineRule="auto"/>
              <w:ind w:left="113" w:right="113"/>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Asset Efficiency</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64D7926E"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Asset Turnover</w:t>
            </w:r>
          </w:p>
        </w:tc>
        <w:tc>
          <w:tcPr>
            <w:tcW w:w="1218" w:type="dxa"/>
            <w:gridSpan w:val="2"/>
            <w:tcBorders>
              <w:top w:val="nil"/>
              <w:left w:val="nil"/>
              <w:bottom w:val="single" w:sz="4" w:space="0" w:color="auto"/>
              <w:right w:val="single" w:sz="4" w:space="0" w:color="auto"/>
            </w:tcBorders>
            <w:noWrap/>
            <w:vAlign w:val="bottom"/>
            <w:hideMark/>
          </w:tcPr>
          <w:p w14:paraId="3D196B44"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0.69 Times</w:t>
            </w:r>
          </w:p>
        </w:tc>
        <w:tc>
          <w:tcPr>
            <w:tcW w:w="1187" w:type="dxa"/>
            <w:gridSpan w:val="2"/>
            <w:tcBorders>
              <w:top w:val="nil"/>
              <w:left w:val="nil"/>
              <w:bottom w:val="single" w:sz="4" w:space="0" w:color="auto"/>
              <w:right w:val="single" w:sz="4" w:space="0" w:color="auto"/>
            </w:tcBorders>
            <w:noWrap/>
            <w:vAlign w:val="bottom"/>
            <w:hideMark/>
          </w:tcPr>
          <w:p w14:paraId="1334D95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0.68 Times</w:t>
            </w:r>
          </w:p>
        </w:tc>
        <w:tc>
          <w:tcPr>
            <w:tcW w:w="1223" w:type="dxa"/>
            <w:gridSpan w:val="2"/>
            <w:tcBorders>
              <w:top w:val="nil"/>
              <w:left w:val="nil"/>
              <w:bottom w:val="single" w:sz="4" w:space="0" w:color="auto"/>
              <w:right w:val="single" w:sz="4" w:space="0" w:color="auto"/>
            </w:tcBorders>
            <w:noWrap/>
            <w:vAlign w:val="bottom"/>
            <w:hideMark/>
          </w:tcPr>
          <w:p w14:paraId="6D83671A"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0.68 Times</w:t>
            </w:r>
          </w:p>
        </w:tc>
        <w:tc>
          <w:tcPr>
            <w:tcW w:w="1052" w:type="dxa"/>
            <w:tcBorders>
              <w:top w:val="nil"/>
              <w:left w:val="nil"/>
              <w:bottom w:val="single" w:sz="4" w:space="0" w:color="auto"/>
              <w:right w:val="single" w:sz="4" w:space="0" w:color="auto"/>
            </w:tcBorders>
            <w:noWrap/>
            <w:vAlign w:val="bottom"/>
            <w:hideMark/>
          </w:tcPr>
          <w:p w14:paraId="651731A0"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0.75 Times</w:t>
            </w:r>
          </w:p>
        </w:tc>
        <w:tc>
          <w:tcPr>
            <w:tcW w:w="1286" w:type="dxa"/>
            <w:gridSpan w:val="2"/>
            <w:tcBorders>
              <w:top w:val="nil"/>
              <w:left w:val="nil"/>
              <w:bottom w:val="single" w:sz="4" w:space="0" w:color="auto"/>
              <w:right w:val="single" w:sz="4" w:space="0" w:color="auto"/>
            </w:tcBorders>
            <w:noWrap/>
            <w:vAlign w:val="bottom"/>
            <w:hideMark/>
          </w:tcPr>
          <w:p w14:paraId="45D7B798"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0.77 Times</w:t>
            </w:r>
          </w:p>
        </w:tc>
      </w:tr>
      <w:tr w:rsidR="00047D0B" w:rsidRPr="00A343CD" w14:paraId="3E83DD36"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605234C9"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4CBFF5BC"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Fixed Asset Turnover</w:t>
            </w:r>
          </w:p>
        </w:tc>
        <w:tc>
          <w:tcPr>
            <w:tcW w:w="1218" w:type="dxa"/>
            <w:gridSpan w:val="2"/>
            <w:tcBorders>
              <w:top w:val="nil"/>
              <w:left w:val="nil"/>
              <w:bottom w:val="single" w:sz="4" w:space="0" w:color="auto"/>
              <w:right w:val="single" w:sz="4" w:space="0" w:color="auto"/>
            </w:tcBorders>
            <w:noWrap/>
            <w:vAlign w:val="bottom"/>
            <w:hideMark/>
          </w:tcPr>
          <w:p w14:paraId="7B430AA7"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11.54 Days</w:t>
            </w:r>
          </w:p>
        </w:tc>
        <w:tc>
          <w:tcPr>
            <w:tcW w:w="1187" w:type="dxa"/>
            <w:gridSpan w:val="2"/>
            <w:tcBorders>
              <w:top w:val="nil"/>
              <w:left w:val="nil"/>
              <w:bottom w:val="single" w:sz="4" w:space="0" w:color="auto"/>
              <w:right w:val="single" w:sz="4" w:space="0" w:color="auto"/>
            </w:tcBorders>
            <w:noWrap/>
            <w:vAlign w:val="bottom"/>
            <w:hideMark/>
          </w:tcPr>
          <w:p w14:paraId="55FCB54F"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9.42 Days</w:t>
            </w:r>
          </w:p>
        </w:tc>
        <w:tc>
          <w:tcPr>
            <w:tcW w:w="1223" w:type="dxa"/>
            <w:gridSpan w:val="2"/>
            <w:tcBorders>
              <w:top w:val="nil"/>
              <w:left w:val="nil"/>
              <w:bottom w:val="single" w:sz="4" w:space="0" w:color="auto"/>
              <w:right w:val="single" w:sz="4" w:space="0" w:color="auto"/>
            </w:tcBorders>
            <w:noWrap/>
            <w:vAlign w:val="bottom"/>
            <w:hideMark/>
          </w:tcPr>
          <w:p w14:paraId="5AC46F4A"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8.64 Days</w:t>
            </w:r>
          </w:p>
        </w:tc>
        <w:tc>
          <w:tcPr>
            <w:tcW w:w="1052" w:type="dxa"/>
            <w:tcBorders>
              <w:top w:val="nil"/>
              <w:left w:val="nil"/>
              <w:bottom w:val="single" w:sz="4" w:space="0" w:color="auto"/>
              <w:right w:val="single" w:sz="4" w:space="0" w:color="auto"/>
            </w:tcBorders>
            <w:noWrap/>
            <w:vAlign w:val="bottom"/>
            <w:hideMark/>
          </w:tcPr>
          <w:p w14:paraId="3CEE50AF"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8.06 Days</w:t>
            </w:r>
          </w:p>
        </w:tc>
        <w:tc>
          <w:tcPr>
            <w:tcW w:w="1286" w:type="dxa"/>
            <w:gridSpan w:val="2"/>
            <w:tcBorders>
              <w:top w:val="nil"/>
              <w:left w:val="nil"/>
              <w:bottom w:val="single" w:sz="4" w:space="0" w:color="auto"/>
              <w:right w:val="single" w:sz="4" w:space="0" w:color="auto"/>
            </w:tcBorders>
            <w:noWrap/>
            <w:vAlign w:val="bottom"/>
            <w:hideMark/>
          </w:tcPr>
          <w:p w14:paraId="1D9A2B8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7.04 Days</w:t>
            </w:r>
          </w:p>
        </w:tc>
      </w:tr>
      <w:tr w:rsidR="00047D0B" w:rsidRPr="00A343CD" w14:paraId="65773CAB" w14:textId="77777777" w:rsidTr="00C563B5">
        <w:trPr>
          <w:trHeight w:val="312"/>
          <w:jc w:val="center"/>
        </w:trPr>
        <w:tc>
          <w:tcPr>
            <w:tcW w:w="782" w:type="dxa"/>
            <w:vMerge w:val="restart"/>
            <w:tcBorders>
              <w:top w:val="nil"/>
              <w:left w:val="single" w:sz="4" w:space="0" w:color="auto"/>
              <w:bottom w:val="single" w:sz="4" w:space="0" w:color="auto"/>
              <w:right w:val="single" w:sz="4" w:space="0" w:color="auto"/>
            </w:tcBorders>
            <w:shd w:val="clear" w:color="F8F9FA" w:fill="F8F9FA"/>
            <w:noWrap/>
            <w:textDirection w:val="btLr"/>
            <w:vAlign w:val="center"/>
            <w:hideMark/>
          </w:tcPr>
          <w:p w14:paraId="63CA494A" w14:textId="77777777" w:rsidR="00047D0B" w:rsidRPr="00A343CD" w:rsidRDefault="00047D0B" w:rsidP="00C563B5">
            <w:pPr>
              <w:spacing w:after="0" w:line="276" w:lineRule="auto"/>
              <w:ind w:left="113" w:right="113"/>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Gearing</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626A9291"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Debt-to-Equity</w:t>
            </w:r>
          </w:p>
        </w:tc>
        <w:tc>
          <w:tcPr>
            <w:tcW w:w="1218" w:type="dxa"/>
            <w:gridSpan w:val="2"/>
            <w:tcBorders>
              <w:top w:val="nil"/>
              <w:left w:val="nil"/>
              <w:bottom w:val="single" w:sz="4" w:space="0" w:color="auto"/>
              <w:right w:val="single" w:sz="4" w:space="0" w:color="auto"/>
            </w:tcBorders>
            <w:noWrap/>
            <w:vAlign w:val="bottom"/>
            <w:hideMark/>
          </w:tcPr>
          <w:p w14:paraId="2D85BA17"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1.10:1</w:t>
            </w:r>
          </w:p>
        </w:tc>
        <w:tc>
          <w:tcPr>
            <w:tcW w:w="1187" w:type="dxa"/>
            <w:gridSpan w:val="2"/>
            <w:tcBorders>
              <w:top w:val="nil"/>
              <w:left w:val="nil"/>
              <w:bottom w:val="single" w:sz="4" w:space="0" w:color="auto"/>
              <w:right w:val="single" w:sz="4" w:space="0" w:color="auto"/>
            </w:tcBorders>
            <w:noWrap/>
            <w:vAlign w:val="bottom"/>
            <w:hideMark/>
          </w:tcPr>
          <w:p w14:paraId="7E40D008"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0.98:1</w:t>
            </w:r>
          </w:p>
        </w:tc>
        <w:tc>
          <w:tcPr>
            <w:tcW w:w="1223" w:type="dxa"/>
            <w:gridSpan w:val="2"/>
            <w:tcBorders>
              <w:top w:val="nil"/>
              <w:left w:val="nil"/>
              <w:bottom w:val="single" w:sz="4" w:space="0" w:color="auto"/>
              <w:right w:val="single" w:sz="4" w:space="0" w:color="auto"/>
            </w:tcBorders>
            <w:noWrap/>
            <w:vAlign w:val="bottom"/>
            <w:hideMark/>
          </w:tcPr>
          <w:p w14:paraId="1779AE48"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0.86:1</w:t>
            </w:r>
          </w:p>
        </w:tc>
        <w:tc>
          <w:tcPr>
            <w:tcW w:w="1052" w:type="dxa"/>
            <w:tcBorders>
              <w:top w:val="nil"/>
              <w:left w:val="nil"/>
              <w:bottom w:val="single" w:sz="4" w:space="0" w:color="auto"/>
              <w:right w:val="single" w:sz="4" w:space="0" w:color="auto"/>
            </w:tcBorders>
            <w:noWrap/>
            <w:vAlign w:val="bottom"/>
            <w:hideMark/>
          </w:tcPr>
          <w:p w14:paraId="321FBEDF"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0.84:1</w:t>
            </w:r>
          </w:p>
        </w:tc>
        <w:tc>
          <w:tcPr>
            <w:tcW w:w="1286" w:type="dxa"/>
            <w:gridSpan w:val="2"/>
            <w:tcBorders>
              <w:top w:val="nil"/>
              <w:left w:val="nil"/>
              <w:bottom w:val="single" w:sz="4" w:space="0" w:color="auto"/>
              <w:right w:val="single" w:sz="4" w:space="0" w:color="auto"/>
            </w:tcBorders>
            <w:noWrap/>
            <w:vAlign w:val="bottom"/>
            <w:hideMark/>
          </w:tcPr>
          <w:p w14:paraId="06EA4C21"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0.62:1</w:t>
            </w:r>
          </w:p>
        </w:tc>
      </w:tr>
      <w:tr w:rsidR="00047D0B" w:rsidRPr="00A343CD" w14:paraId="716FC512"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2A5F4C2E"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24FA554F"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TIE</w:t>
            </w:r>
          </w:p>
        </w:tc>
        <w:tc>
          <w:tcPr>
            <w:tcW w:w="1218" w:type="dxa"/>
            <w:gridSpan w:val="2"/>
            <w:tcBorders>
              <w:top w:val="nil"/>
              <w:left w:val="nil"/>
              <w:bottom w:val="single" w:sz="4" w:space="0" w:color="auto"/>
              <w:right w:val="single" w:sz="4" w:space="0" w:color="auto"/>
            </w:tcBorders>
            <w:noWrap/>
            <w:vAlign w:val="bottom"/>
            <w:hideMark/>
          </w:tcPr>
          <w:p w14:paraId="32A76DF3"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-4.53:1</w:t>
            </w:r>
          </w:p>
        </w:tc>
        <w:tc>
          <w:tcPr>
            <w:tcW w:w="1187" w:type="dxa"/>
            <w:gridSpan w:val="2"/>
            <w:tcBorders>
              <w:top w:val="nil"/>
              <w:left w:val="nil"/>
              <w:bottom w:val="single" w:sz="4" w:space="0" w:color="auto"/>
              <w:right w:val="single" w:sz="4" w:space="0" w:color="auto"/>
            </w:tcBorders>
            <w:noWrap/>
            <w:vAlign w:val="bottom"/>
            <w:hideMark/>
          </w:tcPr>
          <w:p w14:paraId="5C31CA3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-20.30:1</w:t>
            </w:r>
          </w:p>
        </w:tc>
        <w:tc>
          <w:tcPr>
            <w:tcW w:w="1223" w:type="dxa"/>
            <w:gridSpan w:val="2"/>
            <w:tcBorders>
              <w:top w:val="nil"/>
              <w:left w:val="nil"/>
              <w:bottom w:val="single" w:sz="4" w:space="0" w:color="auto"/>
              <w:right w:val="single" w:sz="4" w:space="0" w:color="auto"/>
            </w:tcBorders>
            <w:noWrap/>
            <w:vAlign w:val="bottom"/>
            <w:hideMark/>
          </w:tcPr>
          <w:p w14:paraId="7D283A28"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6.18:1</w:t>
            </w:r>
          </w:p>
        </w:tc>
        <w:tc>
          <w:tcPr>
            <w:tcW w:w="1052" w:type="dxa"/>
            <w:tcBorders>
              <w:top w:val="nil"/>
              <w:left w:val="nil"/>
              <w:bottom w:val="single" w:sz="4" w:space="0" w:color="auto"/>
              <w:right w:val="single" w:sz="4" w:space="0" w:color="auto"/>
            </w:tcBorders>
            <w:noWrap/>
            <w:vAlign w:val="bottom"/>
            <w:hideMark/>
          </w:tcPr>
          <w:p w14:paraId="0B4C12F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29.41:1</w:t>
            </w:r>
          </w:p>
        </w:tc>
        <w:tc>
          <w:tcPr>
            <w:tcW w:w="1286" w:type="dxa"/>
            <w:gridSpan w:val="2"/>
            <w:tcBorders>
              <w:top w:val="nil"/>
              <w:left w:val="nil"/>
              <w:bottom w:val="single" w:sz="4" w:space="0" w:color="auto"/>
              <w:right w:val="single" w:sz="4" w:space="0" w:color="auto"/>
            </w:tcBorders>
            <w:noWrap/>
            <w:vAlign w:val="bottom"/>
            <w:hideMark/>
          </w:tcPr>
          <w:p w14:paraId="00810A2B"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31.88:1</w:t>
            </w:r>
          </w:p>
        </w:tc>
      </w:tr>
      <w:tr w:rsidR="00047D0B" w:rsidRPr="00A343CD" w14:paraId="47C93A16"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67E83F3F"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53CF3511"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Debt-to-Capital Ratio</w:t>
            </w:r>
          </w:p>
        </w:tc>
        <w:tc>
          <w:tcPr>
            <w:tcW w:w="1218" w:type="dxa"/>
            <w:gridSpan w:val="2"/>
            <w:tcBorders>
              <w:top w:val="nil"/>
              <w:left w:val="nil"/>
              <w:bottom w:val="single" w:sz="4" w:space="0" w:color="auto"/>
              <w:right w:val="single" w:sz="4" w:space="0" w:color="auto"/>
            </w:tcBorders>
            <w:noWrap/>
            <w:vAlign w:val="bottom"/>
            <w:hideMark/>
          </w:tcPr>
          <w:p w14:paraId="4F33BD91"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52.33%</w:t>
            </w:r>
          </w:p>
        </w:tc>
        <w:tc>
          <w:tcPr>
            <w:tcW w:w="1187" w:type="dxa"/>
            <w:gridSpan w:val="2"/>
            <w:tcBorders>
              <w:top w:val="nil"/>
              <w:left w:val="nil"/>
              <w:bottom w:val="single" w:sz="4" w:space="0" w:color="auto"/>
              <w:right w:val="single" w:sz="4" w:space="0" w:color="auto"/>
            </w:tcBorders>
            <w:noWrap/>
            <w:vAlign w:val="bottom"/>
            <w:hideMark/>
          </w:tcPr>
          <w:p w14:paraId="0EFC4F34"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49.46%</w:t>
            </w:r>
          </w:p>
        </w:tc>
        <w:tc>
          <w:tcPr>
            <w:tcW w:w="1223" w:type="dxa"/>
            <w:gridSpan w:val="2"/>
            <w:tcBorders>
              <w:top w:val="nil"/>
              <w:left w:val="nil"/>
              <w:bottom w:val="single" w:sz="4" w:space="0" w:color="auto"/>
              <w:right w:val="single" w:sz="4" w:space="0" w:color="auto"/>
            </w:tcBorders>
            <w:noWrap/>
            <w:vAlign w:val="bottom"/>
            <w:hideMark/>
          </w:tcPr>
          <w:p w14:paraId="0077241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46.17%</w:t>
            </w:r>
          </w:p>
        </w:tc>
        <w:tc>
          <w:tcPr>
            <w:tcW w:w="1052" w:type="dxa"/>
            <w:tcBorders>
              <w:top w:val="nil"/>
              <w:left w:val="nil"/>
              <w:bottom w:val="single" w:sz="4" w:space="0" w:color="auto"/>
              <w:right w:val="single" w:sz="4" w:space="0" w:color="auto"/>
            </w:tcBorders>
            <w:noWrap/>
            <w:vAlign w:val="bottom"/>
            <w:hideMark/>
          </w:tcPr>
          <w:p w14:paraId="75B0EBB5"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45.53%</w:t>
            </w:r>
          </w:p>
        </w:tc>
        <w:tc>
          <w:tcPr>
            <w:tcW w:w="1286" w:type="dxa"/>
            <w:gridSpan w:val="2"/>
            <w:tcBorders>
              <w:top w:val="nil"/>
              <w:left w:val="nil"/>
              <w:bottom w:val="single" w:sz="4" w:space="0" w:color="auto"/>
              <w:right w:val="single" w:sz="4" w:space="0" w:color="auto"/>
            </w:tcBorders>
            <w:noWrap/>
            <w:vAlign w:val="bottom"/>
            <w:hideMark/>
          </w:tcPr>
          <w:p w14:paraId="1F4F7F09"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38.14%</w:t>
            </w:r>
          </w:p>
        </w:tc>
      </w:tr>
      <w:tr w:rsidR="00047D0B" w:rsidRPr="00A343CD" w14:paraId="21E88DBE"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0DC63237"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078121C1"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Equity Multiplier</w:t>
            </w:r>
          </w:p>
        </w:tc>
        <w:tc>
          <w:tcPr>
            <w:tcW w:w="1218" w:type="dxa"/>
            <w:gridSpan w:val="2"/>
            <w:tcBorders>
              <w:top w:val="nil"/>
              <w:left w:val="nil"/>
              <w:bottom w:val="single" w:sz="4" w:space="0" w:color="auto"/>
              <w:right w:val="single" w:sz="4" w:space="0" w:color="auto"/>
            </w:tcBorders>
            <w:noWrap/>
            <w:vAlign w:val="bottom"/>
            <w:hideMark/>
          </w:tcPr>
          <w:p w14:paraId="7FF89E4F"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373.75%</w:t>
            </w:r>
          </w:p>
        </w:tc>
        <w:tc>
          <w:tcPr>
            <w:tcW w:w="1187" w:type="dxa"/>
            <w:gridSpan w:val="2"/>
            <w:tcBorders>
              <w:top w:val="nil"/>
              <w:left w:val="nil"/>
              <w:bottom w:val="single" w:sz="4" w:space="0" w:color="auto"/>
              <w:right w:val="single" w:sz="4" w:space="0" w:color="auto"/>
            </w:tcBorders>
            <w:noWrap/>
            <w:vAlign w:val="bottom"/>
            <w:hideMark/>
          </w:tcPr>
          <w:p w14:paraId="7FDE3B8D"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347.14%</w:t>
            </w:r>
          </w:p>
        </w:tc>
        <w:tc>
          <w:tcPr>
            <w:tcW w:w="1223" w:type="dxa"/>
            <w:gridSpan w:val="2"/>
            <w:tcBorders>
              <w:top w:val="nil"/>
              <w:left w:val="nil"/>
              <w:bottom w:val="single" w:sz="4" w:space="0" w:color="auto"/>
              <w:right w:val="single" w:sz="4" w:space="0" w:color="auto"/>
            </w:tcBorders>
            <w:noWrap/>
            <w:vAlign w:val="bottom"/>
            <w:hideMark/>
          </w:tcPr>
          <w:p w14:paraId="0B9F7DFF"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295.39%</w:t>
            </w:r>
          </w:p>
        </w:tc>
        <w:tc>
          <w:tcPr>
            <w:tcW w:w="1052" w:type="dxa"/>
            <w:tcBorders>
              <w:top w:val="nil"/>
              <w:left w:val="nil"/>
              <w:bottom w:val="single" w:sz="4" w:space="0" w:color="auto"/>
              <w:right w:val="single" w:sz="4" w:space="0" w:color="auto"/>
            </w:tcBorders>
            <w:noWrap/>
            <w:vAlign w:val="bottom"/>
            <w:hideMark/>
          </w:tcPr>
          <w:p w14:paraId="00B1572A"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289.23%</w:t>
            </w:r>
          </w:p>
        </w:tc>
        <w:tc>
          <w:tcPr>
            <w:tcW w:w="1286" w:type="dxa"/>
            <w:gridSpan w:val="2"/>
            <w:tcBorders>
              <w:top w:val="nil"/>
              <w:left w:val="nil"/>
              <w:bottom w:val="single" w:sz="4" w:space="0" w:color="auto"/>
              <w:right w:val="single" w:sz="4" w:space="0" w:color="auto"/>
            </w:tcBorders>
            <w:noWrap/>
            <w:vAlign w:val="bottom"/>
            <w:hideMark/>
          </w:tcPr>
          <w:p w14:paraId="2E698A3A"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253.22%</w:t>
            </w:r>
          </w:p>
        </w:tc>
      </w:tr>
      <w:tr w:rsidR="00047D0B" w:rsidRPr="00A343CD" w14:paraId="0567E387"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7192799D"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1B507E73"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Interest Coverage </w:t>
            </w:r>
          </w:p>
        </w:tc>
        <w:tc>
          <w:tcPr>
            <w:tcW w:w="1218" w:type="dxa"/>
            <w:gridSpan w:val="2"/>
            <w:tcBorders>
              <w:top w:val="nil"/>
              <w:left w:val="nil"/>
              <w:bottom w:val="single" w:sz="4" w:space="0" w:color="auto"/>
              <w:right w:val="single" w:sz="4" w:space="0" w:color="auto"/>
            </w:tcBorders>
            <w:noWrap/>
            <w:vAlign w:val="bottom"/>
            <w:hideMark/>
          </w:tcPr>
          <w:p w14:paraId="7A0FCE20"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-4.53 Times</w:t>
            </w:r>
          </w:p>
        </w:tc>
        <w:tc>
          <w:tcPr>
            <w:tcW w:w="1187" w:type="dxa"/>
            <w:gridSpan w:val="2"/>
            <w:tcBorders>
              <w:top w:val="nil"/>
              <w:left w:val="nil"/>
              <w:bottom w:val="single" w:sz="4" w:space="0" w:color="auto"/>
              <w:right w:val="single" w:sz="4" w:space="0" w:color="auto"/>
            </w:tcBorders>
            <w:noWrap/>
            <w:vAlign w:val="bottom"/>
            <w:hideMark/>
          </w:tcPr>
          <w:p w14:paraId="4B63A559"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-20.30 Times</w:t>
            </w:r>
          </w:p>
        </w:tc>
        <w:tc>
          <w:tcPr>
            <w:tcW w:w="1223" w:type="dxa"/>
            <w:gridSpan w:val="2"/>
            <w:tcBorders>
              <w:top w:val="nil"/>
              <w:left w:val="nil"/>
              <w:bottom w:val="single" w:sz="4" w:space="0" w:color="auto"/>
              <w:right w:val="single" w:sz="4" w:space="0" w:color="auto"/>
            </w:tcBorders>
            <w:noWrap/>
            <w:vAlign w:val="bottom"/>
            <w:hideMark/>
          </w:tcPr>
          <w:p w14:paraId="48CB2DC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6.18 Times</w:t>
            </w:r>
          </w:p>
        </w:tc>
        <w:tc>
          <w:tcPr>
            <w:tcW w:w="1052" w:type="dxa"/>
            <w:tcBorders>
              <w:top w:val="nil"/>
              <w:left w:val="nil"/>
              <w:bottom w:val="single" w:sz="4" w:space="0" w:color="auto"/>
              <w:right w:val="single" w:sz="4" w:space="0" w:color="auto"/>
            </w:tcBorders>
            <w:noWrap/>
            <w:vAlign w:val="bottom"/>
            <w:hideMark/>
          </w:tcPr>
          <w:p w14:paraId="35A750EE"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29.41 Times</w:t>
            </w:r>
          </w:p>
        </w:tc>
        <w:tc>
          <w:tcPr>
            <w:tcW w:w="1286" w:type="dxa"/>
            <w:gridSpan w:val="2"/>
            <w:tcBorders>
              <w:top w:val="nil"/>
              <w:left w:val="nil"/>
              <w:bottom w:val="single" w:sz="4" w:space="0" w:color="auto"/>
              <w:right w:val="single" w:sz="4" w:space="0" w:color="auto"/>
            </w:tcBorders>
            <w:noWrap/>
            <w:vAlign w:val="bottom"/>
            <w:hideMark/>
          </w:tcPr>
          <w:p w14:paraId="6ED8920D"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31.88 Times</w:t>
            </w:r>
          </w:p>
        </w:tc>
      </w:tr>
      <w:tr w:rsidR="00047D0B" w:rsidRPr="00A343CD" w14:paraId="010605E7" w14:textId="77777777" w:rsidTr="00C563B5">
        <w:trPr>
          <w:trHeight w:val="312"/>
          <w:jc w:val="center"/>
        </w:trPr>
        <w:tc>
          <w:tcPr>
            <w:tcW w:w="782" w:type="dxa"/>
            <w:vMerge w:val="restart"/>
            <w:tcBorders>
              <w:top w:val="nil"/>
              <w:left w:val="single" w:sz="4" w:space="0" w:color="auto"/>
              <w:bottom w:val="single" w:sz="4" w:space="0" w:color="auto"/>
              <w:right w:val="single" w:sz="4" w:space="0" w:color="auto"/>
            </w:tcBorders>
            <w:shd w:val="clear" w:color="F8F9FA" w:fill="F8F9FA"/>
            <w:noWrap/>
            <w:textDirection w:val="btLr"/>
            <w:vAlign w:val="center"/>
            <w:hideMark/>
          </w:tcPr>
          <w:p w14:paraId="7D906D9C" w14:textId="77777777" w:rsidR="00047D0B" w:rsidRPr="00A343CD" w:rsidRDefault="00047D0B" w:rsidP="00C563B5">
            <w:pPr>
              <w:spacing w:after="0" w:line="276" w:lineRule="auto"/>
              <w:ind w:left="113" w:right="113"/>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Investment</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28C9E306"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Return on Equity</w:t>
            </w:r>
          </w:p>
        </w:tc>
        <w:tc>
          <w:tcPr>
            <w:tcW w:w="1218" w:type="dxa"/>
            <w:gridSpan w:val="2"/>
            <w:tcBorders>
              <w:top w:val="nil"/>
              <w:left w:val="nil"/>
              <w:bottom w:val="single" w:sz="4" w:space="0" w:color="auto"/>
              <w:right w:val="single" w:sz="4" w:space="0" w:color="auto"/>
            </w:tcBorders>
            <w:noWrap/>
            <w:vAlign w:val="bottom"/>
            <w:hideMark/>
          </w:tcPr>
          <w:p w14:paraId="64171FA4"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-15.69%</w:t>
            </w:r>
          </w:p>
        </w:tc>
        <w:tc>
          <w:tcPr>
            <w:tcW w:w="1187" w:type="dxa"/>
            <w:gridSpan w:val="2"/>
            <w:tcBorders>
              <w:top w:val="nil"/>
              <w:left w:val="nil"/>
              <w:bottom w:val="single" w:sz="4" w:space="0" w:color="auto"/>
              <w:right w:val="single" w:sz="4" w:space="0" w:color="auto"/>
            </w:tcBorders>
            <w:noWrap/>
            <w:vAlign w:val="bottom"/>
            <w:hideMark/>
          </w:tcPr>
          <w:p w14:paraId="6625B4D6"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-54.91%</w:t>
            </w:r>
          </w:p>
        </w:tc>
        <w:tc>
          <w:tcPr>
            <w:tcW w:w="1223" w:type="dxa"/>
            <w:gridSpan w:val="2"/>
            <w:tcBorders>
              <w:top w:val="nil"/>
              <w:left w:val="nil"/>
              <w:bottom w:val="single" w:sz="4" w:space="0" w:color="auto"/>
              <w:right w:val="single" w:sz="4" w:space="0" w:color="auto"/>
            </w:tcBorders>
            <w:noWrap/>
            <w:vAlign w:val="bottom"/>
            <w:hideMark/>
          </w:tcPr>
          <w:p w14:paraId="4F9762E9"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0.15%</w:t>
            </w:r>
          </w:p>
        </w:tc>
        <w:tc>
          <w:tcPr>
            <w:tcW w:w="1052" w:type="dxa"/>
            <w:tcBorders>
              <w:top w:val="nil"/>
              <w:left w:val="nil"/>
              <w:bottom w:val="single" w:sz="4" w:space="0" w:color="auto"/>
              <w:right w:val="single" w:sz="4" w:space="0" w:color="auto"/>
            </w:tcBorders>
            <w:noWrap/>
            <w:vAlign w:val="bottom"/>
            <w:hideMark/>
          </w:tcPr>
          <w:p w14:paraId="7DBA776E"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1.92%</w:t>
            </w:r>
          </w:p>
        </w:tc>
        <w:tc>
          <w:tcPr>
            <w:tcW w:w="1286" w:type="dxa"/>
            <w:gridSpan w:val="2"/>
            <w:tcBorders>
              <w:top w:val="nil"/>
              <w:left w:val="nil"/>
              <w:bottom w:val="single" w:sz="4" w:space="0" w:color="auto"/>
              <w:right w:val="single" w:sz="4" w:space="0" w:color="auto"/>
            </w:tcBorders>
            <w:noWrap/>
            <w:vAlign w:val="bottom"/>
            <w:hideMark/>
          </w:tcPr>
          <w:p w14:paraId="7584C1A6"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12.31%</w:t>
            </w:r>
          </w:p>
        </w:tc>
      </w:tr>
      <w:tr w:rsidR="00047D0B" w:rsidRPr="00A343CD" w14:paraId="388D7EFB"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5F1D277D"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7C80C591"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Return on Assets</w:t>
            </w:r>
          </w:p>
        </w:tc>
        <w:tc>
          <w:tcPr>
            <w:tcW w:w="1218" w:type="dxa"/>
            <w:gridSpan w:val="2"/>
            <w:tcBorders>
              <w:top w:val="nil"/>
              <w:left w:val="nil"/>
              <w:bottom w:val="single" w:sz="4" w:space="0" w:color="auto"/>
              <w:right w:val="single" w:sz="4" w:space="0" w:color="auto"/>
            </w:tcBorders>
            <w:noWrap/>
            <w:vAlign w:val="bottom"/>
            <w:hideMark/>
          </w:tcPr>
          <w:p w14:paraId="73284B33"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-4.20%</w:t>
            </w:r>
          </w:p>
        </w:tc>
        <w:tc>
          <w:tcPr>
            <w:tcW w:w="1187" w:type="dxa"/>
            <w:gridSpan w:val="2"/>
            <w:tcBorders>
              <w:top w:val="nil"/>
              <w:left w:val="nil"/>
              <w:bottom w:val="single" w:sz="4" w:space="0" w:color="auto"/>
              <w:right w:val="single" w:sz="4" w:space="0" w:color="auto"/>
            </w:tcBorders>
            <w:noWrap/>
            <w:vAlign w:val="bottom"/>
            <w:hideMark/>
          </w:tcPr>
          <w:p w14:paraId="6BD9E9B9"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-15.82%</w:t>
            </w:r>
          </w:p>
        </w:tc>
        <w:tc>
          <w:tcPr>
            <w:tcW w:w="1223" w:type="dxa"/>
            <w:gridSpan w:val="2"/>
            <w:tcBorders>
              <w:top w:val="nil"/>
              <w:left w:val="nil"/>
              <w:bottom w:val="single" w:sz="4" w:space="0" w:color="auto"/>
              <w:right w:val="single" w:sz="4" w:space="0" w:color="auto"/>
            </w:tcBorders>
            <w:noWrap/>
            <w:vAlign w:val="bottom"/>
            <w:hideMark/>
          </w:tcPr>
          <w:p w14:paraId="21E84456"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0.05%</w:t>
            </w:r>
          </w:p>
        </w:tc>
        <w:tc>
          <w:tcPr>
            <w:tcW w:w="1052" w:type="dxa"/>
            <w:tcBorders>
              <w:top w:val="nil"/>
              <w:left w:val="nil"/>
              <w:bottom w:val="single" w:sz="4" w:space="0" w:color="auto"/>
              <w:right w:val="single" w:sz="4" w:space="0" w:color="auto"/>
            </w:tcBorders>
            <w:noWrap/>
            <w:vAlign w:val="bottom"/>
            <w:hideMark/>
          </w:tcPr>
          <w:p w14:paraId="669260E5"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0.66%</w:t>
            </w:r>
          </w:p>
        </w:tc>
        <w:tc>
          <w:tcPr>
            <w:tcW w:w="1286" w:type="dxa"/>
            <w:gridSpan w:val="2"/>
            <w:tcBorders>
              <w:top w:val="nil"/>
              <w:left w:val="nil"/>
              <w:bottom w:val="single" w:sz="4" w:space="0" w:color="auto"/>
              <w:right w:val="single" w:sz="4" w:space="0" w:color="auto"/>
            </w:tcBorders>
            <w:noWrap/>
            <w:vAlign w:val="bottom"/>
            <w:hideMark/>
          </w:tcPr>
          <w:p w14:paraId="189C203D"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4.86%</w:t>
            </w:r>
          </w:p>
        </w:tc>
      </w:tr>
      <w:tr w:rsidR="00047D0B" w:rsidRPr="00A343CD" w14:paraId="077BD254"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274D2D37"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56CC5C23"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ROIC</w:t>
            </w:r>
          </w:p>
        </w:tc>
        <w:tc>
          <w:tcPr>
            <w:tcW w:w="1218" w:type="dxa"/>
            <w:gridSpan w:val="2"/>
            <w:tcBorders>
              <w:top w:val="nil"/>
              <w:left w:val="nil"/>
              <w:bottom w:val="single" w:sz="4" w:space="0" w:color="auto"/>
              <w:right w:val="single" w:sz="4" w:space="0" w:color="auto"/>
            </w:tcBorders>
            <w:noWrap/>
            <w:vAlign w:val="bottom"/>
            <w:hideMark/>
          </w:tcPr>
          <w:p w14:paraId="78F79DA7"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-7.18%</w:t>
            </w:r>
          </w:p>
        </w:tc>
        <w:tc>
          <w:tcPr>
            <w:tcW w:w="1187" w:type="dxa"/>
            <w:gridSpan w:val="2"/>
            <w:tcBorders>
              <w:top w:val="nil"/>
              <w:left w:val="nil"/>
              <w:bottom w:val="single" w:sz="4" w:space="0" w:color="auto"/>
              <w:right w:val="single" w:sz="4" w:space="0" w:color="auto"/>
            </w:tcBorders>
            <w:noWrap/>
            <w:vAlign w:val="bottom"/>
            <w:hideMark/>
          </w:tcPr>
          <w:p w14:paraId="4E6801EF"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-30.80%</w:t>
            </w:r>
          </w:p>
        </w:tc>
        <w:tc>
          <w:tcPr>
            <w:tcW w:w="1223" w:type="dxa"/>
            <w:gridSpan w:val="2"/>
            <w:tcBorders>
              <w:top w:val="nil"/>
              <w:left w:val="nil"/>
              <w:bottom w:val="single" w:sz="4" w:space="0" w:color="auto"/>
              <w:right w:val="single" w:sz="4" w:space="0" w:color="auto"/>
            </w:tcBorders>
            <w:noWrap/>
            <w:vAlign w:val="bottom"/>
            <w:hideMark/>
          </w:tcPr>
          <w:p w14:paraId="071F07D1"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0.61%</w:t>
            </w:r>
          </w:p>
        </w:tc>
        <w:tc>
          <w:tcPr>
            <w:tcW w:w="1052" w:type="dxa"/>
            <w:tcBorders>
              <w:top w:val="nil"/>
              <w:left w:val="nil"/>
              <w:bottom w:val="single" w:sz="4" w:space="0" w:color="auto"/>
              <w:right w:val="single" w:sz="4" w:space="0" w:color="auto"/>
            </w:tcBorders>
            <w:noWrap/>
            <w:vAlign w:val="bottom"/>
            <w:hideMark/>
          </w:tcPr>
          <w:p w14:paraId="4C7B962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1.34%</w:t>
            </w:r>
          </w:p>
        </w:tc>
        <w:tc>
          <w:tcPr>
            <w:tcW w:w="1286" w:type="dxa"/>
            <w:gridSpan w:val="2"/>
            <w:tcBorders>
              <w:top w:val="nil"/>
              <w:left w:val="nil"/>
              <w:bottom w:val="single" w:sz="4" w:space="0" w:color="auto"/>
              <w:right w:val="single" w:sz="4" w:space="0" w:color="auto"/>
            </w:tcBorders>
            <w:noWrap/>
            <w:vAlign w:val="bottom"/>
            <w:hideMark/>
          </w:tcPr>
          <w:p w14:paraId="3C3CE72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9.14%</w:t>
            </w:r>
          </w:p>
        </w:tc>
      </w:tr>
      <w:tr w:rsidR="00047D0B" w:rsidRPr="00A343CD" w14:paraId="3495AFF6"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3440A53A"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2F0F6B34"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EPS</w:t>
            </w:r>
          </w:p>
        </w:tc>
        <w:tc>
          <w:tcPr>
            <w:tcW w:w="1218" w:type="dxa"/>
            <w:gridSpan w:val="2"/>
            <w:tcBorders>
              <w:top w:val="nil"/>
              <w:left w:val="nil"/>
              <w:bottom w:val="single" w:sz="4" w:space="0" w:color="auto"/>
              <w:right w:val="single" w:sz="4" w:space="0" w:color="auto"/>
            </w:tcBorders>
            <w:noWrap/>
            <w:vAlign w:val="bottom"/>
            <w:hideMark/>
          </w:tcPr>
          <w:p w14:paraId="7D906827"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-93.50</w:t>
            </w:r>
          </w:p>
        </w:tc>
        <w:tc>
          <w:tcPr>
            <w:tcW w:w="1187" w:type="dxa"/>
            <w:gridSpan w:val="2"/>
            <w:tcBorders>
              <w:top w:val="nil"/>
              <w:left w:val="nil"/>
              <w:bottom w:val="single" w:sz="4" w:space="0" w:color="auto"/>
              <w:right w:val="single" w:sz="4" w:space="0" w:color="auto"/>
            </w:tcBorders>
            <w:noWrap/>
            <w:vAlign w:val="bottom"/>
            <w:hideMark/>
          </w:tcPr>
          <w:p w14:paraId="27F89E33"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-388.29</w:t>
            </w:r>
          </w:p>
        </w:tc>
        <w:tc>
          <w:tcPr>
            <w:tcW w:w="1223" w:type="dxa"/>
            <w:gridSpan w:val="2"/>
            <w:tcBorders>
              <w:top w:val="nil"/>
              <w:left w:val="nil"/>
              <w:bottom w:val="single" w:sz="4" w:space="0" w:color="auto"/>
              <w:right w:val="single" w:sz="4" w:space="0" w:color="auto"/>
            </w:tcBorders>
            <w:noWrap/>
            <w:vAlign w:val="bottom"/>
            <w:hideMark/>
          </w:tcPr>
          <w:p w14:paraId="07D9D216"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1.63</w:t>
            </w:r>
          </w:p>
        </w:tc>
        <w:tc>
          <w:tcPr>
            <w:tcW w:w="1052" w:type="dxa"/>
            <w:tcBorders>
              <w:top w:val="nil"/>
              <w:left w:val="nil"/>
              <w:bottom w:val="single" w:sz="4" w:space="0" w:color="auto"/>
              <w:right w:val="single" w:sz="4" w:space="0" w:color="auto"/>
            </w:tcBorders>
            <w:noWrap/>
            <w:vAlign w:val="bottom"/>
            <w:hideMark/>
          </w:tcPr>
          <w:p w14:paraId="4A5D5B60"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21.46</w:t>
            </w:r>
          </w:p>
        </w:tc>
        <w:tc>
          <w:tcPr>
            <w:tcW w:w="1286" w:type="dxa"/>
            <w:gridSpan w:val="2"/>
            <w:tcBorders>
              <w:top w:val="nil"/>
              <w:left w:val="nil"/>
              <w:bottom w:val="single" w:sz="4" w:space="0" w:color="auto"/>
              <w:right w:val="single" w:sz="4" w:space="0" w:color="auto"/>
            </w:tcBorders>
            <w:noWrap/>
            <w:vAlign w:val="bottom"/>
            <w:hideMark/>
          </w:tcPr>
          <w:p w14:paraId="7A87535A"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158.08</w:t>
            </w:r>
          </w:p>
        </w:tc>
      </w:tr>
      <w:tr w:rsidR="00047D0B" w:rsidRPr="00A343CD" w14:paraId="68E65D39"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6D8C4B67" w14:textId="77777777" w:rsidR="00047D0B" w:rsidRPr="00A343CD"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3A35A2DB"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P/E Ratio</w:t>
            </w:r>
          </w:p>
        </w:tc>
        <w:tc>
          <w:tcPr>
            <w:tcW w:w="1218" w:type="dxa"/>
            <w:gridSpan w:val="2"/>
            <w:tcBorders>
              <w:top w:val="nil"/>
              <w:left w:val="nil"/>
              <w:bottom w:val="single" w:sz="4" w:space="0" w:color="auto"/>
              <w:right w:val="single" w:sz="4" w:space="0" w:color="auto"/>
            </w:tcBorders>
            <w:noWrap/>
            <w:vAlign w:val="bottom"/>
            <w:hideMark/>
          </w:tcPr>
          <w:p w14:paraId="36B58FE3"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-0.02%</w:t>
            </w:r>
          </w:p>
        </w:tc>
        <w:tc>
          <w:tcPr>
            <w:tcW w:w="1187" w:type="dxa"/>
            <w:gridSpan w:val="2"/>
            <w:tcBorders>
              <w:top w:val="nil"/>
              <w:left w:val="nil"/>
              <w:bottom w:val="single" w:sz="4" w:space="0" w:color="auto"/>
              <w:right w:val="single" w:sz="4" w:space="0" w:color="auto"/>
            </w:tcBorders>
            <w:noWrap/>
            <w:vAlign w:val="bottom"/>
            <w:hideMark/>
          </w:tcPr>
          <w:p w14:paraId="6E5DD99E"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-0.01%</w:t>
            </w:r>
          </w:p>
        </w:tc>
        <w:tc>
          <w:tcPr>
            <w:tcW w:w="1223" w:type="dxa"/>
            <w:gridSpan w:val="2"/>
            <w:tcBorders>
              <w:top w:val="nil"/>
              <w:left w:val="nil"/>
              <w:bottom w:val="single" w:sz="4" w:space="0" w:color="auto"/>
              <w:right w:val="single" w:sz="4" w:space="0" w:color="auto"/>
            </w:tcBorders>
            <w:noWrap/>
            <w:vAlign w:val="bottom"/>
            <w:hideMark/>
          </w:tcPr>
          <w:p w14:paraId="217280A8"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1.21%</w:t>
            </w:r>
          </w:p>
        </w:tc>
        <w:tc>
          <w:tcPr>
            <w:tcW w:w="1052" w:type="dxa"/>
            <w:tcBorders>
              <w:top w:val="nil"/>
              <w:left w:val="nil"/>
              <w:bottom w:val="single" w:sz="4" w:space="0" w:color="auto"/>
              <w:right w:val="single" w:sz="4" w:space="0" w:color="auto"/>
            </w:tcBorders>
            <w:noWrap/>
            <w:vAlign w:val="bottom"/>
            <w:hideMark/>
          </w:tcPr>
          <w:p w14:paraId="40BE630E"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0.09%</w:t>
            </w:r>
          </w:p>
        </w:tc>
        <w:tc>
          <w:tcPr>
            <w:tcW w:w="1286" w:type="dxa"/>
            <w:gridSpan w:val="2"/>
            <w:tcBorders>
              <w:top w:val="nil"/>
              <w:left w:val="nil"/>
              <w:bottom w:val="single" w:sz="4" w:space="0" w:color="auto"/>
              <w:right w:val="single" w:sz="4" w:space="0" w:color="auto"/>
            </w:tcBorders>
            <w:noWrap/>
            <w:vAlign w:val="bottom"/>
            <w:hideMark/>
          </w:tcPr>
          <w:p w14:paraId="62EAE880"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0.01%</w:t>
            </w:r>
          </w:p>
        </w:tc>
      </w:tr>
      <w:tr w:rsidR="00047D0B" w:rsidRPr="00A343CD" w14:paraId="1058F83D" w14:textId="77777777" w:rsidTr="00C563B5">
        <w:trPr>
          <w:trHeight w:val="312"/>
          <w:jc w:val="center"/>
        </w:trPr>
        <w:tc>
          <w:tcPr>
            <w:tcW w:w="782" w:type="dxa"/>
            <w:vMerge w:val="restart"/>
            <w:tcBorders>
              <w:top w:val="nil"/>
              <w:left w:val="single" w:sz="4" w:space="0" w:color="auto"/>
              <w:bottom w:val="single" w:sz="4" w:space="0" w:color="auto"/>
              <w:right w:val="single" w:sz="4" w:space="0" w:color="auto"/>
            </w:tcBorders>
            <w:shd w:val="clear" w:color="F8F9FA" w:fill="F8F9FA"/>
            <w:noWrap/>
            <w:textDirection w:val="btLr"/>
            <w:vAlign w:val="center"/>
            <w:hideMark/>
          </w:tcPr>
          <w:p w14:paraId="68935508" w14:textId="77777777" w:rsidR="00047D0B" w:rsidRPr="00A343CD" w:rsidRDefault="00047D0B" w:rsidP="00C563B5">
            <w:pPr>
              <w:spacing w:after="0" w:line="276" w:lineRule="auto"/>
              <w:ind w:left="113" w:right="113"/>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lastRenderedPageBreak/>
              <w:t>Cash Flow</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77320160"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Operating Cash Flow Ratio</w:t>
            </w:r>
          </w:p>
        </w:tc>
        <w:tc>
          <w:tcPr>
            <w:tcW w:w="1218" w:type="dxa"/>
            <w:gridSpan w:val="2"/>
            <w:tcBorders>
              <w:top w:val="nil"/>
              <w:left w:val="nil"/>
              <w:bottom w:val="single" w:sz="4" w:space="0" w:color="auto"/>
              <w:right w:val="single" w:sz="4" w:space="0" w:color="auto"/>
            </w:tcBorders>
            <w:noWrap/>
            <w:vAlign w:val="bottom"/>
            <w:hideMark/>
          </w:tcPr>
          <w:p w14:paraId="546BA82D"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0.09:1</w:t>
            </w:r>
          </w:p>
        </w:tc>
        <w:tc>
          <w:tcPr>
            <w:tcW w:w="1187" w:type="dxa"/>
            <w:gridSpan w:val="2"/>
            <w:tcBorders>
              <w:top w:val="nil"/>
              <w:left w:val="nil"/>
              <w:bottom w:val="single" w:sz="4" w:space="0" w:color="auto"/>
              <w:right w:val="single" w:sz="4" w:space="0" w:color="auto"/>
            </w:tcBorders>
            <w:noWrap/>
            <w:vAlign w:val="bottom"/>
            <w:hideMark/>
          </w:tcPr>
          <w:p w14:paraId="411F9A31"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0.16:1</w:t>
            </w:r>
          </w:p>
        </w:tc>
        <w:tc>
          <w:tcPr>
            <w:tcW w:w="1223" w:type="dxa"/>
            <w:gridSpan w:val="2"/>
            <w:tcBorders>
              <w:top w:val="nil"/>
              <w:left w:val="nil"/>
              <w:bottom w:val="single" w:sz="4" w:space="0" w:color="auto"/>
              <w:right w:val="single" w:sz="4" w:space="0" w:color="auto"/>
            </w:tcBorders>
            <w:noWrap/>
            <w:vAlign w:val="bottom"/>
            <w:hideMark/>
          </w:tcPr>
          <w:p w14:paraId="746B2D74"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0.05:1</w:t>
            </w:r>
          </w:p>
        </w:tc>
        <w:tc>
          <w:tcPr>
            <w:tcW w:w="1052" w:type="dxa"/>
            <w:tcBorders>
              <w:top w:val="nil"/>
              <w:left w:val="nil"/>
              <w:bottom w:val="single" w:sz="4" w:space="0" w:color="auto"/>
              <w:right w:val="single" w:sz="4" w:space="0" w:color="auto"/>
            </w:tcBorders>
            <w:noWrap/>
            <w:vAlign w:val="bottom"/>
            <w:hideMark/>
          </w:tcPr>
          <w:p w14:paraId="4EBBAB4F"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0.16:1</w:t>
            </w:r>
          </w:p>
        </w:tc>
        <w:tc>
          <w:tcPr>
            <w:tcW w:w="1286" w:type="dxa"/>
            <w:gridSpan w:val="2"/>
            <w:tcBorders>
              <w:top w:val="nil"/>
              <w:left w:val="nil"/>
              <w:bottom w:val="single" w:sz="4" w:space="0" w:color="auto"/>
              <w:right w:val="single" w:sz="4" w:space="0" w:color="auto"/>
            </w:tcBorders>
            <w:noWrap/>
            <w:vAlign w:val="bottom"/>
            <w:hideMark/>
          </w:tcPr>
          <w:p w14:paraId="10A7CC65"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0.46:1</w:t>
            </w:r>
          </w:p>
        </w:tc>
      </w:tr>
      <w:tr w:rsidR="00047D0B" w:rsidRPr="00A343CD" w14:paraId="5DA70F17"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vAlign w:val="center"/>
            <w:hideMark/>
          </w:tcPr>
          <w:p w14:paraId="403802D1" w14:textId="77777777" w:rsidR="00047D0B" w:rsidRPr="00A343CD" w:rsidRDefault="00047D0B" w:rsidP="00C563B5">
            <w:pPr>
              <w:spacing w:after="0" w:line="276" w:lineRule="auto"/>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3FD0F0C8"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Cash Flow to Debt Ratio</w:t>
            </w:r>
          </w:p>
        </w:tc>
        <w:tc>
          <w:tcPr>
            <w:tcW w:w="1218" w:type="dxa"/>
            <w:gridSpan w:val="2"/>
            <w:tcBorders>
              <w:top w:val="nil"/>
              <w:left w:val="nil"/>
              <w:bottom w:val="single" w:sz="4" w:space="0" w:color="auto"/>
              <w:right w:val="single" w:sz="4" w:space="0" w:color="auto"/>
            </w:tcBorders>
            <w:noWrap/>
            <w:vAlign w:val="bottom"/>
            <w:hideMark/>
          </w:tcPr>
          <w:p w14:paraId="4DB1EEDD"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8.82%</w:t>
            </w:r>
          </w:p>
        </w:tc>
        <w:tc>
          <w:tcPr>
            <w:tcW w:w="1187" w:type="dxa"/>
            <w:gridSpan w:val="2"/>
            <w:tcBorders>
              <w:top w:val="nil"/>
              <w:left w:val="nil"/>
              <w:bottom w:val="single" w:sz="4" w:space="0" w:color="auto"/>
              <w:right w:val="single" w:sz="4" w:space="0" w:color="auto"/>
            </w:tcBorders>
            <w:noWrap/>
            <w:vAlign w:val="bottom"/>
            <w:hideMark/>
          </w:tcPr>
          <w:p w14:paraId="3E2575B1"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14.38%</w:t>
            </w:r>
          </w:p>
        </w:tc>
        <w:tc>
          <w:tcPr>
            <w:tcW w:w="1223" w:type="dxa"/>
            <w:gridSpan w:val="2"/>
            <w:tcBorders>
              <w:top w:val="nil"/>
              <w:left w:val="nil"/>
              <w:bottom w:val="single" w:sz="4" w:space="0" w:color="auto"/>
              <w:right w:val="single" w:sz="4" w:space="0" w:color="auto"/>
            </w:tcBorders>
            <w:noWrap/>
            <w:vAlign w:val="bottom"/>
            <w:hideMark/>
          </w:tcPr>
          <w:p w14:paraId="3E20E63C"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4.75%</w:t>
            </w:r>
          </w:p>
        </w:tc>
        <w:tc>
          <w:tcPr>
            <w:tcW w:w="1052" w:type="dxa"/>
            <w:tcBorders>
              <w:top w:val="nil"/>
              <w:left w:val="nil"/>
              <w:bottom w:val="single" w:sz="4" w:space="0" w:color="auto"/>
              <w:right w:val="single" w:sz="4" w:space="0" w:color="auto"/>
            </w:tcBorders>
            <w:noWrap/>
            <w:vAlign w:val="bottom"/>
            <w:hideMark/>
          </w:tcPr>
          <w:p w14:paraId="0F2D6AF6"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15.18%</w:t>
            </w:r>
          </w:p>
        </w:tc>
        <w:tc>
          <w:tcPr>
            <w:tcW w:w="1286" w:type="dxa"/>
            <w:gridSpan w:val="2"/>
            <w:tcBorders>
              <w:top w:val="nil"/>
              <w:left w:val="nil"/>
              <w:bottom w:val="single" w:sz="4" w:space="0" w:color="auto"/>
              <w:right w:val="single" w:sz="4" w:space="0" w:color="auto"/>
            </w:tcBorders>
            <w:noWrap/>
            <w:vAlign w:val="bottom"/>
            <w:hideMark/>
          </w:tcPr>
          <w:p w14:paraId="5C6D06B4"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42.17%</w:t>
            </w:r>
          </w:p>
        </w:tc>
      </w:tr>
      <w:tr w:rsidR="00047D0B" w:rsidRPr="00A343CD" w14:paraId="022EC050"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vAlign w:val="center"/>
            <w:hideMark/>
          </w:tcPr>
          <w:p w14:paraId="6CFACE2D" w14:textId="77777777" w:rsidR="00047D0B" w:rsidRPr="00A343CD" w:rsidRDefault="00047D0B" w:rsidP="00C563B5">
            <w:pPr>
              <w:spacing w:after="0" w:line="276" w:lineRule="auto"/>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6CC498F8"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Cash Flow Margin</w:t>
            </w:r>
          </w:p>
        </w:tc>
        <w:tc>
          <w:tcPr>
            <w:tcW w:w="1218" w:type="dxa"/>
            <w:gridSpan w:val="2"/>
            <w:tcBorders>
              <w:top w:val="nil"/>
              <w:left w:val="nil"/>
              <w:bottom w:val="single" w:sz="4" w:space="0" w:color="auto"/>
              <w:right w:val="single" w:sz="4" w:space="0" w:color="auto"/>
            </w:tcBorders>
            <w:noWrap/>
            <w:vAlign w:val="bottom"/>
            <w:hideMark/>
          </w:tcPr>
          <w:p w14:paraId="4D2D4F6A"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3.75%</w:t>
            </w:r>
          </w:p>
        </w:tc>
        <w:tc>
          <w:tcPr>
            <w:tcW w:w="1187" w:type="dxa"/>
            <w:gridSpan w:val="2"/>
            <w:tcBorders>
              <w:top w:val="nil"/>
              <w:left w:val="nil"/>
              <w:bottom w:val="single" w:sz="4" w:space="0" w:color="auto"/>
              <w:right w:val="single" w:sz="4" w:space="0" w:color="auto"/>
            </w:tcBorders>
            <w:noWrap/>
            <w:vAlign w:val="bottom"/>
            <w:hideMark/>
          </w:tcPr>
          <w:p w14:paraId="5E4C6FF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5.99%</w:t>
            </w:r>
          </w:p>
        </w:tc>
        <w:tc>
          <w:tcPr>
            <w:tcW w:w="1223" w:type="dxa"/>
            <w:gridSpan w:val="2"/>
            <w:tcBorders>
              <w:top w:val="nil"/>
              <w:left w:val="nil"/>
              <w:bottom w:val="single" w:sz="4" w:space="0" w:color="auto"/>
              <w:right w:val="single" w:sz="4" w:space="0" w:color="auto"/>
            </w:tcBorders>
            <w:noWrap/>
            <w:vAlign w:val="bottom"/>
            <w:hideMark/>
          </w:tcPr>
          <w:p w14:paraId="356F79F8"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2.01%</w:t>
            </w:r>
          </w:p>
        </w:tc>
        <w:tc>
          <w:tcPr>
            <w:tcW w:w="1052" w:type="dxa"/>
            <w:tcBorders>
              <w:top w:val="nil"/>
              <w:left w:val="nil"/>
              <w:bottom w:val="single" w:sz="4" w:space="0" w:color="auto"/>
              <w:right w:val="single" w:sz="4" w:space="0" w:color="auto"/>
            </w:tcBorders>
            <w:noWrap/>
            <w:vAlign w:val="bottom"/>
            <w:hideMark/>
          </w:tcPr>
          <w:p w14:paraId="10A6FDE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5.82%</w:t>
            </w:r>
          </w:p>
        </w:tc>
        <w:tc>
          <w:tcPr>
            <w:tcW w:w="1286" w:type="dxa"/>
            <w:gridSpan w:val="2"/>
            <w:tcBorders>
              <w:top w:val="nil"/>
              <w:left w:val="nil"/>
              <w:bottom w:val="single" w:sz="4" w:space="0" w:color="auto"/>
              <w:right w:val="single" w:sz="4" w:space="0" w:color="auto"/>
            </w:tcBorders>
            <w:noWrap/>
            <w:vAlign w:val="bottom"/>
            <w:hideMark/>
          </w:tcPr>
          <w:p w14:paraId="716671F5"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13.25%</w:t>
            </w:r>
          </w:p>
        </w:tc>
      </w:tr>
      <w:tr w:rsidR="00047D0B" w:rsidRPr="00A343CD" w14:paraId="10FA5995"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vAlign w:val="center"/>
            <w:hideMark/>
          </w:tcPr>
          <w:p w14:paraId="56947DB9" w14:textId="77777777" w:rsidR="00047D0B" w:rsidRPr="00A343CD" w:rsidRDefault="00047D0B" w:rsidP="00C563B5">
            <w:pPr>
              <w:spacing w:after="0" w:line="276" w:lineRule="auto"/>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19A8190C"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Free Cash Flow</w:t>
            </w:r>
          </w:p>
        </w:tc>
        <w:tc>
          <w:tcPr>
            <w:tcW w:w="1218" w:type="dxa"/>
            <w:gridSpan w:val="2"/>
            <w:tcBorders>
              <w:top w:val="nil"/>
              <w:left w:val="nil"/>
              <w:bottom w:val="single" w:sz="4" w:space="0" w:color="auto"/>
              <w:right w:val="single" w:sz="4" w:space="0" w:color="auto"/>
            </w:tcBorders>
            <w:noWrap/>
            <w:vAlign w:val="bottom"/>
            <w:hideMark/>
          </w:tcPr>
          <w:p w14:paraId="60D5AEFC" w14:textId="77777777" w:rsidR="00047D0B" w:rsidRPr="00A343CD" w:rsidRDefault="00047D0B" w:rsidP="00C563B5">
            <w:pPr>
              <w:spacing w:after="0" w:line="276" w:lineRule="auto"/>
              <w:jc w:val="lef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     23,250.00 </w:t>
            </w:r>
          </w:p>
        </w:tc>
        <w:tc>
          <w:tcPr>
            <w:tcW w:w="1187" w:type="dxa"/>
            <w:gridSpan w:val="2"/>
            <w:tcBorders>
              <w:top w:val="nil"/>
              <w:left w:val="nil"/>
              <w:bottom w:val="single" w:sz="4" w:space="0" w:color="auto"/>
              <w:right w:val="single" w:sz="4" w:space="0" w:color="auto"/>
            </w:tcBorders>
            <w:noWrap/>
            <w:vAlign w:val="bottom"/>
            <w:hideMark/>
          </w:tcPr>
          <w:p w14:paraId="00A6DA49" w14:textId="77777777" w:rsidR="00047D0B" w:rsidRPr="00A343CD" w:rsidRDefault="00047D0B" w:rsidP="00C563B5">
            <w:pPr>
              <w:spacing w:after="0" w:line="276" w:lineRule="auto"/>
              <w:jc w:val="lef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       39,067.00 </w:t>
            </w:r>
          </w:p>
        </w:tc>
        <w:tc>
          <w:tcPr>
            <w:tcW w:w="1223" w:type="dxa"/>
            <w:gridSpan w:val="2"/>
            <w:tcBorders>
              <w:top w:val="nil"/>
              <w:left w:val="nil"/>
              <w:bottom w:val="single" w:sz="4" w:space="0" w:color="auto"/>
              <w:right w:val="single" w:sz="4" w:space="0" w:color="auto"/>
            </w:tcBorders>
            <w:noWrap/>
            <w:vAlign w:val="bottom"/>
            <w:hideMark/>
          </w:tcPr>
          <w:p w14:paraId="1C10C2BE" w14:textId="77777777" w:rsidR="00047D0B" w:rsidRPr="00A343CD" w:rsidRDefault="00047D0B" w:rsidP="00C563B5">
            <w:pPr>
              <w:spacing w:after="0" w:line="276" w:lineRule="auto"/>
              <w:jc w:val="lef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        32,134.00 </w:t>
            </w:r>
          </w:p>
        </w:tc>
        <w:tc>
          <w:tcPr>
            <w:tcW w:w="1052" w:type="dxa"/>
            <w:tcBorders>
              <w:top w:val="nil"/>
              <w:left w:val="nil"/>
              <w:bottom w:val="single" w:sz="4" w:space="0" w:color="auto"/>
              <w:right w:val="single" w:sz="4" w:space="0" w:color="auto"/>
            </w:tcBorders>
            <w:noWrap/>
            <w:vAlign w:val="bottom"/>
            <w:hideMark/>
          </w:tcPr>
          <w:p w14:paraId="4A0BAA8C" w14:textId="77777777" w:rsidR="00047D0B" w:rsidRPr="00A343CD" w:rsidRDefault="00047D0B" w:rsidP="00C563B5">
            <w:pPr>
              <w:spacing w:after="0" w:line="276" w:lineRule="auto"/>
              <w:jc w:val="lef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    52,050.</w:t>
            </w:r>
          </w:p>
        </w:tc>
        <w:tc>
          <w:tcPr>
            <w:tcW w:w="1286" w:type="dxa"/>
            <w:gridSpan w:val="2"/>
            <w:tcBorders>
              <w:top w:val="nil"/>
              <w:left w:val="nil"/>
              <w:bottom w:val="single" w:sz="4" w:space="0" w:color="auto"/>
              <w:right w:val="single" w:sz="4" w:space="0" w:color="auto"/>
            </w:tcBorders>
            <w:noWrap/>
            <w:vAlign w:val="bottom"/>
            <w:hideMark/>
          </w:tcPr>
          <w:p w14:paraId="3C9A92B1" w14:textId="77777777" w:rsidR="00047D0B" w:rsidRPr="00A343CD" w:rsidRDefault="00047D0B" w:rsidP="00C563B5">
            <w:pPr>
              <w:spacing w:after="0" w:line="276" w:lineRule="auto"/>
              <w:jc w:val="left"/>
              <w:rPr>
                <w:rFonts w:ascii="Arial" w:eastAsia="Times New Roman" w:hAnsi="Arial" w:cs="Arial"/>
                <w:color w:val="000000"/>
                <w:szCs w:val="24"/>
                <w:lang w:bidi="bn-BD"/>
              </w:rPr>
            </w:pPr>
            <w:r w:rsidRPr="00A343CD">
              <w:rPr>
                <w:rFonts w:ascii="Arial" w:eastAsia="Times New Roman" w:hAnsi="Arial" w:cs="Arial"/>
                <w:color w:val="000000"/>
                <w:szCs w:val="24"/>
                <w:lang w:bidi="bn-BD"/>
              </w:rPr>
              <w:t xml:space="preserve"> £       104,692. </w:t>
            </w:r>
          </w:p>
        </w:tc>
      </w:tr>
      <w:tr w:rsidR="00047D0B" w:rsidRPr="00A343CD" w14:paraId="1F6783BF"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vAlign w:val="center"/>
            <w:hideMark/>
          </w:tcPr>
          <w:p w14:paraId="6F4B7554" w14:textId="77777777" w:rsidR="00047D0B" w:rsidRPr="00A343CD" w:rsidRDefault="00047D0B" w:rsidP="00C563B5">
            <w:pPr>
              <w:spacing w:after="0" w:line="276" w:lineRule="auto"/>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3CE10D4E" w14:textId="77777777" w:rsidR="00047D0B" w:rsidRPr="00A343CD" w:rsidRDefault="00047D0B" w:rsidP="00C563B5">
            <w:pPr>
              <w:spacing w:after="0" w:line="276" w:lineRule="auto"/>
              <w:jc w:val="center"/>
              <w:rPr>
                <w:rFonts w:ascii="Arial" w:eastAsia="Times New Roman" w:hAnsi="Arial" w:cs="Arial"/>
                <w:color w:val="000000"/>
                <w:szCs w:val="24"/>
                <w:lang w:bidi="bn-BD"/>
              </w:rPr>
            </w:pPr>
            <w:r w:rsidRPr="00A343CD">
              <w:rPr>
                <w:rFonts w:ascii="Arial" w:eastAsia="Times New Roman" w:hAnsi="Arial" w:cs="Arial"/>
                <w:color w:val="000000"/>
                <w:szCs w:val="24"/>
                <w:lang w:bidi="bn-BD"/>
              </w:rPr>
              <w:t>Free Cash Flow Margin</w:t>
            </w:r>
          </w:p>
        </w:tc>
        <w:tc>
          <w:tcPr>
            <w:tcW w:w="1218" w:type="dxa"/>
            <w:gridSpan w:val="2"/>
            <w:tcBorders>
              <w:top w:val="nil"/>
              <w:left w:val="nil"/>
              <w:bottom w:val="single" w:sz="4" w:space="0" w:color="auto"/>
              <w:right w:val="single" w:sz="4" w:space="0" w:color="auto"/>
            </w:tcBorders>
            <w:noWrap/>
            <w:vAlign w:val="bottom"/>
            <w:hideMark/>
          </w:tcPr>
          <w:p w14:paraId="20C8317E"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5.89%</w:t>
            </w:r>
          </w:p>
        </w:tc>
        <w:tc>
          <w:tcPr>
            <w:tcW w:w="1187" w:type="dxa"/>
            <w:gridSpan w:val="2"/>
            <w:tcBorders>
              <w:top w:val="nil"/>
              <w:left w:val="nil"/>
              <w:bottom w:val="single" w:sz="4" w:space="0" w:color="auto"/>
              <w:right w:val="single" w:sz="4" w:space="0" w:color="auto"/>
            </w:tcBorders>
            <w:noWrap/>
            <w:vAlign w:val="bottom"/>
            <w:hideMark/>
          </w:tcPr>
          <w:p w14:paraId="3B1F858B"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9.29%</w:t>
            </w:r>
          </w:p>
        </w:tc>
        <w:tc>
          <w:tcPr>
            <w:tcW w:w="1223" w:type="dxa"/>
            <w:gridSpan w:val="2"/>
            <w:tcBorders>
              <w:top w:val="nil"/>
              <w:left w:val="nil"/>
              <w:bottom w:val="single" w:sz="4" w:space="0" w:color="auto"/>
              <w:right w:val="single" w:sz="4" w:space="0" w:color="auto"/>
            </w:tcBorders>
            <w:noWrap/>
            <w:vAlign w:val="bottom"/>
            <w:hideMark/>
          </w:tcPr>
          <w:p w14:paraId="4352E602"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5.92%</w:t>
            </w:r>
          </w:p>
        </w:tc>
        <w:tc>
          <w:tcPr>
            <w:tcW w:w="1052" w:type="dxa"/>
            <w:tcBorders>
              <w:top w:val="nil"/>
              <w:left w:val="nil"/>
              <w:bottom w:val="single" w:sz="4" w:space="0" w:color="auto"/>
              <w:right w:val="single" w:sz="4" w:space="0" w:color="auto"/>
            </w:tcBorders>
            <w:noWrap/>
            <w:vAlign w:val="bottom"/>
            <w:hideMark/>
          </w:tcPr>
          <w:p w14:paraId="5E4EC3A0"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8.65%</w:t>
            </w:r>
          </w:p>
        </w:tc>
        <w:tc>
          <w:tcPr>
            <w:tcW w:w="1286" w:type="dxa"/>
            <w:gridSpan w:val="2"/>
            <w:tcBorders>
              <w:top w:val="nil"/>
              <w:left w:val="nil"/>
              <w:bottom w:val="single" w:sz="4" w:space="0" w:color="auto"/>
              <w:right w:val="single" w:sz="4" w:space="0" w:color="auto"/>
            </w:tcBorders>
            <w:noWrap/>
            <w:vAlign w:val="bottom"/>
            <w:hideMark/>
          </w:tcPr>
          <w:p w14:paraId="0EB3B65B" w14:textId="77777777" w:rsidR="00047D0B" w:rsidRPr="00A343CD" w:rsidRDefault="00047D0B" w:rsidP="00C563B5">
            <w:pPr>
              <w:spacing w:after="0" w:line="276" w:lineRule="auto"/>
              <w:jc w:val="right"/>
              <w:rPr>
                <w:rFonts w:ascii="Arial" w:eastAsia="Times New Roman" w:hAnsi="Arial" w:cs="Arial"/>
                <w:color w:val="000000"/>
                <w:szCs w:val="24"/>
                <w:lang w:bidi="bn-BD"/>
              </w:rPr>
            </w:pPr>
            <w:r w:rsidRPr="00A343CD">
              <w:rPr>
                <w:rFonts w:ascii="Arial" w:eastAsia="Times New Roman" w:hAnsi="Arial" w:cs="Arial"/>
                <w:color w:val="000000"/>
                <w:szCs w:val="24"/>
                <w:lang w:bidi="bn-BD"/>
              </w:rPr>
              <w:t>17.03%</w:t>
            </w:r>
          </w:p>
        </w:tc>
      </w:tr>
      <w:tr w:rsidR="00047D0B" w:rsidRPr="00A343CD" w14:paraId="52D85987" w14:textId="77777777" w:rsidTr="00C563B5">
        <w:tblPrEx>
          <w:jc w:val="left"/>
        </w:tblPrEx>
        <w:trPr>
          <w:trHeight w:val="360"/>
        </w:trPr>
        <w:tc>
          <w:tcPr>
            <w:tcW w:w="6484" w:type="dxa"/>
            <w:gridSpan w:val="8"/>
            <w:tcBorders>
              <w:top w:val="nil"/>
              <w:left w:val="nil"/>
              <w:bottom w:val="nil"/>
              <w:right w:val="nil"/>
            </w:tcBorders>
            <w:noWrap/>
            <w:vAlign w:val="bottom"/>
            <w:hideMark/>
          </w:tcPr>
          <w:p w14:paraId="61360330" w14:textId="77777777" w:rsidR="00047D0B" w:rsidRPr="00A343CD" w:rsidRDefault="00047D0B" w:rsidP="00C563B5">
            <w:pPr>
              <w:spacing w:after="0" w:line="276" w:lineRule="auto"/>
              <w:jc w:val="left"/>
              <w:rPr>
                <w:rFonts w:ascii="Arial" w:eastAsia="Times New Roman" w:hAnsi="Arial" w:cs="Arial"/>
                <w:b/>
                <w:bCs/>
                <w:sz w:val="28"/>
                <w:szCs w:val="28"/>
                <w:lang w:bidi="bn-BD"/>
              </w:rPr>
            </w:pPr>
            <w:r w:rsidRPr="00A343CD">
              <w:rPr>
                <w:rFonts w:ascii="Arial" w:eastAsia="Times New Roman" w:hAnsi="Arial" w:cs="Arial"/>
                <w:b/>
                <w:bCs/>
                <w:sz w:val="28"/>
                <w:szCs w:val="28"/>
                <w:lang w:bidi="bn-BD"/>
              </w:rPr>
              <w:t>Altman Z-Score Calculator — Single Sheet Template (Years in Columns)</w:t>
            </w:r>
          </w:p>
        </w:tc>
        <w:tc>
          <w:tcPr>
            <w:tcW w:w="1271" w:type="dxa"/>
            <w:gridSpan w:val="3"/>
            <w:tcBorders>
              <w:top w:val="nil"/>
              <w:left w:val="nil"/>
              <w:bottom w:val="nil"/>
              <w:right w:val="nil"/>
            </w:tcBorders>
            <w:noWrap/>
            <w:vAlign w:val="bottom"/>
            <w:hideMark/>
          </w:tcPr>
          <w:p w14:paraId="7025293E" w14:textId="77777777" w:rsidR="00047D0B" w:rsidRPr="00A343CD" w:rsidRDefault="00047D0B" w:rsidP="00C563B5">
            <w:pPr>
              <w:spacing w:after="0" w:line="276" w:lineRule="auto"/>
              <w:jc w:val="left"/>
              <w:rPr>
                <w:rFonts w:ascii="Arial" w:eastAsia="Times New Roman" w:hAnsi="Arial" w:cs="Arial"/>
                <w:b/>
                <w:bCs/>
                <w:sz w:val="28"/>
                <w:szCs w:val="28"/>
                <w:lang w:bidi="bn-BD"/>
              </w:rPr>
            </w:pPr>
          </w:p>
        </w:tc>
        <w:tc>
          <w:tcPr>
            <w:tcW w:w="1271" w:type="dxa"/>
            <w:tcBorders>
              <w:top w:val="nil"/>
              <w:left w:val="nil"/>
              <w:bottom w:val="nil"/>
              <w:right w:val="nil"/>
            </w:tcBorders>
            <w:noWrap/>
            <w:vAlign w:val="bottom"/>
            <w:hideMark/>
          </w:tcPr>
          <w:p w14:paraId="5CAC2370" w14:textId="77777777" w:rsidR="00047D0B" w:rsidRPr="00A343CD" w:rsidRDefault="00047D0B" w:rsidP="00C563B5">
            <w:pPr>
              <w:spacing w:after="0" w:line="276" w:lineRule="auto"/>
              <w:jc w:val="left"/>
              <w:rPr>
                <w:rFonts w:ascii="Arial" w:eastAsia="Times New Roman" w:hAnsi="Arial" w:cs="Arial"/>
                <w:sz w:val="20"/>
                <w:szCs w:val="20"/>
                <w:lang w:bidi="bn-BD"/>
              </w:rPr>
            </w:pPr>
          </w:p>
        </w:tc>
      </w:tr>
      <w:tr w:rsidR="00047D0B" w:rsidRPr="00A343CD" w14:paraId="4BD5EE39" w14:textId="77777777" w:rsidTr="00C563B5">
        <w:tblPrEx>
          <w:jc w:val="left"/>
        </w:tblPrEx>
        <w:trPr>
          <w:trHeight w:val="288"/>
        </w:trPr>
        <w:tc>
          <w:tcPr>
            <w:tcW w:w="2633" w:type="dxa"/>
            <w:gridSpan w:val="2"/>
            <w:tcBorders>
              <w:top w:val="nil"/>
              <w:left w:val="nil"/>
              <w:bottom w:val="nil"/>
              <w:right w:val="nil"/>
            </w:tcBorders>
            <w:noWrap/>
            <w:vAlign w:val="bottom"/>
            <w:hideMark/>
          </w:tcPr>
          <w:p w14:paraId="50EF61B7"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90" w:type="dxa"/>
            <w:gridSpan w:val="2"/>
            <w:tcBorders>
              <w:top w:val="nil"/>
              <w:left w:val="nil"/>
              <w:bottom w:val="nil"/>
              <w:right w:val="nil"/>
            </w:tcBorders>
            <w:noWrap/>
            <w:vAlign w:val="bottom"/>
            <w:hideMark/>
          </w:tcPr>
          <w:p w14:paraId="0A8482E0"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90" w:type="dxa"/>
            <w:gridSpan w:val="2"/>
            <w:tcBorders>
              <w:top w:val="nil"/>
              <w:left w:val="nil"/>
              <w:bottom w:val="nil"/>
              <w:right w:val="nil"/>
            </w:tcBorders>
            <w:noWrap/>
            <w:vAlign w:val="bottom"/>
            <w:hideMark/>
          </w:tcPr>
          <w:p w14:paraId="189D733D"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71" w:type="dxa"/>
            <w:gridSpan w:val="2"/>
            <w:tcBorders>
              <w:top w:val="nil"/>
              <w:left w:val="nil"/>
              <w:bottom w:val="nil"/>
              <w:right w:val="nil"/>
            </w:tcBorders>
            <w:noWrap/>
            <w:vAlign w:val="bottom"/>
            <w:hideMark/>
          </w:tcPr>
          <w:p w14:paraId="6B5AB6E9"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71" w:type="dxa"/>
            <w:gridSpan w:val="3"/>
            <w:tcBorders>
              <w:top w:val="nil"/>
              <w:left w:val="nil"/>
              <w:bottom w:val="nil"/>
              <w:right w:val="nil"/>
            </w:tcBorders>
            <w:noWrap/>
            <w:vAlign w:val="bottom"/>
            <w:hideMark/>
          </w:tcPr>
          <w:p w14:paraId="1227FAFD"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71" w:type="dxa"/>
            <w:tcBorders>
              <w:top w:val="nil"/>
              <w:left w:val="nil"/>
              <w:bottom w:val="nil"/>
              <w:right w:val="nil"/>
            </w:tcBorders>
            <w:noWrap/>
            <w:vAlign w:val="bottom"/>
            <w:hideMark/>
          </w:tcPr>
          <w:p w14:paraId="22D47695" w14:textId="77777777" w:rsidR="00047D0B" w:rsidRPr="00A343CD" w:rsidRDefault="00047D0B" w:rsidP="00C563B5">
            <w:pPr>
              <w:spacing w:after="0" w:line="276" w:lineRule="auto"/>
              <w:jc w:val="left"/>
              <w:rPr>
                <w:rFonts w:ascii="Arial" w:eastAsia="Times New Roman" w:hAnsi="Arial" w:cs="Arial"/>
                <w:sz w:val="20"/>
                <w:szCs w:val="20"/>
                <w:lang w:bidi="bn-BD"/>
              </w:rPr>
            </w:pPr>
          </w:p>
        </w:tc>
      </w:tr>
      <w:tr w:rsidR="00047D0B" w:rsidRPr="00A343CD" w14:paraId="174967E5" w14:textId="77777777" w:rsidTr="00C563B5">
        <w:tblPrEx>
          <w:jc w:val="left"/>
        </w:tblPrEx>
        <w:trPr>
          <w:trHeight w:val="288"/>
        </w:trPr>
        <w:tc>
          <w:tcPr>
            <w:tcW w:w="5213" w:type="dxa"/>
            <w:gridSpan w:val="6"/>
            <w:tcBorders>
              <w:top w:val="nil"/>
              <w:left w:val="nil"/>
              <w:bottom w:val="nil"/>
              <w:right w:val="nil"/>
            </w:tcBorders>
            <w:noWrap/>
            <w:vAlign w:val="bottom"/>
            <w:hideMark/>
          </w:tcPr>
          <w:p w14:paraId="6920CE1B"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Models: Public Z, Private Z, EM Z. Enter financials in yellow cells; Z-scores auto-calculate.</w:t>
            </w:r>
          </w:p>
        </w:tc>
        <w:tc>
          <w:tcPr>
            <w:tcW w:w="1271" w:type="dxa"/>
            <w:gridSpan w:val="2"/>
            <w:tcBorders>
              <w:top w:val="nil"/>
              <w:left w:val="nil"/>
              <w:bottom w:val="nil"/>
              <w:right w:val="nil"/>
            </w:tcBorders>
            <w:noWrap/>
            <w:vAlign w:val="bottom"/>
            <w:hideMark/>
          </w:tcPr>
          <w:p w14:paraId="2A8FD400" w14:textId="77777777" w:rsidR="00047D0B" w:rsidRPr="00A343CD" w:rsidRDefault="00047D0B" w:rsidP="00C563B5">
            <w:pPr>
              <w:spacing w:after="0" w:line="276" w:lineRule="auto"/>
              <w:jc w:val="left"/>
              <w:rPr>
                <w:rFonts w:ascii="Arial" w:eastAsia="Times New Roman" w:hAnsi="Arial" w:cs="Arial"/>
                <w:color w:val="000000"/>
                <w:sz w:val="22"/>
                <w:lang w:bidi="bn-BD"/>
              </w:rPr>
            </w:pPr>
          </w:p>
        </w:tc>
        <w:tc>
          <w:tcPr>
            <w:tcW w:w="1271" w:type="dxa"/>
            <w:gridSpan w:val="3"/>
            <w:tcBorders>
              <w:top w:val="nil"/>
              <w:left w:val="nil"/>
              <w:bottom w:val="nil"/>
              <w:right w:val="nil"/>
            </w:tcBorders>
            <w:noWrap/>
            <w:vAlign w:val="bottom"/>
            <w:hideMark/>
          </w:tcPr>
          <w:p w14:paraId="6AC4D6F1"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71" w:type="dxa"/>
            <w:tcBorders>
              <w:top w:val="nil"/>
              <w:left w:val="nil"/>
              <w:bottom w:val="nil"/>
              <w:right w:val="nil"/>
            </w:tcBorders>
            <w:noWrap/>
            <w:vAlign w:val="bottom"/>
            <w:hideMark/>
          </w:tcPr>
          <w:p w14:paraId="1C76DEAE" w14:textId="77777777" w:rsidR="00047D0B" w:rsidRPr="00A343CD" w:rsidRDefault="00047D0B" w:rsidP="00C563B5">
            <w:pPr>
              <w:spacing w:after="0" w:line="276" w:lineRule="auto"/>
              <w:jc w:val="left"/>
              <w:rPr>
                <w:rFonts w:ascii="Arial" w:eastAsia="Times New Roman" w:hAnsi="Arial" w:cs="Arial"/>
                <w:sz w:val="20"/>
                <w:szCs w:val="20"/>
                <w:lang w:bidi="bn-BD"/>
              </w:rPr>
            </w:pPr>
          </w:p>
        </w:tc>
      </w:tr>
      <w:tr w:rsidR="00047D0B" w:rsidRPr="00A343CD" w14:paraId="3638E401" w14:textId="77777777" w:rsidTr="00C563B5">
        <w:tblPrEx>
          <w:jc w:val="left"/>
        </w:tblPrEx>
        <w:trPr>
          <w:trHeight w:val="288"/>
        </w:trPr>
        <w:tc>
          <w:tcPr>
            <w:tcW w:w="2633" w:type="dxa"/>
            <w:gridSpan w:val="2"/>
            <w:tcBorders>
              <w:top w:val="nil"/>
              <w:left w:val="nil"/>
              <w:bottom w:val="nil"/>
              <w:right w:val="nil"/>
            </w:tcBorders>
            <w:noWrap/>
            <w:vAlign w:val="bottom"/>
            <w:hideMark/>
          </w:tcPr>
          <w:p w14:paraId="762375E2"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90" w:type="dxa"/>
            <w:gridSpan w:val="2"/>
            <w:tcBorders>
              <w:top w:val="nil"/>
              <w:left w:val="nil"/>
              <w:bottom w:val="nil"/>
              <w:right w:val="nil"/>
            </w:tcBorders>
            <w:noWrap/>
            <w:vAlign w:val="bottom"/>
            <w:hideMark/>
          </w:tcPr>
          <w:p w14:paraId="496E5A0F"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90" w:type="dxa"/>
            <w:gridSpan w:val="2"/>
            <w:tcBorders>
              <w:top w:val="nil"/>
              <w:left w:val="nil"/>
              <w:bottom w:val="nil"/>
              <w:right w:val="nil"/>
            </w:tcBorders>
            <w:noWrap/>
            <w:vAlign w:val="bottom"/>
            <w:hideMark/>
          </w:tcPr>
          <w:p w14:paraId="2981CE23"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71" w:type="dxa"/>
            <w:gridSpan w:val="2"/>
            <w:tcBorders>
              <w:top w:val="nil"/>
              <w:left w:val="nil"/>
              <w:bottom w:val="nil"/>
              <w:right w:val="nil"/>
            </w:tcBorders>
            <w:noWrap/>
            <w:vAlign w:val="bottom"/>
            <w:hideMark/>
          </w:tcPr>
          <w:p w14:paraId="73CDE2A3"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71" w:type="dxa"/>
            <w:gridSpan w:val="3"/>
            <w:tcBorders>
              <w:top w:val="nil"/>
              <w:left w:val="nil"/>
              <w:bottom w:val="nil"/>
              <w:right w:val="nil"/>
            </w:tcBorders>
            <w:noWrap/>
            <w:vAlign w:val="bottom"/>
            <w:hideMark/>
          </w:tcPr>
          <w:p w14:paraId="3C7C83D2"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71" w:type="dxa"/>
            <w:tcBorders>
              <w:top w:val="nil"/>
              <w:left w:val="nil"/>
              <w:bottom w:val="nil"/>
              <w:right w:val="nil"/>
            </w:tcBorders>
            <w:noWrap/>
            <w:vAlign w:val="bottom"/>
            <w:hideMark/>
          </w:tcPr>
          <w:p w14:paraId="0FD9EBD4" w14:textId="77777777" w:rsidR="00047D0B" w:rsidRPr="00A343CD" w:rsidRDefault="00047D0B" w:rsidP="00C563B5">
            <w:pPr>
              <w:spacing w:after="0" w:line="276" w:lineRule="auto"/>
              <w:jc w:val="left"/>
              <w:rPr>
                <w:rFonts w:ascii="Arial" w:eastAsia="Times New Roman" w:hAnsi="Arial" w:cs="Arial"/>
                <w:sz w:val="20"/>
                <w:szCs w:val="20"/>
                <w:lang w:bidi="bn-BD"/>
              </w:rPr>
            </w:pPr>
          </w:p>
        </w:tc>
      </w:tr>
      <w:tr w:rsidR="00047D0B" w:rsidRPr="00A343CD" w14:paraId="17E05ED5" w14:textId="77777777" w:rsidTr="00C563B5">
        <w:tblPrEx>
          <w:jc w:val="left"/>
        </w:tblPrEx>
        <w:trPr>
          <w:trHeight w:val="288"/>
        </w:trPr>
        <w:tc>
          <w:tcPr>
            <w:tcW w:w="2633" w:type="dxa"/>
            <w:gridSpan w:val="2"/>
            <w:tcBorders>
              <w:top w:val="single" w:sz="4" w:space="0" w:color="auto"/>
              <w:left w:val="single" w:sz="4" w:space="0" w:color="auto"/>
              <w:bottom w:val="single" w:sz="4" w:space="0" w:color="auto"/>
              <w:right w:val="single" w:sz="4" w:space="0" w:color="auto"/>
            </w:tcBorders>
            <w:noWrap/>
            <w:vAlign w:val="center"/>
            <w:hideMark/>
          </w:tcPr>
          <w:p w14:paraId="3F8FD8D9" w14:textId="77777777" w:rsidR="00047D0B" w:rsidRPr="00A343CD" w:rsidRDefault="00047D0B" w:rsidP="00C563B5">
            <w:pPr>
              <w:spacing w:after="0" w:line="276" w:lineRule="auto"/>
              <w:jc w:val="center"/>
              <w:rPr>
                <w:rFonts w:ascii="Arial" w:eastAsia="Times New Roman" w:hAnsi="Arial" w:cs="Arial"/>
                <w:b/>
                <w:bCs/>
                <w:sz w:val="22"/>
                <w:lang w:bidi="bn-BD"/>
              </w:rPr>
            </w:pPr>
            <w:r w:rsidRPr="00A343CD">
              <w:rPr>
                <w:rFonts w:ascii="Arial" w:eastAsia="Times New Roman" w:hAnsi="Arial" w:cs="Arial"/>
                <w:b/>
                <w:bCs/>
                <w:sz w:val="22"/>
                <w:lang w:bidi="bn-BD"/>
              </w:rPr>
              <w:t>Metric</w:t>
            </w:r>
          </w:p>
        </w:tc>
        <w:tc>
          <w:tcPr>
            <w:tcW w:w="1290" w:type="dxa"/>
            <w:gridSpan w:val="2"/>
            <w:tcBorders>
              <w:top w:val="single" w:sz="4" w:space="0" w:color="auto"/>
              <w:left w:val="nil"/>
              <w:bottom w:val="single" w:sz="4" w:space="0" w:color="auto"/>
              <w:right w:val="single" w:sz="4" w:space="0" w:color="auto"/>
            </w:tcBorders>
            <w:shd w:val="clear" w:color="CCE5FF" w:fill="CCE5FF"/>
            <w:noWrap/>
            <w:vAlign w:val="center"/>
            <w:hideMark/>
          </w:tcPr>
          <w:p w14:paraId="0C7ED88C" w14:textId="77777777" w:rsidR="00047D0B" w:rsidRPr="00A343CD" w:rsidRDefault="00047D0B" w:rsidP="00C563B5">
            <w:pPr>
              <w:spacing w:after="0" w:line="276" w:lineRule="auto"/>
              <w:jc w:val="center"/>
              <w:rPr>
                <w:rFonts w:ascii="Arial" w:eastAsia="Times New Roman" w:hAnsi="Arial" w:cs="Arial"/>
                <w:b/>
                <w:bCs/>
                <w:sz w:val="22"/>
                <w:lang w:bidi="bn-BD"/>
              </w:rPr>
            </w:pPr>
            <w:r w:rsidRPr="00A343CD">
              <w:rPr>
                <w:rFonts w:ascii="Arial" w:eastAsia="Times New Roman" w:hAnsi="Arial" w:cs="Arial"/>
                <w:b/>
                <w:bCs/>
                <w:sz w:val="22"/>
                <w:lang w:bidi="bn-BD"/>
              </w:rPr>
              <w:t>2024</w:t>
            </w:r>
          </w:p>
        </w:tc>
        <w:tc>
          <w:tcPr>
            <w:tcW w:w="1290" w:type="dxa"/>
            <w:gridSpan w:val="2"/>
            <w:tcBorders>
              <w:top w:val="single" w:sz="4" w:space="0" w:color="auto"/>
              <w:left w:val="nil"/>
              <w:bottom w:val="single" w:sz="4" w:space="0" w:color="auto"/>
              <w:right w:val="single" w:sz="4" w:space="0" w:color="auto"/>
            </w:tcBorders>
            <w:shd w:val="clear" w:color="CCE5FF" w:fill="CCE5FF"/>
            <w:noWrap/>
            <w:vAlign w:val="center"/>
            <w:hideMark/>
          </w:tcPr>
          <w:p w14:paraId="794632EB" w14:textId="77777777" w:rsidR="00047D0B" w:rsidRPr="00A343CD" w:rsidRDefault="00047D0B" w:rsidP="00C563B5">
            <w:pPr>
              <w:spacing w:after="0" w:line="276" w:lineRule="auto"/>
              <w:jc w:val="center"/>
              <w:rPr>
                <w:rFonts w:ascii="Arial" w:eastAsia="Times New Roman" w:hAnsi="Arial" w:cs="Arial"/>
                <w:b/>
                <w:bCs/>
                <w:sz w:val="22"/>
                <w:lang w:bidi="bn-BD"/>
              </w:rPr>
            </w:pPr>
            <w:r w:rsidRPr="00A343CD">
              <w:rPr>
                <w:rFonts w:ascii="Arial" w:eastAsia="Times New Roman" w:hAnsi="Arial" w:cs="Arial"/>
                <w:b/>
                <w:bCs/>
                <w:sz w:val="22"/>
                <w:lang w:bidi="bn-BD"/>
              </w:rPr>
              <w:t>2023</w:t>
            </w:r>
          </w:p>
        </w:tc>
        <w:tc>
          <w:tcPr>
            <w:tcW w:w="1271" w:type="dxa"/>
            <w:gridSpan w:val="2"/>
            <w:tcBorders>
              <w:top w:val="single" w:sz="4" w:space="0" w:color="auto"/>
              <w:left w:val="nil"/>
              <w:bottom w:val="single" w:sz="4" w:space="0" w:color="auto"/>
              <w:right w:val="single" w:sz="4" w:space="0" w:color="auto"/>
            </w:tcBorders>
            <w:shd w:val="clear" w:color="CCE5FF" w:fill="CCE5FF"/>
            <w:noWrap/>
            <w:vAlign w:val="center"/>
            <w:hideMark/>
          </w:tcPr>
          <w:p w14:paraId="151C6D31" w14:textId="77777777" w:rsidR="00047D0B" w:rsidRPr="00A343CD" w:rsidRDefault="00047D0B" w:rsidP="00C563B5">
            <w:pPr>
              <w:spacing w:after="0" w:line="276" w:lineRule="auto"/>
              <w:jc w:val="center"/>
              <w:rPr>
                <w:rFonts w:ascii="Arial" w:eastAsia="Times New Roman" w:hAnsi="Arial" w:cs="Arial"/>
                <w:b/>
                <w:bCs/>
                <w:sz w:val="22"/>
                <w:lang w:bidi="bn-BD"/>
              </w:rPr>
            </w:pPr>
            <w:r w:rsidRPr="00A343CD">
              <w:rPr>
                <w:rFonts w:ascii="Arial" w:eastAsia="Times New Roman" w:hAnsi="Arial" w:cs="Arial"/>
                <w:b/>
                <w:bCs/>
                <w:sz w:val="22"/>
                <w:lang w:bidi="bn-BD"/>
              </w:rPr>
              <w:t>2022</w:t>
            </w:r>
          </w:p>
        </w:tc>
        <w:tc>
          <w:tcPr>
            <w:tcW w:w="1271" w:type="dxa"/>
            <w:gridSpan w:val="3"/>
            <w:tcBorders>
              <w:top w:val="single" w:sz="4" w:space="0" w:color="auto"/>
              <w:left w:val="nil"/>
              <w:bottom w:val="single" w:sz="4" w:space="0" w:color="auto"/>
              <w:right w:val="single" w:sz="4" w:space="0" w:color="auto"/>
            </w:tcBorders>
            <w:shd w:val="clear" w:color="CCE5FF" w:fill="CCE5FF"/>
            <w:noWrap/>
            <w:vAlign w:val="center"/>
            <w:hideMark/>
          </w:tcPr>
          <w:p w14:paraId="7E95A22D" w14:textId="77777777" w:rsidR="00047D0B" w:rsidRPr="00A343CD" w:rsidRDefault="00047D0B" w:rsidP="00C563B5">
            <w:pPr>
              <w:spacing w:after="0" w:line="276" w:lineRule="auto"/>
              <w:jc w:val="center"/>
              <w:rPr>
                <w:rFonts w:ascii="Arial" w:eastAsia="Times New Roman" w:hAnsi="Arial" w:cs="Arial"/>
                <w:b/>
                <w:bCs/>
                <w:sz w:val="22"/>
                <w:lang w:bidi="bn-BD"/>
              </w:rPr>
            </w:pPr>
            <w:r w:rsidRPr="00A343CD">
              <w:rPr>
                <w:rFonts w:ascii="Arial" w:eastAsia="Times New Roman" w:hAnsi="Arial" w:cs="Arial"/>
                <w:b/>
                <w:bCs/>
                <w:sz w:val="22"/>
                <w:lang w:bidi="bn-BD"/>
              </w:rPr>
              <w:t>2021</w:t>
            </w:r>
          </w:p>
        </w:tc>
        <w:tc>
          <w:tcPr>
            <w:tcW w:w="1271" w:type="dxa"/>
            <w:tcBorders>
              <w:top w:val="single" w:sz="4" w:space="0" w:color="auto"/>
              <w:left w:val="nil"/>
              <w:bottom w:val="single" w:sz="4" w:space="0" w:color="auto"/>
              <w:right w:val="single" w:sz="4" w:space="0" w:color="auto"/>
            </w:tcBorders>
            <w:shd w:val="clear" w:color="CCE5FF" w:fill="CCE5FF"/>
            <w:noWrap/>
            <w:vAlign w:val="center"/>
            <w:hideMark/>
          </w:tcPr>
          <w:p w14:paraId="4D7B8D16" w14:textId="77777777" w:rsidR="00047D0B" w:rsidRPr="00A343CD" w:rsidRDefault="00047D0B" w:rsidP="00C563B5">
            <w:pPr>
              <w:spacing w:after="0" w:line="276" w:lineRule="auto"/>
              <w:jc w:val="center"/>
              <w:rPr>
                <w:rFonts w:ascii="Arial" w:eastAsia="Times New Roman" w:hAnsi="Arial" w:cs="Arial"/>
                <w:b/>
                <w:bCs/>
                <w:sz w:val="22"/>
                <w:lang w:bidi="bn-BD"/>
              </w:rPr>
            </w:pPr>
            <w:r w:rsidRPr="00A343CD">
              <w:rPr>
                <w:rFonts w:ascii="Arial" w:eastAsia="Times New Roman" w:hAnsi="Arial" w:cs="Arial"/>
                <w:b/>
                <w:bCs/>
                <w:sz w:val="22"/>
                <w:lang w:bidi="bn-BD"/>
              </w:rPr>
              <w:t>2020</w:t>
            </w:r>
          </w:p>
        </w:tc>
      </w:tr>
      <w:tr w:rsidR="00047D0B" w:rsidRPr="00A343CD" w14:paraId="141BAFE2"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15A2E30E"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Total Assets</w:t>
            </w:r>
          </w:p>
        </w:tc>
        <w:tc>
          <w:tcPr>
            <w:tcW w:w="1290" w:type="dxa"/>
            <w:gridSpan w:val="2"/>
            <w:tcBorders>
              <w:top w:val="nil"/>
              <w:left w:val="nil"/>
              <w:bottom w:val="single" w:sz="4" w:space="0" w:color="auto"/>
              <w:right w:val="single" w:sz="4" w:space="0" w:color="auto"/>
            </w:tcBorders>
            <w:noWrap/>
            <w:vAlign w:val="center"/>
            <w:hideMark/>
          </w:tcPr>
          <w:p w14:paraId="24ED431D"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572,231.00 </w:t>
            </w:r>
          </w:p>
        </w:tc>
        <w:tc>
          <w:tcPr>
            <w:tcW w:w="1290" w:type="dxa"/>
            <w:gridSpan w:val="2"/>
            <w:tcBorders>
              <w:top w:val="nil"/>
              <w:left w:val="nil"/>
              <w:bottom w:val="single" w:sz="4" w:space="0" w:color="auto"/>
              <w:right w:val="single" w:sz="4" w:space="0" w:color="auto"/>
            </w:tcBorders>
            <w:noWrap/>
            <w:vAlign w:val="center"/>
            <w:hideMark/>
          </w:tcPr>
          <w:p w14:paraId="3D347DC3"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621,106.00 </w:t>
            </w:r>
          </w:p>
        </w:tc>
        <w:tc>
          <w:tcPr>
            <w:tcW w:w="1271" w:type="dxa"/>
            <w:gridSpan w:val="2"/>
            <w:tcBorders>
              <w:top w:val="nil"/>
              <w:left w:val="nil"/>
              <w:bottom w:val="single" w:sz="4" w:space="0" w:color="auto"/>
              <w:right w:val="single" w:sz="4" w:space="0" w:color="auto"/>
            </w:tcBorders>
            <w:noWrap/>
            <w:vAlign w:val="center"/>
            <w:hideMark/>
          </w:tcPr>
          <w:p w14:paraId="21C96D98"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792,854.00 </w:t>
            </w:r>
          </w:p>
        </w:tc>
        <w:tc>
          <w:tcPr>
            <w:tcW w:w="1271" w:type="dxa"/>
            <w:gridSpan w:val="3"/>
            <w:tcBorders>
              <w:top w:val="nil"/>
              <w:left w:val="nil"/>
              <w:bottom w:val="single" w:sz="4" w:space="0" w:color="auto"/>
              <w:right w:val="single" w:sz="4" w:space="0" w:color="auto"/>
            </w:tcBorders>
            <w:noWrap/>
            <w:vAlign w:val="center"/>
            <w:hideMark/>
          </w:tcPr>
          <w:p w14:paraId="477E2C32"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798,125.00 </w:t>
            </w:r>
          </w:p>
        </w:tc>
        <w:tc>
          <w:tcPr>
            <w:tcW w:w="1271" w:type="dxa"/>
            <w:tcBorders>
              <w:top w:val="nil"/>
              <w:left w:val="nil"/>
              <w:bottom w:val="single" w:sz="4" w:space="0" w:color="auto"/>
              <w:right w:val="single" w:sz="4" w:space="0" w:color="auto"/>
            </w:tcBorders>
            <w:noWrap/>
            <w:vAlign w:val="center"/>
            <w:hideMark/>
          </w:tcPr>
          <w:p w14:paraId="4E725B0C"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793,348.00 </w:t>
            </w:r>
          </w:p>
        </w:tc>
      </w:tr>
      <w:tr w:rsidR="00047D0B" w:rsidRPr="00A343CD" w14:paraId="0047D20E"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05372063"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Current Assets</w:t>
            </w:r>
          </w:p>
        </w:tc>
        <w:tc>
          <w:tcPr>
            <w:tcW w:w="1290" w:type="dxa"/>
            <w:gridSpan w:val="2"/>
            <w:tcBorders>
              <w:top w:val="nil"/>
              <w:left w:val="nil"/>
              <w:bottom w:val="single" w:sz="4" w:space="0" w:color="auto"/>
              <w:right w:val="single" w:sz="4" w:space="0" w:color="auto"/>
            </w:tcBorders>
            <w:noWrap/>
            <w:vAlign w:val="center"/>
            <w:hideMark/>
          </w:tcPr>
          <w:p w14:paraId="2EE21AAE"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248,877.00 </w:t>
            </w:r>
          </w:p>
        </w:tc>
        <w:tc>
          <w:tcPr>
            <w:tcW w:w="1290" w:type="dxa"/>
            <w:gridSpan w:val="2"/>
            <w:tcBorders>
              <w:top w:val="nil"/>
              <w:left w:val="nil"/>
              <w:bottom w:val="single" w:sz="4" w:space="0" w:color="auto"/>
              <w:right w:val="single" w:sz="4" w:space="0" w:color="auto"/>
            </w:tcBorders>
            <w:noWrap/>
            <w:vAlign w:val="center"/>
            <w:hideMark/>
          </w:tcPr>
          <w:p w14:paraId="33265F33"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265,234.00 </w:t>
            </w:r>
          </w:p>
        </w:tc>
        <w:tc>
          <w:tcPr>
            <w:tcW w:w="1271" w:type="dxa"/>
            <w:gridSpan w:val="2"/>
            <w:tcBorders>
              <w:top w:val="nil"/>
              <w:left w:val="nil"/>
              <w:bottom w:val="single" w:sz="4" w:space="0" w:color="auto"/>
              <w:right w:val="single" w:sz="4" w:space="0" w:color="auto"/>
            </w:tcBorders>
            <w:noWrap/>
            <w:vAlign w:val="center"/>
            <w:hideMark/>
          </w:tcPr>
          <w:p w14:paraId="621F0722"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337,776.00 </w:t>
            </w:r>
          </w:p>
        </w:tc>
        <w:tc>
          <w:tcPr>
            <w:tcW w:w="1271" w:type="dxa"/>
            <w:gridSpan w:val="3"/>
            <w:tcBorders>
              <w:top w:val="nil"/>
              <w:left w:val="nil"/>
              <w:bottom w:val="single" w:sz="4" w:space="0" w:color="auto"/>
              <w:right w:val="single" w:sz="4" w:space="0" w:color="auto"/>
            </w:tcBorders>
            <w:noWrap/>
            <w:vAlign w:val="center"/>
            <w:hideMark/>
          </w:tcPr>
          <w:p w14:paraId="5B619ADC"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336,240.00 </w:t>
            </w:r>
          </w:p>
        </w:tc>
        <w:tc>
          <w:tcPr>
            <w:tcW w:w="1271" w:type="dxa"/>
            <w:tcBorders>
              <w:top w:val="nil"/>
              <w:left w:val="nil"/>
              <w:bottom w:val="single" w:sz="4" w:space="0" w:color="auto"/>
              <w:right w:val="single" w:sz="4" w:space="0" w:color="auto"/>
            </w:tcBorders>
            <w:noWrap/>
            <w:vAlign w:val="center"/>
            <w:hideMark/>
          </w:tcPr>
          <w:p w14:paraId="4A7EDF42"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331,672.00 </w:t>
            </w:r>
          </w:p>
        </w:tc>
      </w:tr>
      <w:tr w:rsidR="00047D0B" w:rsidRPr="00A343CD" w14:paraId="4E8A60B6"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5E5205DA"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Current Liabilities</w:t>
            </w:r>
          </w:p>
        </w:tc>
        <w:tc>
          <w:tcPr>
            <w:tcW w:w="1290" w:type="dxa"/>
            <w:gridSpan w:val="2"/>
            <w:tcBorders>
              <w:top w:val="nil"/>
              <w:left w:val="nil"/>
              <w:bottom w:val="single" w:sz="4" w:space="0" w:color="auto"/>
              <w:right w:val="single" w:sz="4" w:space="0" w:color="auto"/>
            </w:tcBorders>
            <w:noWrap/>
            <w:vAlign w:val="center"/>
            <w:hideMark/>
          </w:tcPr>
          <w:p w14:paraId="0BB760D4"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156,130.00 </w:t>
            </w:r>
          </w:p>
        </w:tc>
        <w:tc>
          <w:tcPr>
            <w:tcW w:w="1290" w:type="dxa"/>
            <w:gridSpan w:val="2"/>
            <w:tcBorders>
              <w:top w:val="nil"/>
              <w:left w:val="nil"/>
              <w:bottom w:val="single" w:sz="4" w:space="0" w:color="auto"/>
              <w:right w:val="single" w:sz="4" w:space="0" w:color="auto"/>
            </w:tcBorders>
            <w:noWrap/>
            <w:vAlign w:val="center"/>
            <w:hideMark/>
          </w:tcPr>
          <w:p w14:paraId="150A64B5"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159,315.00 </w:t>
            </w:r>
          </w:p>
        </w:tc>
        <w:tc>
          <w:tcPr>
            <w:tcW w:w="1271" w:type="dxa"/>
            <w:gridSpan w:val="2"/>
            <w:tcBorders>
              <w:top w:val="nil"/>
              <w:left w:val="nil"/>
              <w:bottom w:val="single" w:sz="4" w:space="0" w:color="auto"/>
              <w:right w:val="single" w:sz="4" w:space="0" w:color="auto"/>
            </w:tcBorders>
            <w:noWrap/>
            <w:vAlign w:val="center"/>
            <w:hideMark/>
          </w:tcPr>
          <w:p w14:paraId="4AC6365D"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210,888.00 </w:t>
            </w:r>
          </w:p>
        </w:tc>
        <w:tc>
          <w:tcPr>
            <w:tcW w:w="1271" w:type="dxa"/>
            <w:gridSpan w:val="3"/>
            <w:tcBorders>
              <w:top w:val="nil"/>
              <w:left w:val="nil"/>
              <w:bottom w:val="single" w:sz="4" w:space="0" w:color="auto"/>
              <w:right w:val="single" w:sz="4" w:space="0" w:color="auto"/>
            </w:tcBorders>
            <w:noWrap/>
            <w:vAlign w:val="center"/>
            <w:hideMark/>
          </w:tcPr>
          <w:p w14:paraId="312079FC"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213,050.00 </w:t>
            </w:r>
          </w:p>
        </w:tc>
        <w:tc>
          <w:tcPr>
            <w:tcW w:w="1271" w:type="dxa"/>
            <w:tcBorders>
              <w:top w:val="nil"/>
              <w:left w:val="nil"/>
              <w:bottom w:val="single" w:sz="4" w:space="0" w:color="auto"/>
              <w:right w:val="single" w:sz="4" w:space="0" w:color="auto"/>
            </w:tcBorders>
            <w:noWrap/>
            <w:vAlign w:val="center"/>
            <w:hideMark/>
          </w:tcPr>
          <w:p w14:paraId="45F4771D"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175,975.00 </w:t>
            </w:r>
          </w:p>
        </w:tc>
      </w:tr>
      <w:tr w:rsidR="00047D0B" w:rsidRPr="00A343CD" w14:paraId="624251ED"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2DAD0368"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Retained Earnings</w:t>
            </w:r>
          </w:p>
        </w:tc>
        <w:tc>
          <w:tcPr>
            <w:tcW w:w="1290" w:type="dxa"/>
            <w:gridSpan w:val="2"/>
            <w:tcBorders>
              <w:top w:val="nil"/>
              <w:left w:val="nil"/>
              <w:bottom w:val="single" w:sz="4" w:space="0" w:color="auto"/>
              <w:right w:val="single" w:sz="4" w:space="0" w:color="auto"/>
            </w:tcBorders>
            <w:noWrap/>
            <w:vAlign w:val="center"/>
            <w:hideMark/>
          </w:tcPr>
          <w:p w14:paraId="616865BA"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208,431.00 </w:t>
            </w:r>
          </w:p>
        </w:tc>
        <w:tc>
          <w:tcPr>
            <w:tcW w:w="1290" w:type="dxa"/>
            <w:gridSpan w:val="2"/>
            <w:tcBorders>
              <w:top w:val="nil"/>
              <w:left w:val="nil"/>
              <w:bottom w:val="single" w:sz="4" w:space="0" w:color="auto"/>
              <w:right w:val="single" w:sz="4" w:space="0" w:color="auto"/>
            </w:tcBorders>
            <w:noWrap/>
            <w:vAlign w:val="center"/>
            <w:hideMark/>
          </w:tcPr>
          <w:p w14:paraId="7D136C34"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232,460.00 </w:t>
            </w:r>
          </w:p>
        </w:tc>
        <w:tc>
          <w:tcPr>
            <w:tcW w:w="1271" w:type="dxa"/>
            <w:gridSpan w:val="2"/>
            <w:tcBorders>
              <w:top w:val="nil"/>
              <w:left w:val="nil"/>
              <w:bottom w:val="single" w:sz="4" w:space="0" w:color="auto"/>
              <w:right w:val="single" w:sz="4" w:space="0" w:color="auto"/>
            </w:tcBorders>
            <w:noWrap/>
            <w:vAlign w:val="center"/>
            <w:hideMark/>
          </w:tcPr>
          <w:p w14:paraId="6D2B0CB6"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330,698.00 </w:t>
            </w:r>
          </w:p>
        </w:tc>
        <w:tc>
          <w:tcPr>
            <w:tcW w:w="1271" w:type="dxa"/>
            <w:gridSpan w:val="3"/>
            <w:tcBorders>
              <w:top w:val="nil"/>
              <w:left w:val="nil"/>
              <w:bottom w:val="single" w:sz="4" w:space="0" w:color="auto"/>
              <w:right w:val="single" w:sz="4" w:space="0" w:color="auto"/>
            </w:tcBorders>
            <w:noWrap/>
            <w:vAlign w:val="center"/>
            <w:hideMark/>
          </w:tcPr>
          <w:p w14:paraId="27938BD8"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330,291.00 </w:t>
            </w:r>
          </w:p>
        </w:tc>
        <w:tc>
          <w:tcPr>
            <w:tcW w:w="1271" w:type="dxa"/>
            <w:tcBorders>
              <w:top w:val="nil"/>
              <w:left w:val="nil"/>
              <w:bottom w:val="single" w:sz="4" w:space="0" w:color="auto"/>
              <w:right w:val="single" w:sz="4" w:space="0" w:color="auto"/>
            </w:tcBorders>
            <w:noWrap/>
            <w:vAlign w:val="center"/>
            <w:hideMark/>
          </w:tcPr>
          <w:p w14:paraId="62689C55"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324,990.00 </w:t>
            </w:r>
          </w:p>
        </w:tc>
      </w:tr>
      <w:tr w:rsidR="00047D0B" w:rsidRPr="00A343CD" w14:paraId="35648DE4"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254DE444"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EBIT</w:t>
            </w:r>
          </w:p>
        </w:tc>
        <w:tc>
          <w:tcPr>
            <w:tcW w:w="1290" w:type="dxa"/>
            <w:gridSpan w:val="2"/>
            <w:tcBorders>
              <w:top w:val="nil"/>
              <w:left w:val="nil"/>
              <w:bottom w:val="single" w:sz="4" w:space="0" w:color="auto"/>
              <w:right w:val="single" w:sz="4" w:space="0" w:color="auto"/>
            </w:tcBorders>
            <w:noWrap/>
            <w:vAlign w:val="center"/>
            <w:hideMark/>
          </w:tcPr>
          <w:p w14:paraId="383ABF26"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(15,297.00)</w:t>
            </w:r>
          </w:p>
        </w:tc>
        <w:tc>
          <w:tcPr>
            <w:tcW w:w="1290" w:type="dxa"/>
            <w:gridSpan w:val="2"/>
            <w:tcBorders>
              <w:top w:val="nil"/>
              <w:left w:val="nil"/>
              <w:bottom w:val="single" w:sz="4" w:space="0" w:color="auto"/>
              <w:right w:val="single" w:sz="4" w:space="0" w:color="auto"/>
            </w:tcBorders>
            <w:noWrap/>
            <w:vAlign w:val="center"/>
            <w:hideMark/>
          </w:tcPr>
          <w:p w14:paraId="40C3E25B"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(85,301.00)</w:t>
            </w:r>
          </w:p>
        </w:tc>
        <w:tc>
          <w:tcPr>
            <w:tcW w:w="1271" w:type="dxa"/>
            <w:gridSpan w:val="2"/>
            <w:tcBorders>
              <w:top w:val="nil"/>
              <w:left w:val="nil"/>
              <w:bottom w:val="single" w:sz="4" w:space="0" w:color="auto"/>
              <w:right w:val="single" w:sz="4" w:space="0" w:color="auto"/>
            </w:tcBorders>
            <w:noWrap/>
            <w:vAlign w:val="center"/>
            <w:hideMark/>
          </w:tcPr>
          <w:p w14:paraId="35CF96D3"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14,548.00 </w:t>
            </w:r>
          </w:p>
        </w:tc>
        <w:tc>
          <w:tcPr>
            <w:tcW w:w="1271" w:type="dxa"/>
            <w:gridSpan w:val="3"/>
            <w:tcBorders>
              <w:top w:val="nil"/>
              <w:left w:val="nil"/>
              <w:bottom w:val="single" w:sz="4" w:space="0" w:color="auto"/>
              <w:right w:val="single" w:sz="4" w:space="0" w:color="auto"/>
            </w:tcBorders>
            <w:noWrap/>
            <w:vAlign w:val="center"/>
            <w:hideMark/>
          </w:tcPr>
          <w:p w14:paraId="77D9E75A"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23,253.00 </w:t>
            </w:r>
          </w:p>
        </w:tc>
        <w:tc>
          <w:tcPr>
            <w:tcW w:w="1271" w:type="dxa"/>
            <w:tcBorders>
              <w:top w:val="nil"/>
              <w:left w:val="nil"/>
              <w:bottom w:val="single" w:sz="4" w:space="0" w:color="auto"/>
              <w:right w:val="single" w:sz="4" w:space="0" w:color="auto"/>
            </w:tcBorders>
            <w:noWrap/>
            <w:vAlign w:val="center"/>
            <w:hideMark/>
          </w:tcPr>
          <w:p w14:paraId="7D8D6B91"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37,267.00 </w:t>
            </w:r>
          </w:p>
        </w:tc>
      </w:tr>
      <w:tr w:rsidR="00047D0B" w:rsidRPr="00A343CD" w14:paraId="5EB7970F"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6DA4332D"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Total Liabilities</w:t>
            </w:r>
          </w:p>
        </w:tc>
        <w:tc>
          <w:tcPr>
            <w:tcW w:w="1290" w:type="dxa"/>
            <w:gridSpan w:val="2"/>
            <w:tcBorders>
              <w:top w:val="nil"/>
              <w:left w:val="nil"/>
              <w:bottom w:val="single" w:sz="4" w:space="0" w:color="auto"/>
              <w:right w:val="single" w:sz="4" w:space="0" w:color="auto"/>
            </w:tcBorders>
            <w:noWrap/>
            <w:vAlign w:val="center"/>
            <w:hideMark/>
          </w:tcPr>
          <w:p w14:paraId="4F4C2CE6"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168,088.00 </w:t>
            </w:r>
          </w:p>
        </w:tc>
        <w:tc>
          <w:tcPr>
            <w:tcW w:w="1290" w:type="dxa"/>
            <w:gridSpan w:val="2"/>
            <w:tcBorders>
              <w:top w:val="nil"/>
              <w:left w:val="nil"/>
              <w:bottom w:val="single" w:sz="4" w:space="0" w:color="auto"/>
              <w:right w:val="single" w:sz="4" w:space="0" w:color="auto"/>
            </w:tcBorders>
            <w:noWrap/>
            <w:vAlign w:val="center"/>
            <w:hideMark/>
          </w:tcPr>
          <w:p w14:paraId="38634E98"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175,119.00 </w:t>
            </w:r>
          </w:p>
        </w:tc>
        <w:tc>
          <w:tcPr>
            <w:tcW w:w="1271" w:type="dxa"/>
            <w:gridSpan w:val="2"/>
            <w:tcBorders>
              <w:top w:val="nil"/>
              <w:left w:val="nil"/>
              <w:bottom w:val="single" w:sz="4" w:space="0" w:color="auto"/>
              <w:right w:val="single" w:sz="4" w:space="0" w:color="auto"/>
            </w:tcBorders>
            <w:noWrap/>
            <w:vAlign w:val="center"/>
            <w:hideMark/>
          </w:tcPr>
          <w:p w14:paraId="54CAEB4B"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230,172.00 </w:t>
            </w:r>
          </w:p>
        </w:tc>
        <w:tc>
          <w:tcPr>
            <w:tcW w:w="1271" w:type="dxa"/>
            <w:gridSpan w:val="3"/>
            <w:tcBorders>
              <w:top w:val="nil"/>
              <w:left w:val="nil"/>
              <w:bottom w:val="single" w:sz="4" w:space="0" w:color="auto"/>
              <w:right w:val="single" w:sz="4" w:space="0" w:color="auto"/>
            </w:tcBorders>
            <w:noWrap/>
            <w:vAlign w:val="center"/>
            <w:hideMark/>
          </w:tcPr>
          <w:p w14:paraId="07B1806E"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230,662.00 </w:t>
            </w:r>
          </w:p>
        </w:tc>
        <w:tc>
          <w:tcPr>
            <w:tcW w:w="1271" w:type="dxa"/>
            <w:tcBorders>
              <w:top w:val="nil"/>
              <w:left w:val="nil"/>
              <w:bottom w:val="single" w:sz="4" w:space="0" w:color="auto"/>
              <w:right w:val="single" w:sz="4" w:space="0" w:color="auto"/>
            </w:tcBorders>
            <w:noWrap/>
            <w:vAlign w:val="center"/>
            <w:hideMark/>
          </w:tcPr>
          <w:p w14:paraId="3F98A9D1"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193,162.00 </w:t>
            </w:r>
          </w:p>
        </w:tc>
      </w:tr>
      <w:tr w:rsidR="00047D0B" w:rsidRPr="00A343CD" w14:paraId="2BD04707"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442AF603"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Sales</w:t>
            </w:r>
          </w:p>
        </w:tc>
        <w:tc>
          <w:tcPr>
            <w:tcW w:w="1290" w:type="dxa"/>
            <w:gridSpan w:val="2"/>
            <w:tcBorders>
              <w:top w:val="nil"/>
              <w:left w:val="nil"/>
              <w:bottom w:val="single" w:sz="4" w:space="0" w:color="auto"/>
              <w:right w:val="single" w:sz="4" w:space="0" w:color="auto"/>
            </w:tcBorders>
            <w:noWrap/>
            <w:vAlign w:val="center"/>
            <w:hideMark/>
          </w:tcPr>
          <w:p w14:paraId="3F2CA995"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394,879.00 </w:t>
            </w:r>
          </w:p>
        </w:tc>
        <w:tc>
          <w:tcPr>
            <w:tcW w:w="1290" w:type="dxa"/>
            <w:gridSpan w:val="2"/>
            <w:tcBorders>
              <w:top w:val="nil"/>
              <w:left w:val="nil"/>
              <w:bottom w:val="single" w:sz="4" w:space="0" w:color="auto"/>
              <w:right w:val="single" w:sz="4" w:space="0" w:color="auto"/>
            </w:tcBorders>
            <w:noWrap/>
            <w:vAlign w:val="center"/>
            <w:hideMark/>
          </w:tcPr>
          <w:p w14:paraId="2F728076"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420,457.00 </w:t>
            </w:r>
          </w:p>
        </w:tc>
        <w:tc>
          <w:tcPr>
            <w:tcW w:w="1271" w:type="dxa"/>
            <w:gridSpan w:val="2"/>
            <w:tcBorders>
              <w:top w:val="nil"/>
              <w:left w:val="nil"/>
              <w:bottom w:val="single" w:sz="4" w:space="0" w:color="auto"/>
              <w:right w:val="single" w:sz="4" w:space="0" w:color="auto"/>
            </w:tcBorders>
            <w:noWrap/>
            <w:vAlign w:val="center"/>
            <w:hideMark/>
          </w:tcPr>
          <w:p w14:paraId="56B705B5"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542,751.00 </w:t>
            </w:r>
          </w:p>
        </w:tc>
        <w:tc>
          <w:tcPr>
            <w:tcW w:w="1271" w:type="dxa"/>
            <w:gridSpan w:val="3"/>
            <w:tcBorders>
              <w:top w:val="nil"/>
              <w:left w:val="nil"/>
              <w:bottom w:val="single" w:sz="4" w:space="0" w:color="auto"/>
              <w:right w:val="single" w:sz="4" w:space="0" w:color="auto"/>
            </w:tcBorders>
            <w:noWrap/>
            <w:vAlign w:val="center"/>
            <w:hideMark/>
          </w:tcPr>
          <w:p w14:paraId="4662DE99"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601,602.00 </w:t>
            </w:r>
          </w:p>
        </w:tc>
        <w:tc>
          <w:tcPr>
            <w:tcW w:w="1271" w:type="dxa"/>
            <w:tcBorders>
              <w:top w:val="nil"/>
              <w:left w:val="nil"/>
              <w:bottom w:val="single" w:sz="4" w:space="0" w:color="auto"/>
              <w:right w:val="single" w:sz="4" w:space="0" w:color="auto"/>
            </w:tcBorders>
            <w:noWrap/>
            <w:vAlign w:val="center"/>
            <w:hideMark/>
          </w:tcPr>
          <w:p w14:paraId="5A02785C"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614,680.00 </w:t>
            </w:r>
          </w:p>
        </w:tc>
      </w:tr>
      <w:tr w:rsidR="00047D0B" w:rsidRPr="00A343CD" w14:paraId="26AD7292"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704196B4"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Market Value of Equity (for Public Z)</w:t>
            </w:r>
          </w:p>
        </w:tc>
        <w:tc>
          <w:tcPr>
            <w:tcW w:w="1290" w:type="dxa"/>
            <w:gridSpan w:val="2"/>
            <w:tcBorders>
              <w:top w:val="nil"/>
              <w:left w:val="nil"/>
              <w:bottom w:val="single" w:sz="4" w:space="0" w:color="auto"/>
              <w:right w:val="single" w:sz="4" w:space="0" w:color="auto"/>
            </w:tcBorders>
            <w:noWrap/>
            <w:vAlign w:val="center"/>
            <w:hideMark/>
          </w:tcPr>
          <w:p w14:paraId="1F3F7C51"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153,105.00 </w:t>
            </w:r>
          </w:p>
        </w:tc>
        <w:tc>
          <w:tcPr>
            <w:tcW w:w="1290" w:type="dxa"/>
            <w:gridSpan w:val="2"/>
            <w:tcBorders>
              <w:top w:val="nil"/>
              <w:left w:val="nil"/>
              <w:bottom w:val="single" w:sz="4" w:space="0" w:color="auto"/>
              <w:right w:val="single" w:sz="4" w:space="0" w:color="auto"/>
            </w:tcBorders>
            <w:noWrap/>
            <w:vAlign w:val="center"/>
            <w:hideMark/>
          </w:tcPr>
          <w:p w14:paraId="6190EBE4"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178,920.00 </w:t>
            </w:r>
          </w:p>
        </w:tc>
        <w:tc>
          <w:tcPr>
            <w:tcW w:w="1271" w:type="dxa"/>
            <w:gridSpan w:val="2"/>
            <w:tcBorders>
              <w:top w:val="nil"/>
              <w:left w:val="nil"/>
              <w:bottom w:val="single" w:sz="4" w:space="0" w:color="auto"/>
              <w:right w:val="single" w:sz="4" w:space="0" w:color="auto"/>
            </w:tcBorders>
            <w:noWrap/>
            <w:vAlign w:val="center"/>
            <w:hideMark/>
          </w:tcPr>
          <w:p w14:paraId="0FB67A13"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268,406.00 </w:t>
            </w:r>
          </w:p>
        </w:tc>
        <w:tc>
          <w:tcPr>
            <w:tcW w:w="1271" w:type="dxa"/>
            <w:gridSpan w:val="3"/>
            <w:tcBorders>
              <w:top w:val="nil"/>
              <w:left w:val="nil"/>
              <w:bottom w:val="single" w:sz="4" w:space="0" w:color="auto"/>
              <w:right w:val="single" w:sz="4" w:space="0" w:color="auto"/>
            </w:tcBorders>
            <w:noWrap/>
            <w:vAlign w:val="center"/>
            <w:hideMark/>
          </w:tcPr>
          <w:p w14:paraId="6675E21F"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275,949.00 </w:t>
            </w:r>
          </w:p>
        </w:tc>
        <w:tc>
          <w:tcPr>
            <w:tcW w:w="1271" w:type="dxa"/>
            <w:tcBorders>
              <w:top w:val="nil"/>
              <w:left w:val="nil"/>
              <w:bottom w:val="single" w:sz="4" w:space="0" w:color="auto"/>
              <w:right w:val="single" w:sz="4" w:space="0" w:color="auto"/>
            </w:tcBorders>
            <w:noWrap/>
            <w:vAlign w:val="center"/>
            <w:hideMark/>
          </w:tcPr>
          <w:p w14:paraId="5370BA71"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                 313,301.00 </w:t>
            </w:r>
          </w:p>
        </w:tc>
      </w:tr>
      <w:tr w:rsidR="00047D0B" w:rsidRPr="00A343CD" w14:paraId="228E71D0"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671105A2"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lastRenderedPageBreak/>
              <w:t>X1 Working Capital / Total Assets</w:t>
            </w:r>
          </w:p>
        </w:tc>
        <w:tc>
          <w:tcPr>
            <w:tcW w:w="1290" w:type="dxa"/>
            <w:gridSpan w:val="2"/>
            <w:tcBorders>
              <w:top w:val="nil"/>
              <w:left w:val="nil"/>
              <w:bottom w:val="single" w:sz="4" w:space="0" w:color="auto"/>
              <w:right w:val="single" w:sz="4" w:space="0" w:color="auto"/>
            </w:tcBorders>
            <w:noWrap/>
            <w:vAlign w:val="bottom"/>
            <w:hideMark/>
          </w:tcPr>
          <w:p w14:paraId="1311F358"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0.162</w:t>
            </w:r>
          </w:p>
        </w:tc>
        <w:tc>
          <w:tcPr>
            <w:tcW w:w="1290" w:type="dxa"/>
            <w:gridSpan w:val="2"/>
            <w:tcBorders>
              <w:top w:val="nil"/>
              <w:left w:val="nil"/>
              <w:bottom w:val="single" w:sz="4" w:space="0" w:color="auto"/>
              <w:right w:val="single" w:sz="4" w:space="0" w:color="auto"/>
            </w:tcBorders>
            <w:noWrap/>
            <w:vAlign w:val="bottom"/>
            <w:hideMark/>
          </w:tcPr>
          <w:p w14:paraId="32B12221"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0.171</w:t>
            </w:r>
          </w:p>
        </w:tc>
        <w:tc>
          <w:tcPr>
            <w:tcW w:w="1271" w:type="dxa"/>
            <w:gridSpan w:val="2"/>
            <w:tcBorders>
              <w:top w:val="nil"/>
              <w:left w:val="nil"/>
              <w:bottom w:val="single" w:sz="4" w:space="0" w:color="auto"/>
              <w:right w:val="single" w:sz="4" w:space="0" w:color="auto"/>
            </w:tcBorders>
            <w:noWrap/>
            <w:vAlign w:val="bottom"/>
            <w:hideMark/>
          </w:tcPr>
          <w:p w14:paraId="50771771"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0.160</w:t>
            </w:r>
          </w:p>
        </w:tc>
        <w:tc>
          <w:tcPr>
            <w:tcW w:w="1271" w:type="dxa"/>
            <w:gridSpan w:val="3"/>
            <w:tcBorders>
              <w:top w:val="nil"/>
              <w:left w:val="nil"/>
              <w:bottom w:val="single" w:sz="4" w:space="0" w:color="auto"/>
              <w:right w:val="single" w:sz="4" w:space="0" w:color="auto"/>
            </w:tcBorders>
            <w:noWrap/>
            <w:vAlign w:val="bottom"/>
            <w:hideMark/>
          </w:tcPr>
          <w:p w14:paraId="03CB2086"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0.154</w:t>
            </w:r>
          </w:p>
        </w:tc>
        <w:tc>
          <w:tcPr>
            <w:tcW w:w="1271" w:type="dxa"/>
            <w:tcBorders>
              <w:top w:val="nil"/>
              <w:left w:val="nil"/>
              <w:bottom w:val="single" w:sz="4" w:space="0" w:color="auto"/>
              <w:right w:val="single" w:sz="4" w:space="0" w:color="auto"/>
            </w:tcBorders>
            <w:noWrap/>
            <w:vAlign w:val="bottom"/>
            <w:hideMark/>
          </w:tcPr>
          <w:p w14:paraId="22AB5952"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0.196</w:t>
            </w:r>
          </w:p>
        </w:tc>
      </w:tr>
      <w:tr w:rsidR="00047D0B" w:rsidRPr="00A343CD" w14:paraId="11C7499D"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4DB0F5EE"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X2 Retained Earnings / Total Assets</w:t>
            </w:r>
          </w:p>
        </w:tc>
        <w:tc>
          <w:tcPr>
            <w:tcW w:w="1290" w:type="dxa"/>
            <w:gridSpan w:val="2"/>
            <w:tcBorders>
              <w:top w:val="nil"/>
              <w:left w:val="nil"/>
              <w:bottom w:val="single" w:sz="4" w:space="0" w:color="auto"/>
              <w:right w:val="single" w:sz="4" w:space="0" w:color="auto"/>
            </w:tcBorders>
            <w:noWrap/>
            <w:vAlign w:val="bottom"/>
            <w:hideMark/>
          </w:tcPr>
          <w:p w14:paraId="18D77C3D"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0.364</w:t>
            </w:r>
          </w:p>
        </w:tc>
        <w:tc>
          <w:tcPr>
            <w:tcW w:w="1290" w:type="dxa"/>
            <w:gridSpan w:val="2"/>
            <w:tcBorders>
              <w:top w:val="nil"/>
              <w:left w:val="nil"/>
              <w:bottom w:val="single" w:sz="4" w:space="0" w:color="auto"/>
              <w:right w:val="single" w:sz="4" w:space="0" w:color="auto"/>
            </w:tcBorders>
            <w:noWrap/>
            <w:vAlign w:val="bottom"/>
            <w:hideMark/>
          </w:tcPr>
          <w:p w14:paraId="1DC5DC4C"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0.374</w:t>
            </w:r>
          </w:p>
        </w:tc>
        <w:tc>
          <w:tcPr>
            <w:tcW w:w="1271" w:type="dxa"/>
            <w:gridSpan w:val="2"/>
            <w:tcBorders>
              <w:top w:val="nil"/>
              <w:left w:val="nil"/>
              <w:bottom w:val="single" w:sz="4" w:space="0" w:color="auto"/>
              <w:right w:val="single" w:sz="4" w:space="0" w:color="auto"/>
            </w:tcBorders>
            <w:noWrap/>
            <w:vAlign w:val="bottom"/>
            <w:hideMark/>
          </w:tcPr>
          <w:p w14:paraId="4AA1028F"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0.417</w:t>
            </w:r>
          </w:p>
        </w:tc>
        <w:tc>
          <w:tcPr>
            <w:tcW w:w="1271" w:type="dxa"/>
            <w:gridSpan w:val="3"/>
            <w:tcBorders>
              <w:top w:val="nil"/>
              <w:left w:val="nil"/>
              <w:bottom w:val="single" w:sz="4" w:space="0" w:color="auto"/>
              <w:right w:val="single" w:sz="4" w:space="0" w:color="auto"/>
            </w:tcBorders>
            <w:noWrap/>
            <w:vAlign w:val="bottom"/>
            <w:hideMark/>
          </w:tcPr>
          <w:p w14:paraId="1DEC1592"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0.414</w:t>
            </w:r>
          </w:p>
        </w:tc>
        <w:tc>
          <w:tcPr>
            <w:tcW w:w="1271" w:type="dxa"/>
            <w:tcBorders>
              <w:top w:val="nil"/>
              <w:left w:val="nil"/>
              <w:bottom w:val="single" w:sz="4" w:space="0" w:color="auto"/>
              <w:right w:val="single" w:sz="4" w:space="0" w:color="auto"/>
            </w:tcBorders>
            <w:noWrap/>
            <w:vAlign w:val="bottom"/>
            <w:hideMark/>
          </w:tcPr>
          <w:p w14:paraId="050451EB"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0.410</w:t>
            </w:r>
          </w:p>
        </w:tc>
      </w:tr>
      <w:tr w:rsidR="00047D0B" w:rsidRPr="00A343CD" w14:paraId="4B4401D1"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255FCA14"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X3 EBIT / Total Assets</w:t>
            </w:r>
          </w:p>
        </w:tc>
        <w:tc>
          <w:tcPr>
            <w:tcW w:w="1290" w:type="dxa"/>
            <w:gridSpan w:val="2"/>
            <w:tcBorders>
              <w:top w:val="nil"/>
              <w:left w:val="nil"/>
              <w:bottom w:val="single" w:sz="4" w:space="0" w:color="auto"/>
              <w:right w:val="single" w:sz="4" w:space="0" w:color="auto"/>
            </w:tcBorders>
            <w:noWrap/>
            <w:vAlign w:val="bottom"/>
            <w:hideMark/>
          </w:tcPr>
          <w:p w14:paraId="66D82406"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-0.027</w:t>
            </w:r>
          </w:p>
        </w:tc>
        <w:tc>
          <w:tcPr>
            <w:tcW w:w="1290" w:type="dxa"/>
            <w:gridSpan w:val="2"/>
            <w:tcBorders>
              <w:top w:val="nil"/>
              <w:left w:val="nil"/>
              <w:bottom w:val="single" w:sz="4" w:space="0" w:color="auto"/>
              <w:right w:val="single" w:sz="4" w:space="0" w:color="auto"/>
            </w:tcBorders>
            <w:noWrap/>
            <w:vAlign w:val="bottom"/>
            <w:hideMark/>
          </w:tcPr>
          <w:p w14:paraId="0CEAF451"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-0.137</w:t>
            </w:r>
          </w:p>
        </w:tc>
        <w:tc>
          <w:tcPr>
            <w:tcW w:w="1271" w:type="dxa"/>
            <w:gridSpan w:val="2"/>
            <w:tcBorders>
              <w:top w:val="nil"/>
              <w:left w:val="nil"/>
              <w:bottom w:val="single" w:sz="4" w:space="0" w:color="auto"/>
              <w:right w:val="single" w:sz="4" w:space="0" w:color="auto"/>
            </w:tcBorders>
            <w:noWrap/>
            <w:vAlign w:val="bottom"/>
            <w:hideMark/>
          </w:tcPr>
          <w:p w14:paraId="2CAB7DC0"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0.018</w:t>
            </w:r>
          </w:p>
        </w:tc>
        <w:tc>
          <w:tcPr>
            <w:tcW w:w="1271" w:type="dxa"/>
            <w:gridSpan w:val="3"/>
            <w:tcBorders>
              <w:top w:val="nil"/>
              <w:left w:val="nil"/>
              <w:bottom w:val="single" w:sz="4" w:space="0" w:color="auto"/>
              <w:right w:val="single" w:sz="4" w:space="0" w:color="auto"/>
            </w:tcBorders>
            <w:noWrap/>
            <w:vAlign w:val="bottom"/>
            <w:hideMark/>
          </w:tcPr>
          <w:p w14:paraId="4A03FCAD"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0.029</w:t>
            </w:r>
          </w:p>
        </w:tc>
        <w:tc>
          <w:tcPr>
            <w:tcW w:w="1271" w:type="dxa"/>
            <w:tcBorders>
              <w:top w:val="nil"/>
              <w:left w:val="nil"/>
              <w:bottom w:val="single" w:sz="4" w:space="0" w:color="auto"/>
              <w:right w:val="single" w:sz="4" w:space="0" w:color="auto"/>
            </w:tcBorders>
            <w:noWrap/>
            <w:vAlign w:val="bottom"/>
            <w:hideMark/>
          </w:tcPr>
          <w:p w14:paraId="16014F18"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0.047</w:t>
            </w:r>
          </w:p>
        </w:tc>
      </w:tr>
      <w:tr w:rsidR="00047D0B" w:rsidRPr="00A343CD" w14:paraId="60692ED0"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0B068E50"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X4 Market Value of Equity / Total Liabilities</w:t>
            </w:r>
          </w:p>
        </w:tc>
        <w:tc>
          <w:tcPr>
            <w:tcW w:w="1290" w:type="dxa"/>
            <w:gridSpan w:val="2"/>
            <w:tcBorders>
              <w:top w:val="nil"/>
              <w:left w:val="nil"/>
              <w:bottom w:val="single" w:sz="4" w:space="0" w:color="auto"/>
              <w:right w:val="single" w:sz="4" w:space="0" w:color="auto"/>
            </w:tcBorders>
            <w:noWrap/>
            <w:vAlign w:val="bottom"/>
            <w:hideMark/>
          </w:tcPr>
          <w:p w14:paraId="158E4F4F"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0.911</w:t>
            </w:r>
          </w:p>
        </w:tc>
        <w:tc>
          <w:tcPr>
            <w:tcW w:w="1290" w:type="dxa"/>
            <w:gridSpan w:val="2"/>
            <w:tcBorders>
              <w:top w:val="nil"/>
              <w:left w:val="nil"/>
              <w:bottom w:val="single" w:sz="4" w:space="0" w:color="auto"/>
              <w:right w:val="single" w:sz="4" w:space="0" w:color="auto"/>
            </w:tcBorders>
            <w:noWrap/>
            <w:vAlign w:val="bottom"/>
            <w:hideMark/>
          </w:tcPr>
          <w:p w14:paraId="0F853EAD"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1.022</w:t>
            </w:r>
          </w:p>
        </w:tc>
        <w:tc>
          <w:tcPr>
            <w:tcW w:w="1271" w:type="dxa"/>
            <w:gridSpan w:val="2"/>
            <w:tcBorders>
              <w:top w:val="nil"/>
              <w:left w:val="nil"/>
              <w:bottom w:val="single" w:sz="4" w:space="0" w:color="auto"/>
              <w:right w:val="single" w:sz="4" w:space="0" w:color="auto"/>
            </w:tcBorders>
            <w:noWrap/>
            <w:vAlign w:val="bottom"/>
            <w:hideMark/>
          </w:tcPr>
          <w:p w14:paraId="05C23670"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1.166</w:t>
            </w:r>
          </w:p>
        </w:tc>
        <w:tc>
          <w:tcPr>
            <w:tcW w:w="1271" w:type="dxa"/>
            <w:gridSpan w:val="3"/>
            <w:tcBorders>
              <w:top w:val="nil"/>
              <w:left w:val="nil"/>
              <w:bottom w:val="single" w:sz="4" w:space="0" w:color="auto"/>
              <w:right w:val="single" w:sz="4" w:space="0" w:color="auto"/>
            </w:tcBorders>
            <w:noWrap/>
            <w:vAlign w:val="bottom"/>
            <w:hideMark/>
          </w:tcPr>
          <w:p w14:paraId="06AF1406"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1.196</w:t>
            </w:r>
          </w:p>
        </w:tc>
        <w:tc>
          <w:tcPr>
            <w:tcW w:w="1271" w:type="dxa"/>
            <w:tcBorders>
              <w:top w:val="nil"/>
              <w:left w:val="nil"/>
              <w:bottom w:val="single" w:sz="4" w:space="0" w:color="auto"/>
              <w:right w:val="single" w:sz="4" w:space="0" w:color="auto"/>
            </w:tcBorders>
            <w:noWrap/>
            <w:vAlign w:val="bottom"/>
            <w:hideMark/>
          </w:tcPr>
          <w:p w14:paraId="059FD98A"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1.622</w:t>
            </w:r>
          </w:p>
        </w:tc>
      </w:tr>
      <w:tr w:rsidR="00047D0B" w:rsidRPr="00A343CD" w14:paraId="060D8C34"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3E35DDCB"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X5 Sales / Total Assets</w:t>
            </w:r>
          </w:p>
        </w:tc>
        <w:tc>
          <w:tcPr>
            <w:tcW w:w="1290" w:type="dxa"/>
            <w:gridSpan w:val="2"/>
            <w:tcBorders>
              <w:top w:val="nil"/>
              <w:left w:val="nil"/>
              <w:bottom w:val="single" w:sz="4" w:space="0" w:color="auto"/>
              <w:right w:val="single" w:sz="4" w:space="0" w:color="auto"/>
            </w:tcBorders>
            <w:noWrap/>
            <w:vAlign w:val="bottom"/>
            <w:hideMark/>
          </w:tcPr>
          <w:p w14:paraId="338A94BB"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0.690</w:t>
            </w:r>
          </w:p>
        </w:tc>
        <w:tc>
          <w:tcPr>
            <w:tcW w:w="1290" w:type="dxa"/>
            <w:gridSpan w:val="2"/>
            <w:tcBorders>
              <w:top w:val="nil"/>
              <w:left w:val="nil"/>
              <w:bottom w:val="single" w:sz="4" w:space="0" w:color="auto"/>
              <w:right w:val="single" w:sz="4" w:space="0" w:color="auto"/>
            </w:tcBorders>
            <w:noWrap/>
            <w:vAlign w:val="bottom"/>
            <w:hideMark/>
          </w:tcPr>
          <w:p w14:paraId="6678978F"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0.677</w:t>
            </w:r>
          </w:p>
        </w:tc>
        <w:tc>
          <w:tcPr>
            <w:tcW w:w="1271" w:type="dxa"/>
            <w:gridSpan w:val="2"/>
            <w:tcBorders>
              <w:top w:val="nil"/>
              <w:left w:val="nil"/>
              <w:bottom w:val="single" w:sz="4" w:space="0" w:color="auto"/>
              <w:right w:val="single" w:sz="4" w:space="0" w:color="auto"/>
            </w:tcBorders>
            <w:noWrap/>
            <w:vAlign w:val="bottom"/>
            <w:hideMark/>
          </w:tcPr>
          <w:p w14:paraId="3B5B29AF"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0.685</w:t>
            </w:r>
          </w:p>
        </w:tc>
        <w:tc>
          <w:tcPr>
            <w:tcW w:w="1271" w:type="dxa"/>
            <w:gridSpan w:val="3"/>
            <w:tcBorders>
              <w:top w:val="nil"/>
              <w:left w:val="nil"/>
              <w:bottom w:val="single" w:sz="4" w:space="0" w:color="auto"/>
              <w:right w:val="single" w:sz="4" w:space="0" w:color="auto"/>
            </w:tcBorders>
            <w:noWrap/>
            <w:vAlign w:val="bottom"/>
            <w:hideMark/>
          </w:tcPr>
          <w:p w14:paraId="335AE528"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0.754</w:t>
            </w:r>
          </w:p>
        </w:tc>
        <w:tc>
          <w:tcPr>
            <w:tcW w:w="1271" w:type="dxa"/>
            <w:tcBorders>
              <w:top w:val="nil"/>
              <w:left w:val="nil"/>
              <w:bottom w:val="single" w:sz="4" w:space="0" w:color="auto"/>
              <w:right w:val="single" w:sz="4" w:space="0" w:color="auto"/>
            </w:tcBorders>
            <w:noWrap/>
            <w:vAlign w:val="bottom"/>
            <w:hideMark/>
          </w:tcPr>
          <w:p w14:paraId="41160D6B"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0.775</w:t>
            </w:r>
          </w:p>
        </w:tc>
      </w:tr>
      <w:tr w:rsidR="00047D0B" w:rsidRPr="00A343CD" w14:paraId="5B6E4A67"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50C8618F"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Z = 1.2*X1 + 1.4*X2 + 3.3*X3 + 0.6*X4 +1.0*X5</w:t>
            </w:r>
          </w:p>
        </w:tc>
        <w:tc>
          <w:tcPr>
            <w:tcW w:w="1290" w:type="dxa"/>
            <w:gridSpan w:val="2"/>
            <w:tcBorders>
              <w:top w:val="nil"/>
              <w:left w:val="nil"/>
              <w:bottom w:val="single" w:sz="4" w:space="0" w:color="auto"/>
              <w:right w:val="single" w:sz="4" w:space="0" w:color="auto"/>
            </w:tcBorders>
            <w:shd w:val="clear" w:color="000000" w:fill="D0D0D0"/>
            <w:noWrap/>
            <w:vAlign w:val="bottom"/>
            <w:hideMark/>
          </w:tcPr>
          <w:p w14:paraId="32538D68"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1.85</w:t>
            </w:r>
          </w:p>
        </w:tc>
        <w:tc>
          <w:tcPr>
            <w:tcW w:w="1290" w:type="dxa"/>
            <w:gridSpan w:val="2"/>
            <w:tcBorders>
              <w:top w:val="nil"/>
              <w:left w:val="nil"/>
              <w:bottom w:val="single" w:sz="4" w:space="0" w:color="auto"/>
              <w:right w:val="single" w:sz="4" w:space="0" w:color="auto"/>
            </w:tcBorders>
            <w:shd w:val="clear" w:color="000000" w:fill="FBE2D5"/>
            <w:noWrap/>
            <w:vAlign w:val="bottom"/>
            <w:hideMark/>
          </w:tcPr>
          <w:p w14:paraId="4A649C2F"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1.57</w:t>
            </w:r>
          </w:p>
        </w:tc>
        <w:tc>
          <w:tcPr>
            <w:tcW w:w="1271" w:type="dxa"/>
            <w:gridSpan w:val="2"/>
            <w:tcBorders>
              <w:top w:val="nil"/>
              <w:left w:val="nil"/>
              <w:bottom w:val="single" w:sz="4" w:space="0" w:color="auto"/>
              <w:right w:val="single" w:sz="4" w:space="0" w:color="auto"/>
            </w:tcBorders>
            <w:shd w:val="clear" w:color="000000" w:fill="D0D0D0"/>
            <w:noWrap/>
            <w:vAlign w:val="bottom"/>
            <w:hideMark/>
          </w:tcPr>
          <w:p w14:paraId="10C882E8"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2.22</w:t>
            </w:r>
          </w:p>
        </w:tc>
        <w:tc>
          <w:tcPr>
            <w:tcW w:w="1271" w:type="dxa"/>
            <w:gridSpan w:val="3"/>
            <w:tcBorders>
              <w:top w:val="nil"/>
              <w:left w:val="nil"/>
              <w:bottom w:val="single" w:sz="4" w:space="0" w:color="auto"/>
              <w:right w:val="single" w:sz="4" w:space="0" w:color="auto"/>
            </w:tcBorders>
            <w:shd w:val="clear" w:color="000000" w:fill="D0D0D0"/>
            <w:noWrap/>
            <w:vAlign w:val="bottom"/>
            <w:hideMark/>
          </w:tcPr>
          <w:p w14:paraId="7752AADC"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2.33</w:t>
            </w:r>
          </w:p>
        </w:tc>
        <w:tc>
          <w:tcPr>
            <w:tcW w:w="1271" w:type="dxa"/>
            <w:tcBorders>
              <w:top w:val="nil"/>
              <w:left w:val="nil"/>
              <w:bottom w:val="single" w:sz="4" w:space="0" w:color="auto"/>
              <w:right w:val="single" w:sz="4" w:space="0" w:color="auto"/>
            </w:tcBorders>
            <w:shd w:val="clear" w:color="000000" w:fill="D0D0D0"/>
            <w:noWrap/>
            <w:vAlign w:val="bottom"/>
            <w:hideMark/>
          </w:tcPr>
          <w:p w14:paraId="3971BD0C"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2.71</w:t>
            </w:r>
          </w:p>
        </w:tc>
      </w:tr>
      <w:tr w:rsidR="00047D0B" w:rsidRPr="00A343CD" w14:paraId="65022E82" w14:textId="77777777" w:rsidTr="00C563B5">
        <w:tblPrEx>
          <w:jc w:val="left"/>
        </w:tblPrEx>
        <w:trPr>
          <w:trHeight w:val="288"/>
        </w:trPr>
        <w:tc>
          <w:tcPr>
            <w:tcW w:w="2633" w:type="dxa"/>
            <w:gridSpan w:val="2"/>
            <w:tcBorders>
              <w:top w:val="nil"/>
              <w:left w:val="nil"/>
              <w:bottom w:val="nil"/>
              <w:right w:val="nil"/>
            </w:tcBorders>
            <w:noWrap/>
            <w:vAlign w:val="bottom"/>
            <w:hideMark/>
          </w:tcPr>
          <w:p w14:paraId="3129317A" w14:textId="77777777" w:rsidR="00047D0B" w:rsidRPr="00A343CD" w:rsidRDefault="00047D0B" w:rsidP="00C563B5">
            <w:pPr>
              <w:spacing w:after="0" w:line="276" w:lineRule="auto"/>
              <w:jc w:val="right"/>
              <w:rPr>
                <w:rFonts w:ascii="Arial" w:eastAsia="Times New Roman" w:hAnsi="Arial" w:cs="Arial"/>
                <w:color w:val="000000"/>
                <w:sz w:val="22"/>
                <w:lang w:bidi="bn-BD"/>
              </w:rPr>
            </w:pPr>
          </w:p>
        </w:tc>
        <w:tc>
          <w:tcPr>
            <w:tcW w:w="1290" w:type="dxa"/>
            <w:gridSpan w:val="2"/>
            <w:tcBorders>
              <w:top w:val="nil"/>
              <w:left w:val="nil"/>
              <w:bottom w:val="nil"/>
              <w:right w:val="nil"/>
            </w:tcBorders>
            <w:noWrap/>
            <w:vAlign w:val="bottom"/>
            <w:hideMark/>
          </w:tcPr>
          <w:p w14:paraId="145BE9EB"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90" w:type="dxa"/>
            <w:gridSpan w:val="2"/>
            <w:tcBorders>
              <w:top w:val="nil"/>
              <w:left w:val="nil"/>
              <w:bottom w:val="nil"/>
              <w:right w:val="nil"/>
            </w:tcBorders>
            <w:noWrap/>
            <w:vAlign w:val="bottom"/>
            <w:hideMark/>
          </w:tcPr>
          <w:p w14:paraId="2529929F"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71" w:type="dxa"/>
            <w:gridSpan w:val="2"/>
            <w:tcBorders>
              <w:top w:val="nil"/>
              <w:left w:val="nil"/>
              <w:bottom w:val="nil"/>
              <w:right w:val="nil"/>
            </w:tcBorders>
            <w:noWrap/>
            <w:vAlign w:val="bottom"/>
            <w:hideMark/>
          </w:tcPr>
          <w:p w14:paraId="46EAA4B8"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71" w:type="dxa"/>
            <w:gridSpan w:val="3"/>
            <w:tcBorders>
              <w:top w:val="nil"/>
              <w:left w:val="nil"/>
              <w:bottom w:val="nil"/>
              <w:right w:val="nil"/>
            </w:tcBorders>
            <w:noWrap/>
            <w:vAlign w:val="bottom"/>
            <w:hideMark/>
          </w:tcPr>
          <w:p w14:paraId="32BE0135" w14:textId="77777777" w:rsidR="00047D0B" w:rsidRPr="00A343CD" w:rsidRDefault="00047D0B" w:rsidP="00C563B5">
            <w:pPr>
              <w:spacing w:after="0" w:line="276" w:lineRule="auto"/>
              <w:jc w:val="left"/>
              <w:rPr>
                <w:rFonts w:ascii="Arial" w:eastAsia="Times New Roman" w:hAnsi="Arial" w:cs="Arial"/>
                <w:sz w:val="20"/>
                <w:szCs w:val="20"/>
                <w:lang w:bidi="bn-BD"/>
              </w:rPr>
            </w:pPr>
          </w:p>
        </w:tc>
        <w:tc>
          <w:tcPr>
            <w:tcW w:w="1271" w:type="dxa"/>
            <w:tcBorders>
              <w:top w:val="nil"/>
              <w:left w:val="nil"/>
              <w:bottom w:val="nil"/>
              <w:right w:val="nil"/>
            </w:tcBorders>
            <w:noWrap/>
            <w:vAlign w:val="bottom"/>
            <w:hideMark/>
          </w:tcPr>
          <w:p w14:paraId="3E412A57" w14:textId="77777777" w:rsidR="00047D0B" w:rsidRPr="00A343CD" w:rsidRDefault="00047D0B" w:rsidP="00C563B5">
            <w:pPr>
              <w:spacing w:after="0" w:line="276" w:lineRule="auto"/>
              <w:jc w:val="left"/>
              <w:rPr>
                <w:rFonts w:ascii="Arial" w:eastAsia="Times New Roman" w:hAnsi="Arial" w:cs="Arial"/>
                <w:sz w:val="20"/>
                <w:szCs w:val="20"/>
                <w:lang w:bidi="bn-BD"/>
              </w:rPr>
            </w:pPr>
          </w:p>
        </w:tc>
      </w:tr>
      <w:tr w:rsidR="00047D0B" w:rsidRPr="00A343CD" w14:paraId="037F2A28" w14:textId="77777777" w:rsidTr="00C563B5">
        <w:tblPrEx>
          <w:jc w:val="left"/>
        </w:tblPrEx>
        <w:trPr>
          <w:trHeight w:val="288"/>
        </w:trPr>
        <w:tc>
          <w:tcPr>
            <w:tcW w:w="9026" w:type="dxa"/>
            <w:gridSpan w:val="12"/>
            <w:tcBorders>
              <w:top w:val="nil"/>
              <w:left w:val="nil"/>
              <w:bottom w:val="nil"/>
              <w:right w:val="nil"/>
            </w:tcBorders>
            <w:noWrap/>
            <w:vAlign w:val="center"/>
            <w:hideMark/>
          </w:tcPr>
          <w:p w14:paraId="1FBF2871"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 xml:space="preserve">Common thresholds: Safe Z&gt; 2.99, Grey 1.81&lt;Z&lt;2.99, Distress Z&lt; 1.81. </w:t>
            </w:r>
          </w:p>
        </w:tc>
      </w:tr>
    </w:tbl>
    <w:p w14:paraId="158D2F9E" w14:textId="77777777" w:rsidR="001E0121" w:rsidRDefault="001E0121" w:rsidP="00047D0B">
      <w:pPr>
        <w:spacing w:after="0" w:line="276" w:lineRule="auto"/>
        <w:rPr>
          <w:rFonts w:ascii="Arial" w:hAnsi="Arial" w:cs="Arial"/>
        </w:rPr>
      </w:pPr>
    </w:p>
    <w:p w14:paraId="1BF39E4E" w14:textId="77777777" w:rsidR="001E0121" w:rsidRPr="00A343CD" w:rsidRDefault="001E0121" w:rsidP="00047D0B">
      <w:pPr>
        <w:spacing w:after="0" w:line="276" w:lineRule="auto"/>
        <w:rPr>
          <w:rFonts w:ascii="Arial" w:hAnsi="Arial" w:cs="Arial"/>
        </w:rPr>
      </w:pPr>
    </w:p>
    <w:tbl>
      <w:tblPr>
        <w:tblW w:w="8545" w:type="dxa"/>
        <w:tblLook w:val="04A0" w:firstRow="1" w:lastRow="0" w:firstColumn="1" w:lastColumn="0" w:noHBand="0" w:noVBand="1"/>
      </w:tblPr>
      <w:tblGrid>
        <w:gridCol w:w="1425"/>
        <w:gridCol w:w="1327"/>
        <w:gridCol w:w="1317"/>
        <w:gridCol w:w="1160"/>
        <w:gridCol w:w="1317"/>
        <w:gridCol w:w="1148"/>
        <w:gridCol w:w="476"/>
        <w:gridCol w:w="841"/>
      </w:tblGrid>
      <w:tr w:rsidR="00047D0B" w:rsidRPr="00A343CD" w14:paraId="4CAFF2DD" w14:textId="77777777" w:rsidTr="00C563B5">
        <w:trPr>
          <w:gridAfter w:val="1"/>
          <w:wAfter w:w="745" w:type="dxa"/>
          <w:trHeight w:val="360"/>
        </w:trPr>
        <w:tc>
          <w:tcPr>
            <w:tcW w:w="7800" w:type="dxa"/>
            <w:gridSpan w:val="7"/>
            <w:tcBorders>
              <w:top w:val="nil"/>
              <w:left w:val="nil"/>
              <w:bottom w:val="nil"/>
              <w:right w:val="nil"/>
            </w:tcBorders>
            <w:noWrap/>
            <w:vAlign w:val="bottom"/>
            <w:hideMark/>
          </w:tcPr>
          <w:p w14:paraId="1A871EA9" w14:textId="77777777" w:rsidR="00047D0B" w:rsidRPr="00A343CD" w:rsidRDefault="00047D0B" w:rsidP="00C563B5">
            <w:pPr>
              <w:spacing w:after="0" w:line="276" w:lineRule="auto"/>
              <w:jc w:val="left"/>
              <w:rPr>
                <w:rFonts w:ascii="Arial" w:eastAsia="Times New Roman" w:hAnsi="Arial" w:cs="Arial"/>
                <w:b/>
                <w:bCs/>
                <w:sz w:val="28"/>
                <w:szCs w:val="28"/>
                <w:lang w:bidi="bn-BD"/>
              </w:rPr>
            </w:pPr>
            <w:r w:rsidRPr="00A343CD">
              <w:rPr>
                <w:rFonts w:ascii="Arial" w:eastAsia="Times New Roman" w:hAnsi="Arial" w:cs="Arial"/>
                <w:b/>
                <w:bCs/>
                <w:sz w:val="28"/>
                <w:szCs w:val="28"/>
                <w:lang w:bidi="bn-BD"/>
              </w:rPr>
              <w:t>Investment Appraisal &amp; Capital Budgeting — Single Sheet Template</w:t>
            </w:r>
          </w:p>
        </w:tc>
      </w:tr>
      <w:tr w:rsidR="00047D0B" w:rsidRPr="00A343CD" w14:paraId="79384237" w14:textId="77777777" w:rsidTr="00C563B5">
        <w:trPr>
          <w:gridAfter w:val="1"/>
          <w:wAfter w:w="745" w:type="dxa"/>
          <w:trHeight w:val="288"/>
        </w:trPr>
        <w:tc>
          <w:tcPr>
            <w:tcW w:w="7800" w:type="dxa"/>
            <w:gridSpan w:val="7"/>
            <w:tcBorders>
              <w:top w:val="nil"/>
              <w:left w:val="nil"/>
              <w:bottom w:val="nil"/>
              <w:right w:val="nil"/>
            </w:tcBorders>
            <w:noWrap/>
            <w:vAlign w:val="bottom"/>
            <w:hideMark/>
          </w:tcPr>
          <w:p w14:paraId="1504EE57"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Assumption: Discount rate = 10%; Straight-line depreciation to zero over 5 years.</w:t>
            </w:r>
          </w:p>
        </w:tc>
      </w:tr>
      <w:tr w:rsidR="00047D0B" w:rsidRPr="00A343CD" w14:paraId="09E5B748" w14:textId="77777777" w:rsidTr="00C563B5">
        <w:trPr>
          <w:trHeight w:val="288"/>
        </w:trPr>
        <w:tc>
          <w:tcPr>
            <w:tcW w:w="8540" w:type="dxa"/>
            <w:gridSpan w:val="8"/>
            <w:tcBorders>
              <w:top w:val="single" w:sz="4" w:space="0" w:color="auto"/>
              <w:left w:val="single" w:sz="4" w:space="0" w:color="auto"/>
              <w:bottom w:val="single" w:sz="4" w:space="0" w:color="auto"/>
              <w:right w:val="single" w:sz="4" w:space="0" w:color="000000"/>
            </w:tcBorders>
            <w:shd w:val="clear" w:color="000000" w:fill="CAEDFB"/>
            <w:noWrap/>
            <w:vAlign w:val="bottom"/>
            <w:hideMark/>
          </w:tcPr>
          <w:p w14:paraId="7E51242C"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Pay Back Period (Without Discounting)</w:t>
            </w:r>
          </w:p>
        </w:tc>
      </w:tr>
      <w:tr w:rsidR="00047D0B" w:rsidRPr="00A343CD" w14:paraId="4BCF22F7" w14:textId="77777777" w:rsidTr="00C563B5">
        <w:trPr>
          <w:trHeight w:val="288"/>
        </w:trPr>
        <w:tc>
          <w:tcPr>
            <w:tcW w:w="1425" w:type="dxa"/>
            <w:tcBorders>
              <w:top w:val="nil"/>
              <w:left w:val="single" w:sz="4" w:space="0" w:color="auto"/>
              <w:bottom w:val="single" w:sz="4" w:space="0" w:color="auto"/>
              <w:right w:val="single" w:sz="4" w:space="0" w:color="auto"/>
            </w:tcBorders>
            <w:shd w:val="clear" w:color="000000" w:fill="CAEDFB"/>
            <w:noWrap/>
            <w:vAlign w:val="bottom"/>
            <w:hideMark/>
          </w:tcPr>
          <w:p w14:paraId="4CB4EC0B"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Year</w:t>
            </w:r>
          </w:p>
        </w:tc>
        <w:tc>
          <w:tcPr>
            <w:tcW w:w="2487" w:type="dxa"/>
            <w:gridSpan w:val="2"/>
            <w:tcBorders>
              <w:top w:val="single" w:sz="4" w:space="0" w:color="auto"/>
              <w:left w:val="nil"/>
              <w:bottom w:val="single" w:sz="4" w:space="0" w:color="auto"/>
              <w:right w:val="single" w:sz="4" w:space="0" w:color="000000"/>
            </w:tcBorders>
            <w:shd w:val="clear" w:color="000000" w:fill="CAEDFB"/>
            <w:noWrap/>
            <w:vAlign w:val="bottom"/>
            <w:hideMark/>
          </w:tcPr>
          <w:p w14:paraId="53D04640"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Project A</w:t>
            </w:r>
          </w:p>
        </w:tc>
        <w:tc>
          <w:tcPr>
            <w:tcW w:w="2320" w:type="dxa"/>
            <w:gridSpan w:val="2"/>
            <w:tcBorders>
              <w:top w:val="single" w:sz="4" w:space="0" w:color="auto"/>
              <w:left w:val="nil"/>
              <w:bottom w:val="single" w:sz="4" w:space="0" w:color="auto"/>
              <w:right w:val="single" w:sz="4" w:space="0" w:color="000000"/>
            </w:tcBorders>
            <w:shd w:val="clear" w:color="000000" w:fill="CAEDFB"/>
            <w:noWrap/>
            <w:vAlign w:val="bottom"/>
            <w:hideMark/>
          </w:tcPr>
          <w:p w14:paraId="7823E06F"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Project B</w:t>
            </w:r>
          </w:p>
        </w:tc>
        <w:tc>
          <w:tcPr>
            <w:tcW w:w="2308" w:type="dxa"/>
            <w:gridSpan w:val="3"/>
            <w:tcBorders>
              <w:top w:val="single" w:sz="4" w:space="0" w:color="auto"/>
              <w:left w:val="nil"/>
              <w:bottom w:val="single" w:sz="4" w:space="0" w:color="auto"/>
              <w:right w:val="single" w:sz="4" w:space="0" w:color="000000"/>
            </w:tcBorders>
            <w:shd w:val="clear" w:color="000000" w:fill="CAEDFB"/>
            <w:noWrap/>
            <w:vAlign w:val="bottom"/>
            <w:hideMark/>
          </w:tcPr>
          <w:p w14:paraId="136604B4"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Project C</w:t>
            </w:r>
          </w:p>
        </w:tc>
      </w:tr>
      <w:tr w:rsidR="00047D0B" w:rsidRPr="00A343CD" w14:paraId="49F39C79" w14:textId="77777777" w:rsidTr="00C563B5">
        <w:trPr>
          <w:trHeight w:val="576"/>
        </w:trPr>
        <w:tc>
          <w:tcPr>
            <w:tcW w:w="1425" w:type="dxa"/>
            <w:tcBorders>
              <w:top w:val="nil"/>
              <w:left w:val="single" w:sz="4" w:space="0" w:color="auto"/>
              <w:bottom w:val="single" w:sz="4" w:space="0" w:color="auto"/>
              <w:right w:val="single" w:sz="4" w:space="0" w:color="auto"/>
            </w:tcBorders>
            <w:noWrap/>
            <w:vAlign w:val="bottom"/>
            <w:hideMark/>
          </w:tcPr>
          <w:p w14:paraId="647D32B2"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 </w:t>
            </w:r>
          </w:p>
        </w:tc>
        <w:tc>
          <w:tcPr>
            <w:tcW w:w="1327" w:type="dxa"/>
            <w:tcBorders>
              <w:top w:val="nil"/>
              <w:left w:val="nil"/>
              <w:bottom w:val="single" w:sz="4" w:space="0" w:color="auto"/>
              <w:right w:val="single" w:sz="4" w:space="0" w:color="auto"/>
            </w:tcBorders>
            <w:vAlign w:val="bottom"/>
            <w:hideMark/>
          </w:tcPr>
          <w:p w14:paraId="320ED61E"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Cash Flows</w:t>
            </w:r>
          </w:p>
        </w:tc>
        <w:tc>
          <w:tcPr>
            <w:tcW w:w="1160" w:type="dxa"/>
            <w:tcBorders>
              <w:top w:val="nil"/>
              <w:left w:val="nil"/>
              <w:bottom w:val="single" w:sz="4" w:space="0" w:color="auto"/>
              <w:right w:val="single" w:sz="4" w:space="0" w:color="auto"/>
            </w:tcBorders>
            <w:vAlign w:val="bottom"/>
            <w:hideMark/>
          </w:tcPr>
          <w:p w14:paraId="7E39159C"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Cumulative</w:t>
            </w:r>
          </w:p>
        </w:tc>
        <w:tc>
          <w:tcPr>
            <w:tcW w:w="1160" w:type="dxa"/>
            <w:tcBorders>
              <w:top w:val="nil"/>
              <w:left w:val="nil"/>
              <w:bottom w:val="single" w:sz="4" w:space="0" w:color="auto"/>
              <w:right w:val="single" w:sz="4" w:space="0" w:color="auto"/>
            </w:tcBorders>
            <w:vAlign w:val="bottom"/>
            <w:hideMark/>
          </w:tcPr>
          <w:p w14:paraId="6EFF0445"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Cash Flows</w:t>
            </w:r>
          </w:p>
        </w:tc>
        <w:tc>
          <w:tcPr>
            <w:tcW w:w="1160" w:type="dxa"/>
            <w:tcBorders>
              <w:top w:val="nil"/>
              <w:left w:val="nil"/>
              <w:bottom w:val="single" w:sz="4" w:space="0" w:color="auto"/>
              <w:right w:val="single" w:sz="4" w:space="0" w:color="auto"/>
            </w:tcBorders>
            <w:vAlign w:val="bottom"/>
            <w:hideMark/>
          </w:tcPr>
          <w:p w14:paraId="4853BBFC"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Cumulative</w:t>
            </w:r>
          </w:p>
        </w:tc>
        <w:tc>
          <w:tcPr>
            <w:tcW w:w="1148" w:type="dxa"/>
            <w:tcBorders>
              <w:top w:val="nil"/>
              <w:left w:val="nil"/>
              <w:bottom w:val="single" w:sz="4" w:space="0" w:color="auto"/>
              <w:right w:val="single" w:sz="4" w:space="0" w:color="auto"/>
            </w:tcBorders>
            <w:vAlign w:val="bottom"/>
            <w:hideMark/>
          </w:tcPr>
          <w:p w14:paraId="4F5F8232"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Cash Flows</w:t>
            </w:r>
          </w:p>
        </w:tc>
        <w:tc>
          <w:tcPr>
            <w:tcW w:w="1160" w:type="dxa"/>
            <w:gridSpan w:val="2"/>
            <w:tcBorders>
              <w:top w:val="nil"/>
              <w:left w:val="nil"/>
              <w:bottom w:val="single" w:sz="4" w:space="0" w:color="auto"/>
              <w:right w:val="single" w:sz="4" w:space="0" w:color="auto"/>
            </w:tcBorders>
            <w:vAlign w:val="bottom"/>
            <w:hideMark/>
          </w:tcPr>
          <w:p w14:paraId="1E12953A"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Cumulative</w:t>
            </w:r>
          </w:p>
        </w:tc>
      </w:tr>
      <w:tr w:rsidR="00047D0B" w:rsidRPr="00A343CD" w14:paraId="69968F9B"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21C6B5F6"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w:t>
            </w:r>
          </w:p>
        </w:tc>
        <w:tc>
          <w:tcPr>
            <w:tcW w:w="1327" w:type="dxa"/>
            <w:tcBorders>
              <w:top w:val="nil"/>
              <w:left w:val="nil"/>
              <w:bottom w:val="single" w:sz="4" w:space="0" w:color="auto"/>
              <w:right w:val="single" w:sz="4" w:space="0" w:color="auto"/>
            </w:tcBorders>
            <w:noWrap/>
            <w:vAlign w:val="bottom"/>
            <w:hideMark/>
          </w:tcPr>
          <w:p w14:paraId="5F3F5656"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-40</w:t>
            </w:r>
          </w:p>
        </w:tc>
        <w:tc>
          <w:tcPr>
            <w:tcW w:w="1160" w:type="dxa"/>
            <w:tcBorders>
              <w:top w:val="nil"/>
              <w:left w:val="nil"/>
              <w:bottom w:val="single" w:sz="4" w:space="0" w:color="auto"/>
              <w:right w:val="single" w:sz="4" w:space="0" w:color="auto"/>
            </w:tcBorders>
            <w:noWrap/>
            <w:vAlign w:val="bottom"/>
            <w:hideMark/>
          </w:tcPr>
          <w:p w14:paraId="1BE01562"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-40</w:t>
            </w:r>
          </w:p>
        </w:tc>
        <w:tc>
          <w:tcPr>
            <w:tcW w:w="1160" w:type="dxa"/>
            <w:tcBorders>
              <w:top w:val="nil"/>
              <w:left w:val="nil"/>
              <w:bottom w:val="single" w:sz="4" w:space="0" w:color="auto"/>
              <w:right w:val="single" w:sz="4" w:space="0" w:color="auto"/>
            </w:tcBorders>
            <w:noWrap/>
            <w:vAlign w:val="bottom"/>
            <w:hideMark/>
          </w:tcPr>
          <w:p w14:paraId="7EA118E7"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-30</w:t>
            </w:r>
          </w:p>
        </w:tc>
        <w:tc>
          <w:tcPr>
            <w:tcW w:w="1160" w:type="dxa"/>
            <w:tcBorders>
              <w:top w:val="nil"/>
              <w:left w:val="nil"/>
              <w:bottom w:val="single" w:sz="4" w:space="0" w:color="auto"/>
              <w:right w:val="single" w:sz="4" w:space="0" w:color="auto"/>
            </w:tcBorders>
            <w:noWrap/>
            <w:vAlign w:val="bottom"/>
            <w:hideMark/>
          </w:tcPr>
          <w:p w14:paraId="054560FD"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-30</w:t>
            </w:r>
          </w:p>
        </w:tc>
        <w:tc>
          <w:tcPr>
            <w:tcW w:w="1148" w:type="dxa"/>
            <w:tcBorders>
              <w:top w:val="nil"/>
              <w:left w:val="nil"/>
              <w:bottom w:val="single" w:sz="4" w:space="0" w:color="auto"/>
              <w:right w:val="single" w:sz="4" w:space="0" w:color="auto"/>
            </w:tcBorders>
            <w:noWrap/>
            <w:vAlign w:val="bottom"/>
            <w:hideMark/>
          </w:tcPr>
          <w:p w14:paraId="51A6822E"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-50</w:t>
            </w:r>
          </w:p>
        </w:tc>
        <w:tc>
          <w:tcPr>
            <w:tcW w:w="1160" w:type="dxa"/>
            <w:gridSpan w:val="2"/>
            <w:tcBorders>
              <w:top w:val="nil"/>
              <w:left w:val="nil"/>
              <w:bottom w:val="single" w:sz="4" w:space="0" w:color="auto"/>
              <w:right w:val="single" w:sz="4" w:space="0" w:color="auto"/>
            </w:tcBorders>
            <w:noWrap/>
            <w:vAlign w:val="bottom"/>
            <w:hideMark/>
          </w:tcPr>
          <w:p w14:paraId="7BDD085B"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-50</w:t>
            </w:r>
          </w:p>
        </w:tc>
      </w:tr>
      <w:tr w:rsidR="00047D0B" w:rsidRPr="00A343CD" w14:paraId="329F9EC2"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50101396"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w:t>
            </w:r>
          </w:p>
        </w:tc>
        <w:tc>
          <w:tcPr>
            <w:tcW w:w="1327" w:type="dxa"/>
            <w:tcBorders>
              <w:top w:val="nil"/>
              <w:left w:val="nil"/>
              <w:bottom w:val="single" w:sz="4" w:space="0" w:color="auto"/>
              <w:right w:val="single" w:sz="4" w:space="0" w:color="auto"/>
            </w:tcBorders>
            <w:noWrap/>
            <w:vAlign w:val="bottom"/>
            <w:hideMark/>
          </w:tcPr>
          <w:p w14:paraId="13CC3903"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10</w:t>
            </w:r>
          </w:p>
        </w:tc>
        <w:tc>
          <w:tcPr>
            <w:tcW w:w="1160" w:type="dxa"/>
            <w:tcBorders>
              <w:top w:val="nil"/>
              <w:left w:val="nil"/>
              <w:bottom w:val="single" w:sz="4" w:space="0" w:color="auto"/>
              <w:right w:val="single" w:sz="4" w:space="0" w:color="auto"/>
            </w:tcBorders>
            <w:noWrap/>
            <w:vAlign w:val="bottom"/>
            <w:hideMark/>
          </w:tcPr>
          <w:p w14:paraId="1CB3E190"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-30</w:t>
            </w:r>
          </w:p>
        </w:tc>
        <w:tc>
          <w:tcPr>
            <w:tcW w:w="1160" w:type="dxa"/>
            <w:tcBorders>
              <w:top w:val="nil"/>
              <w:left w:val="nil"/>
              <w:bottom w:val="single" w:sz="4" w:space="0" w:color="auto"/>
              <w:right w:val="single" w:sz="4" w:space="0" w:color="auto"/>
            </w:tcBorders>
            <w:noWrap/>
            <w:vAlign w:val="bottom"/>
            <w:hideMark/>
          </w:tcPr>
          <w:p w14:paraId="3BE11101"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445615F9"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-24</w:t>
            </w:r>
          </w:p>
        </w:tc>
        <w:tc>
          <w:tcPr>
            <w:tcW w:w="1148" w:type="dxa"/>
            <w:tcBorders>
              <w:top w:val="nil"/>
              <w:left w:val="nil"/>
              <w:bottom w:val="single" w:sz="4" w:space="0" w:color="auto"/>
              <w:right w:val="single" w:sz="4" w:space="0" w:color="auto"/>
            </w:tcBorders>
            <w:noWrap/>
            <w:vAlign w:val="bottom"/>
            <w:hideMark/>
          </w:tcPr>
          <w:p w14:paraId="3595DDA8"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5</w:t>
            </w:r>
          </w:p>
        </w:tc>
        <w:tc>
          <w:tcPr>
            <w:tcW w:w="1160" w:type="dxa"/>
            <w:gridSpan w:val="2"/>
            <w:tcBorders>
              <w:top w:val="nil"/>
              <w:left w:val="nil"/>
              <w:bottom w:val="single" w:sz="4" w:space="0" w:color="auto"/>
              <w:right w:val="single" w:sz="4" w:space="0" w:color="auto"/>
            </w:tcBorders>
            <w:noWrap/>
            <w:vAlign w:val="bottom"/>
            <w:hideMark/>
          </w:tcPr>
          <w:p w14:paraId="51653498"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-45</w:t>
            </w:r>
          </w:p>
        </w:tc>
      </w:tr>
      <w:tr w:rsidR="00047D0B" w:rsidRPr="00A343CD" w14:paraId="1450FF84"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309A55C3"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2</w:t>
            </w:r>
          </w:p>
        </w:tc>
        <w:tc>
          <w:tcPr>
            <w:tcW w:w="1327" w:type="dxa"/>
            <w:tcBorders>
              <w:top w:val="nil"/>
              <w:left w:val="nil"/>
              <w:bottom w:val="single" w:sz="4" w:space="0" w:color="auto"/>
              <w:right w:val="single" w:sz="4" w:space="0" w:color="auto"/>
            </w:tcBorders>
            <w:noWrap/>
            <w:vAlign w:val="bottom"/>
            <w:hideMark/>
          </w:tcPr>
          <w:p w14:paraId="2BD8F926"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12</w:t>
            </w:r>
          </w:p>
        </w:tc>
        <w:tc>
          <w:tcPr>
            <w:tcW w:w="1160" w:type="dxa"/>
            <w:tcBorders>
              <w:top w:val="nil"/>
              <w:left w:val="nil"/>
              <w:bottom w:val="single" w:sz="4" w:space="0" w:color="auto"/>
              <w:right w:val="single" w:sz="4" w:space="0" w:color="auto"/>
            </w:tcBorders>
            <w:noWrap/>
            <w:vAlign w:val="bottom"/>
            <w:hideMark/>
          </w:tcPr>
          <w:p w14:paraId="3DDB0271"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-18</w:t>
            </w:r>
          </w:p>
        </w:tc>
        <w:tc>
          <w:tcPr>
            <w:tcW w:w="1160" w:type="dxa"/>
            <w:tcBorders>
              <w:top w:val="nil"/>
              <w:left w:val="nil"/>
              <w:bottom w:val="single" w:sz="4" w:space="0" w:color="auto"/>
              <w:right w:val="single" w:sz="4" w:space="0" w:color="auto"/>
            </w:tcBorders>
            <w:noWrap/>
            <w:vAlign w:val="bottom"/>
            <w:hideMark/>
          </w:tcPr>
          <w:p w14:paraId="15F98883"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20F6CCCE"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-18</w:t>
            </w:r>
          </w:p>
        </w:tc>
        <w:tc>
          <w:tcPr>
            <w:tcW w:w="1148" w:type="dxa"/>
            <w:tcBorders>
              <w:top w:val="nil"/>
              <w:left w:val="nil"/>
              <w:bottom w:val="single" w:sz="4" w:space="0" w:color="auto"/>
              <w:right w:val="single" w:sz="4" w:space="0" w:color="auto"/>
            </w:tcBorders>
            <w:noWrap/>
            <w:vAlign w:val="bottom"/>
            <w:hideMark/>
          </w:tcPr>
          <w:p w14:paraId="371BABB1"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10</w:t>
            </w:r>
          </w:p>
        </w:tc>
        <w:tc>
          <w:tcPr>
            <w:tcW w:w="1160" w:type="dxa"/>
            <w:gridSpan w:val="2"/>
            <w:tcBorders>
              <w:top w:val="nil"/>
              <w:left w:val="nil"/>
              <w:bottom w:val="single" w:sz="4" w:space="0" w:color="auto"/>
              <w:right w:val="single" w:sz="4" w:space="0" w:color="auto"/>
            </w:tcBorders>
            <w:noWrap/>
            <w:vAlign w:val="bottom"/>
            <w:hideMark/>
          </w:tcPr>
          <w:p w14:paraId="3B966943"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-35</w:t>
            </w:r>
          </w:p>
        </w:tc>
      </w:tr>
      <w:tr w:rsidR="00047D0B" w:rsidRPr="00A343CD" w14:paraId="03D0D4B8"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02672C12"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3</w:t>
            </w:r>
          </w:p>
        </w:tc>
        <w:tc>
          <w:tcPr>
            <w:tcW w:w="1327" w:type="dxa"/>
            <w:tcBorders>
              <w:top w:val="nil"/>
              <w:left w:val="nil"/>
              <w:bottom w:val="single" w:sz="4" w:space="0" w:color="auto"/>
              <w:right w:val="single" w:sz="4" w:space="0" w:color="auto"/>
            </w:tcBorders>
            <w:noWrap/>
            <w:vAlign w:val="bottom"/>
            <w:hideMark/>
          </w:tcPr>
          <w:p w14:paraId="4B125C18"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14</w:t>
            </w:r>
          </w:p>
        </w:tc>
        <w:tc>
          <w:tcPr>
            <w:tcW w:w="1160" w:type="dxa"/>
            <w:tcBorders>
              <w:top w:val="nil"/>
              <w:left w:val="nil"/>
              <w:bottom w:val="single" w:sz="4" w:space="0" w:color="auto"/>
              <w:right w:val="single" w:sz="4" w:space="0" w:color="auto"/>
            </w:tcBorders>
            <w:noWrap/>
            <w:vAlign w:val="bottom"/>
            <w:hideMark/>
          </w:tcPr>
          <w:p w14:paraId="1A63EF59"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-4</w:t>
            </w:r>
          </w:p>
        </w:tc>
        <w:tc>
          <w:tcPr>
            <w:tcW w:w="1160" w:type="dxa"/>
            <w:tcBorders>
              <w:top w:val="nil"/>
              <w:left w:val="nil"/>
              <w:bottom w:val="single" w:sz="4" w:space="0" w:color="auto"/>
              <w:right w:val="single" w:sz="4" w:space="0" w:color="auto"/>
            </w:tcBorders>
            <w:noWrap/>
            <w:vAlign w:val="bottom"/>
            <w:hideMark/>
          </w:tcPr>
          <w:p w14:paraId="06E1DFA9"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224DFDF5"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-12</w:t>
            </w:r>
          </w:p>
        </w:tc>
        <w:tc>
          <w:tcPr>
            <w:tcW w:w="1148" w:type="dxa"/>
            <w:tcBorders>
              <w:top w:val="nil"/>
              <w:left w:val="nil"/>
              <w:bottom w:val="single" w:sz="4" w:space="0" w:color="auto"/>
              <w:right w:val="single" w:sz="4" w:space="0" w:color="auto"/>
            </w:tcBorders>
            <w:noWrap/>
            <w:vAlign w:val="bottom"/>
            <w:hideMark/>
          </w:tcPr>
          <w:p w14:paraId="25147640"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20</w:t>
            </w:r>
          </w:p>
        </w:tc>
        <w:tc>
          <w:tcPr>
            <w:tcW w:w="1160" w:type="dxa"/>
            <w:gridSpan w:val="2"/>
            <w:tcBorders>
              <w:top w:val="nil"/>
              <w:left w:val="nil"/>
              <w:bottom w:val="single" w:sz="4" w:space="0" w:color="auto"/>
              <w:right w:val="single" w:sz="4" w:space="0" w:color="auto"/>
            </w:tcBorders>
            <w:noWrap/>
            <w:vAlign w:val="bottom"/>
            <w:hideMark/>
          </w:tcPr>
          <w:p w14:paraId="1D092B5A"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-15</w:t>
            </w:r>
          </w:p>
        </w:tc>
      </w:tr>
      <w:tr w:rsidR="00047D0B" w:rsidRPr="00A343CD" w14:paraId="30B6DF1E"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7D7D5315"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4</w:t>
            </w:r>
          </w:p>
        </w:tc>
        <w:tc>
          <w:tcPr>
            <w:tcW w:w="1327" w:type="dxa"/>
            <w:tcBorders>
              <w:top w:val="nil"/>
              <w:left w:val="nil"/>
              <w:bottom w:val="single" w:sz="4" w:space="0" w:color="auto"/>
              <w:right w:val="single" w:sz="4" w:space="0" w:color="auto"/>
            </w:tcBorders>
            <w:noWrap/>
            <w:vAlign w:val="bottom"/>
            <w:hideMark/>
          </w:tcPr>
          <w:p w14:paraId="4BE94E54"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10</w:t>
            </w:r>
          </w:p>
        </w:tc>
        <w:tc>
          <w:tcPr>
            <w:tcW w:w="1160" w:type="dxa"/>
            <w:tcBorders>
              <w:top w:val="nil"/>
              <w:left w:val="nil"/>
              <w:bottom w:val="single" w:sz="4" w:space="0" w:color="auto"/>
              <w:right w:val="single" w:sz="4" w:space="0" w:color="auto"/>
            </w:tcBorders>
            <w:noWrap/>
            <w:vAlign w:val="bottom"/>
            <w:hideMark/>
          </w:tcPr>
          <w:p w14:paraId="506ED68A"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472946CC"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158DD1B6"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-6</w:t>
            </w:r>
          </w:p>
        </w:tc>
        <w:tc>
          <w:tcPr>
            <w:tcW w:w="1148" w:type="dxa"/>
            <w:tcBorders>
              <w:top w:val="nil"/>
              <w:left w:val="nil"/>
              <w:bottom w:val="single" w:sz="4" w:space="0" w:color="auto"/>
              <w:right w:val="single" w:sz="4" w:space="0" w:color="auto"/>
            </w:tcBorders>
            <w:noWrap/>
            <w:vAlign w:val="bottom"/>
            <w:hideMark/>
          </w:tcPr>
          <w:p w14:paraId="7CB2DF2C"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25</w:t>
            </w:r>
          </w:p>
        </w:tc>
        <w:tc>
          <w:tcPr>
            <w:tcW w:w="1160" w:type="dxa"/>
            <w:gridSpan w:val="2"/>
            <w:tcBorders>
              <w:top w:val="nil"/>
              <w:left w:val="nil"/>
              <w:bottom w:val="single" w:sz="4" w:space="0" w:color="auto"/>
              <w:right w:val="single" w:sz="4" w:space="0" w:color="auto"/>
            </w:tcBorders>
            <w:noWrap/>
            <w:vAlign w:val="bottom"/>
            <w:hideMark/>
          </w:tcPr>
          <w:p w14:paraId="752893B1"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10</w:t>
            </w:r>
          </w:p>
        </w:tc>
      </w:tr>
      <w:tr w:rsidR="00047D0B" w:rsidRPr="00A343CD" w14:paraId="371C7483"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729A5870"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5</w:t>
            </w:r>
          </w:p>
        </w:tc>
        <w:tc>
          <w:tcPr>
            <w:tcW w:w="1327" w:type="dxa"/>
            <w:tcBorders>
              <w:top w:val="nil"/>
              <w:left w:val="nil"/>
              <w:bottom w:val="single" w:sz="4" w:space="0" w:color="auto"/>
              <w:right w:val="single" w:sz="4" w:space="0" w:color="auto"/>
            </w:tcBorders>
            <w:noWrap/>
            <w:vAlign w:val="bottom"/>
            <w:hideMark/>
          </w:tcPr>
          <w:p w14:paraId="263FB906"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8</w:t>
            </w:r>
          </w:p>
        </w:tc>
        <w:tc>
          <w:tcPr>
            <w:tcW w:w="1160" w:type="dxa"/>
            <w:tcBorders>
              <w:top w:val="nil"/>
              <w:left w:val="nil"/>
              <w:bottom w:val="single" w:sz="4" w:space="0" w:color="auto"/>
              <w:right w:val="single" w:sz="4" w:space="0" w:color="auto"/>
            </w:tcBorders>
            <w:noWrap/>
            <w:vAlign w:val="bottom"/>
            <w:hideMark/>
          </w:tcPr>
          <w:p w14:paraId="75A9EA3A"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14</w:t>
            </w:r>
          </w:p>
        </w:tc>
        <w:tc>
          <w:tcPr>
            <w:tcW w:w="1160" w:type="dxa"/>
            <w:tcBorders>
              <w:top w:val="nil"/>
              <w:left w:val="nil"/>
              <w:bottom w:val="single" w:sz="4" w:space="0" w:color="auto"/>
              <w:right w:val="single" w:sz="4" w:space="0" w:color="auto"/>
            </w:tcBorders>
            <w:noWrap/>
            <w:vAlign w:val="bottom"/>
            <w:hideMark/>
          </w:tcPr>
          <w:p w14:paraId="128BA51D"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124A0EB2"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w:t>
            </w:r>
          </w:p>
        </w:tc>
        <w:tc>
          <w:tcPr>
            <w:tcW w:w="1148" w:type="dxa"/>
            <w:tcBorders>
              <w:top w:val="nil"/>
              <w:left w:val="nil"/>
              <w:bottom w:val="single" w:sz="4" w:space="0" w:color="auto"/>
              <w:right w:val="single" w:sz="4" w:space="0" w:color="auto"/>
            </w:tcBorders>
            <w:noWrap/>
            <w:vAlign w:val="bottom"/>
            <w:hideMark/>
          </w:tcPr>
          <w:p w14:paraId="3E228F3E"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15</w:t>
            </w:r>
          </w:p>
        </w:tc>
        <w:tc>
          <w:tcPr>
            <w:tcW w:w="1160" w:type="dxa"/>
            <w:gridSpan w:val="2"/>
            <w:tcBorders>
              <w:top w:val="nil"/>
              <w:left w:val="nil"/>
              <w:bottom w:val="single" w:sz="4" w:space="0" w:color="auto"/>
              <w:right w:val="single" w:sz="4" w:space="0" w:color="auto"/>
            </w:tcBorders>
            <w:noWrap/>
            <w:vAlign w:val="bottom"/>
            <w:hideMark/>
          </w:tcPr>
          <w:p w14:paraId="4EDE096D"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25</w:t>
            </w:r>
          </w:p>
        </w:tc>
      </w:tr>
      <w:tr w:rsidR="00047D0B" w:rsidRPr="00A343CD" w14:paraId="3C7B64A9"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59AE9E3B"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Pay Back Period</w:t>
            </w:r>
          </w:p>
        </w:tc>
        <w:tc>
          <w:tcPr>
            <w:tcW w:w="1327" w:type="dxa"/>
            <w:tcBorders>
              <w:top w:val="nil"/>
              <w:left w:val="nil"/>
              <w:bottom w:val="single" w:sz="4" w:space="0" w:color="auto"/>
              <w:right w:val="single" w:sz="4" w:space="0" w:color="auto"/>
            </w:tcBorders>
            <w:noWrap/>
            <w:vAlign w:val="bottom"/>
            <w:hideMark/>
          </w:tcPr>
          <w:p w14:paraId="1AF912B4"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3.40 Years</w:t>
            </w:r>
          </w:p>
        </w:tc>
        <w:tc>
          <w:tcPr>
            <w:tcW w:w="1160" w:type="dxa"/>
            <w:tcBorders>
              <w:top w:val="nil"/>
              <w:left w:val="nil"/>
              <w:bottom w:val="single" w:sz="4" w:space="0" w:color="auto"/>
              <w:right w:val="single" w:sz="4" w:space="0" w:color="auto"/>
            </w:tcBorders>
            <w:noWrap/>
            <w:vAlign w:val="bottom"/>
            <w:hideMark/>
          </w:tcPr>
          <w:p w14:paraId="604F51FD"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 </w:t>
            </w:r>
          </w:p>
        </w:tc>
        <w:tc>
          <w:tcPr>
            <w:tcW w:w="1160" w:type="dxa"/>
            <w:tcBorders>
              <w:top w:val="nil"/>
              <w:left w:val="nil"/>
              <w:bottom w:val="single" w:sz="4" w:space="0" w:color="auto"/>
              <w:right w:val="single" w:sz="4" w:space="0" w:color="auto"/>
            </w:tcBorders>
            <w:noWrap/>
            <w:vAlign w:val="bottom"/>
            <w:hideMark/>
          </w:tcPr>
          <w:p w14:paraId="5E094581"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5.00 Years</w:t>
            </w:r>
          </w:p>
        </w:tc>
        <w:tc>
          <w:tcPr>
            <w:tcW w:w="1160" w:type="dxa"/>
            <w:tcBorders>
              <w:top w:val="nil"/>
              <w:left w:val="nil"/>
              <w:bottom w:val="single" w:sz="4" w:space="0" w:color="auto"/>
              <w:right w:val="single" w:sz="4" w:space="0" w:color="auto"/>
            </w:tcBorders>
            <w:noWrap/>
            <w:vAlign w:val="bottom"/>
            <w:hideMark/>
          </w:tcPr>
          <w:p w14:paraId="24BC439A"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 </w:t>
            </w:r>
          </w:p>
        </w:tc>
        <w:tc>
          <w:tcPr>
            <w:tcW w:w="1148" w:type="dxa"/>
            <w:tcBorders>
              <w:top w:val="nil"/>
              <w:left w:val="nil"/>
              <w:bottom w:val="single" w:sz="4" w:space="0" w:color="auto"/>
              <w:right w:val="single" w:sz="4" w:space="0" w:color="auto"/>
            </w:tcBorders>
            <w:noWrap/>
            <w:vAlign w:val="bottom"/>
            <w:hideMark/>
          </w:tcPr>
          <w:p w14:paraId="657A2756"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3.60 Years</w:t>
            </w:r>
          </w:p>
        </w:tc>
        <w:tc>
          <w:tcPr>
            <w:tcW w:w="1160" w:type="dxa"/>
            <w:gridSpan w:val="2"/>
            <w:tcBorders>
              <w:top w:val="nil"/>
              <w:left w:val="nil"/>
              <w:bottom w:val="single" w:sz="4" w:space="0" w:color="auto"/>
              <w:right w:val="single" w:sz="4" w:space="0" w:color="auto"/>
            </w:tcBorders>
            <w:noWrap/>
            <w:vAlign w:val="bottom"/>
            <w:hideMark/>
          </w:tcPr>
          <w:p w14:paraId="1A43F785"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 </w:t>
            </w:r>
          </w:p>
        </w:tc>
      </w:tr>
    </w:tbl>
    <w:p w14:paraId="64D17BD6" w14:textId="77777777" w:rsidR="00047D0B" w:rsidRPr="00A343CD" w:rsidRDefault="00047D0B" w:rsidP="00047D0B">
      <w:pPr>
        <w:spacing w:after="0" w:line="276" w:lineRule="auto"/>
        <w:rPr>
          <w:rFonts w:ascii="Arial" w:hAnsi="Arial" w:cs="Arial"/>
        </w:rPr>
      </w:pPr>
    </w:p>
    <w:tbl>
      <w:tblPr>
        <w:tblW w:w="9106" w:type="dxa"/>
        <w:tblLook w:val="04A0" w:firstRow="1" w:lastRow="0" w:firstColumn="1" w:lastColumn="0" w:noHBand="0" w:noVBand="1"/>
      </w:tblPr>
      <w:tblGrid>
        <w:gridCol w:w="1151"/>
        <w:gridCol w:w="1151"/>
        <w:gridCol w:w="1163"/>
        <w:gridCol w:w="2408"/>
        <w:gridCol w:w="1163"/>
        <w:gridCol w:w="1151"/>
        <w:gridCol w:w="1163"/>
      </w:tblGrid>
      <w:tr w:rsidR="00047D0B" w:rsidRPr="00A343CD" w14:paraId="3EB288DB" w14:textId="77777777" w:rsidTr="00C563B5">
        <w:trPr>
          <w:trHeight w:val="20"/>
        </w:trPr>
        <w:tc>
          <w:tcPr>
            <w:tcW w:w="9106" w:type="dxa"/>
            <w:gridSpan w:val="7"/>
            <w:tcBorders>
              <w:top w:val="single" w:sz="4" w:space="0" w:color="auto"/>
              <w:left w:val="single" w:sz="4" w:space="0" w:color="auto"/>
              <w:bottom w:val="single" w:sz="4" w:space="0" w:color="auto"/>
              <w:right w:val="single" w:sz="4" w:space="0" w:color="000000"/>
            </w:tcBorders>
            <w:shd w:val="clear" w:color="000000" w:fill="CAEDFB"/>
            <w:noWrap/>
            <w:vAlign w:val="bottom"/>
            <w:hideMark/>
          </w:tcPr>
          <w:p w14:paraId="5388B5C8" w14:textId="77777777" w:rsidR="00047D0B" w:rsidRPr="00A343CD" w:rsidRDefault="00047D0B" w:rsidP="00C563B5">
            <w:pPr>
              <w:spacing w:after="0" w:line="276" w:lineRule="auto"/>
              <w:rPr>
                <w:rFonts w:ascii="Arial" w:eastAsia="Times New Roman" w:hAnsi="Arial" w:cs="Arial"/>
                <w:color w:val="000000"/>
                <w:sz w:val="22"/>
                <w:lang w:bidi="bn-BD"/>
              </w:rPr>
            </w:pPr>
            <w:r w:rsidRPr="00A343CD">
              <w:rPr>
                <w:rFonts w:ascii="Arial" w:eastAsia="Times New Roman" w:hAnsi="Arial" w:cs="Arial"/>
                <w:color w:val="000000"/>
                <w:sz w:val="22"/>
                <w:lang w:bidi="bn-BD"/>
              </w:rPr>
              <w:t>Pay Back Period Discounted 10%</w:t>
            </w:r>
          </w:p>
        </w:tc>
      </w:tr>
      <w:tr w:rsidR="00047D0B" w:rsidRPr="00A343CD" w14:paraId="6398A8DD" w14:textId="77777777" w:rsidTr="00C563B5">
        <w:trPr>
          <w:trHeight w:val="20"/>
        </w:trPr>
        <w:tc>
          <w:tcPr>
            <w:tcW w:w="1124" w:type="dxa"/>
            <w:tcBorders>
              <w:top w:val="nil"/>
              <w:left w:val="single" w:sz="4" w:space="0" w:color="auto"/>
              <w:bottom w:val="single" w:sz="4" w:space="0" w:color="auto"/>
              <w:right w:val="single" w:sz="4" w:space="0" w:color="auto"/>
            </w:tcBorders>
            <w:shd w:val="clear" w:color="000000" w:fill="CAEDFB"/>
            <w:noWrap/>
            <w:vAlign w:val="bottom"/>
            <w:hideMark/>
          </w:tcPr>
          <w:p w14:paraId="6239132C"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Year</w:t>
            </w:r>
          </w:p>
        </w:tc>
        <w:tc>
          <w:tcPr>
            <w:tcW w:w="2343" w:type="dxa"/>
            <w:gridSpan w:val="2"/>
            <w:tcBorders>
              <w:top w:val="single" w:sz="4" w:space="0" w:color="auto"/>
              <w:left w:val="nil"/>
              <w:bottom w:val="single" w:sz="4" w:space="0" w:color="auto"/>
              <w:right w:val="single" w:sz="4" w:space="0" w:color="000000"/>
            </w:tcBorders>
            <w:shd w:val="clear" w:color="000000" w:fill="CAEDFB"/>
            <w:noWrap/>
            <w:vAlign w:val="bottom"/>
            <w:hideMark/>
          </w:tcPr>
          <w:p w14:paraId="42A1621D"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Project A</w:t>
            </w:r>
          </w:p>
        </w:tc>
        <w:tc>
          <w:tcPr>
            <w:tcW w:w="0" w:type="auto"/>
            <w:gridSpan w:val="2"/>
            <w:tcBorders>
              <w:top w:val="single" w:sz="4" w:space="0" w:color="auto"/>
              <w:left w:val="nil"/>
              <w:bottom w:val="single" w:sz="4" w:space="0" w:color="auto"/>
              <w:right w:val="single" w:sz="4" w:space="0" w:color="000000"/>
            </w:tcBorders>
            <w:shd w:val="clear" w:color="000000" w:fill="CAEDFB"/>
            <w:noWrap/>
            <w:vAlign w:val="bottom"/>
            <w:hideMark/>
          </w:tcPr>
          <w:p w14:paraId="443DD84A"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Project B</w:t>
            </w:r>
          </w:p>
        </w:tc>
        <w:tc>
          <w:tcPr>
            <w:tcW w:w="0" w:type="auto"/>
            <w:gridSpan w:val="2"/>
            <w:tcBorders>
              <w:top w:val="single" w:sz="4" w:space="0" w:color="auto"/>
              <w:left w:val="nil"/>
              <w:bottom w:val="single" w:sz="4" w:space="0" w:color="auto"/>
              <w:right w:val="single" w:sz="4" w:space="0" w:color="000000"/>
            </w:tcBorders>
            <w:shd w:val="clear" w:color="000000" w:fill="CAEDFB"/>
            <w:noWrap/>
            <w:vAlign w:val="bottom"/>
            <w:hideMark/>
          </w:tcPr>
          <w:p w14:paraId="139F5BFD" w14:textId="77777777" w:rsidR="00047D0B" w:rsidRPr="00A343CD" w:rsidRDefault="00047D0B" w:rsidP="00C563B5">
            <w:pPr>
              <w:spacing w:after="0" w:line="276" w:lineRule="auto"/>
              <w:jc w:val="center"/>
              <w:rPr>
                <w:rFonts w:ascii="Arial" w:eastAsia="Times New Roman" w:hAnsi="Arial" w:cs="Arial"/>
                <w:color w:val="000000"/>
                <w:sz w:val="22"/>
                <w:lang w:bidi="bn-BD"/>
              </w:rPr>
            </w:pPr>
            <w:r w:rsidRPr="00A343CD">
              <w:rPr>
                <w:rFonts w:ascii="Arial" w:eastAsia="Times New Roman" w:hAnsi="Arial" w:cs="Arial"/>
                <w:color w:val="000000"/>
                <w:sz w:val="22"/>
                <w:lang w:bidi="bn-BD"/>
              </w:rPr>
              <w:t>Project C</w:t>
            </w:r>
          </w:p>
        </w:tc>
      </w:tr>
      <w:tr w:rsidR="00047D0B" w:rsidRPr="00A343CD" w14:paraId="65AC0C00"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729309B6"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 </w:t>
            </w:r>
          </w:p>
        </w:tc>
        <w:tc>
          <w:tcPr>
            <w:tcW w:w="1211" w:type="dxa"/>
            <w:tcBorders>
              <w:top w:val="nil"/>
              <w:left w:val="nil"/>
              <w:bottom w:val="single" w:sz="4" w:space="0" w:color="auto"/>
              <w:right w:val="single" w:sz="4" w:space="0" w:color="auto"/>
            </w:tcBorders>
            <w:vAlign w:val="bottom"/>
            <w:hideMark/>
          </w:tcPr>
          <w:p w14:paraId="0DE88CBF"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Discounted Cash Flows</w:t>
            </w:r>
          </w:p>
        </w:tc>
        <w:tc>
          <w:tcPr>
            <w:tcW w:w="0" w:type="auto"/>
            <w:tcBorders>
              <w:top w:val="nil"/>
              <w:left w:val="nil"/>
              <w:bottom w:val="single" w:sz="4" w:space="0" w:color="auto"/>
              <w:right w:val="single" w:sz="4" w:space="0" w:color="auto"/>
            </w:tcBorders>
            <w:vAlign w:val="bottom"/>
            <w:hideMark/>
          </w:tcPr>
          <w:p w14:paraId="2D6C3828"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Cumulative</w:t>
            </w:r>
          </w:p>
        </w:tc>
        <w:tc>
          <w:tcPr>
            <w:tcW w:w="0" w:type="auto"/>
            <w:tcBorders>
              <w:top w:val="nil"/>
              <w:left w:val="nil"/>
              <w:bottom w:val="single" w:sz="4" w:space="0" w:color="auto"/>
              <w:right w:val="single" w:sz="4" w:space="0" w:color="auto"/>
            </w:tcBorders>
            <w:vAlign w:val="bottom"/>
            <w:hideMark/>
          </w:tcPr>
          <w:p w14:paraId="2BB315EC"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Discounted Cash Flows</w:t>
            </w:r>
          </w:p>
        </w:tc>
        <w:tc>
          <w:tcPr>
            <w:tcW w:w="0" w:type="auto"/>
            <w:tcBorders>
              <w:top w:val="nil"/>
              <w:left w:val="nil"/>
              <w:bottom w:val="single" w:sz="4" w:space="0" w:color="auto"/>
              <w:right w:val="single" w:sz="4" w:space="0" w:color="auto"/>
            </w:tcBorders>
            <w:vAlign w:val="bottom"/>
            <w:hideMark/>
          </w:tcPr>
          <w:p w14:paraId="105CCBD7"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Cumulative</w:t>
            </w:r>
          </w:p>
        </w:tc>
        <w:tc>
          <w:tcPr>
            <w:tcW w:w="0" w:type="auto"/>
            <w:tcBorders>
              <w:top w:val="nil"/>
              <w:left w:val="nil"/>
              <w:bottom w:val="single" w:sz="4" w:space="0" w:color="auto"/>
              <w:right w:val="single" w:sz="4" w:space="0" w:color="auto"/>
            </w:tcBorders>
            <w:vAlign w:val="bottom"/>
            <w:hideMark/>
          </w:tcPr>
          <w:p w14:paraId="5304A70F"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Discounted Cash Flows</w:t>
            </w:r>
          </w:p>
        </w:tc>
        <w:tc>
          <w:tcPr>
            <w:tcW w:w="0" w:type="auto"/>
            <w:tcBorders>
              <w:top w:val="nil"/>
              <w:left w:val="nil"/>
              <w:bottom w:val="single" w:sz="4" w:space="0" w:color="auto"/>
              <w:right w:val="single" w:sz="4" w:space="0" w:color="auto"/>
            </w:tcBorders>
            <w:vAlign w:val="bottom"/>
            <w:hideMark/>
          </w:tcPr>
          <w:p w14:paraId="7489CDE0"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Cumulative</w:t>
            </w:r>
          </w:p>
        </w:tc>
      </w:tr>
      <w:tr w:rsidR="00047D0B" w:rsidRPr="00A343CD" w14:paraId="06A2B383"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14553F22"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0</w:t>
            </w:r>
          </w:p>
        </w:tc>
        <w:tc>
          <w:tcPr>
            <w:tcW w:w="1211" w:type="dxa"/>
            <w:tcBorders>
              <w:top w:val="nil"/>
              <w:left w:val="nil"/>
              <w:bottom w:val="single" w:sz="4" w:space="0" w:color="auto"/>
              <w:right w:val="single" w:sz="4" w:space="0" w:color="auto"/>
            </w:tcBorders>
            <w:noWrap/>
            <w:vAlign w:val="bottom"/>
            <w:hideMark/>
          </w:tcPr>
          <w:p w14:paraId="2563BABE"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-40</w:t>
            </w:r>
          </w:p>
        </w:tc>
        <w:tc>
          <w:tcPr>
            <w:tcW w:w="0" w:type="auto"/>
            <w:tcBorders>
              <w:top w:val="nil"/>
              <w:left w:val="nil"/>
              <w:bottom w:val="single" w:sz="4" w:space="0" w:color="auto"/>
              <w:right w:val="single" w:sz="4" w:space="0" w:color="auto"/>
            </w:tcBorders>
            <w:noWrap/>
            <w:vAlign w:val="bottom"/>
            <w:hideMark/>
          </w:tcPr>
          <w:p w14:paraId="7DFFD81F"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-40</w:t>
            </w:r>
          </w:p>
        </w:tc>
        <w:tc>
          <w:tcPr>
            <w:tcW w:w="0" w:type="auto"/>
            <w:tcBorders>
              <w:top w:val="nil"/>
              <w:left w:val="nil"/>
              <w:bottom w:val="single" w:sz="4" w:space="0" w:color="auto"/>
              <w:right w:val="single" w:sz="4" w:space="0" w:color="auto"/>
            </w:tcBorders>
            <w:noWrap/>
            <w:vAlign w:val="bottom"/>
            <w:hideMark/>
          </w:tcPr>
          <w:p w14:paraId="5B1319F1"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-30</w:t>
            </w:r>
          </w:p>
        </w:tc>
        <w:tc>
          <w:tcPr>
            <w:tcW w:w="0" w:type="auto"/>
            <w:tcBorders>
              <w:top w:val="nil"/>
              <w:left w:val="nil"/>
              <w:bottom w:val="single" w:sz="4" w:space="0" w:color="auto"/>
              <w:right w:val="single" w:sz="4" w:space="0" w:color="auto"/>
            </w:tcBorders>
            <w:noWrap/>
            <w:vAlign w:val="bottom"/>
            <w:hideMark/>
          </w:tcPr>
          <w:p w14:paraId="06D715FC"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-30</w:t>
            </w:r>
          </w:p>
        </w:tc>
        <w:tc>
          <w:tcPr>
            <w:tcW w:w="0" w:type="auto"/>
            <w:tcBorders>
              <w:top w:val="nil"/>
              <w:left w:val="nil"/>
              <w:bottom w:val="single" w:sz="4" w:space="0" w:color="auto"/>
              <w:right w:val="single" w:sz="4" w:space="0" w:color="auto"/>
            </w:tcBorders>
            <w:noWrap/>
            <w:vAlign w:val="bottom"/>
            <w:hideMark/>
          </w:tcPr>
          <w:p w14:paraId="04731973"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-50</w:t>
            </w:r>
          </w:p>
        </w:tc>
        <w:tc>
          <w:tcPr>
            <w:tcW w:w="0" w:type="auto"/>
            <w:tcBorders>
              <w:top w:val="nil"/>
              <w:left w:val="nil"/>
              <w:bottom w:val="single" w:sz="4" w:space="0" w:color="auto"/>
              <w:right w:val="single" w:sz="4" w:space="0" w:color="auto"/>
            </w:tcBorders>
            <w:noWrap/>
            <w:vAlign w:val="bottom"/>
            <w:hideMark/>
          </w:tcPr>
          <w:p w14:paraId="4EA40D65"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-50</w:t>
            </w:r>
          </w:p>
        </w:tc>
      </w:tr>
      <w:tr w:rsidR="00047D0B" w:rsidRPr="00A343CD" w14:paraId="6605726A"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2ACD5792"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w:t>
            </w:r>
          </w:p>
        </w:tc>
        <w:tc>
          <w:tcPr>
            <w:tcW w:w="1211" w:type="dxa"/>
            <w:tcBorders>
              <w:top w:val="nil"/>
              <w:left w:val="nil"/>
              <w:bottom w:val="single" w:sz="4" w:space="0" w:color="auto"/>
              <w:right w:val="single" w:sz="4" w:space="0" w:color="auto"/>
            </w:tcBorders>
            <w:noWrap/>
            <w:vAlign w:val="bottom"/>
            <w:hideMark/>
          </w:tcPr>
          <w:p w14:paraId="22A5519C"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9.0909091</w:t>
            </w:r>
          </w:p>
        </w:tc>
        <w:tc>
          <w:tcPr>
            <w:tcW w:w="0" w:type="auto"/>
            <w:tcBorders>
              <w:top w:val="nil"/>
              <w:left w:val="nil"/>
              <w:bottom w:val="single" w:sz="4" w:space="0" w:color="auto"/>
              <w:right w:val="single" w:sz="4" w:space="0" w:color="auto"/>
            </w:tcBorders>
            <w:noWrap/>
            <w:vAlign w:val="bottom"/>
            <w:hideMark/>
          </w:tcPr>
          <w:p w14:paraId="3B3891C8"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-30.909091</w:t>
            </w:r>
          </w:p>
        </w:tc>
        <w:tc>
          <w:tcPr>
            <w:tcW w:w="0" w:type="auto"/>
            <w:tcBorders>
              <w:top w:val="nil"/>
              <w:left w:val="nil"/>
              <w:bottom w:val="single" w:sz="4" w:space="0" w:color="auto"/>
              <w:right w:val="single" w:sz="4" w:space="0" w:color="auto"/>
            </w:tcBorders>
            <w:noWrap/>
            <w:vAlign w:val="bottom"/>
            <w:hideMark/>
          </w:tcPr>
          <w:p w14:paraId="043D83C5"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5.4545455</w:t>
            </w:r>
          </w:p>
        </w:tc>
        <w:tc>
          <w:tcPr>
            <w:tcW w:w="0" w:type="auto"/>
            <w:tcBorders>
              <w:top w:val="nil"/>
              <w:left w:val="nil"/>
              <w:bottom w:val="single" w:sz="4" w:space="0" w:color="auto"/>
              <w:right w:val="single" w:sz="4" w:space="0" w:color="auto"/>
            </w:tcBorders>
            <w:noWrap/>
            <w:vAlign w:val="bottom"/>
            <w:hideMark/>
          </w:tcPr>
          <w:p w14:paraId="46F4D570"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-24.545455</w:t>
            </w:r>
          </w:p>
        </w:tc>
        <w:tc>
          <w:tcPr>
            <w:tcW w:w="0" w:type="auto"/>
            <w:tcBorders>
              <w:top w:val="nil"/>
              <w:left w:val="nil"/>
              <w:bottom w:val="single" w:sz="4" w:space="0" w:color="auto"/>
              <w:right w:val="single" w:sz="4" w:space="0" w:color="auto"/>
            </w:tcBorders>
            <w:noWrap/>
            <w:vAlign w:val="bottom"/>
            <w:hideMark/>
          </w:tcPr>
          <w:p w14:paraId="39ACFE5B"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4.5454545</w:t>
            </w:r>
          </w:p>
        </w:tc>
        <w:tc>
          <w:tcPr>
            <w:tcW w:w="0" w:type="auto"/>
            <w:tcBorders>
              <w:top w:val="nil"/>
              <w:left w:val="nil"/>
              <w:bottom w:val="single" w:sz="4" w:space="0" w:color="auto"/>
              <w:right w:val="single" w:sz="4" w:space="0" w:color="auto"/>
            </w:tcBorders>
            <w:noWrap/>
            <w:vAlign w:val="bottom"/>
            <w:hideMark/>
          </w:tcPr>
          <w:p w14:paraId="3CA6CCA4"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-45.454545</w:t>
            </w:r>
          </w:p>
        </w:tc>
      </w:tr>
      <w:tr w:rsidR="00047D0B" w:rsidRPr="00A343CD" w14:paraId="5EAECABE"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7A03273E"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lastRenderedPageBreak/>
              <w:t>2</w:t>
            </w:r>
          </w:p>
        </w:tc>
        <w:tc>
          <w:tcPr>
            <w:tcW w:w="1211" w:type="dxa"/>
            <w:tcBorders>
              <w:top w:val="nil"/>
              <w:left w:val="nil"/>
              <w:bottom w:val="single" w:sz="4" w:space="0" w:color="auto"/>
              <w:right w:val="single" w:sz="4" w:space="0" w:color="auto"/>
            </w:tcBorders>
            <w:noWrap/>
            <w:vAlign w:val="bottom"/>
            <w:hideMark/>
          </w:tcPr>
          <w:p w14:paraId="66057473"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9.9173554</w:t>
            </w:r>
          </w:p>
        </w:tc>
        <w:tc>
          <w:tcPr>
            <w:tcW w:w="0" w:type="auto"/>
            <w:tcBorders>
              <w:top w:val="nil"/>
              <w:left w:val="nil"/>
              <w:bottom w:val="single" w:sz="4" w:space="0" w:color="auto"/>
              <w:right w:val="single" w:sz="4" w:space="0" w:color="auto"/>
            </w:tcBorders>
            <w:noWrap/>
            <w:vAlign w:val="bottom"/>
            <w:hideMark/>
          </w:tcPr>
          <w:p w14:paraId="7A515496"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-20.991736</w:t>
            </w:r>
          </w:p>
        </w:tc>
        <w:tc>
          <w:tcPr>
            <w:tcW w:w="0" w:type="auto"/>
            <w:tcBorders>
              <w:top w:val="nil"/>
              <w:left w:val="nil"/>
              <w:bottom w:val="single" w:sz="4" w:space="0" w:color="auto"/>
              <w:right w:val="single" w:sz="4" w:space="0" w:color="auto"/>
            </w:tcBorders>
            <w:noWrap/>
            <w:vAlign w:val="bottom"/>
            <w:hideMark/>
          </w:tcPr>
          <w:p w14:paraId="1D270584"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4.9586777</w:t>
            </w:r>
          </w:p>
        </w:tc>
        <w:tc>
          <w:tcPr>
            <w:tcW w:w="0" w:type="auto"/>
            <w:tcBorders>
              <w:top w:val="nil"/>
              <w:left w:val="nil"/>
              <w:bottom w:val="single" w:sz="4" w:space="0" w:color="auto"/>
              <w:right w:val="single" w:sz="4" w:space="0" w:color="auto"/>
            </w:tcBorders>
            <w:noWrap/>
            <w:vAlign w:val="bottom"/>
            <w:hideMark/>
          </w:tcPr>
          <w:p w14:paraId="7D0B58B7"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-19.586777</w:t>
            </w:r>
          </w:p>
        </w:tc>
        <w:tc>
          <w:tcPr>
            <w:tcW w:w="0" w:type="auto"/>
            <w:tcBorders>
              <w:top w:val="nil"/>
              <w:left w:val="nil"/>
              <w:bottom w:val="single" w:sz="4" w:space="0" w:color="auto"/>
              <w:right w:val="single" w:sz="4" w:space="0" w:color="auto"/>
            </w:tcBorders>
            <w:noWrap/>
            <w:vAlign w:val="bottom"/>
            <w:hideMark/>
          </w:tcPr>
          <w:p w14:paraId="3757546D"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8.2644628</w:t>
            </w:r>
          </w:p>
        </w:tc>
        <w:tc>
          <w:tcPr>
            <w:tcW w:w="0" w:type="auto"/>
            <w:tcBorders>
              <w:top w:val="nil"/>
              <w:left w:val="nil"/>
              <w:bottom w:val="single" w:sz="4" w:space="0" w:color="auto"/>
              <w:right w:val="single" w:sz="4" w:space="0" w:color="auto"/>
            </w:tcBorders>
            <w:noWrap/>
            <w:vAlign w:val="bottom"/>
            <w:hideMark/>
          </w:tcPr>
          <w:p w14:paraId="2C4E9B76"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-37.190083</w:t>
            </w:r>
          </w:p>
        </w:tc>
      </w:tr>
      <w:tr w:rsidR="00047D0B" w:rsidRPr="00A343CD" w14:paraId="7226DA3B"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72A4C2CC"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3</w:t>
            </w:r>
          </w:p>
        </w:tc>
        <w:tc>
          <w:tcPr>
            <w:tcW w:w="1211" w:type="dxa"/>
            <w:tcBorders>
              <w:top w:val="nil"/>
              <w:left w:val="nil"/>
              <w:bottom w:val="single" w:sz="4" w:space="0" w:color="auto"/>
              <w:right w:val="single" w:sz="4" w:space="0" w:color="auto"/>
            </w:tcBorders>
            <w:noWrap/>
            <w:vAlign w:val="bottom"/>
            <w:hideMark/>
          </w:tcPr>
          <w:p w14:paraId="35D1FBE7"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10.518407</w:t>
            </w:r>
          </w:p>
        </w:tc>
        <w:tc>
          <w:tcPr>
            <w:tcW w:w="0" w:type="auto"/>
            <w:tcBorders>
              <w:top w:val="nil"/>
              <w:left w:val="nil"/>
              <w:bottom w:val="single" w:sz="4" w:space="0" w:color="auto"/>
              <w:right w:val="single" w:sz="4" w:space="0" w:color="auto"/>
            </w:tcBorders>
            <w:noWrap/>
            <w:vAlign w:val="bottom"/>
            <w:hideMark/>
          </w:tcPr>
          <w:p w14:paraId="53B9A70E"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-10.473328</w:t>
            </w:r>
          </w:p>
        </w:tc>
        <w:tc>
          <w:tcPr>
            <w:tcW w:w="0" w:type="auto"/>
            <w:tcBorders>
              <w:top w:val="nil"/>
              <w:left w:val="nil"/>
              <w:bottom w:val="single" w:sz="4" w:space="0" w:color="auto"/>
              <w:right w:val="single" w:sz="4" w:space="0" w:color="auto"/>
            </w:tcBorders>
            <w:noWrap/>
            <w:vAlign w:val="bottom"/>
            <w:hideMark/>
          </w:tcPr>
          <w:p w14:paraId="144AB1A2"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4.5078888</w:t>
            </w:r>
          </w:p>
        </w:tc>
        <w:tc>
          <w:tcPr>
            <w:tcW w:w="0" w:type="auto"/>
            <w:tcBorders>
              <w:top w:val="nil"/>
              <w:left w:val="nil"/>
              <w:bottom w:val="single" w:sz="4" w:space="0" w:color="auto"/>
              <w:right w:val="single" w:sz="4" w:space="0" w:color="auto"/>
            </w:tcBorders>
            <w:noWrap/>
            <w:vAlign w:val="bottom"/>
            <w:hideMark/>
          </w:tcPr>
          <w:p w14:paraId="108D5CC3"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-15.078888</w:t>
            </w:r>
          </w:p>
        </w:tc>
        <w:tc>
          <w:tcPr>
            <w:tcW w:w="0" w:type="auto"/>
            <w:tcBorders>
              <w:top w:val="nil"/>
              <w:left w:val="nil"/>
              <w:bottom w:val="single" w:sz="4" w:space="0" w:color="auto"/>
              <w:right w:val="single" w:sz="4" w:space="0" w:color="auto"/>
            </w:tcBorders>
            <w:noWrap/>
            <w:vAlign w:val="bottom"/>
            <w:hideMark/>
          </w:tcPr>
          <w:p w14:paraId="1A2C4E34"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15.026296</w:t>
            </w:r>
          </w:p>
        </w:tc>
        <w:tc>
          <w:tcPr>
            <w:tcW w:w="0" w:type="auto"/>
            <w:tcBorders>
              <w:top w:val="nil"/>
              <w:left w:val="nil"/>
              <w:bottom w:val="single" w:sz="4" w:space="0" w:color="auto"/>
              <w:right w:val="single" w:sz="4" w:space="0" w:color="auto"/>
            </w:tcBorders>
            <w:noWrap/>
            <w:vAlign w:val="bottom"/>
            <w:hideMark/>
          </w:tcPr>
          <w:p w14:paraId="30C0DE8F"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-22.163787</w:t>
            </w:r>
          </w:p>
        </w:tc>
      </w:tr>
      <w:tr w:rsidR="00047D0B" w:rsidRPr="00A343CD" w14:paraId="56C13762"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578EF1CF"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4</w:t>
            </w:r>
          </w:p>
        </w:tc>
        <w:tc>
          <w:tcPr>
            <w:tcW w:w="1211" w:type="dxa"/>
            <w:tcBorders>
              <w:top w:val="nil"/>
              <w:left w:val="nil"/>
              <w:bottom w:val="single" w:sz="4" w:space="0" w:color="auto"/>
              <w:right w:val="single" w:sz="4" w:space="0" w:color="auto"/>
            </w:tcBorders>
            <w:noWrap/>
            <w:vAlign w:val="bottom"/>
            <w:hideMark/>
          </w:tcPr>
          <w:p w14:paraId="21DF6D17"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6.8301346</w:t>
            </w:r>
          </w:p>
        </w:tc>
        <w:tc>
          <w:tcPr>
            <w:tcW w:w="0" w:type="auto"/>
            <w:tcBorders>
              <w:top w:val="nil"/>
              <w:left w:val="nil"/>
              <w:bottom w:val="single" w:sz="4" w:space="0" w:color="auto"/>
              <w:right w:val="single" w:sz="4" w:space="0" w:color="auto"/>
            </w:tcBorders>
            <w:noWrap/>
            <w:vAlign w:val="bottom"/>
            <w:hideMark/>
          </w:tcPr>
          <w:p w14:paraId="1368CB7F"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-3.6431938</w:t>
            </w:r>
          </w:p>
        </w:tc>
        <w:tc>
          <w:tcPr>
            <w:tcW w:w="0" w:type="auto"/>
            <w:tcBorders>
              <w:top w:val="nil"/>
              <w:left w:val="nil"/>
              <w:bottom w:val="single" w:sz="4" w:space="0" w:color="auto"/>
              <w:right w:val="single" w:sz="4" w:space="0" w:color="auto"/>
            </w:tcBorders>
            <w:noWrap/>
            <w:vAlign w:val="bottom"/>
            <w:hideMark/>
          </w:tcPr>
          <w:p w14:paraId="36538D32"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4.0980807</w:t>
            </w:r>
          </w:p>
        </w:tc>
        <w:tc>
          <w:tcPr>
            <w:tcW w:w="0" w:type="auto"/>
            <w:tcBorders>
              <w:top w:val="nil"/>
              <w:left w:val="nil"/>
              <w:bottom w:val="single" w:sz="4" w:space="0" w:color="auto"/>
              <w:right w:val="single" w:sz="4" w:space="0" w:color="auto"/>
            </w:tcBorders>
            <w:noWrap/>
            <w:vAlign w:val="bottom"/>
            <w:hideMark/>
          </w:tcPr>
          <w:p w14:paraId="3E5C8AA2"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-10.980807</w:t>
            </w:r>
          </w:p>
        </w:tc>
        <w:tc>
          <w:tcPr>
            <w:tcW w:w="0" w:type="auto"/>
            <w:tcBorders>
              <w:top w:val="nil"/>
              <w:left w:val="nil"/>
              <w:bottom w:val="single" w:sz="4" w:space="0" w:color="auto"/>
              <w:right w:val="single" w:sz="4" w:space="0" w:color="auto"/>
            </w:tcBorders>
            <w:noWrap/>
            <w:vAlign w:val="bottom"/>
            <w:hideMark/>
          </w:tcPr>
          <w:p w14:paraId="7F3F5006"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17.075336</w:t>
            </w:r>
          </w:p>
        </w:tc>
        <w:tc>
          <w:tcPr>
            <w:tcW w:w="0" w:type="auto"/>
            <w:tcBorders>
              <w:top w:val="nil"/>
              <w:left w:val="nil"/>
              <w:bottom w:val="single" w:sz="4" w:space="0" w:color="auto"/>
              <w:right w:val="single" w:sz="4" w:space="0" w:color="auto"/>
            </w:tcBorders>
            <w:noWrap/>
            <w:vAlign w:val="bottom"/>
            <w:hideMark/>
          </w:tcPr>
          <w:p w14:paraId="3AEDFAF4"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-5.0884502</w:t>
            </w:r>
          </w:p>
        </w:tc>
      </w:tr>
      <w:tr w:rsidR="00047D0B" w:rsidRPr="00A343CD" w14:paraId="7BAF8B86"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4D769526"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5</w:t>
            </w:r>
          </w:p>
        </w:tc>
        <w:tc>
          <w:tcPr>
            <w:tcW w:w="1211" w:type="dxa"/>
            <w:tcBorders>
              <w:top w:val="nil"/>
              <w:left w:val="nil"/>
              <w:bottom w:val="single" w:sz="4" w:space="0" w:color="auto"/>
              <w:right w:val="single" w:sz="4" w:space="0" w:color="auto"/>
            </w:tcBorders>
            <w:noWrap/>
            <w:vAlign w:val="bottom"/>
            <w:hideMark/>
          </w:tcPr>
          <w:p w14:paraId="5944B7E2"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4.9673706</w:t>
            </w:r>
          </w:p>
        </w:tc>
        <w:tc>
          <w:tcPr>
            <w:tcW w:w="0" w:type="auto"/>
            <w:tcBorders>
              <w:top w:val="nil"/>
              <w:left w:val="nil"/>
              <w:bottom w:val="single" w:sz="4" w:space="0" w:color="auto"/>
              <w:right w:val="single" w:sz="4" w:space="0" w:color="auto"/>
            </w:tcBorders>
            <w:noWrap/>
            <w:vAlign w:val="bottom"/>
            <w:hideMark/>
          </w:tcPr>
          <w:p w14:paraId="3C4F3437"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1.3241768</w:t>
            </w:r>
          </w:p>
        </w:tc>
        <w:tc>
          <w:tcPr>
            <w:tcW w:w="0" w:type="auto"/>
            <w:tcBorders>
              <w:top w:val="nil"/>
              <w:left w:val="nil"/>
              <w:bottom w:val="single" w:sz="4" w:space="0" w:color="auto"/>
              <w:right w:val="single" w:sz="4" w:space="0" w:color="auto"/>
            </w:tcBorders>
            <w:noWrap/>
            <w:vAlign w:val="bottom"/>
            <w:hideMark/>
          </w:tcPr>
          <w:p w14:paraId="4592F706"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3.7255279</w:t>
            </w:r>
          </w:p>
        </w:tc>
        <w:tc>
          <w:tcPr>
            <w:tcW w:w="0" w:type="auto"/>
            <w:tcBorders>
              <w:top w:val="nil"/>
              <w:left w:val="nil"/>
              <w:bottom w:val="single" w:sz="4" w:space="0" w:color="auto"/>
              <w:right w:val="single" w:sz="4" w:space="0" w:color="auto"/>
            </w:tcBorders>
            <w:noWrap/>
            <w:vAlign w:val="bottom"/>
            <w:hideMark/>
          </w:tcPr>
          <w:p w14:paraId="321B813D"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-7.2552794</w:t>
            </w:r>
          </w:p>
        </w:tc>
        <w:tc>
          <w:tcPr>
            <w:tcW w:w="0" w:type="auto"/>
            <w:tcBorders>
              <w:top w:val="nil"/>
              <w:left w:val="nil"/>
              <w:bottom w:val="single" w:sz="4" w:space="0" w:color="auto"/>
              <w:right w:val="single" w:sz="4" w:space="0" w:color="auto"/>
            </w:tcBorders>
            <w:noWrap/>
            <w:vAlign w:val="bottom"/>
            <w:hideMark/>
          </w:tcPr>
          <w:p w14:paraId="6439D5C1"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9.3138198</w:t>
            </w:r>
          </w:p>
        </w:tc>
        <w:tc>
          <w:tcPr>
            <w:tcW w:w="0" w:type="auto"/>
            <w:tcBorders>
              <w:top w:val="nil"/>
              <w:left w:val="nil"/>
              <w:bottom w:val="single" w:sz="4" w:space="0" w:color="auto"/>
              <w:right w:val="single" w:sz="4" w:space="0" w:color="auto"/>
            </w:tcBorders>
            <w:noWrap/>
            <w:vAlign w:val="bottom"/>
            <w:hideMark/>
          </w:tcPr>
          <w:p w14:paraId="19CA29BA"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4.2253696</w:t>
            </w:r>
          </w:p>
        </w:tc>
      </w:tr>
      <w:tr w:rsidR="00047D0B" w:rsidRPr="00A343CD" w14:paraId="29612797"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18889469"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Pay Back Period Discounted</w:t>
            </w:r>
          </w:p>
        </w:tc>
        <w:tc>
          <w:tcPr>
            <w:tcW w:w="1211" w:type="dxa"/>
            <w:tcBorders>
              <w:top w:val="nil"/>
              <w:left w:val="nil"/>
              <w:bottom w:val="single" w:sz="4" w:space="0" w:color="auto"/>
              <w:right w:val="single" w:sz="4" w:space="0" w:color="auto"/>
            </w:tcBorders>
            <w:noWrap/>
            <w:vAlign w:val="bottom"/>
            <w:hideMark/>
          </w:tcPr>
          <w:p w14:paraId="4AB23605"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4.73 Years</w:t>
            </w:r>
          </w:p>
        </w:tc>
        <w:tc>
          <w:tcPr>
            <w:tcW w:w="0" w:type="auto"/>
            <w:tcBorders>
              <w:top w:val="nil"/>
              <w:left w:val="nil"/>
              <w:bottom w:val="single" w:sz="4" w:space="0" w:color="auto"/>
              <w:right w:val="single" w:sz="4" w:space="0" w:color="auto"/>
            </w:tcBorders>
            <w:noWrap/>
            <w:vAlign w:val="bottom"/>
            <w:hideMark/>
          </w:tcPr>
          <w:p w14:paraId="31CF284C"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 </w:t>
            </w:r>
          </w:p>
        </w:tc>
        <w:tc>
          <w:tcPr>
            <w:tcW w:w="0" w:type="auto"/>
            <w:tcBorders>
              <w:top w:val="nil"/>
              <w:left w:val="nil"/>
              <w:bottom w:val="single" w:sz="4" w:space="0" w:color="auto"/>
              <w:right w:val="single" w:sz="4" w:space="0" w:color="auto"/>
            </w:tcBorders>
            <w:noWrap/>
            <w:vAlign w:val="bottom"/>
            <w:hideMark/>
          </w:tcPr>
          <w:p w14:paraId="7349B436"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Not recover within 5 Years</w:t>
            </w:r>
          </w:p>
        </w:tc>
        <w:tc>
          <w:tcPr>
            <w:tcW w:w="0" w:type="auto"/>
            <w:tcBorders>
              <w:top w:val="nil"/>
              <w:left w:val="nil"/>
              <w:bottom w:val="single" w:sz="4" w:space="0" w:color="auto"/>
              <w:right w:val="single" w:sz="4" w:space="0" w:color="auto"/>
            </w:tcBorders>
            <w:noWrap/>
            <w:vAlign w:val="bottom"/>
            <w:hideMark/>
          </w:tcPr>
          <w:p w14:paraId="6D937C31"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 </w:t>
            </w:r>
          </w:p>
        </w:tc>
        <w:tc>
          <w:tcPr>
            <w:tcW w:w="0" w:type="auto"/>
            <w:tcBorders>
              <w:top w:val="nil"/>
              <w:left w:val="nil"/>
              <w:bottom w:val="single" w:sz="4" w:space="0" w:color="auto"/>
              <w:right w:val="single" w:sz="4" w:space="0" w:color="auto"/>
            </w:tcBorders>
            <w:noWrap/>
            <w:vAlign w:val="bottom"/>
            <w:hideMark/>
          </w:tcPr>
          <w:p w14:paraId="4E105850" w14:textId="77777777" w:rsidR="00047D0B" w:rsidRPr="00A343CD" w:rsidRDefault="00047D0B" w:rsidP="00C563B5">
            <w:pPr>
              <w:spacing w:after="0" w:line="276" w:lineRule="auto"/>
              <w:jc w:val="right"/>
              <w:rPr>
                <w:rFonts w:ascii="Arial" w:eastAsia="Times New Roman" w:hAnsi="Arial" w:cs="Arial"/>
                <w:color w:val="000000"/>
                <w:sz w:val="22"/>
                <w:lang w:bidi="bn-BD"/>
              </w:rPr>
            </w:pPr>
            <w:r w:rsidRPr="00A343CD">
              <w:rPr>
                <w:rFonts w:ascii="Arial" w:eastAsia="Times New Roman" w:hAnsi="Arial" w:cs="Arial"/>
                <w:color w:val="000000"/>
                <w:sz w:val="22"/>
                <w:lang w:bidi="bn-BD"/>
              </w:rPr>
              <w:t>4.55 Years</w:t>
            </w:r>
          </w:p>
        </w:tc>
        <w:tc>
          <w:tcPr>
            <w:tcW w:w="0" w:type="auto"/>
            <w:tcBorders>
              <w:top w:val="nil"/>
              <w:left w:val="nil"/>
              <w:bottom w:val="single" w:sz="4" w:space="0" w:color="auto"/>
              <w:right w:val="single" w:sz="4" w:space="0" w:color="auto"/>
            </w:tcBorders>
            <w:noWrap/>
            <w:vAlign w:val="bottom"/>
            <w:hideMark/>
          </w:tcPr>
          <w:p w14:paraId="6418E048"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 </w:t>
            </w:r>
          </w:p>
        </w:tc>
      </w:tr>
    </w:tbl>
    <w:p w14:paraId="0F3881E2" w14:textId="77777777" w:rsidR="00047D0B" w:rsidRPr="00A343CD" w:rsidRDefault="00047D0B" w:rsidP="00047D0B">
      <w:pPr>
        <w:spacing w:after="0" w:line="276" w:lineRule="auto"/>
        <w:rPr>
          <w:rFonts w:ascii="Arial" w:hAnsi="Arial" w:cs="Arial"/>
        </w:rPr>
      </w:pPr>
    </w:p>
    <w:tbl>
      <w:tblPr>
        <w:tblW w:w="8980" w:type="dxa"/>
        <w:tblLook w:val="04A0" w:firstRow="1" w:lastRow="0" w:firstColumn="1" w:lastColumn="0" w:noHBand="0" w:noVBand="1"/>
      </w:tblPr>
      <w:tblGrid>
        <w:gridCol w:w="3226"/>
        <w:gridCol w:w="1376"/>
        <w:gridCol w:w="3002"/>
        <w:gridCol w:w="1376"/>
      </w:tblGrid>
      <w:tr w:rsidR="00047D0B" w:rsidRPr="00A343CD" w14:paraId="30872584" w14:textId="77777777" w:rsidTr="001E0121">
        <w:trPr>
          <w:trHeight w:val="365"/>
        </w:trPr>
        <w:tc>
          <w:tcPr>
            <w:tcW w:w="0" w:type="auto"/>
            <w:tcBorders>
              <w:top w:val="single" w:sz="4" w:space="0" w:color="auto"/>
              <w:left w:val="single" w:sz="4" w:space="0" w:color="auto"/>
              <w:bottom w:val="single" w:sz="4" w:space="0" w:color="auto"/>
              <w:right w:val="single" w:sz="4" w:space="0" w:color="auto"/>
            </w:tcBorders>
            <w:shd w:val="clear" w:color="CCE5FF" w:fill="CCE5FF"/>
            <w:noWrap/>
            <w:vAlign w:val="bottom"/>
            <w:hideMark/>
          </w:tcPr>
          <w:p w14:paraId="05DB6D28"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Metric</w:t>
            </w:r>
          </w:p>
        </w:tc>
        <w:tc>
          <w:tcPr>
            <w:tcW w:w="0" w:type="auto"/>
            <w:tcBorders>
              <w:top w:val="single" w:sz="4" w:space="0" w:color="auto"/>
              <w:left w:val="nil"/>
              <w:bottom w:val="single" w:sz="4" w:space="0" w:color="auto"/>
              <w:right w:val="single" w:sz="4" w:space="0" w:color="auto"/>
            </w:tcBorders>
            <w:shd w:val="clear" w:color="CCE5FF" w:fill="CCE5FF"/>
            <w:noWrap/>
            <w:vAlign w:val="bottom"/>
            <w:hideMark/>
          </w:tcPr>
          <w:p w14:paraId="4DF757E5"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A</w:t>
            </w:r>
          </w:p>
        </w:tc>
        <w:tc>
          <w:tcPr>
            <w:tcW w:w="0" w:type="auto"/>
            <w:tcBorders>
              <w:top w:val="single" w:sz="4" w:space="0" w:color="auto"/>
              <w:left w:val="nil"/>
              <w:bottom w:val="single" w:sz="4" w:space="0" w:color="auto"/>
              <w:right w:val="single" w:sz="4" w:space="0" w:color="auto"/>
            </w:tcBorders>
            <w:shd w:val="clear" w:color="CCE5FF" w:fill="CCE5FF"/>
            <w:noWrap/>
            <w:vAlign w:val="bottom"/>
            <w:hideMark/>
          </w:tcPr>
          <w:p w14:paraId="24F3C728"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B</w:t>
            </w:r>
          </w:p>
        </w:tc>
        <w:tc>
          <w:tcPr>
            <w:tcW w:w="0" w:type="auto"/>
            <w:tcBorders>
              <w:top w:val="single" w:sz="4" w:space="0" w:color="auto"/>
              <w:left w:val="nil"/>
              <w:bottom w:val="single" w:sz="4" w:space="0" w:color="auto"/>
              <w:right w:val="single" w:sz="4" w:space="0" w:color="auto"/>
            </w:tcBorders>
            <w:shd w:val="clear" w:color="CCE5FF" w:fill="CCE5FF"/>
            <w:noWrap/>
            <w:vAlign w:val="bottom"/>
            <w:hideMark/>
          </w:tcPr>
          <w:p w14:paraId="372C10A4" w14:textId="77777777" w:rsidR="00047D0B" w:rsidRPr="00A343CD" w:rsidRDefault="00047D0B" w:rsidP="00C563B5">
            <w:pPr>
              <w:spacing w:after="0" w:line="276" w:lineRule="auto"/>
              <w:jc w:val="left"/>
              <w:rPr>
                <w:rFonts w:ascii="Arial" w:eastAsia="Times New Roman" w:hAnsi="Arial" w:cs="Arial"/>
                <w:b/>
                <w:bCs/>
                <w:sz w:val="22"/>
                <w:lang w:bidi="bn-BD"/>
              </w:rPr>
            </w:pPr>
            <w:r w:rsidRPr="00A343CD">
              <w:rPr>
                <w:rFonts w:ascii="Arial" w:eastAsia="Times New Roman" w:hAnsi="Arial" w:cs="Arial"/>
                <w:b/>
                <w:bCs/>
                <w:sz w:val="22"/>
                <w:lang w:bidi="bn-BD"/>
              </w:rPr>
              <w:t>C</w:t>
            </w:r>
          </w:p>
        </w:tc>
      </w:tr>
      <w:tr w:rsidR="00047D0B" w:rsidRPr="00A343CD" w14:paraId="4DF705E8" w14:textId="77777777" w:rsidTr="001E0121">
        <w:trPr>
          <w:trHeight w:val="365"/>
        </w:trPr>
        <w:tc>
          <w:tcPr>
            <w:tcW w:w="0" w:type="auto"/>
            <w:tcBorders>
              <w:top w:val="nil"/>
              <w:left w:val="single" w:sz="4" w:space="0" w:color="auto"/>
              <w:bottom w:val="single" w:sz="4" w:space="0" w:color="auto"/>
              <w:right w:val="single" w:sz="4" w:space="0" w:color="auto"/>
            </w:tcBorders>
            <w:noWrap/>
            <w:vAlign w:val="bottom"/>
            <w:hideMark/>
          </w:tcPr>
          <w:p w14:paraId="4BB70CCC"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Payback Period (years)</w:t>
            </w:r>
          </w:p>
        </w:tc>
        <w:tc>
          <w:tcPr>
            <w:tcW w:w="0" w:type="auto"/>
            <w:tcBorders>
              <w:top w:val="nil"/>
              <w:left w:val="nil"/>
              <w:bottom w:val="single" w:sz="4" w:space="0" w:color="auto"/>
              <w:right w:val="single" w:sz="4" w:space="0" w:color="auto"/>
            </w:tcBorders>
            <w:noWrap/>
            <w:vAlign w:val="bottom"/>
            <w:hideMark/>
          </w:tcPr>
          <w:p w14:paraId="4872D1C4"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3.40 Years</w:t>
            </w:r>
          </w:p>
        </w:tc>
        <w:tc>
          <w:tcPr>
            <w:tcW w:w="0" w:type="auto"/>
            <w:tcBorders>
              <w:top w:val="nil"/>
              <w:left w:val="nil"/>
              <w:bottom w:val="single" w:sz="4" w:space="0" w:color="auto"/>
              <w:right w:val="single" w:sz="4" w:space="0" w:color="auto"/>
            </w:tcBorders>
            <w:noWrap/>
            <w:vAlign w:val="bottom"/>
            <w:hideMark/>
          </w:tcPr>
          <w:p w14:paraId="77E61601"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5.00 Years</w:t>
            </w:r>
          </w:p>
        </w:tc>
        <w:tc>
          <w:tcPr>
            <w:tcW w:w="0" w:type="auto"/>
            <w:tcBorders>
              <w:top w:val="nil"/>
              <w:left w:val="nil"/>
              <w:bottom w:val="single" w:sz="4" w:space="0" w:color="auto"/>
              <w:right w:val="single" w:sz="4" w:space="0" w:color="auto"/>
            </w:tcBorders>
            <w:noWrap/>
            <w:vAlign w:val="bottom"/>
            <w:hideMark/>
          </w:tcPr>
          <w:p w14:paraId="50E72158"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3.60 Years</w:t>
            </w:r>
          </w:p>
        </w:tc>
      </w:tr>
      <w:tr w:rsidR="00047D0B" w:rsidRPr="00A343CD" w14:paraId="3EF423C4" w14:textId="77777777" w:rsidTr="001E0121">
        <w:trPr>
          <w:trHeight w:val="730"/>
        </w:trPr>
        <w:tc>
          <w:tcPr>
            <w:tcW w:w="0" w:type="auto"/>
            <w:tcBorders>
              <w:top w:val="nil"/>
              <w:left w:val="single" w:sz="4" w:space="0" w:color="auto"/>
              <w:bottom w:val="single" w:sz="4" w:space="0" w:color="auto"/>
              <w:right w:val="single" w:sz="4" w:space="0" w:color="auto"/>
            </w:tcBorders>
            <w:noWrap/>
            <w:vAlign w:val="bottom"/>
            <w:hideMark/>
          </w:tcPr>
          <w:p w14:paraId="18AA866D"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Pay Back Period Discounted</w:t>
            </w:r>
          </w:p>
        </w:tc>
        <w:tc>
          <w:tcPr>
            <w:tcW w:w="0" w:type="auto"/>
            <w:tcBorders>
              <w:top w:val="nil"/>
              <w:left w:val="nil"/>
              <w:bottom w:val="single" w:sz="4" w:space="0" w:color="auto"/>
              <w:right w:val="single" w:sz="4" w:space="0" w:color="auto"/>
            </w:tcBorders>
            <w:noWrap/>
            <w:vAlign w:val="bottom"/>
            <w:hideMark/>
          </w:tcPr>
          <w:p w14:paraId="60F3C1B6"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4.73 Years</w:t>
            </w:r>
          </w:p>
        </w:tc>
        <w:tc>
          <w:tcPr>
            <w:tcW w:w="0" w:type="auto"/>
            <w:tcBorders>
              <w:top w:val="nil"/>
              <w:left w:val="nil"/>
              <w:bottom w:val="single" w:sz="4" w:space="0" w:color="auto"/>
              <w:right w:val="single" w:sz="4" w:space="0" w:color="auto"/>
            </w:tcBorders>
            <w:noWrap/>
            <w:vAlign w:val="bottom"/>
            <w:hideMark/>
          </w:tcPr>
          <w:p w14:paraId="025B5337"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Not recover within 5 Years</w:t>
            </w:r>
          </w:p>
        </w:tc>
        <w:tc>
          <w:tcPr>
            <w:tcW w:w="0" w:type="auto"/>
            <w:tcBorders>
              <w:top w:val="nil"/>
              <w:left w:val="nil"/>
              <w:bottom w:val="single" w:sz="4" w:space="0" w:color="auto"/>
              <w:right w:val="single" w:sz="4" w:space="0" w:color="auto"/>
            </w:tcBorders>
            <w:noWrap/>
            <w:vAlign w:val="bottom"/>
            <w:hideMark/>
          </w:tcPr>
          <w:p w14:paraId="04940E45"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4.55 Years</w:t>
            </w:r>
          </w:p>
        </w:tc>
      </w:tr>
      <w:tr w:rsidR="00047D0B" w:rsidRPr="00A343CD" w14:paraId="20BCF3F4" w14:textId="77777777" w:rsidTr="001E0121">
        <w:trPr>
          <w:trHeight w:val="365"/>
        </w:trPr>
        <w:tc>
          <w:tcPr>
            <w:tcW w:w="0" w:type="auto"/>
            <w:tcBorders>
              <w:top w:val="nil"/>
              <w:left w:val="single" w:sz="4" w:space="0" w:color="auto"/>
              <w:bottom w:val="single" w:sz="4" w:space="0" w:color="auto"/>
              <w:right w:val="single" w:sz="4" w:space="0" w:color="auto"/>
            </w:tcBorders>
            <w:noWrap/>
            <w:vAlign w:val="bottom"/>
            <w:hideMark/>
          </w:tcPr>
          <w:p w14:paraId="370CF79A"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ARR (%)</w:t>
            </w:r>
          </w:p>
        </w:tc>
        <w:tc>
          <w:tcPr>
            <w:tcW w:w="0" w:type="auto"/>
            <w:tcBorders>
              <w:top w:val="nil"/>
              <w:left w:val="nil"/>
              <w:bottom w:val="single" w:sz="4" w:space="0" w:color="auto"/>
              <w:right w:val="single" w:sz="4" w:space="0" w:color="auto"/>
            </w:tcBorders>
            <w:noWrap/>
            <w:vAlign w:val="bottom"/>
            <w:hideMark/>
          </w:tcPr>
          <w:p w14:paraId="07839E99"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7.00%</w:t>
            </w:r>
          </w:p>
        </w:tc>
        <w:tc>
          <w:tcPr>
            <w:tcW w:w="0" w:type="auto"/>
            <w:tcBorders>
              <w:top w:val="nil"/>
              <w:left w:val="nil"/>
              <w:bottom w:val="single" w:sz="4" w:space="0" w:color="auto"/>
              <w:right w:val="single" w:sz="4" w:space="0" w:color="auto"/>
            </w:tcBorders>
            <w:noWrap/>
            <w:vAlign w:val="bottom"/>
            <w:hideMark/>
          </w:tcPr>
          <w:p w14:paraId="5F680A47"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0.00%</w:t>
            </w:r>
          </w:p>
        </w:tc>
        <w:tc>
          <w:tcPr>
            <w:tcW w:w="0" w:type="auto"/>
            <w:tcBorders>
              <w:top w:val="nil"/>
              <w:left w:val="nil"/>
              <w:bottom w:val="single" w:sz="4" w:space="0" w:color="auto"/>
              <w:right w:val="single" w:sz="4" w:space="0" w:color="auto"/>
            </w:tcBorders>
            <w:noWrap/>
            <w:vAlign w:val="bottom"/>
            <w:hideMark/>
          </w:tcPr>
          <w:p w14:paraId="355F3690"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10.00%</w:t>
            </w:r>
          </w:p>
        </w:tc>
      </w:tr>
      <w:tr w:rsidR="00047D0B" w:rsidRPr="00A343CD" w14:paraId="51C86E54" w14:textId="77777777" w:rsidTr="001E0121">
        <w:trPr>
          <w:trHeight w:val="365"/>
        </w:trPr>
        <w:tc>
          <w:tcPr>
            <w:tcW w:w="0" w:type="auto"/>
            <w:tcBorders>
              <w:top w:val="nil"/>
              <w:left w:val="single" w:sz="4" w:space="0" w:color="auto"/>
              <w:bottom w:val="single" w:sz="4" w:space="0" w:color="auto"/>
              <w:right w:val="single" w:sz="4" w:space="0" w:color="auto"/>
            </w:tcBorders>
            <w:noWrap/>
            <w:vAlign w:val="bottom"/>
            <w:hideMark/>
          </w:tcPr>
          <w:p w14:paraId="0BE78F9E"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NPV (£m)</w:t>
            </w:r>
          </w:p>
        </w:tc>
        <w:tc>
          <w:tcPr>
            <w:tcW w:w="0" w:type="auto"/>
            <w:tcBorders>
              <w:top w:val="nil"/>
              <w:left w:val="nil"/>
              <w:bottom w:val="single" w:sz="4" w:space="0" w:color="auto"/>
              <w:right w:val="single" w:sz="4" w:space="0" w:color="auto"/>
            </w:tcBorders>
            <w:noWrap/>
            <w:vAlign w:val="bottom"/>
            <w:hideMark/>
          </w:tcPr>
          <w:p w14:paraId="4D7D47CF"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1.324177</w:t>
            </w:r>
          </w:p>
        </w:tc>
        <w:tc>
          <w:tcPr>
            <w:tcW w:w="0" w:type="auto"/>
            <w:tcBorders>
              <w:top w:val="nil"/>
              <w:left w:val="nil"/>
              <w:bottom w:val="single" w:sz="4" w:space="0" w:color="auto"/>
              <w:right w:val="single" w:sz="4" w:space="0" w:color="auto"/>
            </w:tcBorders>
            <w:noWrap/>
            <w:vAlign w:val="bottom"/>
            <w:hideMark/>
          </w:tcPr>
          <w:p w14:paraId="5A38BEDE"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-7.255279</w:t>
            </w:r>
          </w:p>
        </w:tc>
        <w:tc>
          <w:tcPr>
            <w:tcW w:w="0" w:type="auto"/>
            <w:tcBorders>
              <w:top w:val="nil"/>
              <w:left w:val="nil"/>
              <w:bottom w:val="single" w:sz="4" w:space="0" w:color="auto"/>
              <w:right w:val="single" w:sz="4" w:space="0" w:color="auto"/>
            </w:tcBorders>
            <w:noWrap/>
            <w:vAlign w:val="bottom"/>
            <w:hideMark/>
          </w:tcPr>
          <w:p w14:paraId="4DFF2F5A"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4.225370</w:t>
            </w:r>
          </w:p>
        </w:tc>
      </w:tr>
      <w:tr w:rsidR="00047D0B" w:rsidRPr="00A343CD" w14:paraId="5F14FED9" w14:textId="77777777" w:rsidTr="001E0121">
        <w:trPr>
          <w:trHeight w:val="365"/>
        </w:trPr>
        <w:tc>
          <w:tcPr>
            <w:tcW w:w="0" w:type="auto"/>
            <w:tcBorders>
              <w:top w:val="nil"/>
              <w:left w:val="single" w:sz="4" w:space="0" w:color="auto"/>
              <w:bottom w:val="single" w:sz="4" w:space="0" w:color="auto"/>
              <w:right w:val="single" w:sz="4" w:space="0" w:color="auto"/>
            </w:tcBorders>
            <w:noWrap/>
            <w:vAlign w:val="bottom"/>
            <w:hideMark/>
          </w:tcPr>
          <w:p w14:paraId="113D762B"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PI</w:t>
            </w:r>
          </w:p>
        </w:tc>
        <w:tc>
          <w:tcPr>
            <w:tcW w:w="0" w:type="auto"/>
            <w:tcBorders>
              <w:top w:val="nil"/>
              <w:left w:val="nil"/>
              <w:bottom w:val="single" w:sz="4" w:space="0" w:color="auto"/>
              <w:right w:val="single" w:sz="4" w:space="0" w:color="auto"/>
            </w:tcBorders>
            <w:noWrap/>
            <w:vAlign w:val="bottom"/>
            <w:hideMark/>
          </w:tcPr>
          <w:p w14:paraId="7DEB0770"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1.033104</w:t>
            </w:r>
          </w:p>
        </w:tc>
        <w:tc>
          <w:tcPr>
            <w:tcW w:w="0" w:type="auto"/>
            <w:tcBorders>
              <w:top w:val="nil"/>
              <w:left w:val="nil"/>
              <w:bottom w:val="single" w:sz="4" w:space="0" w:color="auto"/>
              <w:right w:val="single" w:sz="4" w:space="0" w:color="auto"/>
            </w:tcBorders>
            <w:noWrap/>
            <w:vAlign w:val="bottom"/>
            <w:hideMark/>
          </w:tcPr>
          <w:p w14:paraId="3C896041"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0.758157</w:t>
            </w:r>
          </w:p>
        </w:tc>
        <w:tc>
          <w:tcPr>
            <w:tcW w:w="0" w:type="auto"/>
            <w:tcBorders>
              <w:top w:val="nil"/>
              <w:left w:val="nil"/>
              <w:bottom w:val="single" w:sz="4" w:space="0" w:color="auto"/>
              <w:right w:val="single" w:sz="4" w:space="0" w:color="auto"/>
            </w:tcBorders>
            <w:noWrap/>
            <w:vAlign w:val="bottom"/>
            <w:hideMark/>
          </w:tcPr>
          <w:p w14:paraId="7D3E6E28"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1.084507</w:t>
            </w:r>
          </w:p>
        </w:tc>
      </w:tr>
      <w:tr w:rsidR="00047D0B" w:rsidRPr="00A343CD" w14:paraId="16738E29" w14:textId="77777777" w:rsidTr="001E0121">
        <w:trPr>
          <w:trHeight w:val="365"/>
        </w:trPr>
        <w:tc>
          <w:tcPr>
            <w:tcW w:w="0" w:type="auto"/>
            <w:tcBorders>
              <w:top w:val="nil"/>
              <w:left w:val="single" w:sz="4" w:space="0" w:color="auto"/>
              <w:bottom w:val="single" w:sz="4" w:space="0" w:color="auto"/>
              <w:right w:val="single" w:sz="4" w:space="0" w:color="auto"/>
            </w:tcBorders>
            <w:noWrap/>
            <w:vAlign w:val="bottom"/>
            <w:hideMark/>
          </w:tcPr>
          <w:p w14:paraId="4381B0A9"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IRR (%)</w:t>
            </w:r>
          </w:p>
        </w:tc>
        <w:tc>
          <w:tcPr>
            <w:tcW w:w="0" w:type="auto"/>
            <w:tcBorders>
              <w:top w:val="nil"/>
              <w:left w:val="nil"/>
              <w:bottom w:val="single" w:sz="4" w:space="0" w:color="auto"/>
              <w:right w:val="single" w:sz="4" w:space="0" w:color="auto"/>
            </w:tcBorders>
            <w:noWrap/>
            <w:vAlign w:val="bottom"/>
            <w:hideMark/>
          </w:tcPr>
          <w:p w14:paraId="61631776"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11.327177</w:t>
            </w:r>
          </w:p>
        </w:tc>
        <w:tc>
          <w:tcPr>
            <w:tcW w:w="0" w:type="auto"/>
            <w:tcBorders>
              <w:top w:val="nil"/>
              <w:left w:val="nil"/>
              <w:bottom w:val="single" w:sz="4" w:space="0" w:color="auto"/>
              <w:right w:val="single" w:sz="4" w:space="0" w:color="auto"/>
            </w:tcBorders>
            <w:noWrap/>
            <w:vAlign w:val="bottom"/>
            <w:hideMark/>
          </w:tcPr>
          <w:p w14:paraId="3188026E"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0.000000</w:t>
            </w:r>
          </w:p>
        </w:tc>
        <w:tc>
          <w:tcPr>
            <w:tcW w:w="0" w:type="auto"/>
            <w:tcBorders>
              <w:top w:val="nil"/>
              <w:left w:val="nil"/>
              <w:bottom w:val="single" w:sz="4" w:space="0" w:color="auto"/>
              <w:right w:val="single" w:sz="4" w:space="0" w:color="auto"/>
            </w:tcBorders>
            <w:noWrap/>
            <w:vAlign w:val="bottom"/>
            <w:hideMark/>
          </w:tcPr>
          <w:p w14:paraId="49D1F367" w14:textId="77777777" w:rsidR="00047D0B" w:rsidRPr="00A343CD" w:rsidRDefault="00047D0B" w:rsidP="00C563B5">
            <w:pPr>
              <w:spacing w:after="0" w:line="276" w:lineRule="auto"/>
              <w:jc w:val="left"/>
              <w:rPr>
                <w:rFonts w:ascii="Arial" w:eastAsia="Times New Roman" w:hAnsi="Arial" w:cs="Arial"/>
                <w:color w:val="000000"/>
                <w:sz w:val="22"/>
                <w:lang w:bidi="bn-BD"/>
              </w:rPr>
            </w:pPr>
            <w:r w:rsidRPr="00A343CD">
              <w:rPr>
                <w:rFonts w:ascii="Arial" w:eastAsia="Times New Roman" w:hAnsi="Arial" w:cs="Arial"/>
                <w:color w:val="000000"/>
                <w:sz w:val="22"/>
                <w:lang w:bidi="bn-BD"/>
              </w:rPr>
              <w:t>12.719763</w:t>
            </w:r>
          </w:p>
        </w:tc>
      </w:tr>
    </w:tbl>
    <w:p w14:paraId="6A218944" w14:textId="77777777" w:rsidR="00047D0B" w:rsidRPr="00A343CD" w:rsidRDefault="00047D0B" w:rsidP="00047D0B">
      <w:pPr>
        <w:spacing w:after="0" w:line="276" w:lineRule="auto"/>
        <w:rPr>
          <w:rFonts w:ascii="Arial" w:hAnsi="Arial" w:cs="Arial"/>
        </w:rPr>
      </w:pPr>
    </w:p>
    <w:p w14:paraId="239BF5C2" w14:textId="77777777" w:rsidR="00047D0B" w:rsidRPr="00A343CD" w:rsidRDefault="00047D0B" w:rsidP="00047D0B">
      <w:pPr>
        <w:spacing w:after="0" w:line="276" w:lineRule="auto"/>
        <w:rPr>
          <w:rFonts w:ascii="Arial" w:hAnsi="Arial" w:cs="Arial"/>
        </w:rPr>
      </w:pPr>
    </w:p>
    <w:p w14:paraId="252A6012" w14:textId="77777777" w:rsidR="003C3925" w:rsidRPr="00A343CD" w:rsidRDefault="003C3925">
      <w:pPr>
        <w:rPr>
          <w:rFonts w:ascii="Arial" w:hAnsi="Arial" w:cs="Arial"/>
        </w:rPr>
      </w:pPr>
    </w:p>
    <w:sectPr w:rsidR="003C3925" w:rsidRPr="00A343C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264B2" w14:textId="77777777" w:rsidR="003058BC" w:rsidRPr="003A4985" w:rsidRDefault="003058BC">
      <w:pPr>
        <w:spacing w:after="0" w:line="240" w:lineRule="auto"/>
      </w:pPr>
      <w:r w:rsidRPr="003A4985">
        <w:separator/>
      </w:r>
    </w:p>
  </w:endnote>
  <w:endnote w:type="continuationSeparator" w:id="0">
    <w:p w14:paraId="3DAFA21B" w14:textId="77777777" w:rsidR="003058BC" w:rsidRPr="003A4985" w:rsidRDefault="003058BC">
      <w:pPr>
        <w:spacing w:after="0" w:line="240" w:lineRule="auto"/>
      </w:pPr>
      <w:r w:rsidRPr="003A498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487280"/>
      <w:docPartObj>
        <w:docPartGallery w:val="Page Numbers (Bottom of Page)"/>
        <w:docPartUnique/>
      </w:docPartObj>
    </w:sdtPr>
    <w:sdtContent>
      <w:p w14:paraId="6C7E9797" w14:textId="77777777" w:rsidR="00E32F60" w:rsidRPr="003A4985" w:rsidRDefault="00835637">
        <w:pPr>
          <w:pStyle w:val="Footer"/>
          <w:jc w:val="center"/>
        </w:pPr>
        <w:r w:rsidRPr="003A4985">
          <w:fldChar w:fldCharType="begin"/>
        </w:r>
        <w:r w:rsidRPr="003A4985">
          <w:instrText xml:space="preserve"> PAGE   \* MERGEFORMAT </w:instrText>
        </w:r>
        <w:r w:rsidRPr="003A4985">
          <w:fldChar w:fldCharType="separate"/>
        </w:r>
        <w:r w:rsidRPr="003A4985">
          <w:t>2</w:t>
        </w:r>
        <w:r w:rsidRPr="003A4985">
          <w:fldChar w:fldCharType="end"/>
        </w:r>
      </w:p>
    </w:sdtContent>
  </w:sdt>
  <w:p w14:paraId="4F8A5FBC" w14:textId="77777777" w:rsidR="00E32F60" w:rsidRPr="003A4985" w:rsidRDefault="00E32F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98F72" w14:textId="77777777" w:rsidR="003058BC" w:rsidRPr="003A4985" w:rsidRDefault="003058BC">
      <w:pPr>
        <w:spacing w:after="0" w:line="240" w:lineRule="auto"/>
      </w:pPr>
      <w:r w:rsidRPr="003A4985">
        <w:separator/>
      </w:r>
    </w:p>
  </w:footnote>
  <w:footnote w:type="continuationSeparator" w:id="0">
    <w:p w14:paraId="3EE45CAB" w14:textId="77777777" w:rsidR="003058BC" w:rsidRPr="003A4985" w:rsidRDefault="003058BC">
      <w:pPr>
        <w:spacing w:after="0" w:line="240" w:lineRule="auto"/>
      </w:pPr>
      <w:r w:rsidRPr="003A498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E6F6E8FC"/>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50C4E0F"/>
    <w:multiLevelType w:val="hybridMultilevel"/>
    <w:tmpl w:val="9D1CCDF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12201AB8"/>
    <w:multiLevelType w:val="hybridMultilevel"/>
    <w:tmpl w:val="7400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577441"/>
    <w:multiLevelType w:val="hybridMultilevel"/>
    <w:tmpl w:val="7E12F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7036F2"/>
    <w:multiLevelType w:val="hybridMultilevel"/>
    <w:tmpl w:val="53520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EF48FB"/>
    <w:multiLevelType w:val="hybridMultilevel"/>
    <w:tmpl w:val="F1061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06154B"/>
    <w:multiLevelType w:val="hybridMultilevel"/>
    <w:tmpl w:val="F2A2D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2D0446"/>
    <w:multiLevelType w:val="hybridMultilevel"/>
    <w:tmpl w:val="46DCE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8B61EF"/>
    <w:multiLevelType w:val="hybridMultilevel"/>
    <w:tmpl w:val="B3846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2707038">
    <w:abstractNumId w:val="5"/>
  </w:num>
  <w:num w:numId="2" w16cid:durableId="146435275">
    <w:abstractNumId w:val="3"/>
  </w:num>
  <w:num w:numId="3" w16cid:durableId="672227667">
    <w:abstractNumId w:val="2"/>
  </w:num>
  <w:num w:numId="4" w16cid:durableId="387151938">
    <w:abstractNumId w:val="4"/>
  </w:num>
  <w:num w:numId="5" w16cid:durableId="272444139">
    <w:abstractNumId w:val="1"/>
  </w:num>
  <w:num w:numId="6" w16cid:durableId="242884736">
    <w:abstractNumId w:val="0"/>
  </w:num>
  <w:num w:numId="7" w16cid:durableId="1404372810">
    <w:abstractNumId w:val="8"/>
  </w:num>
  <w:num w:numId="8" w16cid:durableId="1815246369">
    <w:abstractNumId w:val="11"/>
  </w:num>
  <w:num w:numId="9" w16cid:durableId="357509870">
    <w:abstractNumId w:val="6"/>
  </w:num>
  <w:num w:numId="10" w16cid:durableId="1229851687">
    <w:abstractNumId w:val="12"/>
  </w:num>
  <w:num w:numId="11" w16cid:durableId="1890532953">
    <w:abstractNumId w:val="13"/>
  </w:num>
  <w:num w:numId="12" w16cid:durableId="674110421">
    <w:abstractNumId w:val="10"/>
  </w:num>
  <w:num w:numId="13" w16cid:durableId="1142845724">
    <w:abstractNumId w:val="7"/>
  </w:num>
  <w:num w:numId="14" w16cid:durableId="1433359525">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D0B"/>
    <w:rsid w:val="00005BEF"/>
    <w:rsid w:val="00047D0B"/>
    <w:rsid w:val="00062587"/>
    <w:rsid w:val="00095B2B"/>
    <w:rsid w:val="000E49AE"/>
    <w:rsid w:val="00164076"/>
    <w:rsid w:val="00172B10"/>
    <w:rsid w:val="00183AB7"/>
    <w:rsid w:val="001D3D16"/>
    <w:rsid w:val="001E0121"/>
    <w:rsid w:val="003058BC"/>
    <w:rsid w:val="003A4985"/>
    <w:rsid w:val="003C3925"/>
    <w:rsid w:val="003E2C9E"/>
    <w:rsid w:val="004F67D8"/>
    <w:rsid w:val="00520413"/>
    <w:rsid w:val="00532B43"/>
    <w:rsid w:val="00565CCF"/>
    <w:rsid w:val="005F52BE"/>
    <w:rsid w:val="006214E1"/>
    <w:rsid w:val="006927AA"/>
    <w:rsid w:val="00725F76"/>
    <w:rsid w:val="00756136"/>
    <w:rsid w:val="007E127A"/>
    <w:rsid w:val="00835637"/>
    <w:rsid w:val="00862C13"/>
    <w:rsid w:val="00906768"/>
    <w:rsid w:val="009D160D"/>
    <w:rsid w:val="00A02DC5"/>
    <w:rsid w:val="00A343CD"/>
    <w:rsid w:val="00A77EE7"/>
    <w:rsid w:val="00A878BF"/>
    <w:rsid w:val="00AC7BD4"/>
    <w:rsid w:val="00AF49E7"/>
    <w:rsid w:val="00B33099"/>
    <w:rsid w:val="00B50419"/>
    <w:rsid w:val="00B97329"/>
    <w:rsid w:val="00CF6625"/>
    <w:rsid w:val="00D059D7"/>
    <w:rsid w:val="00DE20D9"/>
    <w:rsid w:val="00E32F60"/>
    <w:rsid w:val="00E4718D"/>
    <w:rsid w:val="00E5099E"/>
    <w:rsid w:val="00E6727C"/>
    <w:rsid w:val="00FA390B"/>
    <w:rsid w:val="00FA7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C6B29"/>
  <w15:chartTrackingRefBased/>
  <w15:docId w15:val="{086D6309-0122-458C-9F04-77024F119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D0B"/>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47D0B"/>
    <w:pPr>
      <w:keepNext/>
      <w:keepLines/>
      <w:spacing w:before="360" w:after="0"/>
      <w:outlineLvl w:val="0"/>
    </w:pPr>
    <w:rPr>
      <w:rFonts w:eastAsiaTheme="majorEastAsia" w:cs="Times New Roman"/>
      <w:b/>
      <w:bCs/>
      <w:color w:val="2F5496" w:themeColor="accent1" w:themeShade="BF"/>
      <w:sz w:val="32"/>
      <w:szCs w:val="28"/>
    </w:rPr>
  </w:style>
  <w:style w:type="paragraph" w:styleId="Heading2">
    <w:name w:val="heading 2"/>
    <w:basedOn w:val="Normal"/>
    <w:next w:val="Normal"/>
    <w:link w:val="Heading2Char"/>
    <w:autoRedefine/>
    <w:uiPriority w:val="9"/>
    <w:unhideWhenUsed/>
    <w:qFormat/>
    <w:rsid w:val="00047D0B"/>
    <w:pPr>
      <w:keepNext/>
      <w:keepLines/>
      <w:spacing w:before="80" w:after="0"/>
      <w:outlineLvl w:val="1"/>
    </w:pPr>
    <w:rPr>
      <w:rFonts w:eastAsiaTheme="majorEastAsia" w:cs="Times New Roman"/>
      <w:b/>
      <w:bCs/>
      <w:color w:val="4472C4" w:themeColor="accent1"/>
      <w:sz w:val="28"/>
      <w:szCs w:val="26"/>
    </w:rPr>
  </w:style>
  <w:style w:type="paragraph" w:styleId="Heading3">
    <w:name w:val="heading 3"/>
    <w:basedOn w:val="Normal"/>
    <w:next w:val="Normal"/>
    <w:link w:val="Heading3Char"/>
    <w:uiPriority w:val="9"/>
    <w:unhideWhenUsed/>
    <w:qFormat/>
    <w:rsid w:val="00047D0B"/>
    <w:pPr>
      <w:keepNext/>
      <w:keepLines/>
      <w:spacing w:before="200" w:after="0"/>
      <w:outlineLvl w:val="2"/>
    </w:pPr>
    <w:rPr>
      <w:rFonts w:eastAsiaTheme="majorEastAsia" w:cstheme="majorBidi"/>
      <w:b/>
      <w:bCs/>
      <w:color w:val="4472C4" w:themeColor="accent1"/>
    </w:rPr>
  </w:style>
  <w:style w:type="paragraph" w:styleId="Heading4">
    <w:name w:val="heading 4"/>
    <w:basedOn w:val="Normal"/>
    <w:next w:val="Normal"/>
    <w:link w:val="Heading4Char"/>
    <w:uiPriority w:val="9"/>
    <w:semiHidden/>
    <w:unhideWhenUsed/>
    <w:qFormat/>
    <w:rsid w:val="00047D0B"/>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047D0B"/>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047D0B"/>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047D0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47D0B"/>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047D0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D0B"/>
    <w:rPr>
      <w:rFonts w:ascii="Times New Roman" w:eastAsiaTheme="majorEastAsia" w:hAnsi="Times New Roman" w:cs="Times New Roman"/>
      <w:b/>
      <w:bCs/>
      <w:color w:val="2F5496" w:themeColor="accent1" w:themeShade="BF"/>
      <w:sz w:val="32"/>
      <w:szCs w:val="28"/>
    </w:rPr>
  </w:style>
  <w:style w:type="character" w:customStyle="1" w:styleId="Heading2Char">
    <w:name w:val="Heading 2 Char"/>
    <w:basedOn w:val="DefaultParagraphFont"/>
    <w:link w:val="Heading2"/>
    <w:uiPriority w:val="9"/>
    <w:rsid w:val="00047D0B"/>
    <w:rPr>
      <w:rFonts w:ascii="Times New Roman" w:eastAsiaTheme="majorEastAsia" w:hAnsi="Times New Roman" w:cs="Times New Roman"/>
      <w:b/>
      <w:bCs/>
      <w:color w:val="4472C4" w:themeColor="accent1"/>
      <w:sz w:val="28"/>
      <w:szCs w:val="26"/>
    </w:rPr>
  </w:style>
  <w:style w:type="character" w:customStyle="1" w:styleId="Heading3Char">
    <w:name w:val="Heading 3 Char"/>
    <w:basedOn w:val="DefaultParagraphFont"/>
    <w:link w:val="Heading3"/>
    <w:uiPriority w:val="9"/>
    <w:rsid w:val="00047D0B"/>
    <w:rPr>
      <w:rFonts w:ascii="Times New Roman" w:eastAsiaTheme="majorEastAsia" w:hAnsi="Times New Roman" w:cstheme="majorBidi"/>
      <w:b/>
      <w:bCs/>
      <w:color w:val="4472C4" w:themeColor="accent1"/>
      <w:sz w:val="24"/>
    </w:rPr>
  </w:style>
  <w:style w:type="character" w:customStyle="1" w:styleId="Heading4Char">
    <w:name w:val="Heading 4 Char"/>
    <w:basedOn w:val="DefaultParagraphFont"/>
    <w:link w:val="Heading4"/>
    <w:uiPriority w:val="9"/>
    <w:semiHidden/>
    <w:rsid w:val="00047D0B"/>
    <w:rPr>
      <w:rFonts w:asciiTheme="majorHAnsi" w:eastAsiaTheme="majorEastAsia" w:hAnsiTheme="majorHAnsi" w:cstheme="majorBidi"/>
      <w:b/>
      <w:bCs/>
      <w:i/>
      <w:iCs/>
      <w:color w:val="4472C4" w:themeColor="accent1"/>
      <w:sz w:val="24"/>
    </w:rPr>
  </w:style>
  <w:style w:type="character" w:customStyle="1" w:styleId="Heading5Char">
    <w:name w:val="Heading 5 Char"/>
    <w:basedOn w:val="DefaultParagraphFont"/>
    <w:link w:val="Heading5"/>
    <w:uiPriority w:val="9"/>
    <w:semiHidden/>
    <w:rsid w:val="00047D0B"/>
    <w:rPr>
      <w:rFonts w:asciiTheme="majorHAnsi" w:eastAsiaTheme="majorEastAsia" w:hAnsiTheme="majorHAnsi" w:cstheme="majorBidi"/>
      <w:color w:val="1F3763" w:themeColor="accent1" w:themeShade="7F"/>
      <w:sz w:val="24"/>
    </w:rPr>
  </w:style>
  <w:style w:type="character" w:customStyle="1" w:styleId="Heading6Char">
    <w:name w:val="Heading 6 Char"/>
    <w:basedOn w:val="DefaultParagraphFont"/>
    <w:link w:val="Heading6"/>
    <w:uiPriority w:val="9"/>
    <w:semiHidden/>
    <w:rsid w:val="00047D0B"/>
    <w:rPr>
      <w:rFonts w:asciiTheme="majorHAnsi" w:eastAsiaTheme="majorEastAsia" w:hAnsiTheme="majorHAnsi" w:cstheme="majorBidi"/>
      <w:i/>
      <w:iCs/>
      <w:color w:val="1F3763" w:themeColor="accent1" w:themeShade="7F"/>
      <w:sz w:val="24"/>
    </w:rPr>
  </w:style>
  <w:style w:type="character" w:customStyle="1" w:styleId="Heading7Char">
    <w:name w:val="Heading 7 Char"/>
    <w:basedOn w:val="DefaultParagraphFont"/>
    <w:link w:val="Heading7"/>
    <w:uiPriority w:val="9"/>
    <w:semiHidden/>
    <w:rsid w:val="00047D0B"/>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047D0B"/>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047D0B"/>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047D0B"/>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047D0B"/>
    <w:rPr>
      <w:rFonts w:ascii="Times New Roman" w:eastAsiaTheme="minorEastAsia" w:hAnsi="Times New Roman"/>
      <w:sz w:val="24"/>
    </w:rPr>
  </w:style>
  <w:style w:type="paragraph" w:styleId="Footer">
    <w:name w:val="footer"/>
    <w:basedOn w:val="Normal"/>
    <w:link w:val="FooterChar"/>
    <w:uiPriority w:val="99"/>
    <w:unhideWhenUsed/>
    <w:rsid w:val="00047D0B"/>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047D0B"/>
    <w:rPr>
      <w:rFonts w:ascii="Times New Roman" w:eastAsiaTheme="minorEastAsia" w:hAnsi="Times New Roman"/>
      <w:sz w:val="24"/>
    </w:rPr>
  </w:style>
  <w:style w:type="paragraph" w:styleId="NoSpacing">
    <w:name w:val="No Spacing"/>
    <w:uiPriority w:val="1"/>
    <w:qFormat/>
    <w:rsid w:val="00047D0B"/>
    <w:pPr>
      <w:spacing w:after="0" w:line="240" w:lineRule="auto"/>
    </w:pPr>
    <w:rPr>
      <w:rFonts w:eastAsiaTheme="minorEastAsia"/>
    </w:rPr>
  </w:style>
  <w:style w:type="paragraph" w:styleId="Title">
    <w:name w:val="Title"/>
    <w:basedOn w:val="Normal"/>
    <w:next w:val="Normal"/>
    <w:link w:val="TitleChar"/>
    <w:uiPriority w:val="10"/>
    <w:qFormat/>
    <w:rsid w:val="00047D0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047D0B"/>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047D0B"/>
    <w:pPr>
      <w:numPr>
        <w:ilvl w:val="1"/>
      </w:numPr>
      <w:spacing w:after="200"/>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047D0B"/>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047D0B"/>
    <w:pPr>
      <w:spacing w:after="200"/>
      <w:ind w:left="720"/>
      <w:contextualSpacing/>
    </w:pPr>
    <w:rPr>
      <w:rFonts w:eastAsiaTheme="minorEastAsia"/>
    </w:rPr>
  </w:style>
  <w:style w:type="paragraph" w:styleId="BodyText">
    <w:name w:val="Body Text"/>
    <w:basedOn w:val="Normal"/>
    <w:link w:val="BodyTextChar"/>
    <w:uiPriority w:val="99"/>
    <w:unhideWhenUsed/>
    <w:rsid w:val="00047D0B"/>
    <w:pPr>
      <w:spacing w:after="120"/>
    </w:pPr>
    <w:rPr>
      <w:rFonts w:eastAsiaTheme="minorEastAsia"/>
    </w:rPr>
  </w:style>
  <w:style w:type="character" w:customStyle="1" w:styleId="BodyTextChar">
    <w:name w:val="Body Text Char"/>
    <w:basedOn w:val="DefaultParagraphFont"/>
    <w:link w:val="BodyText"/>
    <w:uiPriority w:val="99"/>
    <w:rsid w:val="00047D0B"/>
    <w:rPr>
      <w:rFonts w:ascii="Times New Roman" w:eastAsiaTheme="minorEastAsia" w:hAnsi="Times New Roman"/>
      <w:sz w:val="24"/>
    </w:rPr>
  </w:style>
  <w:style w:type="paragraph" w:styleId="BodyText2">
    <w:name w:val="Body Text 2"/>
    <w:basedOn w:val="Normal"/>
    <w:link w:val="BodyText2Char"/>
    <w:uiPriority w:val="99"/>
    <w:unhideWhenUsed/>
    <w:rsid w:val="00047D0B"/>
    <w:pPr>
      <w:spacing w:after="120" w:line="480" w:lineRule="auto"/>
    </w:pPr>
    <w:rPr>
      <w:rFonts w:eastAsiaTheme="minorEastAsia"/>
    </w:rPr>
  </w:style>
  <w:style w:type="character" w:customStyle="1" w:styleId="BodyText2Char">
    <w:name w:val="Body Text 2 Char"/>
    <w:basedOn w:val="DefaultParagraphFont"/>
    <w:link w:val="BodyText2"/>
    <w:uiPriority w:val="99"/>
    <w:rsid w:val="00047D0B"/>
    <w:rPr>
      <w:rFonts w:ascii="Times New Roman" w:eastAsiaTheme="minorEastAsia" w:hAnsi="Times New Roman"/>
      <w:sz w:val="24"/>
    </w:rPr>
  </w:style>
  <w:style w:type="paragraph" w:styleId="BodyText3">
    <w:name w:val="Body Text 3"/>
    <w:basedOn w:val="Normal"/>
    <w:link w:val="BodyText3Char"/>
    <w:uiPriority w:val="99"/>
    <w:unhideWhenUsed/>
    <w:rsid w:val="00047D0B"/>
    <w:pPr>
      <w:spacing w:after="120"/>
    </w:pPr>
    <w:rPr>
      <w:rFonts w:eastAsiaTheme="minorEastAsia"/>
      <w:sz w:val="16"/>
      <w:szCs w:val="16"/>
    </w:rPr>
  </w:style>
  <w:style w:type="character" w:customStyle="1" w:styleId="BodyText3Char">
    <w:name w:val="Body Text 3 Char"/>
    <w:basedOn w:val="DefaultParagraphFont"/>
    <w:link w:val="BodyText3"/>
    <w:uiPriority w:val="99"/>
    <w:rsid w:val="00047D0B"/>
    <w:rPr>
      <w:rFonts w:ascii="Times New Roman" w:eastAsiaTheme="minorEastAsia" w:hAnsi="Times New Roman"/>
      <w:sz w:val="16"/>
      <w:szCs w:val="16"/>
    </w:rPr>
  </w:style>
  <w:style w:type="paragraph" w:styleId="List">
    <w:name w:val="List"/>
    <w:basedOn w:val="Normal"/>
    <w:uiPriority w:val="99"/>
    <w:unhideWhenUsed/>
    <w:rsid w:val="00047D0B"/>
    <w:pPr>
      <w:spacing w:after="200"/>
      <w:ind w:left="360" w:hanging="360"/>
      <w:contextualSpacing/>
    </w:pPr>
    <w:rPr>
      <w:rFonts w:eastAsiaTheme="minorEastAsia"/>
    </w:rPr>
  </w:style>
  <w:style w:type="paragraph" w:styleId="List2">
    <w:name w:val="List 2"/>
    <w:basedOn w:val="Normal"/>
    <w:uiPriority w:val="99"/>
    <w:unhideWhenUsed/>
    <w:rsid w:val="00047D0B"/>
    <w:pPr>
      <w:spacing w:after="200"/>
      <w:ind w:left="720" w:hanging="360"/>
      <w:contextualSpacing/>
    </w:pPr>
    <w:rPr>
      <w:rFonts w:eastAsiaTheme="minorEastAsia"/>
    </w:rPr>
  </w:style>
  <w:style w:type="paragraph" w:styleId="List3">
    <w:name w:val="List 3"/>
    <w:basedOn w:val="Normal"/>
    <w:uiPriority w:val="99"/>
    <w:unhideWhenUsed/>
    <w:rsid w:val="00047D0B"/>
    <w:pPr>
      <w:spacing w:after="200"/>
      <w:ind w:left="1080" w:hanging="360"/>
      <w:contextualSpacing/>
    </w:pPr>
    <w:rPr>
      <w:rFonts w:eastAsiaTheme="minorEastAsia"/>
    </w:rPr>
  </w:style>
  <w:style w:type="paragraph" w:styleId="ListBullet">
    <w:name w:val="List Bullet"/>
    <w:basedOn w:val="Normal"/>
    <w:uiPriority w:val="99"/>
    <w:unhideWhenUsed/>
    <w:rsid w:val="00047D0B"/>
    <w:pPr>
      <w:numPr>
        <w:numId w:val="1"/>
      </w:numPr>
      <w:spacing w:after="200"/>
      <w:contextualSpacing/>
    </w:pPr>
    <w:rPr>
      <w:rFonts w:eastAsiaTheme="minorEastAsia"/>
    </w:rPr>
  </w:style>
  <w:style w:type="paragraph" w:styleId="ListBullet2">
    <w:name w:val="List Bullet 2"/>
    <w:basedOn w:val="Normal"/>
    <w:uiPriority w:val="99"/>
    <w:unhideWhenUsed/>
    <w:rsid w:val="00047D0B"/>
    <w:pPr>
      <w:numPr>
        <w:numId w:val="2"/>
      </w:numPr>
      <w:spacing w:after="200"/>
      <w:contextualSpacing/>
    </w:pPr>
    <w:rPr>
      <w:rFonts w:eastAsiaTheme="minorEastAsia"/>
    </w:rPr>
  </w:style>
  <w:style w:type="paragraph" w:styleId="ListBullet3">
    <w:name w:val="List Bullet 3"/>
    <w:basedOn w:val="Normal"/>
    <w:uiPriority w:val="99"/>
    <w:unhideWhenUsed/>
    <w:rsid w:val="00047D0B"/>
    <w:pPr>
      <w:numPr>
        <w:numId w:val="3"/>
      </w:numPr>
      <w:spacing w:after="200"/>
      <w:contextualSpacing/>
    </w:pPr>
    <w:rPr>
      <w:rFonts w:eastAsiaTheme="minorEastAsia"/>
    </w:rPr>
  </w:style>
  <w:style w:type="paragraph" w:styleId="ListNumber">
    <w:name w:val="List Number"/>
    <w:basedOn w:val="Normal"/>
    <w:uiPriority w:val="99"/>
    <w:unhideWhenUsed/>
    <w:rsid w:val="00047D0B"/>
    <w:pPr>
      <w:numPr>
        <w:numId w:val="4"/>
      </w:numPr>
      <w:spacing w:after="200"/>
      <w:contextualSpacing/>
    </w:pPr>
    <w:rPr>
      <w:rFonts w:eastAsiaTheme="minorEastAsia"/>
    </w:rPr>
  </w:style>
  <w:style w:type="paragraph" w:styleId="ListNumber2">
    <w:name w:val="List Number 2"/>
    <w:basedOn w:val="Normal"/>
    <w:uiPriority w:val="99"/>
    <w:unhideWhenUsed/>
    <w:rsid w:val="00047D0B"/>
    <w:pPr>
      <w:numPr>
        <w:numId w:val="5"/>
      </w:numPr>
      <w:spacing w:after="200"/>
      <w:contextualSpacing/>
    </w:pPr>
    <w:rPr>
      <w:rFonts w:eastAsiaTheme="minorEastAsia"/>
    </w:rPr>
  </w:style>
  <w:style w:type="paragraph" w:styleId="ListNumber3">
    <w:name w:val="List Number 3"/>
    <w:basedOn w:val="Normal"/>
    <w:uiPriority w:val="99"/>
    <w:unhideWhenUsed/>
    <w:rsid w:val="00047D0B"/>
    <w:pPr>
      <w:numPr>
        <w:numId w:val="6"/>
      </w:numPr>
      <w:spacing w:after="200"/>
      <w:contextualSpacing/>
    </w:pPr>
    <w:rPr>
      <w:rFonts w:eastAsiaTheme="minorEastAsia"/>
    </w:rPr>
  </w:style>
  <w:style w:type="paragraph" w:styleId="ListContinue">
    <w:name w:val="List Continue"/>
    <w:basedOn w:val="Normal"/>
    <w:uiPriority w:val="99"/>
    <w:unhideWhenUsed/>
    <w:rsid w:val="00047D0B"/>
    <w:pPr>
      <w:spacing w:after="120"/>
      <w:ind w:left="360"/>
      <w:contextualSpacing/>
    </w:pPr>
    <w:rPr>
      <w:rFonts w:eastAsiaTheme="minorEastAsia"/>
    </w:rPr>
  </w:style>
  <w:style w:type="paragraph" w:styleId="ListContinue2">
    <w:name w:val="List Continue 2"/>
    <w:basedOn w:val="Normal"/>
    <w:uiPriority w:val="99"/>
    <w:unhideWhenUsed/>
    <w:rsid w:val="00047D0B"/>
    <w:pPr>
      <w:spacing w:after="120"/>
      <w:ind w:left="720"/>
      <w:contextualSpacing/>
    </w:pPr>
    <w:rPr>
      <w:rFonts w:eastAsiaTheme="minorEastAsia"/>
    </w:rPr>
  </w:style>
  <w:style w:type="paragraph" w:styleId="ListContinue3">
    <w:name w:val="List Continue 3"/>
    <w:basedOn w:val="Normal"/>
    <w:uiPriority w:val="99"/>
    <w:unhideWhenUsed/>
    <w:rsid w:val="00047D0B"/>
    <w:pPr>
      <w:spacing w:after="120"/>
      <w:ind w:left="1080"/>
      <w:contextualSpacing/>
    </w:pPr>
    <w:rPr>
      <w:rFonts w:eastAsiaTheme="minorEastAsia"/>
    </w:rPr>
  </w:style>
  <w:style w:type="paragraph" w:styleId="MacroText">
    <w:name w:val="macro"/>
    <w:link w:val="MacroTextChar"/>
    <w:uiPriority w:val="99"/>
    <w:unhideWhenUsed/>
    <w:rsid w:val="00047D0B"/>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047D0B"/>
    <w:rPr>
      <w:rFonts w:ascii="Courier" w:eastAsiaTheme="minorEastAsia" w:hAnsi="Courier"/>
      <w:sz w:val="20"/>
      <w:szCs w:val="20"/>
    </w:rPr>
  </w:style>
  <w:style w:type="paragraph" w:styleId="Quote">
    <w:name w:val="Quote"/>
    <w:basedOn w:val="Normal"/>
    <w:next w:val="Normal"/>
    <w:link w:val="QuoteChar"/>
    <w:uiPriority w:val="29"/>
    <w:qFormat/>
    <w:rsid w:val="00047D0B"/>
    <w:pPr>
      <w:spacing w:after="200"/>
    </w:pPr>
    <w:rPr>
      <w:rFonts w:eastAsiaTheme="minorEastAsia"/>
      <w:i/>
      <w:iCs/>
      <w:color w:val="000000" w:themeColor="text1"/>
    </w:rPr>
  </w:style>
  <w:style w:type="character" w:customStyle="1" w:styleId="QuoteChar">
    <w:name w:val="Quote Char"/>
    <w:basedOn w:val="DefaultParagraphFont"/>
    <w:link w:val="Quote"/>
    <w:uiPriority w:val="29"/>
    <w:rsid w:val="00047D0B"/>
    <w:rPr>
      <w:rFonts w:ascii="Times New Roman" w:eastAsiaTheme="minorEastAsia" w:hAnsi="Times New Roman"/>
      <w:i/>
      <w:iCs/>
      <w:color w:val="000000" w:themeColor="text1"/>
      <w:sz w:val="24"/>
    </w:rPr>
  </w:style>
  <w:style w:type="paragraph" w:styleId="Caption">
    <w:name w:val="caption"/>
    <w:basedOn w:val="Normal"/>
    <w:next w:val="Normal"/>
    <w:uiPriority w:val="35"/>
    <w:semiHidden/>
    <w:unhideWhenUsed/>
    <w:qFormat/>
    <w:rsid w:val="00047D0B"/>
    <w:pPr>
      <w:spacing w:after="200" w:line="240" w:lineRule="auto"/>
    </w:pPr>
    <w:rPr>
      <w:rFonts w:eastAsiaTheme="minorEastAsia"/>
      <w:b/>
      <w:bCs/>
      <w:color w:val="4472C4" w:themeColor="accent1"/>
      <w:sz w:val="18"/>
      <w:szCs w:val="18"/>
    </w:rPr>
  </w:style>
  <w:style w:type="character" w:styleId="Strong">
    <w:name w:val="Strong"/>
    <w:basedOn w:val="DefaultParagraphFont"/>
    <w:uiPriority w:val="22"/>
    <w:qFormat/>
    <w:rsid w:val="00047D0B"/>
    <w:rPr>
      <w:rFonts w:ascii="Times New Roman" w:hAnsi="Times New Roman"/>
      <w:b/>
      <w:bCs/>
      <w:sz w:val="24"/>
    </w:rPr>
  </w:style>
  <w:style w:type="character" w:styleId="Emphasis">
    <w:name w:val="Emphasis"/>
    <w:basedOn w:val="DefaultParagraphFont"/>
    <w:uiPriority w:val="20"/>
    <w:qFormat/>
    <w:rsid w:val="00047D0B"/>
    <w:rPr>
      <w:i/>
      <w:iCs/>
    </w:rPr>
  </w:style>
  <w:style w:type="paragraph" w:styleId="IntenseQuote">
    <w:name w:val="Intense Quote"/>
    <w:basedOn w:val="Normal"/>
    <w:next w:val="Normal"/>
    <w:link w:val="IntenseQuoteChar"/>
    <w:uiPriority w:val="30"/>
    <w:qFormat/>
    <w:rsid w:val="00047D0B"/>
    <w:pPr>
      <w:pBdr>
        <w:bottom w:val="single" w:sz="4" w:space="4" w:color="4472C4" w:themeColor="accent1"/>
      </w:pBdr>
      <w:spacing w:before="200" w:after="280"/>
      <w:ind w:left="936" w:right="936"/>
    </w:pPr>
    <w:rPr>
      <w:rFonts w:eastAsiaTheme="minorEastAsia"/>
      <w:b/>
      <w:bCs/>
      <w:i/>
      <w:iCs/>
      <w:color w:val="4472C4" w:themeColor="accent1"/>
    </w:rPr>
  </w:style>
  <w:style w:type="character" w:customStyle="1" w:styleId="IntenseQuoteChar">
    <w:name w:val="Intense Quote Char"/>
    <w:basedOn w:val="DefaultParagraphFont"/>
    <w:link w:val="IntenseQuote"/>
    <w:uiPriority w:val="30"/>
    <w:rsid w:val="00047D0B"/>
    <w:rPr>
      <w:rFonts w:ascii="Times New Roman" w:eastAsiaTheme="minorEastAsia" w:hAnsi="Times New Roman"/>
      <w:b/>
      <w:bCs/>
      <w:i/>
      <w:iCs/>
      <w:color w:val="4472C4" w:themeColor="accent1"/>
      <w:sz w:val="24"/>
    </w:rPr>
  </w:style>
  <w:style w:type="character" w:styleId="SubtleEmphasis">
    <w:name w:val="Subtle Emphasis"/>
    <w:basedOn w:val="DefaultParagraphFont"/>
    <w:uiPriority w:val="19"/>
    <w:qFormat/>
    <w:rsid w:val="00047D0B"/>
    <w:rPr>
      <w:i/>
      <w:iCs/>
      <w:color w:val="808080" w:themeColor="text1" w:themeTint="7F"/>
    </w:rPr>
  </w:style>
  <w:style w:type="character" w:styleId="IntenseEmphasis">
    <w:name w:val="Intense Emphasis"/>
    <w:basedOn w:val="DefaultParagraphFont"/>
    <w:uiPriority w:val="21"/>
    <w:qFormat/>
    <w:rsid w:val="00047D0B"/>
    <w:rPr>
      <w:b/>
      <w:bCs/>
      <w:i/>
      <w:iCs/>
      <w:color w:val="4472C4" w:themeColor="accent1"/>
    </w:rPr>
  </w:style>
  <w:style w:type="character" w:styleId="SubtleReference">
    <w:name w:val="Subtle Reference"/>
    <w:basedOn w:val="DefaultParagraphFont"/>
    <w:uiPriority w:val="31"/>
    <w:qFormat/>
    <w:rsid w:val="00047D0B"/>
    <w:rPr>
      <w:smallCaps/>
      <w:color w:val="ED7D31" w:themeColor="accent2"/>
      <w:u w:val="single"/>
    </w:rPr>
  </w:style>
  <w:style w:type="character" w:styleId="IntenseReference">
    <w:name w:val="Intense Reference"/>
    <w:basedOn w:val="DefaultParagraphFont"/>
    <w:uiPriority w:val="32"/>
    <w:qFormat/>
    <w:rsid w:val="00047D0B"/>
    <w:rPr>
      <w:b/>
      <w:bCs/>
      <w:smallCaps/>
      <w:color w:val="ED7D31" w:themeColor="accent2"/>
      <w:spacing w:val="5"/>
      <w:u w:val="single"/>
    </w:rPr>
  </w:style>
  <w:style w:type="character" w:styleId="BookTitle">
    <w:name w:val="Book Title"/>
    <w:basedOn w:val="DefaultParagraphFont"/>
    <w:uiPriority w:val="33"/>
    <w:qFormat/>
    <w:rsid w:val="00047D0B"/>
    <w:rPr>
      <w:b/>
      <w:bCs/>
      <w:smallCaps/>
      <w:spacing w:val="5"/>
    </w:rPr>
  </w:style>
  <w:style w:type="paragraph" w:styleId="TOCHeading">
    <w:name w:val="TOC Heading"/>
    <w:basedOn w:val="Heading1"/>
    <w:next w:val="Normal"/>
    <w:uiPriority w:val="39"/>
    <w:unhideWhenUsed/>
    <w:qFormat/>
    <w:rsid w:val="00047D0B"/>
    <w:pPr>
      <w:outlineLvl w:val="9"/>
    </w:pPr>
  </w:style>
  <w:style w:type="table" w:styleId="TableGrid">
    <w:name w:val="Table Grid"/>
    <w:basedOn w:val="TableNormal"/>
    <w:uiPriority w:val="59"/>
    <w:rsid w:val="00047D0B"/>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047D0B"/>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047D0B"/>
    <w:pPr>
      <w:spacing w:after="0" w:line="240" w:lineRule="auto"/>
    </w:pPr>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047D0B"/>
    <w:pPr>
      <w:spacing w:after="0" w:line="240" w:lineRule="auto"/>
    </w:pPr>
    <w:rPr>
      <w:rFonts w:eastAsiaTheme="minorEastAsia"/>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047D0B"/>
    <w:pPr>
      <w:spacing w:after="0" w:line="240" w:lineRule="auto"/>
    </w:pPr>
    <w:rPr>
      <w:rFonts w:eastAsiaTheme="minorEastAsia"/>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047D0B"/>
    <w:pPr>
      <w:spacing w:after="0" w:line="240" w:lineRule="auto"/>
    </w:pPr>
    <w:rPr>
      <w:rFonts w:eastAsiaTheme="minorEastAsia"/>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047D0B"/>
    <w:pPr>
      <w:spacing w:after="0" w:line="240" w:lineRule="auto"/>
    </w:pPr>
    <w:rPr>
      <w:rFonts w:eastAsiaTheme="minorEastAsia"/>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047D0B"/>
    <w:pPr>
      <w:spacing w:after="0" w:line="240" w:lineRule="auto"/>
    </w:pPr>
    <w:rPr>
      <w:rFonts w:eastAsiaTheme="minorEastAsia"/>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047D0B"/>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047D0B"/>
    <w:pPr>
      <w:spacing w:after="0" w:line="240" w:lineRule="auto"/>
    </w:pPr>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047D0B"/>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047D0B"/>
    <w:pPr>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047D0B"/>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047D0B"/>
    <w:pPr>
      <w:spacing w:after="0" w:line="240" w:lineRule="auto"/>
    </w:pPr>
    <w:rPr>
      <w:rFonts w:eastAsiaTheme="minorEastAsi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047D0B"/>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047D0B"/>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047D0B"/>
    <w:pPr>
      <w:spacing w:after="0" w:line="240" w:lineRule="auto"/>
    </w:pPr>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047D0B"/>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047D0B"/>
    <w:pPr>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047D0B"/>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047D0B"/>
    <w:pPr>
      <w:spacing w:after="0" w:line="240" w:lineRule="auto"/>
    </w:pPr>
    <w:rPr>
      <w:rFonts w:eastAsiaTheme="minorEastAsi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047D0B"/>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047D0B"/>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047D0B"/>
    <w:pPr>
      <w:spacing w:after="0" w:line="240" w:lineRule="auto"/>
    </w:pPr>
    <w:rPr>
      <w:rFonts w:eastAsiaTheme="minorEastAsia"/>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047D0B"/>
    <w:pPr>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047D0B"/>
    <w:pPr>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047D0B"/>
    <w:pPr>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047D0B"/>
    <w:pPr>
      <w:spacing w:after="0" w:line="240" w:lineRule="auto"/>
    </w:pPr>
    <w:rPr>
      <w:rFonts w:eastAsiaTheme="minorEastAsia"/>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047D0B"/>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047D0B"/>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047D0B"/>
    <w:pPr>
      <w:spacing w:after="0" w:line="240" w:lineRule="auto"/>
    </w:pPr>
    <w:rPr>
      <w:rFonts w:eastAsiaTheme="minorEastAsia"/>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047D0B"/>
    <w:pPr>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047D0B"/>
    <w:pPr>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047D0B"/>
    <w:pPr>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047D0B"/>
    <w:pPr>
      <w:spacing w:after="0" w:line="240" w:lineRule="auto"/>
    </w:pPr>
    <w:rPr>
      <w:rFonts w:eastAsiaTheme="minorEastAsia"/>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047D0B"/>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NormalWeb">
    <w:name w:val="Normal (Web)"/>
    <w:basedOn w:val="Normal"/>
    <w:uiPriority w:val="99"/>
    <w:unhideWhenUsed/>
    <w:rsid w:val="00047D0B"/>
    <w:pPr>
      <w:spacing w:after="200"/>
    </w:pPr>
    <w:rPr>
      <w:rFonts w:eastAsiaTheme="minorEastAsia" w:cs="Times New Roman"/>
      <w:szCs w:val="24"/>
    </w:rPr>
  </w:style>
  <w:style w:type="paragraph" w:styleId="TOC1">
    <w:name w:val="toc 1"/>
    <w:basedOn w:val="Normal"/>
    <w:next w:val="Normal"/>
    <w:autoRedefine/>
    <w:uiPriority w:val="39"/>
    <w:unhideWhenUsed/>
    <w:rsid w:val="00047D0B"/>
    <w:pPr>
      <w:spacing w:after="100"/>
    </w:pPr>
    <w:rPr>
      <w:rFonts w:eastAsiaTheme="minorEastAsia"/>
    </w:rPr>
  </w:style>
  <w:style w:type="paragraph" w:styleId="TOC2">
    <w:name w:val="toc 2"/>
    <w:basedOn w:val="Normal"/>
    <w:next w:val="Normal"/>
    <w:autoRedefine/>
    <w:uiPriority w:val="39"/>
    <w:unhideWhenUsed/>
    <w:rsid w:val="00047D0B"/>
    <w:pPr>
      <w:spacing w:after="100"/>
      <w:ind w:left="220"/>
    </w:pPr>
    <w:rPr>
      <w:rFonts w:eastAsiaTheme="minorEastAsia"/>
    </w:rPr>
  </w:style>
  <w:style w:type="paragraph" w:styleId="TOC3">
    <w:name w:val="toc 3"/>
    <w:basedOn w:val="Normal"/>
    <w:next w:val="Normal"/>
    <w:autoRedefine/>
    <w:uiPriority w:val="39"/>
    <w:unhideWhenUsed/>
    <w:rsid w:val="00047D0B"/>
    <w:pPr>
      <w:spacing w:after="100"/>
      <w:ind w:left="440"/>
    </w:pPr>
    <w:rPr>
      <w:rFonts w:eastAsiaTheme="minorEastAsia"/>
    </w:rPr>
  </w:style>
  <w:style w:type="character" w:styleId="Hyperlink">
    <w:name w:val="Hyperlink"/>
    <w:basedOn w:val="DefaultParagraphFont"/>
    <w:uiPriority w:val="99"/>
    <w:unhideWhenUsed/>
    <w:rsid w:val="00047D0B"/>
    <w:rPr>
      <w:color w:val="0563C1" w:themeColor="hyperlink"/>
      <w:u w:val="single"/>
    </w:rPr>
  </w:style>
  <w:style w:type="character" w:styleId="UnresolvedMention">
    <w:name w:val="Unresolved Mention"/>
    <w:basedOn w:val="DefaultParagraphFont"/>
    <w:uiPriority w:val="99"/>
    <w:semiHidden/>
    <w:unhideWhenUsed/>
    <w:rsid w:val="00047D0B"/>
    <w:rPr>
      <w:color w:val="605E5C"/>
      <w:shd w:val="clear" w:color="auto" w:fill="E1DFDD"/>
    </w:rPr>
  </w:style>
  <w:style w:type="table" w:styleId="GridTable4-Accent1">
    <w:name w:val="Grid Table 4 Accent 1"/>
    <w:basedOn w:val="TableNormal"/>
    <w:uiPriority w:val="49"/>
    <w:rsid w:val="00047D0B"/>
    <w:pPr>
      <w:spacing w:after="0" w:line="240" w:lineRule="auto"/>
    </w:pPr>
    <w:rPr>
      <w:rFonts w:eastAsiaTheme="minorEastAsia"/>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047D0B"/>
    <w:pPr>
      <w:spacing w:after="0" w:line="240" w:lineRule="auto"/>
    </w:pPr>
    <w:rPr>
      <w:rFonts w:eastAsiaTheme="minorEastAsia"/>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047D0B"/>
    <w:pPr>
      <w:spacing w:after="0" w:line="240" w:lineRule="auto"/>
    </w:pPr>
    <w:rPr>
      <w:rFonts w:eastAsiaTheme="minorEastAsia"/>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5">
    <w:name w:val="Grid Table 2 Accent 5"/>
    <w:basedOn w:val="TableNormal"/>
    <w:uiPriority w:val="47"/>
    <w:rsid w:val="00047D0B"/>
    <w:pPr>
      <w:spacing w:after="0" w:line="240" w:lineRule="auto"/>
    </w:pPr>
    <w:rPr>
      <w:rFonts w:eastAsiaTheme="minorEastAsia"/>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1">
    <w:name w:val="Grid Table 1 Light Accent 1"/>
    <w:basedOn w:val="TableNormal"/>
    <w:uiPriority w:val="46"/>
    <w:rsid w:val="00047D0B"/>
    <w:pPr>
      <w:spacing w:after="0" w:line="240" w:lineRule="auto"/>
    </w:pPr>
    <w:rPr>
      <w:rFonts w:eastAsiaTheme="minorEastAsia"/>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11/j.1540-6261.1968.tb00843" TargetMode="External"/><Relationship Id="rId18" Type="http://schemas.openxmlformats.org/officeDocument/2006/relationships/hyperlink" Target="https://www.investopedia.com/terms/a/accounting-rate-of-return-arr.asp" TargetMode="External"/><Relationship Id="rId26" Type="http://schemas.openxmlformats.org/officeDocument/2006/relationships/hyperlink" Target="https://www.wallstreetprep.com/knowledge/fcf-margin/" TargetMode="External"/><Relationship Id="rId3" Type="http://schemas.openxmlformats.org/officeDocument/2006/relationships/styles" Target="styles.xml"/><Relationship Id="rId21" Type="http://schemas.openxmlformats.org/officeDocument/2006/relationships/hyperlink" Target="https://www.investopedia.com/ask/answers/05/negativeeps.asp"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investopedia.com/terms/o/ocfratio.asp" TargetMode="External"/><Relationship Id="rId25" Type="http://schemas.openxmlformats.org/officeDocument/2006/relationships/hyperlink" Target="https://doi.org/10.1007/978-1-4757-4688-4_7" TargetMode="External"/><Relationship Id="rId2" Type="http://schemas.openxmlformats.org/officeDocument/2006/relationships/numbering" Target="numbering.xml"/><Relationship Id="rId16" Type="http://schemas.openxmlformats.org/officeDocument/2006/relationships/hyperlink" Target="https://doi.org/10.1111/1468-5957.00008" TargetMode="External"/><Relationship Id="rId20" Type="http://schemas.openxmlformats.org/officeDocument/2006/relationships/hyperlink" Target="https://www.investopedia.com/terms/n/npv.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doi.org/10.2307/3665310" TargetMode="External"/><Relationship Id="rId5" Type="http://schemas.openxmlformats.org/officeDocument/2006/relationships/webSettings" Target="webSettings.xml"/><Relationship Id="rId15" Type="http://schemas.openxmlformats.org/officeDocument/2006/relationships/hyperlink" Target="https://corporatefinanceinstitute.com/resources/commercial-lending/interest-coverage-ratio/" TargetMode="External"/><Relationship Id="rId23" Type="http://schemas.openxmlformats.org/officeDocument/2006/relationships/hyperlink" Target="https://doi.org/10.1080/23322039.2024.2404707" TargetMode="External"/><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www.investopedia.com/terms/i/irr.asp"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corporatefinanceinstitute.com/resources/accounting/current-ratio-vs-quick-ratio/" TargetMode="External"/><Relationship Id="rId22" Type="http://schemas.openxmlformats.org/officeDocument/2006/relationships/hyperlink" Target="https://doi.org/10.1080/00137918808966959"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G463GG\OneDrive%20-%20EY\Desktop\Assign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G463GG\OneDrive%20-%20EY\Desktop\Assign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G463GG\OneDrive%20-%20EY\Desktop\Assign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Income Statement</a:t>
            </a:r>
          </a:p>
        </c:rich>
      </c:tx>
      <c:layout>
        <c:manualLayout>
          <c:xMode val="edge"/>
          <c:yMode val="edge"/>
          <c:x val="0.40909011373578297"/>
          <c:y val="2.3148148148148147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'Trend Analysis'!$A$3</c:f>
              <c:strCache>
                <c:ptCount val="1"/>
                <c:pt idx="0">
                  <c:v>Net sales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'Trend Analysis'!$B$2:$F$2</c:f>
              <c:numCache>
                <c:formatCode>@</c:formatCode>
                <c:ptCount val="5"/>
                <c:pt idx="0">
                  <c:v>2020</c:v>
                </c:pt>
                <c:pt idx="1">
                  <c:v>2021</c:v>
                </c:pt>
                <c:pt idx="2">
                  <c:v>2022</c:v>
                </c:pt>
                <c:pt idx="3">
                  <c:v>2023</c:v>
                </c:pt>
                <c:pt idx="4">
                  <c:v>2024</c:v>
                </c:pt>
              </c:numCache>
            </c:numRef>
          </c:cat>
          <c:val>
            <c:numRef>
              <c:f>'Trend Analysis'!$B$3:$F$3</c:f>
              <c:numCache>
                <c:formatCode>_(* #,##0_);_(* \(#,##0\);_(* "-"??_);_(@_)</c:formatCode>
                <c:ptCount val="5"/>
                <c:pt idx="0">
                  <c:v>614680</c:v>
                </c:pt>
                <c:pt idx="1">
                  <c:v>601602</c:v>
                </c:pt>
                <c:pt idx="2">
                  <c:v>542751</c:v>
                </c:pt>
                <c:pt idx="3">
                  <c:v>420457</c:v>
                </c:pt>
                <c:pt idx="4">
                  <c:v>394879</c:v>
                </c:pt>
              </c:numCache>
            </c:numRef>
          </c:val>
          <c:smooth val="0"/>
          <c:extLst>
            <c:ext xmlns:c16="http://schemas.microsoft.com/office/drawing/2014/chart" uri="{C3380CC4-5D6E-409C-BE32-E72D297353CC}">
              <c16:uniqueId val="{00000000-EEE9-4445-984A-6FD75DDA50B0}"/>
            </c:ext>
          </c:extLst>
        </c:ser>
        <c:ser>
          <c:idx val="1"/>
          <c:order val="1"/>
          <c:tx>
            <c:strRef>
              <c:f>'Trend Analysis'!$A$4</c:f>
              <c:strCache>
                <c:ptCount val="1"/>
                <c:pt idx="0">
                  <c:v>Gross profit</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'Trend Analysis'!$B$2:$F$2</c:f>
              <c:numCache>
                <c:formatCode>@</c:formatCode>
                <c:ptCount val="5"/>
                <c:pt idx="0">
                  <c:v>2020</c:v>
                </c:pt>
                <c:pt idx="1">
                  <c:v>2021</c:v>
                </c:pt>
                <c:pt idx="2">
                  <c:v>2022</c:v>
                </c:pt>
                <c:pt idx="3">
                  <c:v>2023</c:v>
                </c:pt>
                <c:pt idx="4">
                  <c:v>2024</c:v>
                </c:pt>
              </c:numCache>
            </c:numRef>
          </c:cat>
          <c:val>
            <c:numRef>
              <c:f>'Trend Analysis'!$B$4:$F$4</c:f>
              <c:numCache>
                <c:formatCode>_(* #,##0_);_(* \(#,##0\);_(* "-"??_);_(@_)</c:formatCode>
                <c:ptCount val="5"/>
                <c:pt idx="0">
                  <c:v>176256</c:v>
                </c:pt>
                <c:pt idx="1">
                  <c:v>173016</c:v>
                </c:pt>
                <c:pt idx="2">
                  <c:v>152292</c:v>
                </c:pt>
                <c:pt idx="3">
                  <c:v>97560</c:v>
                </c:pt>
                <c:pt idx="4">
                  <c:v>113994</c:v>
                </c:pt>
              </c:numCache>
            </c:numRef>
          </c:val>
          <c:smooth val="0"/>
          <c:extLst>
            <c:ext xmlns:c16="http://schemas.microsoft.com/office/drawing/2014/chart" uri="{C3380CC4-5D6E-409C-BE32-E72D297353CC}">
              <c16:uniqueId val="{00000001-EEE9-4445-984A-6FD75DDA50B0}"/>
            </c:ext>
          </c:extLst>
        </c:ser>
        <c:ser>
          <c:idx val="2"/>
          <c:order val="2"/>
          <c:tx>
            <c:strRef>
              <c:f>'Trend Analysis'!$A$5</c:f>
              <c:strCache>
                <c:ptCount val="1"/>
                <c:pt idx="0">
                  <c:v> Operating income (loss) </c:v>
                </c:pt>
              </c:strCache>
            </c:strRef>
          </c:tx>
          <c:spPr>
            <a:ln w="28575" cap="rnd">
              <a:solidFill>
                <a:schemeClr val="accent3"/>
              </a:solidFill>
              <a:round/>
            </a:ln>
            <a:effectLst/>
          </c:spPr>
          <c:marker>
            <c:symbol val="none"/>
          </c:marker>
          <c:dLbls>
            <c:delete val="1"/>
          </c:dLbls>
          <c:cat>
            <c:numRef>
              <c:f>'Trend Analysis'!$B$2:$F$2</c:f>
              <c:numCache>
                <c:formatCode>@</c:formatCode>
                <c:ptCount val="5"/>
                <c:pt idx="0">
                  <c:v>2020</c:v>
                </c:pt>
                <c:pt idx="1">
                  <c:v>2021</c:v>
                </c:pt>
                <c:pt idx="2">
                  <c:v>2022</c:v>
                </c:pt>
                <c:pt idx="3">
                  <c:v>2023</c:v>
                </c:pt>
                <c:pt idx="4">
                  <c:v>2024</c:v>
                </c:pt>
              </c:numCache>
            </c:numRef>
          </c:cat>
          <c:val>
            <c:numRef>
              <c:f>'Trend Analysis'!$B$5:$F$5</c:f>
              <c:numCache>
                <c:formatCode>_(* #,##0_);_(* \(#,##0\);_(* "-"??_);_(@_)</c:formatCode>
                <c:ptCount val="5"/>
                <c:pt idx="0">
                  <c:v>37267</c:v>
                </c:pt>
                <c:pt idx="1">
                  <c:v>23253</c:v>
                </c:pt>
                <c:pt idx="2">
                  <c:v>14548</c:v>
                </c:pt>
                <c:pt idx="3">
                  <c:v>-85301</c:v>
                </c:pt>
                <c:pt idx="4">
                  <c:v>-15297</c:v>
                </c:pt>
              </c:numCache>
            </c:numRef>
          </c:val>
          <c:smooth val="0"/>
          <c:extLst>
            <c:ext xmlns:c16="http://schemas.microsoft.com/office/drawing/2014/chart" uri="{C3380CC4-5D6E-409C-BE32-E72D297353CC}">
              <c16:uniqueId val="{00000002-EEE9-4445-984A-6FD75DDA50B0}"/>
            </c:ext>
          </c:extLst>
        </c:ser>
        <c:ser>
          <c:idx val="3"/>
          <c:order val="3"/>
          <c:tx>
            <c:strRef>
              <c:f>'Trend Analysis'!$A$6</c:f>
              <c:strCache>
                <c:ptCount val="1"/>
                <c:pt idx="0">
                  <c:v>Income (loss) before provision for income taxes</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'Trend Analysis'!$B$2:$F$2</c:f>
              <c:numCache>
                <c:formatCode>@</c:formatCode>
                <c:ptCount val="5"/>
                <c:pt idx="0">
                  <c:v>2020</c:v>
                </c:pt>
                <c:pt idx="1">
                  <c:v>2021</c:v>
                </c:pt>
                <c:pt idx="2">
                  <c:v>2022</c:v>
                </c:pt>
                <c:pt idx="3">
                  <c:v>2023</c:v>
                </c:pt>
                <c:pt idx="4">
                  <c:v>2024</c:v>
                </c:pt>
              </c:numCache>
            </c:numRef>
          </c:cat>
          <c:val>
            <c:numRef>
              <c:f>'Trend Analysis'!$B$6:$F$6</c:f>
              <c:numCache>
                <c:formatCode>_(* #,##0_);_(* \(#,##0\);_(* "-"??_);_(@_)</c:formatCode>
                <c:ptCount val="5"/>
                <c:pt idx="0">
                  <c:v>43905</c:v>
                </c:pt>
                <c:pt idx="1">
                  <c:v>16080</c:v>
                </c:pt>
                <c:pt idx="2">
                  <c:v>11393</c:v>
                </c:pt>
                <c:pt idx="3">
                  <c:v>-92254</c:v>
                </c:pt>
                <c:pt idx="4">
                  <c:v>-18598</c:v>
                </c:pt>
              </c:numCache>
            </c:numRef>
          </c:val>
          <c:smooth val="0"/>
          <c:extLst>
            <c:ext xmlns:c16="http://schemas.microsoft.com/office/drawing/2014/chart" uri="{C3380CC4-5D6E-409C-BE32-E72D297353CC}">
              <c16:uniqueId val="{00000003-EEE9-4445-984A-6FD75DDA50B0}"/>
            </c:ext>
          </c:extLst>
        </c:ser>
        <c:ser>
          <c:idx val="4"/>
          <c:order val="4"/>
          <c:tx>
            <c:strRef>
              <c:f>'Trend Analysis'!$A$7</c:f>
              <c:strCache>
                <c:ptCount val="1"/>
                <c:pt idx="0">
                  <c:v> Net income (loss) </c:v>
                </c:pt>
              </c:strCache>
            </c:strRef>
          </c:tx>
          <c:spPr>
            <a:ln w="28575" cap="rnd">
              <a:solidFill>
                <a:schemeClr val="accent5"/>
              </a:solidFill>
              <a:round/>
            </a:ln>
            <a:effectLst/>
          </c:spPr>
          <c:marker>
            <c:symbol val="none"/>
          </c:marker>
          <c:dLbls>
            <c:delete val="1"/>
          </c:dLbls>
          <c:cat>
            <c:numRef>
              <c:f>'Trend Analysis'!$B$2:$F$2</c:f>
              <c:numCache>
                <c:formatCode>@</c:formatCode>
                <c:ptCount val="5"/>
                <c:pt idx="0">
                  <c:v>2020</c:v>
                </c:pt>
                <c:pt idx="1">
                  <c:v>2021</c:v>
                </c:pt>
                <c:pt idx="2">
                  <c:v>2022</c:v>
                </c:pt>
                <c:pt idx="3">
                  <c:v>2023</c:v>
                </c:pt>
                <c:pt idx="4">
                  <c:v>2024</c:v>
                </c:pt>
              </c:numCache>
            </c:numRef>
          </c:cat>
          <c:val>
            <c:numRef>
              <c:f>'Trend Analysis'!$B$7:$F$7</c:f>
              <c:numCache>
                <c:formatCode>_(* #,##0_);_(* \(#,##0\);_(* "-"??_);_(@_)</c:formatCode>
                <c:ptCount val="5"/>
                <c:pt idx="0">
                  <c:v>38572</c:v>
                </c:pt>
                <c:pt idx="1">
                  <c:v>5301</c:v>
                </c:pt>
                <c:pt idx="2">
                  <c:v>407</c:v>
                </c:pt>
                <c:pt idx="3">
                  <c:v>-98238</c:v>
                </c:pt>
                <c:pt idx="4">
                  <c:v>-24029</c:v>
                </c:pt>
              </c:numCache>
            </c:numRef>
          </c:val>
          <c:smooth val="0"/>
          <c:extLst>
            <c:ext xmlns:c16="http://schemas.microsoft.com/office/drawing/2014/chart" uri="{C3380CC4-5D6E-409C-BE32-E72D297353CC}">
              <c16:uniqueId val="{00000004-EEE9-4445-984A-6FD75DDA50B0}"/>
            </c:ext>
          </c:extLst>
        </c:ser>
        <c:dLbls>
          <c:dLblPos val="t"/>
          <c:showLegendKey val="0"/>
          <c:showVal val="1"/>
          <c:showCatName val="0"/>
          <c:showSerName val="0"/>
          <c:showPercent val="0"/>
          <c:showBubbleSize val="0"/>
        </c:dLbls>
        <c:smooth val="0"/>
        <c:axId val="1392885312"/>
        <c:axId val="1392878592"/>
      </c:lineChart>
      <c:catAx>
        <c:axId val="1392885312"/>
        <c:scaling>
          <c:orientation val="minMax"/>
        </c:scaling>
        <c:delete val="0"/>
        <c:axPos val="b"/>
        <c:numFmt formatCode="@"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92878592"/>
        <c:crosses val="autoZero"/>
        <c:auto val="1"/>
        <c:lblAlgn val="ctr"/>
        <c:lblOffset val="100"/>
        <c:noMultiLvlLbl val="0"/>
      </c:catAx>
      <c:valAx>
        <c:axId val="1392878592"/>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92885312"/>
        <c:crosses val="autoZero"/>
        <c:crossBetween val="between"/>
      </c:valAx>
      <c:spPr>
        <a:noFill/>
        <a:ln>
          <a:noFill/>
        </a:ln>
        <a:effectLst/>
      </c:spPr>
    </c:plotArea>
    <c:legend>
      <c:legendPos val="b"/>
      <c:layout>
        <c:manualLayout>
          <c:xMode val="edge"/>
          <c:yMode val="edge"/>
          <c:x val="2.579137163071013E-2"/>
          <c:y val="0.86394011371617541"/>
          <c:w val="0.94405646149131595"/>
          <c:h val="0.11813070654379766"/>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Balance Sheet</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5200253130414035"/>
          <c:y val="0.16245370370370371"/>
          <c:w val="0.81171952320189222"/>
          <c:h val="0.6153546952464275"/>
        </c:manualLayout>
      </c:layout>
      <c:barChart>
        <c:barDir val="bar"/>
        <c:grouping val="clustered"/>
        <c:varyColors val="0"/>
        <c:ser>
          <c:idx val="0"/>
          <c:order val="0"/>
          <c:tx>
            <c:strRef>
              <c:f>'Trend Analysis'!$B$20</c:f>
              <c:strCache>
                <c:ptCount val="1"/>
                <c:pt idx="0">
                  <c:v>2020</c:v>
                </c:pt>
              </c:strCache>
            </c:strRef>
          </c:tx>
          <c:spPr>
            <a:solidFill>
              <a:schemeClr val="accent1"/>
            </a:solidFill>
            <a:ln>
              <a:noFill/>
            </a:ln>
            <a:effectLst/>
          </c:spPr>
          <c:invertIfNegative val="0"/>
          <c:cat>
            <c:strRef>
              <c:f>'Trend Analysis'!$A$21:$A$28</c:f>
              <c:strCache>
                <c:ptCount val="8"/>
                <c:pt idx="0">
                  <c:v>Total current assets</c:v>
                </c:pt>
                <c:pt idx="1">
                  <c:v>Total Non Current Assets</c:v>
                </c:pt>
                <c:pt idx="2">
                  <c:v>Total assets</c:v>
                </c:pt>
                <c:pt idx="3">
                  <c:v>Total current liabilities</c:v>
                </c:pt>
                <c:pt idx="4">
                  <c:v>Total Non-Current Liabilities</c:v>
                </c:pt>
                <c:pt idx="5">
                  <c:v>Total liabilities</c:v>
                </c:pt>
                <c:pt idx="6">
                  <c:v>Total shareholders' equity</c:v>
                </c:pt>
                <c:pt idx="7">
                  <c:v>Total liabilities and equity</c:v>
                </c:pt>
              </c:strCache>
            </c:strRef>
          </c:cat>
          <c:val>
            <c:numRef>
              <c:f>'Trend Analysis'!$B$21:$B$28</c:f>
              <c:numCache>
                <c:formatCode>_(* #,##0_);_(* \(#,##0\);_(* "-"??_);_(@_)</c:formatCode>
                <c:ptCount val="8"/>
                <c:pt idx="0">
                  <c:v>331672</c:v>
                </c:pt>
                <c:pt idx="1">
                  <c:v>134833</c:v>
                </c:pt>
                <c:pt idx="2">
                  <c:v>793348</c:v>
                </c:pt>
                <c:pt idx="3">
                  <c:v>175975</c:v>
                </c:pt>
                <c:pt idx="4">
                  <c:v>17187</c:v>
                </c:pt>
                <c:pt idx="5">
                  <c:v>193162</c:v>
                </c:pt>
                <c:pt idx="6">
                  <c:v>313301</c:v>
                </c:pt>
                <c:pt idx="7">
                  <c:v>506463</c:v>
                </c:pt>
              </c:numCache>
            </c:numRef>
          </c:val>
          <c:extLst>
            <c:ext xmlns:c16="http://schemas.microsoft.com/office/drawing/2014/chart" uri="{C3380CC4-5D6E-409C-BE32-E72D297353CC}">
              <c16:uniqueId val="{00000000-DA88-4A1B-8EE4-BE5E4F6F705F}"/>
            </c:ext>
          </c:extLst>
        </c:ser>
        <c:ser>
          <c:idx val="1"/>
          <c:order val="1"/>
          <c:tx>
            <c:strRef>
              <c:f>'Trend Analysis'!$C$20</c:f>
              <c:strCache>
                <c:ptCount val="1"/>
                <c:pt idx="0">
                  <c:v>2021</c:v>
                </c:pt>
              </c:strCache>
            </c:strRef>
          </c:tx>
          <c:spPr>
            <a:solidFill>
              <a:schemeClr val="accent2"/>
            </a:solidFill>
            <a:ln>
              <a:noFill/>
            </a:ln>
            <a:effectLst/>
          </c:spPr>
          <c:invertIfNegative val="0"/>
          <c:cat>
            <c:strRef>
              <c:f>'Trend Analysis'!$A$21:$A$28</c:f>
              <c:strCache>
                <c:ptCount val="8"/>
                <c:pt idx="0">
                  <c:v>Total current assets</c:v>
                </c:pt>
                <c:pt idx="1">
                  <c:v>Total Non Current Assets</c:v>
                </c:pt>
                <c:pt idx="2">
                  <c:v>Total assets</c:v>
                </c:pt>
                <c:pt idx="3">
                  <c:v>Total current liabilities</c:v>
                </c:pt>
                <c:pt idx="4">
                  <c:v>Total Non-Current Liabilities</c:v>
                </c:pt>
                <c:pt idx="5">
                  <c:v>Total liabilities</c:v>
                </c:pt>
                <c:pt idx="6">
                  <c:v>Total shareholders' equity</c:v>
                </c:pt>
                <c:pt idx="7">
                  <c:v>Total liabilities and equity</c:v>
                </c:pt>
              </c:strCache>
            </c:strRef>
          </c:cat>
          <c:val>
            <c:numRef>
              <c:f>'Trend Analysis'!$C$21:$C$28</c:f>
              <c:numCache>
                <c:formatCode>_(* #,##0_);_(* \(#,##0\);_(* "-"??_);_(@_)</c:formatCode>
                <c:ptCount val="8"/>
                <c:pt idx="0">
                  <c:v>336240</c:v>
                </c:pt>
                <c:pt idx="1">
                  <c:v>124739</c:v>
                </c:pt>
                <c:pt idx="2">
                  <c:v>798125</c:v>
                </c:pt>
                <c:pt idx="3">
                  <c:v>213050</c:v>
                </c:pt>
                <c:pt idx="4">
                  <c:v>17612</c:v>
                </c:pt>
                <c:pt idx="5">
                  <c:v>230662</c:v>
                </c:pt>
                <c:pt idx="6">
                  <c:v>275949</c:v>
                </c:pt>
                <c:pt idx="7">
                  <c:v>506611</c:v>
                </c:pt>
              </c:numCache>
            </c:numRef>
          </c:val>
          <c:extLst>
            <c:ext xmlns:c16="http://schemas.microsoft.com/office/drawing/2014/chart" uri="{C3380CC4-5D6E-409C-BE32-E72D297353CC}">
              <c16:uniqueId val="{00000001-DA88-4A1B-8EE4-BE5E4F6F705F}"/>
            </c:ext>
          </c:extLst>
        </c:ser>
        <c:ser>
          <c:idx val="2"/>
          <c:order val="2"/>
          <c:tx>
            <c:strRef>
              <c:f>'Trend Analysis'!$D$20</c:f>
              <c:strCache>
                <c:ptCount val="1"/>
                <c:pt idx="0">
                  <c:v>2022</c:v>
                </c:pt>
              </c:strCache>
            </c:strRef>
          </c:tx>
          <c:spPr>
            <a:solidFill>
              <a:schemeClr val="accent3"/>
            </a:solidFill>
            <a:ln>
              <a:noFill/>
            </a:ln>
            <a:effectLst/>
          </c:spPr>
          <c:invertIfNegative val="0"/>
          <c:cat>
            <c:strRef>
              <c:f>'Trend Analysis'!$A$21:$A$28</c:f>
              <c:strCache>
                <c:ptCount val="8"/>
                <c:pt idx="0">
                  <c:v>Total current assets</c:v>
                </c:pt>
                <c:pt idx="1">
                  <c:v>Total Non Current Assets</c:v>
                </c:pt>
                <c:pt idx="2">
                  <c:v>Total assets</c:v>
                </c:pt>
                <c:pt idx="3">
                  <c:v>Total current liabilities</c:v>
                </c:pt>
                <c:pt idx="4">
                  <c:v>Total Non-Current Liabilities</c:v>
                </c:pt>
                <c:pt idx="5">
                  <c:v>Total liabilities</c:v>
                </c:pt>
                <c:pt idx="6">
                  <c:v>Total shareholders' equity</c:v>
                </c:pt>
                <c:pt idx="7">
                  <c:v>Total liabilities and equity</c:v>
                </c:pt>
              </c:strCache>
            </c:strRef>
          </c:cat>
          <c:val>
            <c:numRef>
              <c:f>'Trend Analysis'!$D$21:$D$28</c:f>
              <c:numCache>
                <c:formatCode>_(* #,##0_);_(* \(#,##0\);_(* "-"??_);_(@_)</c:formatCode>
                <c:ptCount val="8"/>
                <c:pt idx="0">
                  <c:v>337776</c:v>
                </c:pt>
                <c:pt idx="1">
                  <c:v>117038</c:v>
                </c:pt>
                <c:pt idx="2">
                  <c:v>792854</c:v>
                </c:pt>
                <c:pt idx="3">
                  <c:v>210888</c:v>
                </c:pt>
                <c:pt idx="4">
                  <c:v>19284</c:v>
                </c:pt>
                <c:pt idx="5">
                  <c:v>230172</c:v>
                </c:pt>
                <c:pt idx="6">
                  <c:v>268406</c:v>
                </c:pt>
                <c:pt idx="7">
                  <c:v>498578</c:v>
                </c:pt>
              </c:numCache>
            </c:numRef>
          </c:val>
          <c:extLst>
            <c:ext xmlns:c16="http://schemas.microsoft.com/office/drawing/2014/chart" uri="{C3380CC4-5D6E-409C-BE32-E72D297353CC}">
              <c16:uniqueId val="{00000002-DA88-4A1B-8EE4-BE5E4F6F705F}"/>
            </c:ext>
          </c:extLst>
        </c:ser>
        <c:ser>
          <c:idx val="3"/>
          <c:order val="3"/>
          <c:tx>
            <c:strRef>
              <c:f>'Trend Analysis'!$E$20</c:f>
              <c:strCache>
                <c:ptCount val="1"/>
                <c:pt idx="0">
                  <c:v>2023</c:v>
                </c:pt>
              </c:strCache>
            </c:strRef>
          </c:tx>
          <c:spPr>
            <a:solidFill>
              <a:schemeClr val="accent4"/>
            </a:solidFill>
            <a:ln>
              <a:noFill/>
            </a:ln>
            <a:effectLst/>
          </c:spPr>
          <c:invertIfNegative val="0"/>
          <c:cat>
            <c:strRef>
              <c:f>'Trend Analysis'!$A$21:$A$28</c:f>
              <c:strCache>
                <c:ptCount val="8"/>
                <c:pt idx="0">
                  <c:v>Total current assets</c:v>
                </c:pt>
                <c:pt idx="1">
                  <c:v>Total Non Current Assets</c:v>
                </c:pt>
                <c:pt idx="2">
                  <c:v>Total assets</c:v>
                </c:pt>
                <c:pt idx="3">
                  <c:v>Total current liabilities</c:v>
                </c:pt>
                <c:pt idx="4">
                  <c:v>Total Non-Current Liabilities</c:v>
                </c:pt>
                <c:pt idx="5">
                  <c:v>Total liabilities</c:v>
                </c:pt>
                <c:pt idx="6">
                  <c:v>Total shareholders' equity</c:v>
                </c:pt>
                <c:pt idx="7">
                  <c:v>Total liabilities and equity</c:v>
                </c:pt>
              </c:strCache>
            </c:strRef>
          </c:cat>
          <c:val>
            <c:numRef>
              <c:f>'Trend Analysis'!$E$21:$E$28</c:f>
              <c:numCache>
                <c:formatCode>_(* #,##0_);_(* \(#,##0\);_(* "-"??_);_(@_)</c:formatCode>
                <c:ptCount val="8"/>
                <c:pt idx="0">
                  <c:v>265234</c:v>
                </c:pt>
                <c:pt idx="1">
                  <c:v>97021</c:v>
                </c:pt>
                <c:pt idx="2">
                  <c:v>621106</c:v>
                </c:pt>
                <c:pt idx="3">
                  <c:v>159315</c:v>
                </c:pt>
                <c:pt idx="4">
                  <c:v>15804</c:v>
                </c:pt>
                <c:pt idx="5">
                  <c:v>175119</c:v>
                </c:pt>
                <c:pt idx="6">
                  <c:v>178920</c:v>
                </c:pt>
                <c:pt idx="7">
                  <c:v>354039</c:v>
                </c:pt>
              </c:numCache>
            </c:numRef>
          </c:val>
          <c:extLst>
            <c:ext xmlns:c16="http://schemas.microsoft.com/office/drawing/2014/chart" uri="{C3380CC4-5D6E-409C-BE32-E72D297353CC}">
              <c16:uniqueId val="{00000003-DA88-4A1B-8EE4-BE5E4F6F705F}"/>
            </c:ext>
          </c:extLst>
        </c:ser>
        <c:ser>
          <c:idx val="4"/>
          <c:order val="4"/>
          <c:tx>
            <c:strRef>
              <c:f>'Trend Analysis'!$F$20</c:f>
              <c:strCache>
                <c:ptCount val="1"/>
                <c:pt idx="0">
                  <c:v>2024</c:v>
                </c:pt>
              </c:strCache>
            </c:strRef>
          </c:tx>
          <c:spPr>
            <a:solidFill>
              <a:schemeClr val="accent5"/>
            </a:solidFill>
            <a:ln>
              <a:noFill/>
            </a:ln>
            <a:effectLst/>
          </c:spPr>
          <c:invertIfNegative val="0"/>
          <c:cat>
            <c:strRef>
              <c:f>'Trend Analysis'!$A$21:$A$28</c:f>
              <c:strCache>
                <c:ptCount val="8"/>
                <c:pt idx="0">
                  <c:v>Total current assets</c:v>
                </c:pt>
                <c:pt idx="1">
                  <c:v>Total Non Current Assets</c:v>
                </c:pt>
                <c:pt idx="2">
                  <c:v>Total assets</c:v>
                </c:pt>
                <c:pt idx="3">
                  <c:v>Total current liabilities</c:v>
                </c:pt>
                <c:pt idx="4">
                  <c:v>Total Non-Current Liabilities</c:v>
                </c:pt>
                <c:pt idx="5">
                  <c:v>Total liabilities</c:v>
                </c:pt>
                <c:pt idx="6">
                  <c:v>Total shareholders' equity</c:v>
                </c:pt>
                <c:pt idx="7">
                  <c:v>Total liabilities and equity</c:v>
                </c:pt>
              </c:strCache>
            </c:strRef>
          </c:cat>
          <c:val>
            <c:numRef>
              <c:f>'Trend Analysis'!$F$21:$F$28</c:f>
              <c:numCache>
                <c:formatCode>_(* #,##0_);_(* \(#,##0\);_(* "-"??_);_(@_)</c:formatCode>
                <c:ptCount val="8"/>
                <c:pt idx="0">
                  <c:v>248877</c:v>
                </c:pt>
                <c:pt idx="1">
                  <c:v>80860</c:v>
                </c:pt>
                <c:pt idx="2">
                  <c:v>572231</c:v>
                </c:pt>
                <c:pt idx="3">
                  <c:v>156130</c:v>
                </c:pt>
                <c:pt idx="4">
                  <c:v>11958</c:v>
                </c:pt>
                <c:pt idx="5">
                  <c:v>168088</c:v>
                </c:pt>
                <c:pt idx="6">
                  <c:v>153105</c:v>
                </c:pt>
                <c:pt idx="7">
                  <c:v>321193</c:v>
                </c:pt>
              </c:numCache>
            </c:numRef>
          </c:val>
          <c:extLst>
            <c:ext xmlns:c16="http://schemas.microsoft.com/office/drawing/2014/chart" uri="{C3380CC4-5D6E-409C-BE32-E72D297353CC}">
              <c16:uniqueId val="{00000004-DA88-4A1B-8EE4-BE5E4F6F705F}"/>
            </c:ext>
          </c:extLst>
        </c:ser>
        <c:dLbls>
          <c:showLegendKey val="0"/>
          <c:showVal val="0"/>
          <c:showCatName val="0"/>
          <c:showSerName val="0"/>
          <c:showPercent val="0"/>
          <c:showBubbleSize val="0"/>
        </c:dLbls>
        <c:gapWidth val="182"/>
        <c:axId val="727364464"/>
        <c:axId val="727361584"/>
      </c:barChart>
      <c:catAx>
        <c:axId val="7273644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27361584"/>
        <c:crosses val="autoZero"/>
        <c:auto val="1"/>
        <c:lblAlgn val="ctr"/>
        <c:lblOffset val="100"/>
        <c:noMultiLvlLbl val="0"/>
      </c:catAx>
      <c:valAx>
        <c:axId val="727361584"/>
        <c:scaling>
          <c:orientation val="minMax"/>
        </c:scaling>
        <c:delete val="0"/>
        <c:axPos val="b"/>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27364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Cash Flows</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'Trend Analysis'!$A$35</c:f>
              <c:strCache>
                <c:ptCount val="1"/>
                <c:pt idx="0">
                  <c:v>Net cash provided by (used for) operating activities</c:v>
                </c:pt>
              </c:strCache>
            </c:strRef>
          </c:tx>
          <c:spPr>
            <a:ln w="28575" cap="rnd">
              <a:solidFill>
                <a:schemeClr val="accent1"/>
              </a:solidFill>
              <a:round/>
            </a:ln>
            <a:effectLst/>
          </c:spPr>
          <c:marker>
            <c:symbol val="none"/>
          </c:marker>
          <c:cat>
            <c:numRef>
              <c:f>'Trend Analysis'!$B$34:$F$34</c:f>
              <c:numCache>
                <c:formatCode>General</c:formatCode>
                <c:ptCount val="5"/>
                <c:pt idx="0">
                  <c:v>2020</c:v>
                </c:pt>
                <c:pt idx="1">
                  <c:v>2021</c:v>
                </c:pt>
                <c:pt idx="2">
                  <c:v>2022</c:v>
                </c:pt>
                <c:pt idx="3">
                  <c:v>2023</c:v>
                </c:pt>
                <c:pt idx="4">
                  <c:v>2024</c:v>
                </c:pt>
              </c:numCache>
            </c:numRef>
          </c:cat>
          <c:val>
            <c:numRef>
              <c:f>'Trend Analysis'!$B$35:$F$35</c:f>
              <c:numCache>
                <c:formatCode>_(* #,##0_);_(* \(#,##0\);_(* "-"??_);_(@_)</c:formatCode>
                <c:ptCount val="5"/>
                <c:pt idx="0">
                  <c:v>81458</c:v>
                </c:pt>
                <c:pt idx="1">
                  <c:v>35009</c:v>
                </c:pt>
                <c:pt idx="2">
                  <c:v>10926</c:v>
                </c:pt>
                <c:pt idx="3">
                  <c:v>25190</c:v>
                </c:pt>
                <c:pt idx="4">
                  <c:v>14822</c:v>
                </c:pt>
              </c:numCache>
            </c:numRef>
          </c:val>
          <c:smooth val="0"/>
          <c:extLst>
            <c:ext xmlns:c16="http://schemas.microsoft.com/office/drawing/2014/chart" uri="{C3380CC4-5D6E-409C-BE32-E72D297353CC}">
              <c16:uniqueId val="{00000000-3EF7-45AB-9DD6-C06AB0D92D16}"/>
            </c:ext>
          </c:extLst>
        </c:ser>
        <c:ser>
          <c:idx val="1"/>
          <c:order val="1"/>
          <c:tx>
            <c:strRef>
              <c:f>'Trend Analysis'!$A$36</c:f>
              <c:strCache>
                <c:ptCount val="1"/>
                <c:pt idx="0">
                  <c:v>Net cash provided by (used for) investing activities</c:v>
                </c:pt>
              </c:strCache>
            </c:strRef>
          </c:tx>
          <c:spPr>
            <a:ln w="28575" cap="rnd">
              <a:solidFill>
                <a:schemeClr val="accent2"/>
              </a:solidFill>
              <a:round/>
            </a:ln>
            <a:effectLst/>
          </c:spPr>
          <c:marker>
            <c:symbol val="none"/>
          </c:marker>
          <c:cat>
            <c:numRef>
              <c:f>'Trend Analysis'!$B$34:$F$34</c:f>
              <c:numCache>
                <c:formatCode>General</c:formatCode>
                <c:ptCount val="5"/>
                <c:pt idx="0">
                  <c:v>2020</c:v>
                </c:pt>
                <c:pt idx="1">
                  <c:v>2021</c:v>
                </c:pt>
                <c:pt idx="2">
                  <c:v>2022</c:v>
                </c:pt>
                <c:pt idx="3">
                  <c:v>2023</c:v>
                </c:pt>
                <c:pt idx="4">
                  <c:v>2024</c:v>
                </c:pt>
              </c:numCache>
            </c:numRef>
          </c:cat>
          <c:val>
            <c:numRef>
              <c:f>'Trend Analysis'!$B$36:$F$36</c:f>
              <c:numCache>
                <c:formatCode>_(* #,##0_);_(* \(#,##0\);_(* "-"??_);_(@_)</c:formatCode>
                <c:ptCount val="5"/>
                <c:pt idx="0">
                  <c:v>-23234</c:v>
                </c:pt>
                <c:pt idx="1">
                  <c:v>-17041</c:v>
                </c:pt>
                <c:pt idx="2">
                  <c:v>-21208</c:v>
                </c:pt>
                <c:pt idx="3">
                  <c:v>-13877</c:v>
                </c:pt>
                <c:pt idx="4">
                  <c:v>-8428</c:v>
                </c:pt>
              </c:numCache>
            </c:numRef>
          </c:val>
          <c:smooth val="0"/>
          <c:extLst>
            <c:ext xmlns:c16="http://schemas.microsoft.com/office/drawing/2014/chart" uri="{C3380CC4-5D6E-409C-BE32-E72D297353CC}">
              <c16:uniqueId val="{00000001-3EF7-45AB-9DD6-C06AB0D92D16}"/>
            </c:ext>
          </c:extLst>
        </c:ser>
        <c:ser>
          <c:idx val="2"/>
          <c:order val="2"/>
          <c:tx>
            <c:strRef>
              <c:f>'Trend Analysis'!$A$37</c:f>
              <c:strCache>
                <c:ptCount val="1"/>
                <c:pt idx="0">
                  <c:v>Net cash provided by (used for) financing activities</c:v>
                </c:pt>
              </c:strCache>
            </c:strRef>
          </c:tx>
          <c:spPr>
            <a:ln w="28575" cap="rnd">
              <a:solidFill>
                <a:schemeClr val="accent3"/>
              </a:solidFill>
              <a:round/>
            </a:ln>
            <a:effectLst/>
          </c:spPr>
          <c:marker>
            <c:symbol val="none"/>
          </c:marker>
          <c:cat>
            <c:numRef>
              <c:f>'Trend Analysis'!$B$34:$F$34</c:f>
              <c:numCache>
                <c:formatCode>General</c:formatCode>
                <c:ptCount val="5"/>
                <c:pt idx="0">
                  <c:v>2020</c:v>
                </c:pt>
                <c:pt idx="1">
                  <c:v>2021</c:v>
                </c:pt>
                <c:pt idx="2">
                  <c:v>2022</c:v>
                </c:pt>
                <c:pt idx="3">
                  <c:v>2023</c:v>
                </c:pt>
                <c:pt idx="4">
                  <c:v>2024</c:v>
                </c:pt>
              </c:numCache>
            </c:numRef>
          </c:cat>
          <c:val>
            <c:numRef>
              <c:f>'Trend Analysis'!$B$37:$F$37</c:f>
              <c:numCache>
                <c:formatCode>_(* #,##0_);_(* \(#,##0\);_(* "-"??_);_(@_)</c:formatCode>
                <c:ptCount val="5"/>
                <c:pt idx="0">
                  <c:v>-62873</c:v>
                </c:pt>
                <c:pt idx="1">
                  <c:v>-22026</c:v>
                </c:pt>
                <c:pt idx="2">
                  <c:v>20501</c:v>
                </c:pt>
                <c:pt idx="3">
                  <c:v>-34779</c:v>
                </c:pt>
                <c:pt idx="4">
                  <c:v>-19764</c:v>
                </c:pt>
              </c:numCache>
            </c:numRef>
          </c:val>
          <c:smooth val="0"/>
          <c:extLst>
            <c:ext xmlns:c16="http://schemas.microsoft.com/office/drawing/2014/chart" uri="{C3380CC4-5D6E-409C-BE32-E72D297353CC}">
              <c16:uniqueId val="{00000002-3EF7-45AB-9DD6-C06AB0D92D16}"/>
            </c:ext>
          </c:extLst>
        </c:ser>
        <c:ser>
          <c:idx val="3"/>
          <c:order val="3"/>
          <c:tx>
            <c:strRef>
              <c:f>'Trend Analysis'!$A$38</c:f>
              <c:strCache>
                <c:ptCount val="1"/>
                <c:pt idx="0">
                  <c:v>Net increase (decrease) in cash and cash equivalents</c:v>
                </c:pt>
              </c:strCache>
            </c:strRef>
          </c:tx>
          <c:spPr>
            <a:ln w="28575" cap="rnd">
              <a:solidFill>
                <a:schemeClr val="accent4"/>
              </a:solidFill>
              <a:round/>
            </a:ln>
            <a:effectLst/>
          </c:spPr>
          <c:marker>
            <c:symbol val="none"/>
          </c:marker>
          <c:cat>
            <c:numRef>
              <c:f>'Trend Analysis'!$B$34:$F$34</c:f>
              <c:numCache>
                <c:formatCode>General</c:formatCode>
                <c:ptCount val="5"/>
                <c:pt idx="0">
                  <c:v>2020</c:v>
                </c:pt>
                <c:pt idx="1">
                  <c:v>2021</c:v>
                </c:pt>
                <c:pt idx="2">
                  <c:v>2022</c:v>
                </c:pt>
                <c:pt idx="3">
                  <c:v>2023</c:v>
                </c:pt>
                <c:pt idx="4">
                  <c:v>2024</c:v>
                </c:pt>
              </c:numCache>
            </c:numRef>
          </c:cat>
          <c:val>
            <c:numRef>
              <c:f>'Trend Analysis'!$B$38:$F$38</c:f>
              <c:numCache>
                <c:formatCode>_(* #,##0_);_(* \(#,##0\);_(* "-"??_);_(@_)</c:formatCode>
                <c:ptCount val="5"/>
                <c:pt idx="0">
                  <c:v>-5492</c:v>
                </c:pt>
                <c:pt idx="1">
                  <c:v>-1614</c:v>
                </c:pt>
                <c:pt idx="2">
                  <c:v>5927</c:v>
                </c:pt>
                <c:pt idx="3">
                  <c:v>-23989</c:v>
                </c:pt>
                <c:pt idx="4">
                  <c:v>-15968</c:v>
                </c:pt>
              </c:numCache>
            </c:numRef>
          </c:val>
          <c:smooth val="0"/>
          <c:extLst>
            <c:ext xmlns:c16="http://schemas.microsoft.com/office/drawing/2014/chart" uri="{C3380CC4-5D6E-409C-BE32-E72D297353CC}">
              <c16:uniqueId val="{00000003-3EF7-45AB-9DD6-C06AB0D92D16}"/>
            </c:ext>
          </c:extLst>
        </c:ser>
        <c:ser>
          <c:idx val="4"/>
          <c:order val="4"/>
          <c:tx>
            <c:strRef>
              <c:f>'Trend Analysis'!$A$39</c:f>
              <c:strCache>
                <c:ptCount val="1"/>
                <c:pt idx="0">
                  <c:v>Cash and cash equivalents at the end of period</c:v>
                </c:pt>
              </c:strCache>
            </c:strRef>
          </c:tx>
          <c:spPr>
            <a:ln w="28575" cap="rnd">
              <a:solidFill>
                <a:schemeClr val="accent5"/>
              </a:solidFill>
              <a:round/>
            </a:ln>
            <a:effectLst/>
          </c:spPr>
          <c:marker>
            <c:symbol val="none"/>
          </c:marker>
          <c:cat>
            <c:numRef>
              <c:f>'Trend Analysis'!$B$34:$F$34</c:f>
              <c:numCache>
                <c:formatCode>General</c:formatCode>
                <c:ptCount val="5"/>
                <c:pt idx="0">
                  <c:v>2020</c:v>
                </c:pt>
                <c:pt idx="1">
                  <c:v>2021</c:v>
                </c:pt>
                <c:pt idx="2">
                  <c:v>2022</c:v>
                </c:pt>
                <c:pt idx="3">
                  <c:v>2023</c:v>
                </c:pt>
                <c:pt idx="4">
                  <c:v>2024</c:v>
                </c:pt>
              </c:numCache>
            </c:numRef>
          </c:cat>
          <c:val>
            <c:numRef>
              <c:f>'Trend Analysis'!$B$39:$F$39</c:f>
              <c:numCache>
                <c:formatCode>_(* #,##0_);_(* \(#,##0\);_(* "-"??_);_(@_)</c:formatCode>
                <c:ptCount val="5"/>
                <c:pt idx="0">
                  <c:v>68810</c:v>
                </c:pt>
                <c:pt idx="1">
                  <c:v>-35644</c:v>
                </c:pt>
                <c:pt idx="2">
                  <c:v>-34030</c:v>
                </c:pt>
                <c:pt idx="3">
                  <c:v>-39957</c:v>
                </c:pt>
                <c:pt idx="4">
                  <c:v>-15968</c:v>
                </c:pt>
              </c:numCache>
            </c:numRef>
          </c:val>
          <c:smooth val="0"/>
          <c:extLst>
            <c:ext xmlns:c16="http://schemas.microsoft.com/office/drawing/2014/chart" uri="{C3380CC4-5D6E-409C-BE32-E72D297353CC}">
              <c16:uniqueId val="{00000004-3EF7-45AB-9DD6-C06AB0D92D16}"/>
            </c:ext>
          </c:extLst>
        </c:ser>
        <c:dLbls>
          <c:showLegendKey val="0"/>
          <c:showVal val="0"/>
          <c:showCatName val="0"/>
          <c:showSerName val="0"/>
          <c:showPercent val="0"/>
          <c:showBubbleSize val="0"/>
        </c:dLbls>
        <c:smooth val="0"/>
        <c:axId val="1394988496"/>
        <c:axId val="1394987056"/>
      </c:lineChart>
      <c:catAx>
        <c:axId val="1394988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94987056"/>
        <c:crosses val="autoZero"/>
        <c:auto val="1"/>
        <c:lblAlgn val="ctr"/>
        <c:lblOffset val="100"/>
        <c:noMultiLvlLbl val="0"/>
      </c:catAx>
      <c:valAx>
        <c:axId val="1394987056"/>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94988496"/>
        <c:crosses val="autoZero"/>
        <c:crossBetween val="between"/>
      </c:valAx>
      <c:spPr>
        <a:noFill/>
        <a:ln>
          <a:noFill/>
        </a:ln>
        <a:effectLst/>
      </c:spPr>
    </c:plotArea>
    <c:legend>
      <c:legendPos val="b"/>
      <c:layout>
        <c:manualLayout>
          <c:xMode val="edge"/>
          <c:yMode val="edge"/>
          <c:x val="2.7873980853213211E-2"/>
          <c:y val="0.55903854995505886"/>
          <c:w val="0.95089932670448096"/>
          <c:h val="0.44096145004494114"/>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DD698-32FE-4C77-BA39-1C8E3EC8B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33</Pages>
  <Words>8556</Words>
  <Characters>48774</Characters>
  <Application>Microsoft Office Word</Application>
  <DocSecurity>0</DocSecurity>
  <Lines>406</Lines>
  <Paragraphs>114</Paragraphs>
  <ScaleCrop>false</ScaleCrop>
  <Company/>
  <LinksUpToDate>false</LinksUpToDate>
  <CharactersWithSpaces>57216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Durjoy</dc:creator>
  <cp:keywords/>
  <dc:description/>
  <cp:lastModifiedBy>Durjoy Real</cp:lastModifiedBy>
  <cp:revision>32</cp:revision>
  <dcterms:created xsi:type="dcterms:W3CDTF">2025-12-22T11:22:00Z</dcterms:created>
  <dcterms:modified xsi:type="dcterms:W3CDTF">2025-12-22T12:23:00Z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297de933-6a6a-440f-860e-8bbd1e4e2589</vt:lpwstr>
  </property>
</Properties>
</file>