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D9FAC" w14:textId="77777777" w:rsidR="00B355B3" w:rsidRDefault="00B355B3">
      <w:pPr>
        <w:pStyle w:val="NormalWeb"/>
        <w:spacing w:before="0" w:after="0"/>
        <w:ind w:left="-180" w:right="-334"/>
      </w:pPr>
    </w:p>
    <w:p w14:paraId="59834D85" w14:textId="77777777" w:rsidR="00B355B3" w:rsidRDefault="00B355B3">
      <w:pPr>
        <w:pStyle w:val="NormalWeb"/>
        <w:spacing w:before="0" w:after="0"/>
        <w:ind w:left="-180" w:right="-334"/>
      </w:pPr>
      <w:r>
        <w:rPr>
          <w:lang w:val="en-GB"/>
        </w:rPr>
        <w:pict w14:anchorId="4EC266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7.5pt;height:73.5pt" filled="t">
            <v:fill opacity="0" color2="black"/>
            <v:imagedata r:id="rId8" o:title=""/>
          </v:shape>
        </w:pict>
      </w:r>
    </w:p>
    <w:p w14:paraId="1D41C9F6" w14:textId="77777777" w:rsidR="00B355B3" w:rsidRDefault="00B355B3">
      <w:pPr>
        <w:pStyle w:val="NormalWeb"/>
        <w:spacing w:before="0" w:after="0"/>
        <w:ind w:left="-180" w:right="-334"/>
      </w:pPr>
    </w:p>
    <w:p w14:paraId="7FEDAE0B" w14:textId="77777777" w:rsidR="00B355B3" w:rsidRDefault="00B355B3">
      <w:pPr>
        <w:pStyle w:val="NormalWeb"/>
        <w:spacing w:before="0" w:after="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5C3AC75E" w14:textId="77777777" w:rsidR="00B355B3" w:rsidRDefault="00B355B3">
      <w:pPr>
        <w:pStyle w:val="NormalWeb"/>
        <w:spacing w:before="0" w:after="0"/>
        <w:ind w:left="-180" w:right="-334"/>
        <w:jc w:val="center"/>
        <w:rPr>
          <w:rFonts w:ascii="Arial" w:hAnsi="Arial" w:cs="Arial"/>
          <w:sz w:val="28"/>
          <w:szCs w:val="28"/>
          <w:lang w:val="cy-GB"/>
        </w:rPr>
      </w:pPr>
      <w:r>
        <w:rPr>
          <w:rFonts w:ascii="Arial" w:hAnsi="Arial" w:cs="Arial"/>
          <w:b/>
          <w:sz w:val="28"/>
          <w:szCs w:val="28"/>
          <w:lang w:val="cy-GB"/>
        </w:rPr>
        <w:t>Assignment Coversheet &amp; Feedback Form</w:t>
      </w:r>
    </w:p>
    <w:p w14:paraId="55FF463A" w14:textId="77777777" w:rsidR="00B355B3" w:rsidRDefault="00B355B3">
      <w:pPr>
        <w:rPr>
          <w:rFonts w:ascii="Arial" w:hAnsi="Arial" w:cs="Arial"/>
          <w:sz w:val="28"/>
          <w:szCs w:val="28"/>
          <w:lang w:val="cy-GB"/>
        </w:rPr>
      </w:pPr>
    </w:p>
    <w:p w14:paraId="3D35FA2F" w14:textId="77777777" w:rsidR="00B355B3" w:rsidRDefault="00B355B3">
      <w:pPr>
        <w:jc w:val="center"/>
        <w:rPr>
          <w:rFonts w:ascii="Arial" w:hAnsi="Arial" w:cs="Arial"/>
        </w:rPr>
      </w:pPr>
      <w:r>
        <w:rPr>
          <w:rFonts w:ascii="Arial" w:hAnsi="Arial" w:cs="Arial"/>
          <w:sz w:val="20"/>
          <w:szCs w:val="20"/>
          <w:lang w:val="cy-GB"/>
        </w:rPr>
        <w:t>[Please insert this coversheet as the first page of the assignment you are submitting]</w:t>
      </w:r>
    </w:p>
    <w:p w14:paraId="5ACBB21E" w14:textId="77777777" w:rsidR="00B355B3" w:rsidRDefault="00B355B3">
      <w:pPr>
        <w:pStyle w:val="Heading3"/>
        <w:jc w:val="center"/>
        <w:rPr>
          <w:rFonts w:ascii="Arial" w:hAnsi="Arial" w:cs="Arial"/>
        </w:rPr>
      </w:pPr>
    </w:p>
    <w:tbl>
      <w:tblPr>
        <w:tblW w:w="0" w:type="auto"/>
        <w:tblInd w:w="-5" w:type="dxa"/>
        <w:tblLayout w:type="fixed"/>
        <w:tblLook w:val="0000" w:firstRow="0" w:lastRow="0" w:firstColumn="0" w:lastColumn="0" w:noHBand="0" w:noVBand="0"/>
      </w:tblPr>
      <w:tblGrid>
        <w:gridCol w:w="4788"/>
        <w:gridCol w:w="1980"/>
        <w:gridCol w:w="286"/>
        <w:gridCol w:w="1812"/>
      </w:tblGrid>
      <w:tr w:rsidR="00B355B3" w14:paraId="2AD89132" w14:textId="77777777">
        <w:trPr>
          <w:trHeight w:val="724"/>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537D08F5" w14:textId="77777777" w:rsidR="00B355B3" w:rsidRDefault="00B355B3">
            <w:pPr>
              <w:pStyle w:val="NormalWeb"/>
              <w:spacing w:before="0" w:after="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p w14:paraId="7ECD7398" w14:textId="77777777" w:rsidR="00B355B3" w:rsidRDefault="00B355B3">
            <w:pPr>
              <w:pStyle w:val="NormalWeb"/>
              <w:spacing w:before="0" w:after="0"/>
              <w:ind w:right="34"/>
            </w:pPr>
            <w:r>
              <w:rPr>
                <w:rFonts w:ascii="Arial" w:hAnsi="Arial" w:cs="Arial"/>
                <w:sz w:val="22"/>
                <w:szCs w:val="22"/>
              </w:rPr>
              <w:t>Student Name: Danu Forest-Goodfellow</w:t>
            </w:r>
          </w:p>
        </w:tc>
      </w:tr>
      <w:tr w:rsidR="00B355B3" w14:paraId="3560ACDE" w14:textId="77777777">
        <w:trPr>
          <w:trHeight w:val="693"/>
        </w:trPr>
        <w:tc>
          <w:tcPr>
            <w:tcW w:w="4788" w:type="dxa"/>
            <w:tcBorders>
              <w:top w:val="single" w:sz="4" w:space="0" w:color="000000"/>
              <w:left w:val="single" w:sz="4" w:space="0" w:color="000000"/>
              <w:bottom w:val="single" w:sz="4" w:space="0" w:color="000000"/>
            </w:tcBorders>
            <w:shd w:val="clear" w:color="auto" w:fill="auto"/>
          </w:tcPr>
          <w:p w14:paraId="5146F21F" w14:textId="77777777" w:rsidR="00B355B3" w:rsidRDefault="00B355B3">
            <w:pPr>
              <w:pStyle w:val="NormalWeb"/>
              <w:snapToGrid w:val="0"/>
              <w:spacing w:before="0" w:after="0"/>
              <w:ind w:right="34"/>
              <w:rPr>
                <w:rFonts w:ascii="Arial" w:hAnsi="Arial" w:cs="Arial"/>
                <w:sz w:val="22"/>
                <w:szCs w:val="22"/>
              </w:rPr>
            </w:pPr>
          </w:p>
          <w:p w14:paraId="29C369A0"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Module code:  CYCS7021</w:t>
            </w:r>
          </w:p>
          <w:p w14:paraId="48B7FB36"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 xml:space="preserve">                        </w:t>
            </w:r>
          </w:p>
        </w:tc>
        <w:tc>
          <w:tcPr>
            <w:tcW w:w="2266" w:type="dxa"/>
            <w:gridSpan w:val="2"/>
            <w:vMerge w:val="restart"/>
            <w:tcBorders>
              <w:top w:val="single" w:sz="4" w:space="0" w:color="000000"/>
              <w:left w:val="single" w:sz="4" w:space="0" w:color="000000"/>
              <w:bottom w:val="single" w:sz="4" w:space="0" w:color="000000"/>
            </w:tcBorders>
            <w:shd w:val="clear" w:color="auto" w:fill="auto"/>
          </w:tcPr>
          <w:p w14:paraId="552D2986"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Student University Number:</w:t>
            </w:r>
          </w:p>
          <w:p w14:paraId="409ECA87"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1704506</w:t>
            </w:r>
          </w:p>
        </w:tc>
        <w:tc>
          <w:tcPr>
            <w:tcW w:w="181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6CC7682"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Educational support needs:</w:t>
            </w:r>
          </w:p>
          <w:p w14:paraId="0CEB2E6C" w14:textId="77777777" w:rsidR="00B355B3" w:rsidRDefault="00B355B3">
            <w:pPr>
              <w:pStyle w:val="NormalWeb"/>
              <w:spacing w:before="0" w:after="0"/>
              <w:ind w:right="34"/>
            </w:pPr>
            <w:r>
              <w:rPr>
                <w:rFonts w:ascii="Arial" w:hAnsi="Arial" w:cs="Arial"/>
                <w:sz w:val="22"/>
                <w:szCs w:val="22"/>
              </w:rPr>
              <w:t>Yes/No</w:t>
            </w:r>
          </w:p>
        </w:tc>
      </w:tr>
      <w:tr w:rsidR="00B355B3" w14:paraId="7FF82574" w14:textId="77777777">
        <w:trPr>
          <w:trHeight w:val="630"/>
        </w:trPr>
        <w:tc>
          <w:tcPr>
            <w:tcW w:w="4788" w:type="dxa"/>
            <w:tcBorders>
              <w:top w:val="single" w:sz="4" w:space="0" w:color="000000"/>
              <w:left w:val="single" w:sz="4" w:space="0" w:color="000000"/>
              <w:bottom w:val="single" w:sz="4" w:space="0" w:color="000000"/>
            </w:tcBorders>
            <w:shd w:val="clear" w:color="auto" w:fill="auto"/>
          </w:tcPr>
          <w:p w14:paraId="58D48D00" w14:textId="77777777" w:rsidR="00B355B3" w:rsidRDefault="00B355B3">
            <w:pPr>
              <w:pStyle w:val="NormalWeb"/>
              <w:snapToGrid w:val="0"/>
              <w:spacing w:before="0" w:after="0"/>
              <w:ind w:right="34"/>
              <w:rPr>
                <w:rFonts w:ascii="Arial" w:hAnsi="Arial" w:cs="Arial"/>
                <w:sz w:val="22"/>
                <w:szCs w:val="22"/>
              </w:rPr>
            </w:pPr>
          </w:p>
          <w:p w14:paraId="6D32165C"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Module title: The Celtic Arthur and the Matter of Britain.</w:t>
            </w:r>
          </w:p>
          <w:p w14:paraId="3590ADB3" w14:textId="77777777" w:rsidR="00B355B3" w:rsidRDefault="00B355B3">
            <w:pPr>
              <w:pStyle w:val="NormalWeb"/>
              <w:spacing w:before="0" w:after="0"/>
              <w:ind w:right="34"/>
              <w:rPr>
                <w:rFonts w:ascii="Arial" w:hAnsi="Arial" w:cs="Arial"/>
                <w:sz w:val="22"/>
                <w:szCs w:val="22"/>
              </w:rPr>
            </w:pPr>
          </w:p>
        </w:tc>
        <w:tc>
          <w:tcPr>
            <w:tcW w:w="2266" w:type="dxa"/>
            <w:gridSpan w:val="2"/>
            <w:vMerge/>
            <w:tcBorders>
              <w:top w:val="single" w:sz="4" w:space="0" w:color="000000"/>
              <w:left w:val="single" w:sz="4" w:space="0" w:color="000000"/>
              <w:bottom w:val="single" w:sz="4" w:space="0" w:color="000000"/>
            </w:tcBorders>
            <w:shd w:val="clear" w:color="auto" w:fill="auto"/>
          </w:tcPr>
          <w:p w14:paraId="0A64839F" w14:textId="77777777" w:rsidR="00B355B3" w:rsidRDefault="00B355B3">
            <w:pPr>
              <w:pStyle w:val="NormalWeb"/>
              <w:snapToGrid w:val="0"/>
              <w:spacing w:before="0" w:after="0"/>
              <w:ind w:right="34"/>
              <w:rPr>
                <w:rFonts w:ascii="Arial" w:hAnsi="Arial" w:cs="Arial"/>
                <w:sz w:val="22"/>
                <w:szCs w:val="22"/>
              </w:rPr>
            </w:pPr>
          </w:p>
        </w:tc>
        <w:tc>
          <w:tcPr>
            <w:tcW w:w="1812" w:type="dxa"/>
            <w:vMerge/>
            <w:tcBorders>
              <w:top w:val="single" w:sz="4" w:space="0" w:color="000000"/>
              <w:left w:val="single" w:sz="4" w:space="0" w:color="000000"/>
              <w:bottom w:val="single" w:sz="4" w:space="0" w:color="000000"/>
              <w:right w:val="single" w:sz="4" w:space="0" w:color="000000"/>
            </w:tcBorders>
            <w:shd w:val="clear" w:color="auto" w:fill="auto"/>
          </w:tcPr>
          <w:p w14:paraId="4D1A2B33" w14:textId="77777777" w:rsidR="00B355B3" w:rsidRDefault="00B355B3">
            <w:pPr>
              <w:pStyle w:val="NormalWeb"/>
              <w:snapToGrid w:val="0"/>
              <w:spacing w:before="0" w:after="0"/>
              <w:ind w:right="34"/>
              <w:rPr>
                <w:rFonts w:ascii="Arial" w:hAnsi="Arial" w:cs="Arial"/>
                <w:sz w:val="22"/>
                <w:szCs w:val="22"/>
              </w:rPr>
            </w:pPr>
          </w:p>
        </w:tc>
      </w:tr>
      <w:tr w:rsidR="00B355B3" w14:paraId="2DA8D427" w14:textId="77777777">
        <w:trPr>
          <w:trHeight w:val="630"/>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6DC1E2DA" w14:textId="77777777" w:rsidR="00B355B3" w:rsidRDefault="00B355B3">
            <w:pPr>
              <w:pStyle w:val="NormalWeb"/>
              <w:snapToGrid w:val="0"/>
              <w:spacing w:before="0" w:after="0"/>
              <w:ind w:right="34"/>
              <w:rPr>
                <w:rFonts w:ascii="Arial" w:hAnsi="Arial" w:cs="Arial"/>
                <w:sz w:val="22"/>
                <w:szCs w:val="22"/>
              </w:rPr>
            </w:pPr>
          </w:p>
          <w:p w14:paraId="4228AE05" w14:textId="77777777" w:rsidR="00B355B3" w:rsidRDefault="00B355B3">
            <w:pPr>
              <w:pStyle w:val="NormalWeb"/>
              <w:spacing w:before="0" w:after="0"/>
              <w:ind w:right="34"/>
            </w:pPr>
            <w:r>
              <w:rPr>
                <w:rFonts w:ascii="Arial" w:hAnsi="Arial" w:cs="Arial"/>
                <w:sz w:val="22"/>
                <w:szCs w:val="22"/>
              </w:rPr>
              <w:t>Module tutor: Rhys Kaminski-Jones</w:t>
            </w:r>
          </w:p>
        </w:tc>
      </w:tr>
      <w:tr w:rsidR="00B355B3" w14:paraId="652CD8EB" w14:textId="77777777">
        <w:trPr>
          <w:trHeight w:val="630"/>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40DFA9F2" w14:textId="77777777" w:rsidR="00B355B3" w:rsidRDefault="00B355B3">
            <w:pPr>
              <w:pStyle w:val="NormalWeb"/>
              <w:snapToGrid w:val="0"/>
              <w:spacing w:before="0" w:after="0"/>
              <w:ind w:right="34"/>
              <w:rPr>
                <w:rFonts w:ascii="Arial" w:hAnsi="Arial" w:cs="Arial"/>
                <w:sz w:val="22"/>
                <w:szCs w:val="22"/>
              </w:rPr>
            </w:pPr>
          </w:p>
          <w:p w14:paraId="6A0F560C" w14:textId="51460CDF" w:rsidR="00B355B3" w:rsidRPr="009904FF" w:rsidRDefault="00B355B3" w:rsidP="009904FF">
            <w:pPr>
              <w:pStyle w:val="NormalWeb"/>
              <w:ind w:right="34"/>
              <w:rPr>
                <w:rFonts w:ascii="Arial" w:hAnsi="Arial" w:cs="Arial"/>
                <w:sz w:val="22"/>
                <w:szCs w:val="22"/>
              </w:rPr>
            </w:pPr>
            <w:r w:rsidRPr="009904FF">
              <w:rPr>
                <w:rFonts w:ascii="Arial" w:hAnsi="Arial" w:cs="Arial"/>
                <w:sz w:val="22"/>
                <w:szCs w:val="22"/>
              </w:rPr>
              <w:t>Assignment question 2</w:t>
            </w:r>
            <w:r>
              <w:rPr>
                <w:rFonts w:ascii="Arial" w:hAnsi="Arial" w:cs="Arial"/>
                <w:sz w:val="22"/>
                <w:szCs w:val="22"/>
              </w:rPr>
              <w:t xml:space="preserve"> </w:t>
            </w:r>
            <w:r w:rsidRPr="009904FF">
              <w:rPr>
                <w:rFonts w:ascii="Arial" w:hAnsi="Arial" w:cs="Arial"/>
                <w:sz w:val="22"/>
                <w:szCs w:val="22"/>
              </w:rPr>
              <w:t xml:space="preserve"> </w:t>
            </w:r>
          </w:p>
          <w:p w14:paraId="6964E8FE" w14:textId="77777777" w:rsidR="00B355B3" w:rsidRDefault="00B355B3" w:rsidP="009904FF">
            <w:pPr>
              <w:pStyle w:val="NormalWeb"/>
              <w:ind w:right="34"/>
            </w:pPr>
            <w:r w:rsidRPr="009904FF">
              <w:rPr>
                <w:rFonts w:ascii="Arial" w:hAnsi="Arial" w:cs="Arial"/>
                <w:sz w:val="22"/>
                <w:szCs w:val="22"/>
              </w:rPr>
              <w:t>2. To what extent did Geoffrey of Monmouth’s Historia Regum Britanniae preserve earlier material and to what extent was this work innovative?</w:t>
            </w:r>
          </w:p>
          <w:p w14:paraId="5F4B41EC" w14:textId="77777777" w:rsidR="00B355B3" w:rsidRDefault="00B355B3" w:rsidP="00C12312">
            <w:pPr>
              <w:pStyle w:val="NormalWeb"/>
              <w:spacing w:before="0" w:after="0"/>
              <w:ind w:right="34"/>
            </w:pPr>
          </w:p>
        </w:tc>
      </w:tr>
      <w:tr w:rsidR="00B355B3" w14:paraId="2E93663C" w14:textId="77777777">
        <w:trPr>
          <w:trHeight w:val="630"/>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048A9594" w14:textId="77777777" w:rsidR="00B355B3" w:rsidRDefault="00B355B3">
            <w:pPr>
              <w:pStyle w:val="NormalWeb"/>
              <w:snapToGrid w:val="0"/>
              <w:spacing w:before="0" w:after="0"/>
              <w:ind w:right="34"/>
              <w:rPr>
                <w:rFonts w:ascii="Arial" w:hAnsi="Arial" w:cs="Arial"/>
                <w:sz w:val="22"/>
                <w:szCs w:val="22"/>
              </w:rPr>
            </w:pPr>
          </w:p>
          <w:p w14:paraId="5398F8F3" w14:textId="77777777" w:rsidR="00B355B3" w:rsidRDefault="00B355B3">
            <w:pPr>
              <w:pStyle w:val="NormalWeb"/>
              <w:spacing w:before="0" w:after="0"/>
              <w:ind w:right="34"/>
            </w:pPr>
            <w:r>
              <w:rPr>
                <w:rFonts w:ascii="Arial" w:hAnsi="Arial" w:cs="Arial"/>
                <w:sz w:val="22"/>
                <w:szCs w:val="22"/>
              </w:rPr>
              <w:t>Assignment due date: 15/1/19</w:t>
            </w:r>
          </w:p>
        </w:tc>
      </w:tr>
      <w:tr w:rsidR="00B355B3" w14:paraId="1E9C7BC5" w14:textId="77777777">
        <w:trPr>
          <w:trHeight w:val="978"/>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D9D9D9"/>
          </w:tcPr>
          <w:p w14:paraId="67C5CB1C" w14:textId="77777777" w:rsidR="00B355B3" w:rsidRDefault="00B355B3">
            <w:pPr>
              <w:pStyle w:val="NormalWeb"/>
              <w:snapToGrid w:val="0"/>
              <w:spacing w:before="0" w:after="0"/>
              <w:ind w:right="34"/>
              <w:rPr>
                <w:rFonts w:ascii="Arial" w:hAnsi="Arial" w:cs="Arial"/>
                <w:sz w:val="22"/>
                <w:szCs w:val="22"/>
              </w:rPr>
            </w:pPr>
          </w:p>
          <w:p w14:paraId="2A0DDDAB"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70FDC38F" w14:textId="77777777" w:rsidR="00B355B3" w:rsidRDefault="00B355B3">
            <w:pPr>
              <w:pStyle w:val="NormalWeb"/>
              <w:spacing w:before="0" w:after="0"/>
              <w:ind w:right="34"/>
              <w:rPr>
                <w:rFonts w:ascii="Arial" w:hAnsi="Arial" w:cs="Arial"/>
                <w:sz w:val="22"/>
                <w:szCs w:val="22"/>
              </w:rPr>
            </w:pPr>
          </w:p>
          <w:p w14:paraId="52442801" w14:textId="77777777" w:rsidR="00B355B3" w:rsidRDefault="00B355B3">
            <w:pPr>
              <w:pStyle w:val="NormalWeb"/>
              <w:spacing w:before="0" w:after="0"/>
              <w:ind w:right="34"/>
              <w:rPr>
                <w:rFonts w:ascii="Arial" w:hAnsi="Arial" w:cs="Arial"/>
                <w:sz w:val="22"/>
                <w:szCs w:val="22"/>
              </w:rPr>
            </w:pPr>
            <w:proofErr w:type="gramStart"/>
            <w:r>
              <w:rPr>
                <w:rFonts w:ascii="Arial" w:hAnsi="Arial" w:cs="Arial"/>
                <w:sz w:val="22"/>
                <w:szCs w:val="22"/>
              </w:rPr>
              <w:t>Name  Danu</w:t>
            </w:r>
            <w:proofErr w:type="gramEnd"/>
            <w:r>
              <w:rPr>
                <w:rFonts w:ascii="Arial" w:hAnsi="Arial" w:cs="Arial"/>
                <w:sz w:val="22"/>
                <w:szCs w:val="22"/>
              </w:rPr>
              <w:t xml:space="preserve"> Forest-Goodfellow ……………………………………………………………</w:t>
            </w:r>
          </w:p>
          <w:p w14:paraId="1BBF8D4D" w14:textId="77777777" w:rsidR="00B355B3" w:rsidRDefault="00B355B3">
            <w:pPr>
              <w:pStyle w:val="NormalWeb"/>
              <w:spacing w:before="0" w:after="0"/>
              <w:ind w:right="34"/>
              <w:rPr>
                <w:rFonts w:ascii="Arial" w:hAnsi="Arial" w:cs="Arial"/>
                <w:sz w:val="22"/>
                <w:szCs w:val="22"/>
              </w:rPr>
            </w:pPr>
          </w:p>
        </w:tc>
      </w:tr>
      <w:tr w:rsidR="00B355B3" w14:paraId="04B15BFF" w14:textId="77777777">
        <w:trPr>
          <w:trHeight w:val="3972"/>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74450244" w14:textId="77777777" w:rsidR="00B355B3" w:rsidRDefault="00B355B3">
            <w:pPr>
              <w:snapToGrid w:val="0"/>
              <w:rPr>
                <w:rFonts w:ascii="Arial" w:hAnsi="Arial" w:cs="Arial"/>
                <w:b/>
              </w:rPr>
            </w:pPr>
          </w:p>
          <w:p w14:paraId="1674D268" w14:textId="77777777" w:rsidR="00B355B3" w:rsidRDefault="00B355B3">
            <w:pPr>
              <w:rPr>
                <w:rFonts w:ascii="Arial" w:hAnsi="Arial" w:cs="Arial"/>
              </w:rPr>
            </w:pPr>
            <w:r>
              <w:rPr>
                <w:rFonts w:ascii="Arial" w:hAnsi="Arial" w:cs="Arial"/>
                <w:b/>
              </w:rPr>
              <w:t>Assignment Mark</w:t>
            </w:r>
          </w:p>
          <w:tbl>
            <w:tblPr>
              <w:tblW w:w="0" w:type="auto"/>
              <w:tblLayout w:type="fixed"/>
              <w:tblLook w:val="0000" w:firstRow="0" w:lastRow="0" w:firstColumn="0" w:lastColumn="0" w:noHBand="0" w:noVBand="0"/>
            </w:tblPr>
            <w:tblGrid>
              <w:gridCol w:w="6970"/>
              <w:gridCol w:w="1670"/>
            </w:tblGrid>
            <w:tr w:rsidR="00B355B3" w14:paraId="19D85472" w14:textId="77777777">
              <w:tc>
                <w:tcPr>
                  <w:tcW w:w="6970" w:type="dxa"/>
                  <w:tcBorders>
                    <w:top w:val="single" w:sz="4" w:space="0" w:color="000000"/>
                    <w:left w:val="single" w:sz="4" w:space="0" w:color="000000"/>
                    <w:bottom w:val="single" w:sz="4" w:space="0" w:color="000000"/>
                  </w:tcBorders>
                  <w:shd w:val="clear" w:color="auto" w:fill="auto"/>
                </w:tcPr>
                <w:p w14:paraId="1AB8A23F" w14:textId="77777777" w:rsidR="00B355B3" w:rsidRDefault="00B355B3">
                  <w:pPr>
                    <w:snapToGrid w:val="0"/>
                    <w:rPr>
                      <w:rFonts w:ascii="Arial" w:hAnsi="Arial" w:cs="Arial"/>
                    </w:rPr>
                  </w:pPr>
                </w:p>
                <w:p w14:paraId="383502C9" w14:textId="77777777" w:rsidR="00B355B3" w:rsidRDefault="00B355B3">
                  <w:pPr>
                    <w:rPr>
                      <w:rFonts w:ascii="Arial" w:hAnsi="Arial" w:cs="Arial"/>
                      <w:sz w:val="20"/>
                      <w:szCs w:val="20"/>
                    </w:rPr>
                  </w:pPr>
                  <w:r>
                    <w:rPr>
                      <w:rFonts w:ascii="Arial" w:hAnsi="Arial" w:cs="Arial"/>
                    </w:rPr>
                    <w:t>1</w:t>
                  </w:r>
                  <w:r>
                    <w:rPr>
                      <w:rFonts w:ascii="Arial" w:hAnsi="Arial" w:cs="Arial"/>
                      <w:vertAlign w:val="superscript"/>
                    </w:rPr>
                    <w:t>st</w:t>
                  </w:r>
                  <w:r>
                    <w:rPr>
                      <w:rFonts w:ascii="Arial" w:hAnsi="Arial" w:cs="Arial"/>
                    </w:rPr>
                    <w:t xml:space="preserve"> Marker’s Provisional mark</w:t>
                  </w:r>
                </w:p>
              </w:tc>
              <w:tc>
                <w:tcPr>
                  <w:tcW w:w="1670" w:type="dxa"/>
                  <w:tcBorders>
                    <w:top w:val="single" w:sz="4" w:space="0" w:color="000000"/>
                    <w:left w:val="single" w:sz="4" w:space="0" w:color="000000"/>
                    <w:bottom w:val="single" w:sz="4" w:space="0" w:color="000000"/>
                    <w:right w:val="single" w:sz="4" w:space="0" w:color="000000"/>
                  </w:tcBorders>
                  <w:shd w:val="clear" w:color="auto" w:fill="auto"/>
                </w:tcPr>
                <w:p w14:paraId="64B89FD3" w14:textId="77777777" w:rsidR="00B355B3" w:rsidRDefault="00B355B3">
                  <w:pPr>
                    <w:snapToGrid w:val="0"/>
                    <w:rPr>
                      <w:rFonts w:ascii="Arial" w:hAnsi="Arial" w:cs="Arial"/>
                      <w:sz w:val="20"/>
                      <w:szCs w:val="20"/>
                    </w:rPr>
                  </w:pPr>
                </w:p>
              </w:tc>
            </w:tr>
            <w:tr w:rsidR="00B355B3" w14:paraId="57C4B870" w14:textId="77777777">
              <w:tc>
                <w:tcPr>
                  <w:tcW w:w="6970" w:type="dxa"/>
                  <w:tcBorders>
                    <w:top w:val="single" w:sz="4" w:space="0" w:color="000000"/>
                    <w:left w:val="single" w:sz="4" w:space="0" w:color="000000"/>
                    <w:bottom w:val="single" w:sz="4" w:space="0" w:color="000000"/>
                  </w:tcBorders>
                  <w:shd w:val="clear" w:color="auto" w:fill="auto"/>
                </w:tcPr>
                <w:p w14:paraId="1B2C5762" w14:textId="77777777" w:rsidR="00B355B3" w:rsidRDefault="00B355B3">
                  <w:pPr>
                    <w:snapToGrid w:val="0"/>
                    <w:rPr>
                      <w:rFonts w:ascii="Arial" w:hAnsi="Arial" w:cs="Arial"/>
                    </w:rPr>
                  </w:pPr>
                </w:p>
                <w:p w14:paraId="0F210666" w14:textId="77777777" w:rsidR="00B355B3" w:rsidRDefault="00B355B3">
                  <w:pPr>
                    <w:rPr>
                      <w:rFonts w:ascii="Arial" w:hAnsi="Arial" w:cs="Arial"/>
                      <w:sz w:val="20"/>
                      <w:szCs w:val="20"/>
                    </w:rPr>
                  </w:pPr>
                  <w:r>
                    <w:rPr>
                      <w:rFonts w:ascii="Arial" w:hAnsi="Arial" w:cs="Arial"/>
                    </w:rPr>
                    <w:t>2</w:t>
                  </w:r>
                  <w:r>
                    <w:rPr>
                      <w:rFonts w:ascii="Arial" w:hAnsi="Arial" w:cs="Arial"/>
                      <w:vertAlign w:val="superscript"/>
                    </w:rPr>
                    <w:t>nd</w:t>
                  </w:r>
                  <w:r>
                    <w:rPr>
                      <w:rFonts w:ascii="Arial" w:hAnsi="Arial" w:cs="Arial"/>
                    </w:rPr>
                    <w:t xml:space="preserve"> Marker’s/Moderator’s provisional mark</w:t>
                  </w:r>
                </w:p>
              </w:tc>
              <w:tc>
                <w:tcPr>
                  <w:tcW w:w="1670" w:type="dxa"/>
                  <w:tcBorders>
                    <w:top w:val="single" w:sz="4" w:space="0" w:color="000000"/>
                    <w:left w:val="single" w:sz="4" w:space="0" w:color="000000"/>
                    <w:bottom w:val="single" w:sz="4" w:space="0" w:color="000000"/>
                    <w:right w:val="single" w:sz="4" w:space="0" w:color="000000"/>
                  </w:tcBorders>
                  <w:shd w:val="clear" w:color="auto" w:fill="auto"/>
                </w:tcPr>
                <w:p w14:paraId="00FF2896" w14:textId="77777777" w:rsidR="00B355B3" w:rsidRDefault="00B355B3">
                  <w:pPr>
                    <w:snapToGrid w:val="0"/>
                    <w:rPr>
                      <w:rFonts w:ascii="Arial" w:hAnsi="Arial" w:cs="Arial"/>
                      <w:sz w:val="20"/>
                      <w:szCs w:val="20"/>
                    </w:rPr>
                  </w:pPr>
                </w:p>
              </w:tc>
            </w:tr>
            <w:tr w:rsidR="00B355B3" w14:paraId="2AF4B29E" w14:textId="77777777">
              <w:tc>
                <w:tcPr>
                  <w:tcW w:w="6970" w:type="dxa"/>
                  <w:tcBorders>
                    <w:top w:val="single" w:sz="4" w:space="0" w:color="000000"/>
                    <w:left w:val="single" w:sz="4" w:space="0" w:color="000000"/>
                    <w:bottom w:val="single" w:sz="4" w:space="0" w:color="000000"/>
                  </w:tcBorders>
                  <w:shd w:val="clear" w:color="auto" w:fill="auto"/>
                </w:tcPr>
                <w:p w14:paraId="30E49880" w14:textId="77777777" w:rsidR="00B355B3" w:rsidRDefault="00B355B3">
                  <w:pPr>
                    <w:snapToGrid w:val="0"/>
                    <w:rPr>
                      <w:rFonts w:ascii="Arial" w:hAnsi="Arial" w:cs="Arial"/>
                    </w:rPr>
                  </w:pPr>
                </w:p>
                <w:p w14:paraId="4CBB3673" w14:textId="77777777" w:rsidR="00B355B3" w:rsidRDefault="00B355B3">
                  <w:pPr>
                    <w:rPr>
                      <w:rFonts w:ascii="Arial" w:hAnsi="Arial" w:cs="Arial"/>
                      <w:sz w:val="20"/>
                      <w:szCs w:val="20"/>
                    </w:rPr>
                  </w:pPr>
                  <w:r>
                    <w:rPr>
                      <w:rFonts w:ascii="Arial" w:hAnsi="Arial" w:cs="Arial"/>
                    </w:rPr>
                    <w:t>Agreed Internal Mark</w:t>
                  </w:r>
                </w:p>
              </w:tc>
              <w:tc>
                <w:tcPr>
                  <w:tcW w:w="1670" w:type="dxa"/>
                  <w:tcBorders>
                    <w:top w:val="single" w:sz="4" w:space="0" w:color="000000"/>
                    <w:left w:val="single" w:sz="4" w:space="0" w:color="000000"/>
                    <w:bottom w:val="single" w:sz="4" w:space="0" w:color="000000"/>
                    <w:right w:val="single" w:sz="4" w:space="0" w:color="000000"/>
                  </w:tcBorders>
                  <w:shd w:val="clear" w:color="auto" w:fill="auto"/>
                </w:tcPr>
                <w:p w14:paraId="4524AC59" w14:textId="77777777" w:rsidR="00B355B3" w:rsidRDefault="00B355B3">
                  <w:pPr>
                    <w:snapToGrid w:val="0"/>
                    <w:rPr>
                      <w:rFonts w:ascii="Arial" w:hAnsi="Arial" w:cs="Arial"/>
                      <w:sz w:val="20"/>
                      <w:szCs w:val="20"/>
                    </w:rPr>
                  </w:pPr>
                </w:p>
              </w:tc>
            </w:tr>
            <w:tr w:rsidR="00B355B3" w14:paraId="18E2EC5B" w14:textId="77777777">
              <w:tc>
                <w:tcPr>
                  <w:tcW w:w="6970" w:type="dxa"/>
                  <w:tcBorders>
                    <w:top w:val="single" w:sz="4" w:space="0" w:color="000000"/>
                    <w:left w:val="single" w:sz="4" w:space="0" w:color="000000"/>
                    <w:bottom w:val="single" w:sz="4" w:space="0" w:color="000000"/>
                  </w:tcBorders>
                  <w:shd w:val="clear" w:color="auto" w:fill="auto"/>
                </w:tcPr>
                <w:p w14:paraId="08751A8A" w14:textId="77777777" w:rsidR="00B355B3" w:rsidRDefault="00B355B3">
                  <w:pPr>
                    <w:snapToGrid w:val="0"/>
                    <w:rPr>
                      <w:rFonts w:ascii="Arial" w:hAnsi="Arial" w:cs="Arial"/>
                    </w:rPr>
                  </w:pPr>
                </w:p>
                <w:p w14:paraId="0F87CA05" w14:textId="77777777" w:rsidR="00B355B3" w:rsidRDefault="00B355B3">
                  <w:pPr>
                    <w:rPr>
                      <w:rFonts w:ascii="Arial" w:hAnsi="Arial" w:cs="Arial"/>
                      <w:sz w:val="20"/>
                      <w:szCs w:val="20"/>
                    </w:rPr>
                  </w:pPr>
                  <w:r>
                    <w:rPr>
                      <w:rFonts w:ascii="Arial" w:hAnsi="Arial" w:cs="Arial"/>
                    </w:rPr>
                    <w:t>External Examiner mark (if relevant)</w:t>
                  </w:r>
                </w:p>
              </w:tc>
              <w:tc>
                <w:tcPr>
                  <w:tcW w:w="1670" w:type="dxa"/>
                  <w:tcBorders>
                    <w:top w:val="single" w:sz="4" w:space="0" w:color="000000"/>
                    <w:left w:val="single" w:sz="4" w:space="0" w:color="000000"/>
                    <w:bottom w:val="single" w:sz="4" w:space="0" w:color="000000"/>
                    <w:right w:val="single" w:sz="4" w:space="0" w:color="000000"/>
                  </w:tcBorders>
                  <w:shd w:val="clear" w:color="auto" w:fill="auto"/>
                </w:tcPr>
                <w:p w14:paraId="675DE9E5" w14:textId="77777777" w:rsidR="00B355B3" w:rsidRDefault="00B355B3">
                  <w:pPr>
                    <w:snapToGrid w:val="0"/>
                    <w:rPr>
                      <w:rFonts w:ascii="Arial" w:hAnsi="Arial" w:cs="Arial"/>
                      <w:sz w:val="20"/>
                      <w:szCs w:val="20"/>
                    </w:rPr>
                  </w:pPr>
                </w:p>
              </w:tc>
            </w:tr>
            <w:tr w:rsidR="00B355B3" w14:paraId="4C8B370C" w14:textId="77777777">
              <w:tc>
                <w:tcPr>
                  <w:tcW w:w="6970" w:type="dxa"/>
                  <w:tcBorders>
                    <w:top w:val="single" w:sz="4" w:space="0" w:color="000000"/>
                    <w:left w:val="single" w:sz="4" w:space="0" w:color="000000"/>
                    <w:bottom w:val="single" w:sz="4" w:space="0" w:color="000000"/>
                  </w:tcBorders>
                  <w:shd w:val="clear" w:color="auto" w:fill="auto"/>
                </w:tcPr>
                <w:p w14:paraId="549223B1" w14:textId="77777777" w:rsidR="00B355B3" w:rsidRDefault="00B355B3">
                  <w:pPr>
                    <w:snapToGrid w:val="0"/>
                    <w:rPr>
                      <w:rFonts w:ascii="Arial" w:hAnsi="Arial" w:cs="Arial"/>
                    </w:rPr>
                  </w:pPr>
                </w:p>
                <w:p w14:paraId="057025D4" w14:textId="77777777" w:rsidR="00B355B3" w:rsidRDefault="00B355B3">
                  <w:pPr>
                    <w:rPr>
                      <w:rFonts w:ascii="Arial" w:hAnsi="Arial" w:cs="Arial"/>
                    </w:rPr>
                  </w:pPr>
                  <w:r>
                    <w:rPr>
                      <w:rFonts w:ascii="Arial" w:hAnsi="Arial" w:cs="Arial"/>
                      <w:b/>
                    </w:rPr>
                    <w:t>Final Mark</w:t>
                  </w:r>
                </w:p>
                <w:p w14:paraId="3A67F867" w14:textId="77777777" w:rsidR="00B355B3" w:rsidRDefault="00B355B3">
                  <w:pPr>
                    <w:rPr>
                      <w:rFonts w:ascii="Arial" w:hAnsi="Arial" w:cs="Arial"/>
                    </w:rPr>
                  </w:pPr>
                </w:p>
              </w:tc>
              <w:tc>
                <w:tcPr>
                  <w:tcW w:w="1670" w:type="dxa"/>
                  <w:tcBorders>
                    <w:top w:val="single" w:sz="4" w:space="0" w:color="000000"/>
                    <w:left w:val="single" w:sz="4" w:space="0" w:color="000000"/>
                    <w:bottom w:val="single" w:sz="4" w:space="0" w:color="000000"/>
                    <w:right w:val="single" w:sz="4" w:space="0" w:color="000000"/>
                  </w:tcBorders>
                  <w:shd w:val="clear" w:color="auto" w:fill="auto"/>
                </w:tcPr>
                <w:p w14:paraId="41B15EB6" w14:textId="77777777" w:rsidR="00B355B3" w:rsidRDefault="00B355B3">
                  <w:pPr>
                    <w:snapToGrid w:val="0"/>
                    <w:rPr>
                      <w:rFonts w:ascii="Arial" w:hAnsi="Arial" w:cs="Arial"/>
                      <w:b/>
                      <w:sz w:val="20"/>
                      <w:szCs w:val="20"/>
                    </w:rPr>
                  </w:pPr>
                </w:p>
              </w:tc>
            </w:tr>
          </w:tbl>
          <w:p w14:paraId="13CB936A" w14:textId="77777777" w:rsidR="00B355B3" w:rsidRDefault="00B355B3">
            <w:pPr>
              <w:pStyle w:val="NormalWeb"/>
              <w:spacing w:before="0" w:after="0"/>
              <w:ind w:left="142" w:right="34"/>
              <w:rPr>
                <w:rFonts w:ascii="Arial" w:hAnsi="Arial" w:cs="Arial"/>
                <w:b/>
                <w:sz w:val="22"/>
                <w:szCs w:val="22"/>
              </w:rPr>
            </w:pPr>
          </w:p>
          <w:p w14:paraId="03E30B00" w14:textId="77777777" w:rsidR="00B355B3" w:rsidRDefault="00B355B3">
            <w:pPr>
              <w:pStyle w:val="NormalWeb"/>
              <w:spacing w:before="0" w:after="0"/>
              <w:ind w:left="142" w:right="34"/>
              <w:jc w:val="center"/>
              <w:rPr>
                <w:rFonts w:ascii="Arial" w:hAnsi="Arial" w:cs="Arial"/>
                <w:b/>
                <w:sz w:val="22"/>
                <w:szCs w:val="22"/>
              </w:rPr>
            </w:pPr>
            <w:r>
              <w:rPr>
                <w:rFonts w:ascii="Arial" w:hAnsi="Arial" w:cs="Arial"/>
                <w:b/>
                <w:sz w:val="22"/>
                <w:szCs w:val="22"/>
              </w:rPr>
              <w:t>NB.  All marks are provisional until confirmed by the Final Examination Board</w:t>
            </w:r>
          </w:p>
          <w:p w14:paraId="3829A909" w14:textId="77777777" w:rsidR="00B355B3" w:rsidRDefault="00B355B3">
            <w:pPr>
              <w:pStyle w:val="NormalWeb"/>
              <w:spacing w:before="0" w:after="0"/>
              <w:rPr>
                <w:rFonts w:ascii="Arial" w:hAnsi="Arial" w:cs="Arial"/>
                <w:b/>
                <w:sz w:val="22"/>
                <w:szCs w:val="22"/>
              </w:rPr>
            </w:pPr>
          </w:p>
          <w:p w14:paraId="3146944A" w14:textId="77777777" w:rsidR="00B355B3" w:rsidRDefault="00B355B3">
            <w:pPr>
              <w:pStyle w:val="NormalWeb"/>
              <w:spacing w:before="0" w:after="0"/>
              <w:rPr>
                <w:rFonts w:ascii="Arial" w:hAnsi="Arial" w:cs="Arial"/>
                <w:b/>
                <w:sz w:val="22"/>
                <w:szCs w:val="22"/>
              </w:rPr>
            </w:pPr>
          </w:p>
          <w:p w14:paraId="7BB3A270" w14:textId="77777777" w:rsidR="00B355B3" w:rsidRDefault="00B355B3">
            <w:pPr>
              <w:pStyle w:val="NormalWeb"/>
              <w:spacing w:before="0" w:after="0"/>
              <w:rPr>
                <w:rFonts w:ascii="Arial" w:hAnsi="Arial" w:cs="Arial"/>
                <w:b/>
                <w:sz w:val="22"/>
                <w:szCs w:val="22"/>
              </w:rPr>
            </w:pPr>
          </w:p>
          <w:p w14:paraId="356B8E6F" w14:textId="77777777" w:rsidR="00B355B3" w:rsidRDefault="00B355B3">
            <w:pPr>
              <w:pStyle w:val="NormalWeb"/>
              <w:spacing w:before="0" w:after="0"/>
              <w:rPr>
                <w:rFonts w:ascii="Arial" w:hAnsi="Arial" w:cs="Arial"/>
                <w:b/>
                <w:sz w:val="22"/>
                <w:szCs w:val="22"/>
              </w:rPr>
            </w:pPr>
          </w:p>
          <w:p w14:paraId="7A4419F4" w14:textId="77777777" w:rsidR="00B355B3" w:rsidRDefault="00B355B3">
            <w:pPr>
              <w:pStyle w:val="NormalWeb"/>
              <w:spacing w:before="0" w:after="0"/>
              <w:rPr>
                <w:rFonts w:ascii="Arial" w:hAnsi="Arial" w:cs="Arial"/>
                <w:b/>
                <w:sz w:val="22"/>
                <w:szCs w:val="22"/>
              </w:rPr>
            </w:pPr>
          </w:p>
          <w:p w14:paraId="21A4997B" w14:textId="77777777" w:rsidR="00B355B3" w:rsidRDefault="00B355B3">
            <w:pPr>
              <w:pStyle w:val="NormalWeb"/>
              <w:spacing w:before="0" w:after="0"/>
              <w:rPr>
                <w:rFonts w:ascii="Arial" w:hAnsi="Arial" w:cs="Arial"/>
                <w:b/>
                <w:sz w:val="22"/>
                <w:szCs w:val="22"/>
              </w:rPr>
            </w:pPr>
          </w:p>
          <w:p w14:paraId="42A0D6A1" w14:textId="77777777" w:rsidR="00B355B3" w:rsidRDefault="00B355B3">
            <w:pPr>
              <w:pStyle w:val="NormalWeb"/>
              <w:spacing w:before="0" w:after="0"/>
              <w:rPr>
                <w:rFonts w:ascii="Arial" w:hAnsi="Arial" w:cs="Arial"/>
                <w:b/>
                <w:sz w:val="22"/>
                <w:szCs w:val="22"/>
              </w:rPr>
            </w:pPr>
          </w:p>
          <w:p w14:paraId="2F56BB40" w14:textId="77777777" w:rsidR="00B355B3" w:rsidRDefault="00B355B3">
            <w:pPr>
              <w:pStyle w:val="NormalWeb"/>
              <w:spacing w:before="0" w:after="0"/>
              <w:rPr>
                <w:rFonts w:ascii="Arial" w:hAnsi="Arial" w:cs="Arial"/>
                <w:b/>
                <w:sz w:val="22"/>
                <w:szCs w:val="22"/>
              </w:rPr>
            </w:pPr>
          </w:p>
          <w:p w14:paraId="2D5A5B25" w14:textId="77777777" w:rsidR="00B355B3" w:rsidRDefault="00B355B3">
            <w:pPr>
              <w:pStyle w:val="NormalWeb"/>
              <w:spacing w:before="0" w:after="0"/>
              <w:rPr>
                <w:rFonts w:ascii="Arial" w:hAnsi="Arial" w:cs="Arial"/>
                <w:b/>
                <w:sz w:val="22"/>
                <w:szCs w:val="22"/>
              </w:rPr>
            </w:pPr>
          </w:p>
          <w:p w14:paraId="7E676C8F" w14:textId="77777777" w:rsidR="00B355B3" w:rsidRDefault="00B355B3">
            <w:pPr>
              <w:pStyle w:val="NormalWeb"/>
              <w:spacing w:before="0" w:after="0"/>
              <w:rPr>
                <w:rFonts w:ascii="Arial" w:hAnsi="Arial" w:cs="Arial"/>
                <w:b/>
                <w:sz w:val="22"/>
                <w:szCs w:val="22"/>
              </w:rPr>
            </w:pPr>
          </w:p>
          <w:p w14:paraId="60BCAD26" w14:textId="77777777" w:rsidR="00B355B3" w:rsidRDefault="00B355B3">
            <w:pPr>
              <w:pStyle w:val="NormalWeb"/>
              <w:spacing w:before="0" w:after="0"/>
              <w:rPr>
                <w:rFonts w:ascii="Arial" w:hAnsi="Arial" w:cs="Arial"/>
                <w:sz w:val="22"/>
                <w:szCs w:val="22"/>
              </w:rPr>
            </w:pPr>
            <w:r>
              <w:rPr>
                <w:rFonts w:ascii="Arial" w:hAnsi="Arial" w:cs="Arial"/>
                <w:b/>
                <w:sz w:val="22"/>
                <w:szCs w:val="22"/>
              </w:rPr>
              <w:t>For completion by Marker 1:</w:t>
            </w:r>
          </w:p>
          <w:p w14:paraId="414B66BE" w14:textId="77777777" w:rsidR="00B355B3" w:rsidRDefault="00B355B3">
            <w:pPr>
              <w:pStyle w:val="NormalWeb"/>
              <w:spacing w:after="0"/>
            </w:pPr>
            <w:r>
              <w:rPr>
                <w:rFonts w:ascii="Arial" w:hAnsi="Arial" w:cs="Arial"/>
                <w:sz w:val="22"/>
                <w:szCs w:val="22"/>
              </w:rPr>
              <w:t>Comments:</w:t>
            </w:r>
          </w:p>
        </w:tc>
      </w:tr>
      <w:tr w:rsidR="00B355B3" w14:paraId="5D176ABC" w14:textId="77777777">
        <w:trPr>
          <w:trHeight w:val="408"/>
        </w:trPr>
        <w:tc>
          <w:tcPr>
            <w:tcW w:w="6768" w:type="dxa"/>
            <w:gridSpan w:val="2"/>
            <w:tcBorders>
              <w:top w:val="single" w:sz="4" w:space="0" w:color="000000"/>
              <w:left w:val="single" w:sz="4" w:space="0" w:color="000000"/>
              <w:bottom w:val="single" w:sz="4" w:space="0" w:color="000000"/>
            </w:tcBorders>
            <w:shd w:val="clear" w:color="auto" w:fill="auto"/>
          </w:tcPr>
          <w:p w14:paraId="2322F85E" w14:textId="77777777" w:rsidR="00B355B3" w:rsidRDefault="00B355B3">
            <w:pPr>
              <w:pStyle w:val="NormalWeb"/>
              <w:spacing w:before="0" w:after="0"/>
              <w:ind w:right="34"/>
              <w:rPr>
                <w:rFonts w:ascii="Arial" w:hAnsi="Arial" w:cs="Arial"/>
                <w:sz w:val="22"/>
                <w:szCs w:val="22"/>
              </w:rPr>
            </w:pPr>
            <w:r>
              <w:rPr>
                <w:rFonts w:ascii="Arial" w:hAnsi="Arial" w:cs="Arial"/>
                <w:sz w:val="22"/>
                <w:szCs w:val="22"/>
              </w:rPr>
              <w:t>Marker 1 signature:</w:t>
            </w:r>
          </w:p>
        </w:tc>
        <w:tc>
          <w:tcPr>
            <w:tcW w:w="2098" w:type="dxa"/>
            <w:gridSpan w:val="2"/>
            <w:tcBorders>
              <w:top w:val="single" w:sz="4" w:space="0" w:color="000000"/>
              <w:left w:val="single" w:sz="4" w:space="0" w:color="000000"/>
              <w:bottom w:val="single" w:sz="4" w:space="0" w:color="000000"/>
              <w:right w:val="single" w:sz="4" w:space="0" w:color="000000"/>
            </w:tcBorders>
            <w:shd w:val="clear" w:color="auto" w:fill="auto"/>
          </w:tcPr>
          <w:p w14:paraId="0F9EE081" w14:textId="77777777" w:rsidR="00B355B3" w:rsidRDefault="00B355B3">
            <w:pPr>
              <w:pStyle w:val="NormalWeb"/>
              <w:spacing w:before="0" w:after="0"/>
              <w:ind w:left="142" w:right="34"/>
            </w:pPr>
            <w:r>
              <w:rPr>
                <w:rFonts w:ascii="Arial" w:hAnsi="Arial" w:cs="Arial"/>
                <w:sz w:val="22"/>
                <w:szCs w:val="22"/>
              </w:rPr>
              <w:t>Date:</w:t>
            </w:r>
          </w:p>
        </w:tc>
      </w:tr>
      <w:tr w:rsidR="00B355B3" w14:paraId="79625BCD" w14:textId="77777777">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66669F23" w14:textId="77777777" w:rsidR="00B355B3" w:rsidRDefault="00B355B3">
            <w:pPr>
              <w:pStyle w:val="NormalWeb"/>
              <w:snapToGrid w:val="0"/>
              <w:spacing w:before="0" w:after="0"/>
              <w:ind w:right="-334"/>
              <w:rPr>
                <w:rFonts w:ascii="Arial" w:hAnsi="Arial" w:cs="Arial"/>
                <w:bCs/>
                <w:i/>
                <w:sz w:val="22"/>
                <w:szCs w:val="22"/>
              </w:rPr>
            </w:pPr>
          </w:p>
          <w:p w14:paraId="09F3F0B0" w14:textId="77777777" w:rsidR="00B355B3" w:rsidRDefault="00B355B3">
            <w:pPr>
              <w:pStyle w:val="NormalWeb"/>
              <w:spacing w:before="0" w:after="0"/>
              <w:ind w:right="-334"/>
              <w:rPr>
                <w:rFonts w:ascii="Arial" w:hAnsi="Arial" w:cs="Arial"/>
                <w:b/>
                <w:bCs/>
                <w:sz w:val="22"/>
                <w:szCs w:val="22"/>
              </w:rPr>
            </w:pPr>
            <w:r>
              <w:rPr>
                <w:rFonts w:ascii="Arial" w:hAnsi="Arial" w:cs="Arial"/>
                <w:b/>
                <w:bCs/>
                <w:sz w:val="22"/>
                <w:szCs w:val="22"/>
              </w:rPr>
              <w:t>For completion by Marker 2 / Moderator:</w:t>
            </w:r>
          </w:p>
          <w:p w14:paraId="6E6543C9" w14:textId="77777777" w:rsidR="00B355B3" w:rsidRDefault="00B355B3">
            <w:pPr>
              <w:pStyle w:val="NormalWeb"/>
              <w:spacing w:before="0" w:after="0"/>
              <w:ind w:right="-334"/>
              <w:rPr>
                <w:rFonts w:ascii="Arial" w:hAnsi="Arial" w:cs="Arial"/>
                <w:b/>
                <w:bCs/>
                <w:sz w:val="22"/>
                <w:szCs w:val="22"/>
              </w:rPr>
            </w:pPr>
          </w:p>
          <w:p w14:paraId="3DE66A89" w14:textId="77777777" w:rsidR="00B355B3" w:rsidRDefault="00B355B3">
            <w:pPr>
              <w:pStyle w:val="NormalWeb"/>
              <w:spacing w:before="0" w:after="0"/>
              <w:ind w:right="-334"/>
              <w:rPr>
                <w:rFonts w:ascii="Arial" w:hAnsi="Arial" w:cs="Arial"/>
                <w:bCs/>
                <w:sz w:val="22"/>
                <w:szCs w:val="22"/>
              </w:rPr>
            </w:pPr>
            <w:r>
              <w:rPr>
                <w:rFonts w:ascii="Arial" w:hAnsi="Arial" w:cs="Arial"/>
                <w:bCs/>
                <w:sz w:val="22"/>
                <w:szCs w:val="22"/>
              </w:rPr>
              <w:t>Comments:</w:t>
            </w:r>
          </w:p>
          <w:p w14:paraId="4B91CEA1" w14:textId="77777777" w:rsidR="00B355B3" w:rsidRDefault="00B355B3">
            <w:pPr>
              <w:pStyle w:val="NormalWeb"/>
              <w:spacing w:before="0" w:after="0"/>
              <w:ind w:right="-334"/>
              <w:rPr>
                <w:rFonts w:ascii="Arial" w:hAnsi="Arial" w:cs="Arial"/>
                <w:bCs/>
                <w:sz w:val="22"/>
                <w:szCs w:val="22"/>
              </w:rPr>
            </w:pPr>
          </w:p>
          <w:p w14:paraId="33B0CD8E" w14:textId="77777777" w:rsidR="00B355B3" w:rsidRDefault="00B355B3">
            <w:pPr>
              <w:pStyle w:val="NormalWeb"/>
              <w:spacing w:before="0" w:after="0"/>
              <w:ind w:right="-334"/>
              <w:rPr>
                <w:rFonts w:ascii="Arial" w:hAnsi="Arial" w:cs="Arial"/>
                <w:bCs/>
                <w:sz w:val="22"/>
                <w:szCs w:val="22"/>
              </w:rPr>
            </w:pPr>
          </w:p>
          <w:p w14:paraId="20CA9CFA" w14:textId="77777777" w:rsidR="00B355B3" w:rsidRDefault="00B355B3">
            <w:pPr>
              <w:pStyle w:val="NormalWeb"/>
              <w:spacing w:before="0" w:after="0"/>
              <w:ind w:right="-334"/>
              <w:rPr>
                <w:rFonts w:ascii="Arial" w:hAnsi="Arial" w:cs="Arial"/>
                <w:bCs/>
                <w:sz w:val="22"/>
                <w:szCs w:val="22"/>
              </w:rPr>
            </w:pPr>
          </w:p>
          <w:p w14:paraId="17F4D4E0" w14:textId="77777777" w:rsidR="00B355B3" w:rsidRDefault="00B355B3">
            <w:pPr>
              <w:pStyle w:val="NormalWeb"/>
              <w:spacing w:before="0" w:after="0"/>
              <w:ind w:right="-334"/>
              <w:rPr>
                <w:rFonts w:ascii="Arial" w:hAnsi="Arial" w:cs="Arial"/>
                <w:bCs/>
                <w:sz w:val="22"/>
                <w:szCs w:val="22"/>
              </w:rPr>
            </w:pPr>
          </w:p>
          <w:p w14:paraId="269755BE" w14:textId="77777777" w:rsidR="00B355B3" w:rsidRDefault="00B355B3">
            <w:pPr>
              <w:pStyle w:val="NormalWeb"/>
              <w:spacing w:before="0" w:after="0"/>
              <w:ind w:right="-334"/>
              <w:rPr>
                <w:rFonts w:ascii="Arial" w:hAnsi="Arial" w:cs="Arial"/>
                <w:bCs/>
                <w:sz w:val="22"/>
                <w:szCs w:val="22"/>
              </w:rPr>
            </w:pPr>
          </w:p>
          <w:p w14:paraId="16C10EA0" w14:textId="77777777" w:rsidR="00B355B3" w:rsidRDefault="00B355B3">
            <w:pPr>
              <w:pStyle w:val="NormalWeb"/>
              <w:spacing w:before="0" w:after="0"/>
              <w:ind w:right="-334"/>
              <w:rPr>
                <w:rFonts w:ascii="Arial" w:hAnsi="Arial" w:cs="Arial"/>
                <w:bCs/>
                <w:sz w:val="22"/>
                <w:szCs w:val="22"/>
              </w:rPr>
            </w:pPr>
          </w:p>
          <w:p w14:paraId="075AD73C" w14:textId="77777777" w:rsidR="00B355B3" w:rsidRDefault="00B355B3">
            <w:pPr>
              <w:pStyle w:val="NormalWeb"/>
              <w:spacing w:before="0" w:after="0"/>
              <w:ind w:right="-334"/>
              <w:rPr>
                <w:rFonts w:ascii="Arial" w:hAnsi="Arial" w:cs="Arial"/>
                <w:bCs/>
                <w:sz w:val="22"/>
                <w:szCs w:val="22"/>
              </w:rPr>
            </w:pPr>
          </w:p>
          <w:p w14:paraId="42FFDABC" w14:textId="77777777" w:rsidR="00B355B3" w:rsidRDefault="00B355B3">
            <w:pPr>
              <w:pStyle w:val="NormalWeb"/>
              <w:spacing w:before="0" w:after="0"/>
              <w:ind w:right="-334"/>
              <w:rPr>
                <w:rFonts w:ascii="Arial" w:hAnsi="Arial" w:cs="Arial"/>
                <w:bCs/>
                <w:sz w:val="22"/>
                <w:szCs w:val="22"/>
              </w:rPr>
            </w:pPr>
          </w:p>
          <w:p w14:paraId="6C773224" w14:textId="77777777" w:rsidR="00B355B3" w:rsidRDefault="00B355B3">
            <w:pPr>
              <w:pStyle w:val="NormalWeb"/>
              <w:spacing w:before="0" w:after="0"/>
              <w:ind w:right="-334"/>
              <w:rPr>
                <w:rFonts w:ascii="Arial" w:hAnsi="Arial" w:cs="Arial"/>
                <w:bCs/>
                <w:sz w:val="22"/>
                <w:szCs w:val="22"/>
              </w:rPr>
            </w:pPr>
          </w:p>
          <w:p w14:paraId="33CB72BC" w14:textId="77777777" w:rsidR="00B355B3" w:rsidRDefault="00B355B3">
            <w:pPr>
              <w:pStyle w:val="NormalWeb"/>
              <w:spacing w:before="0" w:after="0"/>
              <w:ind w:right="-334"/>
              <w:rPr>
                <w:rFonts w:ascii="Arial" w:hAnsi="Arial" w:cs="Arial"/>
                <w:bCs/>
                <w:sz w:val="22"/>
                <w:szCs w:val="22"/>
              </w:rPr>
            </w:pPr>
          </w:p>
          <w:p w14:paraId="1EFD6041" w14:textId="77777777" w:rsidR="00B355B3" w:rsidRDefault="00B355B3">
            <w:pPr>
              <w:pStyle w:val="NormalWeb"/>
              <w:spacing w:before="0" w:after="0"/>
              <w:ind w:right="-334"/>
              <w:rPr>
                <w:rFonts w:ascii="Arial" w:hAnsi="Arial" w:cs="Arial"/>
                <w:bCs/>
                <w:sz w:val="22"/>
                <w:szCs w:val="22"/>
              </w:rPr>
            </w:pPr>
          </w:p>
        </w:tc>
      </w:tr>
      <w:tr w:rsidR="00B355B3" w14:paraId="460B75EA" w14:textId="77777777">
        <w:trPr>
          <w:trHeight w:val="398"/>
        </w:trPr>
        <w:tc>
          <w:tcPr>
            <w:tcW w:w="6768" w:type="dxa"/>
            <w:gridSpan w:val="2"/>
            <w:tcBorders>
              <w:top w:val="single" w:sz="4" w:space="0" w:color="000000"/>
              <w:left w:val="single" w:sz="4" w:space="0" w:color="000000"/>
              <w:bottom w:val="single" w:sz="4" w:space="0" w:color="000000"/>
            </w:tcBorders>
            <w:shd w:val="clear" w:color="auto" w:fill="auto"/>
          </w:tcPr>
          <w:p w14:paraId="4D68BE89" w14:textId="77777777" w:rsidR="00B355B3" w:rsidRDefault="00B355B3">
            <w:pPr>
              <w:pStyle w:val="NormalWeb"/>
              <w:spacing w:before="0" w:after="0"/>
              <w:ind w:right="-334"/>
              <w:rPr>
                <w:rFonts w:ascii="Arial" w:hAnsi="Arial" w:cs="Arial"/>
                <w:bCs/>
                <w:sz w:val="22"/>
                <w:szCs w:val="22"/>
              </w:rPr>
            </w:pPr>
            <w:r>
              <w:rPr>
                <w:rFonts w:ascii="Arial" w:hAnsi="Arial" w:cs="Arial"/>
                <w:bCs/>
                <w:sz w:val="22"/>
                <w:szCs w:val="22"/>
              </w:rPr>
              <w:lastRenderedPageBreak/>
              <w:t>Marker 2 / Moderator signature:</w:t>
            </w:r>
          </w:p>
        </w:tc>
        <w:tc>
          <w:tcPr>
            <w:tcW w:w="2098" w:type="dxa"/>
            <w:gridSpan w:val="2"/>
            <w:tcBorders>
              <w:top w:val="single" w:sz="4" w:space="0" w:color="000000"/>
              <w:left w:val="single" w:sz="4" w:space="0" w:color="000000"/>
              <w:bottom w:val="single" w:sz="4" w:space="0" w:color="000000"/>
              <w:right w:val="single" w:sz="4" w:space="0" w:color="000000"/>
            </w:tcBorders>
            <w:shd w:val="clear" w:color="auto" w:fill="auto"/>
          </w:tcPr>
          <w:p w14:paraId="4662595F" w14:textId="77777777" w:rsidR="00B355B3" w:rsidRDefault="00B355B3">
            <w:pPr>
              <w:pStyle w:val="NormalWeb"/>
              <w:spacing w:before="0" w:after="0"/>
              <w:ind w:right="-334"/>
            </w:pPr>
            <w:r>
              <w:rPr>
                <w:rFonts w:ascii="Arial" w:hAnsi="Arial" w:cs="Arial"/>
                <w:bCs/>
                <w:sz w:val="22"/>
                <w:szCs w:val="22"/>
              </w:rPr>
              <w:t>Date:</w:t>
            </w:r>
          </w:p>
        </w:tc>
      </w:tr>
      <w:tr w:rsidR="00B355B3" w14:paraId="65DC460A" w14:textId="77777777">
        <w:trPr>
          <w:trHeight w:val="720"/>
        </w:trPr>
        <w:tc>
          <w:tcPr>
            <w:tcW w:w="8866" w:type="dxa"/>
            <w:gridSpan w:val="4"/>
            <w:tcBorders>
              <w:top w:val="single" w:sz="4" w:space="0" w:color="000000"/>
              <w:left w:val="single" w:sz="4" w:space="0" w:color="000000"/>
              <w:bottom w:val="single" w:sz="4" w:space="0" w:color="000000"/>
              <w:right w:val="single" w:sz="4" w:space="0" w:color="000000"/>
            </w:tcBorders>
            <w:shd w:val="clear" w:color="auto" w:fill="auto"/>
          </w:tcPr>
          <w:p w14:paraId="40B77B22" w14:textId="77777777" w:rsidR="00B355B3" w:rsidRDefault="00B355B3">
            <w:pPr>
              <w:snapToGrid w:val="0"/>
              <w:rPr>
                <w:rFonts w:ascii="Arial" w:hAnsi="Arial" w:cs="Arial"/>
                <w:b/>
                <w:bCs/>
              </w:rPr>
            </w:pPr>
          </w:p>
          <w:p w14:paraId="59FB9B1F" w14:textId="77777777" w:rsidR="00B355B3" w:rsidRDefault="00B355B3">
            <w:pPr>
              <w:rPr>
                <w:rFonts w:ascii="Arial" w:hAnsi="Arial" w:cs="Arial"/>
                <w:bCs/>
              </w:rPr>
            </w:pPr>
            <w:r>
              <w:rPr>
                <w:rFonts w:ascii="Arial" w:hAnsi="Arial" w:cs="Arial"/>
                <w:b/>
              </w:rPr>
              <w:t>External Examiner’s comments (if relevant):</w:t>
            </w:r>
          </w:p>
          <w:p w14:paraId="247AD0F3" w14:textId="77777777" w:rsidR="00B355B3" w:rsidRDefault="00B355B3">
            <w:pPr>
              <w:pStyle w:val="NormalWeb"/>
              <w:spacing w:before="0" w:after="0"/>
              <w:ind w:right="-334"/>
              <w:rPr>
                <w:rFonts w:ascii="Arial" w:hAnsi="Arial" w:cs="Arial"/>
                <w:bCs/>
                <w:sz w:val="22"/>
                <w:szCs w:val="22"/>
              </w:rPr>
            </w:pPr>
          </w:p>
          <w:p w14:paraId="16AEC835" w14:textId="77777777" w:rsidR="00B355B3" w:rsidRDefault="00B355B3">
            <w:pPr>
              <w:pStyle w:val="NormalWeb"/>
              <w:spacing w:before="0" w:after="0"/>
              <w:ind w:right="-334"/>
              <w:rPr>
                <w:rFonts w:ascii="Arial" w:hAnsi="Arial" w:cs="Arial"/>
                <w:bCs/>
                <w:sz w:val="22"/>
                <w:szCs w:val="22"/>
              </w:rPr>
            </w:pPr>
          </w:p>
          <w:p w14:paraId="4A434922" w14:textId="77777777" w:rsidR="00B355B3" w:rsidRDefault="00B355B3">
            <w:pPr>
              <w:pStyle w:val="NormalWeb"/>
              <w:spacing w:before="0" w:after="0"/>
              <w:ind w:right="-334"/>
              <w:rPr>
                <w:rFonts w:ascii="Arial" w:hAnsi="Arial" w:cs="Arial"/>
                <w:bCs/>
                <w:sz w:val="22"/>
                <w:szCs w:val="22"/>
              </w:rPr>
            </w:pPr>
          </w:p>
          <w:p w14:paraId="125979D1" w14:textId="77777777" w:rsidR="00B355B3" w:rsidRDefault="00B355B3">
            <w:pPr>
              <w:pStyle w:val="NormalWeb"/>
              <w:spacing w:before="0" w:after="0"/>
              <w:ind w:right="-334"/>
              <w:rPr>
                <w:rFonts w:ascii="Arial" w:hAnsi="Arial" w:cs="Arial"/>
                <w:bCs/>
                <w:sz w:val="22"/>
                <w:szCs w:val="22"/>
              </w:rPr>
            </w:pPr>
          </w:p>
          <w:p w14:paraId="0DA2FFF3" w14:textId="77777777" w:rsidR="00B355B3" w:rsidRDefault="00B355B3">
            <w:pPr>
              <w:pStyle w:val="NormalWeb"/>
              <w:spacing w:before="0" w:after="0"/>
              <w:ind w:right="-334"/>
              <w:rPr>
                <w:rFonts w:ascii="Arial" w:hAnsi="Arial" w:cs="Arial"/>
                <w:bCs/>
                <w:sz w:val="22"/>
                <w:szCs w:val="22"/>
              </w:rPr>
            </w:pPr>
          </w:p>
          <w:p w14:paraId="4141C985" w14:textId="77777777" w:rsidR="00B355B3" w:rsidRDefault="00B355B3">
            <w:pPr>
              <w:pStyle w:val="NormalWeb"/>
              <w:spacing w:before="0" w:after="0"/>
              <w:ind w:right="-334"/>
              <w:rPr>
                <w:rFonts w:ascii="Arial" w:hAnsi="Arial" w:cs="Arial"/>
                <w:bCs/>
                <w:sz w:val="22"/>
                <w:szCs w:val="22"/>
              </w:rPr>
            </w:pPr>
          </w:p>
          <w:p w14:paraId="13DCCEA8" w14:textId="77777777" w:rsidR="00B355B3" w:rsidRDefault="00B355B3">
            <w:pPr>
              <w:pStyle w:val="NormalWeb"/>
              <w:spacing w:before="0" w:after="0"/>
              <w:ind w:right="-334"/>
              <w:rPr>
                <w:rFonts w:ascii="Arial" w:hAnsi="Arial" w:cs="Arial"/>
                <w:bCs/>
                <w:sz w:val="22"/>
                <w:szCs w:val="22"/>
              </w:rPr>
            </w:pPr>
          </w:p>
          <w:p w14:paraId="18F0C69F" w14:textId="77777777" w:rsidR="00B355B3" w:rsidRDefault="00B355B3">
            <w:pPr>
              <w:pStyle w:val="NormalWeb"/>
              <w:spacing w:before="0" w:after="0"/>
              <w:ind w:right="-334"/>
              <w:rPr>
                <w:rFonts w:ascii="Arial" w:hAnsi="Arial" w:cs="Arial"/>
                <w:bCs/>
                <w:sz w:val="22"/>
                <w:szCs w:val="22"/>
              </w:rPr>
            </w:pPr>
          </w:p>
          <w:p w14:paraId="68006F17" w14:textId="77777777" w:rsidR="00B355B3" w:rsidRDefault="00B355B3">
            <w:pPr>
              <w:pStyle w:val="NormalWeb"/>
              <w:spacing w:before="0" w:after="0"/>
              <w:ind w:right="-334"/>
              <w:rPr>
                <w:rFonts w:ascii="Arial" w:hAnsi="Arial" w:cs="Arial"/>
                <w:bCs/>
                <w:sz w:val="22"/>
                <w:szCs w:val="22"/>
              </w:rPr>
            </w:pPr>
          </w:p>
          <w:p w14:paraId="73B2C16F" w14:textId="77777777" w:rsidR="00B355B3" w:rsidRDefault="00B355B3">
            <w:pPr>
              <w:pStyle w:val="NormalWeb"/>
              <w:spacing w:before="0" w:after="0"/>
              <w:ind w:right="-334"/>
              <w:rPr>
                <w:rFonts w:ascii="Arial" w:hAnsi="Arial" w:cs="Arial"/>
                <w:bCs/>
                <w:sz w:val="22"/>
                <w:szCs w:val="22"/>
              </w:rPr>
            </w:pPr>
          </w:p>
          <w:p w14:paraId="2BB3B7BC" w14:textId="77777777" w:rsidR="00B355B3" w:rsidRDefault="00B355B3">
            <w:pPr>
              <w:pStyle w:val="NormalWeb"/>
              <w:spacing w:before="0" w:after="0"/>
              <w:ind w:right="-334"/>
              <w:rPr>
                <w:rFonts w:ascii="Arial" w:hAnsi="Arial" w:cs="Arial"/>
                <w:bCs/>
                <w:sz w:val="22"/>
                <w:szCs w:val="22"/>
              </w:rPr>
            </w:pPr>
          </w:p>
          <w:p w14:paraId="289C7D3E" w14:textId="77777777" w:rsidR="00B355B3" w:rsidRDefault="00B355B3">
            <w:pPr>
              <w:pStyle w:val="NormalWeb"/>
              <w:spacing w:before="0" w:after="0"/>
              <w:ind w:right="-334"/>
              <w:rPr>
                <w:rFonts w:ascii="Arial" w:hAnsi="Arial" w:cs="Arial"/>
                <w:bCs/>
                <w:sz w:val="22"/>
                <w:szCs w:val="22"/>
              </w:rPr>
            </w:pPr>
          </w:p>
          <w:p w14:paraId="167D741D" w14:textId="77777777" w:rsidR="00B355B3" w:rsidRDefault="00B355B3">
            <w:pPr>
              <w:pStyle w:val="NormalWeb"/>
              <w:spacing w:before="0" w:after="0"/>
              <w:ind w:right="-334"/>
              <w:rPr>
                <w:rFonts w:ascii="Arial" w:hAnsi="Arial" w:cs="Arial"/>
                <w:bCs/>
                <w:sz w:val="22"/>
                <w:szCs w:val="22"/>
              </w:rPr>
            </w:pPr>
          </w:p>
        </w:tc>
      </w:tr>
      <w:tr w:rsidR="00B355B3" w14:paraId="59199F45" w14:textId="77777777">
        <w:trPr>
          <w:trHeight w:val="479"/>
        </w:trPr>
        <w:tc>
          <w:tcPr>
            <w:tcW w:w="6768" w:type="dxa"/>
            <w:gridSpan w:val="2"/>
            <w:tcBorders>
              <w:top w:val="single" w:sz="4" w:space="0" w:color="000000"/>
              <w:left w:val="single" w:sz="4" w:space="0" w:color="000000"/>
              <w:bottom w:val="single" w:sz="4" w:space="0" w:color="000000"/>
            </w:tcBorders>
            <w:shd w:val="clear" w:color="auto" w:fill="auto"/>
          </w:tcPr>
          <w:p w14:paraId="4E77CEBD" w14:textId="77777777" w:rsidR="00B355B3" w:rsidRDefault="00B355B3">
            <w:pPr>
              <w:rPr>
                <w:rFonts w:ascii="Arial" w:hAnsi="Arial" w:cs="Arial"/>
              </w:rPr>
            </w:pPr>
            <w:r>
              <w:rPr>
                <w:rFonts w:ascii="Arial" w:hAnsi="Arial" w:cs="Arial"/>
              </w:rPr>
              <w:t>External Examiner signature:</w:t>
            </w:r>
          </w:p>
        </w:tc>
        <w:tc>
          <w:tcPr>
            <w:tcW w:w="2098" w:type="dxa"/>
            <w:gridSpan w:val="2"/>
            <w:tcBorders>
              <w:top w:val="single" w:sz="4" w:space="0" w:color="000000"/>
              <w:left w:val="single" w:sz="4" w:space="0" w:color="000000"/>
              <w:bottom w:val="single" w:sz="4" w:space="0" w:color="000000"/>
              <w:right w:val="single" w:sz="4" w:space="0" w:color="000000"/>
            </w:tcBorders>
            <w:shd w:val="clear" w:color="auto" w:fill="auto"/>
          </w:tcPr>
          <w:p w14:paraId="65431215" w14:textId="77777777" w:rsidR="00B355B3" w:rsidRDefault="00B355B3">
            <w:r>
              <w:rPr>
                <w:rFonts w:ascii="Arial" w:hAnsi="Arial" w:cs="Arial"/>
              </w:rPr>
              <w:t>Date:</w:t>
            </w:r>
          </w:p>
        </w:tc>
      </w:tr>
      <w:tr w:rsidR="00B355B3" w14:paraId="34B9D5F3" w14:textId="77777777">
        <w:trPr>
          <w:trHeight w:val="479"/>
        </w:trPr>
        <w:tc>
          <w:tcPr>
            <w:tcW w:w="6768" w:type="dxa"/>
            <w:gridSpan w:val="2"/>
            <w:tcBorders>
              <w:top w:val="single" w:sz="4" w:space="0" w:color="000000"/>
              <w:left w:val="single" w:sz="4" w:space="0" w:color="000000"/>
              <w:bottom w:val="single" w:sz="4" w:space="0" w:color="000000"/>
            </w:tcBorders>
            <w:shd w:val="clear" w:color="auto" w:fill="auto"/>
          </w:tcPr>
          <w:p w14:paraId="47000CA2" w14:textId="77777777" w:rsidR="00B355B3" w:rsidRDefault="00B355B3">
            <w:pPr>
              <w:rPr>
                <w:rFonts w:ascii="Arial" w:hAnsi="Arial" w:cs="Arial"/>
              </w:rPr>
            </w:pPr>
          </w:p>
        </w:tc>
        <w:tc>
          <w:tcPr>
            <w:tcW w:w="2098" w:type="dxa"/>
            <w:gridSpan w:val="2"/>
            <w:tcBorders>
              <w:top w:val="single" w:sz="4" w:space="0" w:color="000000"/>
              <w:left w:val="single" w:sz="4" w:space="0" w:color="000000"/>
              <w:bottom w:val="single" w:sz="4" w:space="0" w:color="000000"/>
              <w:right w:val="single" w:sz="4" w:space="0" w:color="000000"/>
            </w:tcBorders>
            <w:shd w:val="clear" w:color="auto" w:fill="auto"/>
          </w:tcPr>
          <w:p w14:paraId="67F17246" w14:textId="77777777" w:rsidR="00B355B3" w:rsidRDefault="00B355B3">
            <w:pPr>
              <w:rPr>
                <w:rFonts w:ascii="Arial" w:hAnsi="Arial" w:cs="Arial"/>
              </w:rPr>
            </w:pPr>
          </w:p>
        </w:tc>
      </w:tr>
    </w:tbl>
    <w:p w14:paraId="5851A20B" w14:textId="77777777" w:rsidR="00B355B3" w:rsidRDefault="00B355B3">
      <w:pPr>
        <w:pStyle w:val="NormalWeb"/>
        <w:spacing w:before="0" w:after="0"/>
        <w:ind w:right="-334"/>
      </w:pPr>
    </w:p>
    <w:p w14:paraId="1F1F1279" w14:textId="77777777" w:rsidR="00B355B3" w:rsidRDefault="00B355B3" w:rsidP="00F10EC7">
      <w:pPr>
        <w:rPr>
          <w:u w:val="single"/>
        </w:rPr>
      </w:pPr>
    </w:p>
    <w:p w14:paraId="5855C335" w14:textId="77777777" w:rsidR="00B355B3" w:rsidRDefault="00B355B3" w:rsidP="00F10EC7">
      <w:pPr>
        <w:rPr>
          <w:u w:val="single"/>
        </w:rPr>
      </w:pPr>
    </w:p>
    <w:p w14:paraId="79CB0208" w14:textId="6D2EB74C" w:rsidR="00F10EC7" w:rsidRPr="000218EA" w:rsidRDefault="00F10EC7" w:rsidP="00B355B3">
      <w:pPr>
        <w:spacing w:line="480" w:lineRule="auto"/>
        <w:rPr>
          <w:color w:val="FF0000"/>
          <w:u w:val="single"/>
        </w:rPr>
      </w:pPr>
      <w:r w:rsidRPr="00F10EC7">
        <w:rPr>
          <w:u w:val="single"/>
        </w:rPr>
        <w:t>Danu Forest-Goodfellow 1704506</w:t>
      </w:r>
      <w:r w:rsidR="000218EA">
        <w:rPr>
          <w:u w:val="single"/>
        </w:rPr>
        <w:t xml:space="preserve">  </w:t>
      </w:r>
    </w:p>
    <w:p w14:paraId="08E3C5EC" w14:textId="77777777" w:rsidR="00F10EC7" w:rsidRPr="00F10EC7" w:rsidRDefault="00F10EC7" w:rsidP="00B355B3">
      <w:pPr>
        <w:spacing w:line="480" w:lineRule="auto"/>
        <w:rPr>
          <w:u w:val="single"/>
        </w:rPr>
      </w:pPr>
      <w:r w:rsidRPr="00F10EC7">
        <w:rPr>
          <w:u w:val="single"/>
        </w:rPr>
        <w:t>Assignment question 2</w:t>
      </w:r>
    </w:p>
    <w:p w14:paraId="252C9938" w14:textId="77777777" w:rsidR="00F10EC7" w:rsidRPr="00F10EC7" w:rsidRDefault="00F10EC7" w:rsidP="00B355B3">
      <w:pPr>
        <w:spacing w:line="480" w:lineRule="auto"/>
        <w:rPr>
          <w:u w:val="single"/>
        </w:rPr>
      </w:pPr>
      <w:r w:rsidRPr="00F10EC7">
        <w:rPr>
          <w:u w:val="single"/>
        </w:rPr>
        <w:t xml:space="preserve"> </w:t>
      </w:r>
    </w:p>
    <w:p w14:paraId="17F997D4" w14:textId="45638281" w:rsidR="001432D4" w:rsidRDefault="00F10EC7" w:rsidP="00B355B3">
      <w:pPr>
        <w:spacing w:line="480" w:lineRule="auto"/>
        <w:rPr>
          <w:u w:val="single"/>
        </w:rPr>
      </w:pPr>
      <w:r w:rsidRPr="00F10EC7">
        <w:rPr>
          <w:u w:val="single"/>
        </w:rPr>
        <w:t xml:space="preserve">2. To what extent did Geoffrey of Monmouth’s Historia </w:t>
      </w:r>
      <w:r>
        <w:rPr>
          <w:u w:val="single"/>
        </w:rPr>
        <w:t>R</w:t>
      </w:r>
      <w:r w:rsidRPr="00F10EC7">
        <w:rPr>
          <w:u w:val="single"/>
        </w:rPr>
        <w:t>egum Britanniae preserve earlier material and to what extent was this work innovative?</w:t>
      </w:r>
    </w:p>
    <w:p w14:paraId="15926C3A" w14:textId="2D4EACFC" w:rsidR="00F10EC7" w:rsidRDefault="00F10EC7" w:rsidP="00B355B3">
      <w:pPr>
        <w:spacing w:line="480" w:lineRule="auto"/>
        <w:rPr>
          <w:u w:val="single"/>
        </w:rPr>
      </w:pPr>
    </w:p>
    <w:p w14:paraId="24250D2F" w14:textId="625D60FD" w:rsidR="00C17845" w:rsidRDefault="00F10EC7" w:rsidP="00B355B3">
      <w:pPr>
        <w:spacing w:line="480" w:lineRule="auto"/>
      </w:pPr>
      <w:r>
        <w:t>Completed somewhere in the  second half of the 1130’s and o</w:t>
      </w:r>
      <w:r w:rsidRPr="00F10EC7">
        <w:t xml:space="preserve">ne of the most popular books of the Middle Ages, Geoffrey of Monmouth’s </w:t>
      </w:r>
      <w:r w:rsidRPr="00F10EC7">
        <w:rPr>
          <w:i/>
        </w:rPr>
        <w:t>Historia Regum Britanniae</w:t>
      </w:r>
      <w:r>
        <w:rPr>
          <w:i/>
        </w:rPr>
        <w:t xml:space="preserve">  </w:t>
      </w:r>
      <w:r w:rsidRPr="00F10EC7">
        <w:t>(</w:t>
      </w:r>
      <w:r>
        <w:t xml:space="preserve">History of the Kings of </w:t>
      </w:r>
      <w:r w:rsidR="00C17845">
        <w:t>Britain</w:t>
      </w:r>
      <w:r>
        <w:t xml:space="preserve">), is a natural punctuation point in the history of Arthurian studies, providing for the first time a coherent narrative history, not only of Britain from its inception with the mythical arrival of Brutus, through to being the first </w:t>
      </w:r>
      <w:r w:rsidRPr="00F10EC7">
        <w:t>complete story of Arthur’s</w:t>
      </w:r>
      <w:r>
        <w:t xml:space="preserve"> life, from birth to death. </w:t>
      </w:r>
      <w:r w:rsidR="00B114E5">
        <w:t>Geoffrey’s work has been so influential, that much of the later Arthurian romances show traces of it</w:t>
      </w:r>
      <w:r w:rsidR="00C17845">
        <w:t xml:space="preserve"> as a source </w:t>
      </w:r>
      <w:r w:rsidR="00B114E5">
        <w:t xml:space="preserve">and evolve from </w:t>
      </w:r>
      <w:r w:rsidR="00B114E5">
        <w:lastRenderedPageBreak/>
        <w:t>that central point, and the most prevailing image that we have of Arthur</w:t>
      </w:r>
      <w:r w:rsidR="00C17845">
        <w:t xml:space="preserve"> to this day</w:t>
      </w:r>
      <w:r w:rsidR="00B114E5">
        <w:t xml:space="preserve">, of a high king surrounded by a rich and courtly retinue </w:t>
      </w:r>
      <w:r w:rsidR="00707D3C">
        <w:t xml:space="preserve">saw its genesis in his </w:t>
      </w:r>
      <w:r w:rsidR="00C17845" w:rsidRPr="00C17845">
        <w:rPr>
          <w:i/>
        </w:rPr>
        <w:t>Historia</w:t>
      </w:r>
      <w:r w:rsidR="00707D3C">
        <w:t>.</w:t>
      </w:r>
      <w:r w:rsidR="00C17845">
        <w:t xml:space="preserve"> That being said, it has also received immense criticism over the years, even within a relatively short time of its publication, for presenting a version of history that is both deeply flawed and often downright fantastical, at odds even with the many sources it had clearly drawn upon in its making. In 1190, forty years after Geoffrey’s death, an irritated ‘fellow- chronicler’ William of Newburgh wrote</w:t>
      </w:r>
      <w:r w:rsidR="00160907">
        <w:t>;</w:t>
      </w:r>
    </w:p>
    <w:p w14:paraId="666983CD" w14:textId="77777777" w:rsidR="00160907" w:rsidRDefault="00C17845" w:rsidP="00B355B3">
      <w:pPr>
        <w:spacing w:line="480" w:lineRule="auto"/>
        <w:ind w:left="284" w:right="284"/>
      </w:pPr>
      <w:r>
        <w:t>‘It is quite clear that everything this man wrote about Arthur and his successors, or indeed about his predecessors from Vortigern onwards, was made up, partly by himself and partly by others, either from an inordinate love of lying</w:t>
      </w:r>
      <w:r w:rsidR="00160907">
        <w:t>, or for the sake of pleasing the Britons.’</w:t>
      </w:r>
      <w:r w:rsidR="00160907">
        <w:rPr>
          <w:rStyle w:val="FootnoteReference"/>
        </w:rPr>
        <w:footnoteReference w:id="1"/>
      </w:r>
      <w:r>
        <w:t xml:space="preserve">     </w:t>
      </w:r>
    </w:p>
    <w:p w14:paraId="7D67DA4E" w14:textId="12C75572" w:rsidR="00532E72" w:rsidRDefault="00160907" w:rsidP="00B355B3">
      <w:pPr>
        <w:spacing w:line="480" w:lineRule="auto"/>
      </w:pPr>
      <w:r>
        <w:t xml:space="preserve">The difficulty found in the text is that while it may appear to be a chronological history, a linear story of Britain from its inception till just after Arthurs death, to judge it by the standards of conventional or modern history </w:t>
      </w:r>
      <w:r w:rsidR="00C15080">
        <w:t xml:space="preserve">writing </w:t>
      </w:r>
      <w:r>
        <w:t>is to find it wildly lacking. While in many places the text draws from pre-existing material, no doubt contributing to its distinctive and authoritative air, the sources upon which it draws are not faithfully reproduced</w:t>
      </w:r>
      <w:r w:rsidR="00C15080">
        <w:t>. I</w:t>
      </w:r>
      <w:r>
        <w:t xml:space="preserve">nstead </w:t>
      </w:r>
      <w:r w:rsidR="00C15080">
        <w:t xml:space="preserve">they are </w:t>
      </w:r>
      <w:r>
        <w:t xml:space="preserve">used as jigsaw pieces </w:t>
      </w:r>
      <w:r w:rsidR="00327F70">
        <w:t xml:space="preserve">rearranged </w:t>
      </w:r>
      <w:r>
        <w:t>to create a picture entirely of Geoffrey’s own making.  G</w:t>
      </w:r>
      <w:r w:rsidR="00123DF1">
        <w:t>e</w:t>
      </w:r>
      <w:r>
        <w:t xml:space="preserve">offrey </w:t>
      </w:r>
      <w:r w:rsidR="00123DF1">
        <w:t>makes the claim at the beginning, that his text is drawn from ‘a certain very ancient book written in the British language.’</w:t>
      </w:r>
      <w:r w:rsidR="00123DF1">
        <w:rPr>
          <w:rStyle w:val="FootnoteReference"/>
        </w:rPr>
        <w:footnoteReference w:id="2"/>
      </w:r>
      <w:r w:rsidR="00123DF1">
        <w:t xml:space="preserve"> This book Geoffrey states, was given to him by Walter, Archdeacon of Oxford, ‘a man skilled…and well informed about the history of foreign countries.’ </w:t>
      </w:r>
      <w:r w:rsidR="00123DF1">
        <w:rPr>
          <w:rStyle w:val="FootnoteReference"/>
        </w:rPr>
        <w:footnoteReference w:id="3"/>
      </w:r>
      <w:r w:rsidR="00123DF1">
        <w:t xml:space="preserve"> </w:t>
      </w:r>
      <w:r>
        <w:t xml:space="preserve"> </w:t>
      </w:r>
      <w:r w:rsidR="00123DF1">
        <w:t>This follows Geoffrey lamenting that</w:t>
      </w:r>
      <w:r w:rsidR="00C15080">
        <w:t xml:space="preserve"> other than in the works of Gildas and Bede</w:t>
      </w:r>
      <w:r w:rsidR="00123DF1">
        <w:t xml:space="preserve"> he was unable ‘to discover anything at all on the kings who lived here before the Incarnation of Christ, or indeed about Arthur and all the others who followed on…’</w:t>
      </w:r>
      <w:r w:rsidR="00123DF1">
        <w:rPr>
          <w:rStyle w:val="FootnoteReference"/>
        </w:rPr>
        <w:footnoteReference w:id="4"/>
      </w:r>
      <w:r w:rsidR="00123DF1">
        <w:t xml:space="preserve"> </w:t>
      </w:r>
      <w:r w:rsidR="00327F70">
        <w:t xml:space="preserve"> </w:t>
      </w:r>
      <w:r w:rsidR="00995BF9">
        <w:t xml:space="preserve">He did </w:t>
      </w:r>
      <w:r w:rsidR="00327F70">
        <w:t xml:space="preserve">however </w:t>
      </w:r>
      <w:r w:rsidR="00995BF9">
        <w:t xml:space="preserve">note </w:t>
      </w:r>
      <w:r w:rsidR="00327F70">
        <w:t>that ‘these deeds were handed joyfully down in oral tradition’</w:t>
      </w:r>
      <w:r w:rsidR="00327F70">
        <w:rPr>
          <w:rStyle w:val="FootnoteReference"/>
        </w:rPr>
        <w:footnoteReference w:id="5"/>
      </w:r>
      <w:r w:rsidR="00327F70">
        <w:t xml:space="preserve"> even though they had not been committed to writing. As a </w:t>
      </w:r>
      <w:r w:rsidR="0045668B">
        <w:t>result,</w:t>
      </w:r>
      <w:r w:rsidR="00327F70">
        <w:t xml:space="preserve"> on first glance it may appear that Geoffrey’s </w:t>
      </w:r>
      <w:r w:rsidR="00327F70">
        <w:lastRenderedPageBreak/>
        <w:t xml:space="preserve">work is intended as a faithful representation and translation of this ‘ancient book’ with the task of preserving the history within it, </w:t>
      </w:r>
      <w:r w:rsidR="00C15080">
        <w:t xml:space="preserve">as well as recording details from the pre-existing oral tradition, </w:t>
      </w:r>
      <w:r w:rsidR="00327F70">
        <w:t xml:space="preserve">yet on deeper exploration </w:t>
      </w:r>
      <w:r w:rsidR="00532E72">
        <w:t xml:space="preserve">we find the picture is nothing like as simple. </w:t>
      </w:r>
    </w:p>
    <w:p w14:paraId="3BD1FF5F" w14:textId="0253F114" w:rsidR="00323149" w:rsidRDefault="00E14322" w:rsidP="00B355B3">
      <w:pPr>
        <w:spacing w:line="480" w:lineRule="auto"/>
      </w:pPr>
      <w:r>
        <w:t xml:space="preserve">While </w:t>
      </w:r>
      <w:r w:rsidR="00323149">
        <w:t>Geoffrey starts out naming Gildas and Bede as his sources in his opening dedication</w:t>
      </w:r>
      <w:r w:rsidR="00086596">
        <w:rPr>
          <w:rStyle w:val="FootnoteReference"/>
        </w:rPr>
        <w:footnoteReference w:id="6"/>
      </w:r>
      <w:r w:rsidR="00323149">
        <w:t>,</w:t>
      </w:r>
      <w:r w:rsidR="00323149" w:rsidRPr="00323149">
        <w:t xml:space="preserve"> </w:t>
      </w:r>
      <w:r w:rsidR="00323149">
        <w:t>as well as his ‘ancient book’</w:t>
      </w:r>
      <w:r w:rsidR="00086596">
        <w:t xml:space="preserve"> there are many</w:t>
      </w:r>
      <w:r w:rsidR="00C15080">
        <w:t xml:space="preserve"> other</w:t>
      </w:r>
      <w:r w:rsidR="00086596">
        <w:t xml:space="preserve"> traces of earlier materials in the </w:t>
      </w:r>
      <w:r w:rsidR="00086596" w:rsidRPr="00086596">
        <w:rPr>
          <w:i/>
        </w:rPr>
        <w:t>Historia</w:t>
      </w:r>
      <w:r w:rsidR="005102C8">
        <w:rPr>
          <w:i/>
        </w:rPr>
        <w:t xml:space="preserve">, </w:t>
      </w:r>
      <w:r w:rsidR="005102C8" w:rsidRPr="005102C8">
        <w:t xml:space="preserve">including </w:t>
      </w:r>
      <w:r w:rsidR="005102C8">
        <w:t xml:space="preserve">the </w:t>
      </w:r>
      <w:r w:rsidR="005102C8" w:rsidRPr="005102C8">
        <w:t>Harl</w:t>
      </w:r>
      <w:r w:rsidR="005102C8">
        <w:t xml:space="preserve">eian manuscript </w:t>
      </w:r>
      <w:r w:rsidR="005102C8" w:rsidRPr="005102C8">
        <w:t>3859</w:t>
      </w:r>
      <w:r w:rsidR="005102C8">
        <w:rPr>
          <w:i/>
        </w:rPr>
        <w:t xml:space="preserve"> </w:t>
      </w:r>
      <w:r w:rsidR="005102C8" w:rsidRPr="005102C8">
        <w:t>which</w:t>
      </w:r>
      <w:r w:rsidR="005102C8">
        <w:t xml:space="preserve"> provides</w:t>
      </w:r>
      <w:r w:rsidR="005102C8" w:rsidRPr="005102C8">
        <w:t xml:space="preserve"> details</w:t>
      </w:r>
      <w:r w:rsidR="005102C8">
        <w:t xml:space="preserve"> of Old Welsh genealogies</w:t>
      </w:r>
      <w:r w:rsidR="00C15080">
        <w:t>, with which he must have been familiar as he clearly interwove these genealogies into his text</w:t>
      </w:r>
      <w:r w:rsidR="00086596">
        <w:t>.</w:t>
      </w:r>
      <w:r w:rsidR="00C15080">
        <w:rPr>
          <w:rStyle w:val="FootnoteReference"/>
        </w:rPr>
        <w:footnoteReference w:id="7"/>
      </w:r>
      <w:r w:rsidR="00086596">
        <w:t xml:space="preserve"> </w:t>
      </w:r>
      <w:r w:rsidR="00C15080">
        <w:t>He was also obviously familiar with Nennius’s list of British cities</w:t>
      </w:r>
      <w:r w:rsidR="00063458">
        <w:t xml:space="preserve">, </w:t>
      </w:r>
      <w:r w:rsidR="00C15080">
        <w:rPr>
          <w:rStyle w:val="FootnoteReference"/>
        </w:rPr>
        <w:footnoteReference w:id="8"/>
      </w:r>
      <w:r w:rsidR="00063458">
        <w:t xml:space="preserve"> as well as the </w:t>
      </w:r>
      <w:r w:rsidR="00063458" w:rsidRPr="00063458">
        <w:rPr>
          <w:i/>
        </w:rPr>
        <w:t>Historia Britt</w:t>
      </w:r>
      <w:r w:rsidR="00063458">
        <w:rPr>
          <w:i/>
        </w:rPr>
        <w:t>onum</w:t>
      </w:r>
      <w:r w:rsidR="00063458" w:rsidRPr="00063458">
        <w:rPr>
          <w:i/>
        </w:rPr>
        <w:t>,</w:t>
      </w:r>
      <w:r w:rsidR="00063458">
        <w:t xml:space="preserve"> and the </w:t>
      </w:r>
      <w:r w:rsidR="00063458" w:rsidRPr="00063458">
        <w:rPr>
          <w:i/>
        </w:rPr>
        <w:t>Annales Cambriae</w:t>
      </w:r>
      <w:r w:rsidR="00063458">
        <w:t xml:space="preserve"> which are both also found in MS Harl 3859, yet none of these are </w:t>
      </w:r>
      <w:r>
        <w:t xml:space="preserve">openly </w:t>
      </w:r>
      <w:r w:rsidR="00063458">
        <w:t xml:space="preserve">acknowledged. </w:t>
      </w:r>
      <w:r w:rsidR="00FB696B">
        <w:t xml:space="preserve">Geoffrey </w:t>
      </w:r>
      <w:r w:rsidR="005102C8">
        <w:t>also</w:t>
      </w:r>
      <w:r w:rsidR="00FB696B">
        <w:t xml:space="preserve"> discusses</w:t>
      </w:r>
      <w:r w:rsidR="00A1795B">
        <w:t xml:space="preserve"> K</w:t>
      </w:r>
      <w:r w:rsidR="00A1795B" w:rsidRPr="00A1795B">
        <w:t xml:space="preserve">ing </w:t>
      </w:r>
      <w:r w:rsidR="00A1795B">
        <w:t>A</w:t>
      </w:r>
      <w:r w:rsidR="00A1795B" w:rsidRPr="00A1795B">
        <w:t>lfred</w:t>
      </w:r>
      <w:r w:rsidR="00A1795B">
        <w:t xml:space="preserve"> the Great</w:t>
      </w:r>
      <w:r>
        <w:t>’</w:t>
      </w:r>
      <w:r w:rsidR="00A1795B">
        <w:t xml:space="preserve">s </w:t>
      </w:r>
      <w:r w:rsidR="00A1795B" w:rsidRPr="00A1795B">
        <w:t>translations of law codes into English</w:t>
      </w:r>
      <w:r w:rsidR="00FB696B">
        <w:t>,</w:t>
      </w:r>
      <w:r w:rsidR="00A1795B">
        <w:rPr>
          <w:rStyle w:val="FootnoteReference"/>
        </w:rPr>
        <w:footnoteReference w:id="9"/>
      </w:r>
      <w:r w:rsidR="00FB696B">
        <w:t xml:space="preserve"> and there are a great many references by name to Classical writers, such as Cicero, Lucan and Apuleius</w:t>
      </w:r>
      <w:r w:rsidR="00FB696B">
        <w:rPr>
          <w:rStyle w:val="FootnoteReference"/>
        </w:rPr>
        <w:footnoteReference w:id="10"/>
      </w:r>
      <w:r w:rsidR="00FB696B">
        <w:t xml:space="preserve">, as well as tantalising hints of earlier British materials. </w:t>
      </w:r>
    </w:p>
    <w:p w14:paraId="61694FD7" w14:textId="60C7C611" w:rsidR="006F6DF6" w:rsidRDefault="00FB696B" w:rsidP="00B355B3">
      <w:pPr>
        <w:spacing w:line="480" w:lineRule="auto"/>
      </w:pPr>
      <w:r>
        <w:t xml:space="preserve">Traces of earlier </w:t>
      </w:r>
      <w:r w:rsidR="00C479EB">
        <w:t xml:space="preserve">materials </w:t>
      </w:r>
      <w:r>
        <w:t>can be seen throughout Geoffrey’s Arthur chapters</w:t>
      </w:r>
      <w:r w:rsidR="00C479EB">
        <w:t xml:space="preserve">. Arthur is </w:t>
      </w:r>
      <w:r w:rsidR="009B172E">
        <w:t xml:space="preserve">often </w:t>
      </w:r>
      <w:r w:rsidR="00C479EB">
        <w:t>described as an active heroic king</w:t>
      </w:r>
      <w:r>
        <w:t>,</w:t>
      </w:r>
      <w:r w:rsidR="00C479EB">
        <w:t xml:space="preserve"> more like the vigorous war leader of the </w:t>
      </w:r>
      <w:r w:rsidR="00C479EB" w:rsidRPr="00C479EB">
        <w:rPr>
          <w:i/>
        </w:rPr>
        <w:t>Annales Cambriae</w:t>
      </w:r>
      <w:r w:rsidR="00C479EB" w:rsidRPr="00C479EB">
        <w:t xml:space="preserve"> </w:t>
      </w:r>
      <w:r w:rsidR="00C479EB">
        <w:t xml:space="preserve">and the </w:t>
      </w:r>
      <w:r w:rsidR="00C479EB" w:rsidRPr="00C479EB">
        <w:rPr>
          <w:i/>
        </w:rPr>
        <w:t>Historia Brittonum</w:t>
      </w:r>
      <w:r w:rsidR="00C479EB">
        <w:t xml:space="preserve">, </w:t>
      </w:r>
      <w:r w:rsidR="00C479EB" w:rsidRPr="00C479EB">
        <w:t xml:space="preserve">‘Nine hundred and </w:t>
      </w:r>
      <w:r w:rsidR="00EB6347">
        <w:t>forty fell by his hand alone</w:t>
      </w:r>
      <w:r w:rsidR="00C479EB" w:rsidRPr="00C479EB">
        <w:t>…’</w:t>
      </w:r>
      <w:r w:rsidR="00C479EB">
        <w:rPr>
          <w:rStyle w:val="FootnoteReference"/>
        </w:rPr>
        <w:footnoteReference w:id="11"/>
      </w:r>
      <w:r w:rsidR="00C479EB" w:rsidRPr="00C479EB">
        <w:t xml:space="preserve"> </w:t>
      </w:r>
      <w:r w:rsidR="00EB6347">
        <w:t xml:space="preserve">than a courtly </w:t>
      </w:r>
      <w:r w:rsidR="003E1D06">
        <w:t>m</w:t>
      </w:r>
      <w:r w:rsidR="00EB6347">
        <w:t xml:space="preserve">edieval king, despite his </w:t>
      </w:r>
      <w:r w:rsidR="008D3A30">
        <w:t xml:space="preserve">increased status </w:t>
      </w:r>
      <w:r w:rsidR="00063458">
        <w:t xml:space="preserve">in Geoffrey’s work </w:t>
      </w:r>
      <w:r w:rsidR="008D3A30">
        <w:t xml:space="preserve">as </w:t>
      </w:r>
      <w:r w:rsidR="0047162D">
        <w:t xml:space="preserve">a wealthy </w:t>
      </w:r>
      <w:r w:rsidR="008D3A30">
        <w:t xml:space="preserve">High King and Emperor. When fighting the monster of </w:t>
      </w:r>
      <w:r w:rsidR="00591A00">
        <w:t>Mon</w:t>
      </w:r>
      <w:r w:rsidR="00E14322">
        <w:t>t</w:t>
      </w:r>
      <w:r w:rsidR="00591A00">
        <w:t xml:space="preserve"> </w:t>
      </w:r>
      <w:r w:rsidR="008D3A30">
        <w:t xml:space="preserve">St Michel, he opts to kill it himself </w:t>
      </w:r>
      <w:r w:rsidR="008D3A30" w:rsidRPr="008D3A30">
        <w:t>‘For being a man of undaunted courage, he did not care to lead his men against such monsters…because he alone was sufficient to deal with them,’</w:t>
      </w:r>
      <w:r w:rsidR="008D3A30">
        <w:rPr>
          <w:rStyle w:val="FootnoteReference"/>
        </w:rPr>
        <w:footnoteReference w:id="12"/>
      </w:r>
      <w:r w:rsidR="008D3A30" w:rsidRPr="008D3A30">
        <w:t xml:space="preserve"> </w:t>
      </w:r>
    </w:p>
    <w:p w14:paraId="6520DE7C" w14:textId="7E5AEFD8" w:rsidR="00CC0250" w:rsidRDefault="00FC65FA" w:rsidP="00B355B3">
      <w:pPr>
        <w:spacing w:line="480" w:lineRule="auto"/>
      </w:pPr>
      <w:r>
        <w:lastRenderedPageBreak/>
        <w:t xml:space="preserve">This Arthur, is a </w:t>
      </w:r>
      <w:r w:rsidR="00B75CEA">
        <w:t>‘</w:t>
      </w:r>
      <w:r>
        <w:t>Celtic</w:t>
      </w:r>
      <w:r w:rsidR="00B75CEA">
        <w:t>’</w:t>
      </w:r>
      <w:r>
        <w:t xml:space="preserve"> Arthur, active</w:t>
      </w:r>
      <w:r w:rsidR="009B172E">
        <w:t>, courageous</w:t>
      </w:r>
      <w:r>
        <w:t xml:space="preserve"> and undertaking the role of generous leader</w:t>
      </w:r>
      <w:r w:rsidR="00063458">
        <w:t>;</w:t>
      </w:r>
      <w:r>
        <w:t xml:space="preserve"> a quality esteemed in earlier </w:t>
      </w:r>
      <w:r w:rsidR="00E14322">
        <w:t xml:space="preserve">Celtic </w:t>
      </w:r>
      <w:r>
        <w:t>kings, and one of the qualities that he is renowned for in the triads,</w:t>
      </w:r>
      <w:r w:rsidR="00B75CEA">
        <w:t xml:space="preserve"> which while recorded from the thirteenth century, are thought to record earlier oral material already well established by that period.</w:t>
      </w:r>
      <w:r w:rsidR="00B75CEA">
        <w:rPr>
          <w:rStyle w:val="FootnoteReference"/>
        </w:rPr>
        <w:footnoteReference w:id="13"/>
      </w:r>
      <w:r w:rsidR="00B75CEA">
        <w:t xml:space="preserve"> </w:t>
      </w:r>
      <w:r>
        <w:t xml:space="preserve">‘Three </w:t>
      </w:r>
      <w:r w:rsidR="00236025">
        <w:t>Generous Men of the Island of Britain:</w:t>
      </w:r>
      <w:r w:rsidR="00063458">
        <w:t xml:space="preserve"> </w:t>
      </w:r>
      <w:r w:rsidR="00B75CEA">
        <w:t>Nudd…Mordaf…Rhydderch..And Arthur himself was more generous than the three. ‘</w:t>
      </w:r>
      <w:r w:rsidR="00B75CEA">
        <w:rPr>
          <w:rStyle w:val="FootnoteReference"/>
        </w:rPr>
        <w:footnoteReference w:id="14"/>
      </w:r>
      <w:r w:rsidR="00B75CEA">
        <w:t xml:space="preserve"> </w:t>
      </w:r>
      <w:r w:rsidR="009B172E">
        <w:t xml:space="preserve">This generosity is noted again in Geoffrey’s </w:t>
      </w:r>
      <w:r w:rsidR="009B172E" w:rsidRPr="00E14322">
        <w:rPr>
          <w:i/>
        </w:rPr>
        <w:t>Historia</w:t>
      </w:r>
      <w:r w:rsidR="009B172E">
        <w:t>, as obviously an important quality in a king, and key to his popularity and goodness.</w:t>
      </w:r>
      <w:r w:rsidR="009B172E" w:rsidRPr="009B172E">
        <w:t xml:space="preserve"> ‘Arthur was then fifteen years old, but a youth of such unparalleled courage and generosity…as gained him universal love…</w:t>
      </w:r>
      <w:r w:rsidR="009B172E">
        <w:t>’</w:t>
      </w:r>
      <w:r w:rsidR="009B172E">
        <w:rPr>
          <w:rStyle w:val="FootnoteReference"/>
        </w:rPr>
        <w:footnoteReference w:id="15"/>
      </w:r>
      <w:r w:rsidR="009B172E">
        <w:t xml:space="preserve"> </w:t>
      </w:r>
      <w:r w:rsidR="00E14322">
        <w:t xml:space="preserve">Another sign of earlier source </w:t>
      </w:r>
      <w:proofErr w:type="gramStart"/>
      <w:r w:rsidR="00E14322">
        <w:t>materials</w:t>
      </w:r>
      <w:proofErr w:type="gramEnd"/>
      <w:r w:rsidR="00E14322">
        <w:t xml:space="preserve"> is found with regard to Arthurs shield. </w:t>
      </w:r>
      <w:r w:rsidR="009B172E">
        <w:t xml:space="preserve">Arthur </w:t>
      </w:r>
      <w:r w:rsidR="00063458">
        <w:t xml:space="preserve">in Geoffrey’s </w:t>
      </w:r>
      <w:r w:rsidR="00063458" w:rsidRPr="00063458">
        <w:rPr>
          <w:i/>
        </w:rPr>
        <w:t>Historia</w:t>
      </w:r>
      <w:r w:rsidR="00063458">
        <w:t xml:space="preserve"> </w:t>
      </w:r>
      <w:r w:rsidR="0047162D">
        <w:t>carries upon his shoulder a shield with the image of the Vi</w:t>
      </w:r>
      <w:r w:rsidR="003A354D">
        <w:t>r</w:t>
      </w:r>
      <w:r w:rsidR="0047162D">
        <w:t xml:space="preserve">gin Mary upon it, which is also referenced in the </w:t>
      </w:r>
      <w:r w:rsidR="0047162D" w:rsidRPr="0047162D">
        <w:rPr>
          <w:i/>
        </w:rPr>
        <w:t>Historia Brittonum</w:t>
      </w:r>
      <w:r w:rsidR="0047162D">
        <w:t xml:space="preserve"> </w:t>
      </w:r>
      <w:r w:rsidR="0047162D">
        <w:rPr>
          <w:rStyle w:val="FootnoteReference"/>
        </w:rPr>
        <w:footnoteReference w:id="16"/>
      </w:r>
      <w:r w:rsidR="0047162D">
        <w:t xml:space="preserve"> some three hundred years before</w:t>
      </w:r>
      <w:r w:rsidR="009B172E">
        <w:t xml:space="preserve">. In addition, </w:t>
      </w:r>
      <w:r w:rsidR="0047162D">
        <w:t xml:space="preserve">further suggestion of his </w:t>
      </w:r>
      <w:r w:rsidR="009B172E">
        <w:t xml:space="preserve">use of </w:t>
      </w:r>
      <w:r w:rsidR="0047162D">
        <w:t>older sources</w:t>
      </w:r>
      <w:r w:rsidR="009B172E">
        <w:t xml:space="preserve"> can be seen when </w:t>
      </w:r>
      <w:r w:rsidR="0047162D">
        <w:t>Geoffrey calls this shield ‘Priwen’</w:t>
      </w:r>
      <w:r w:rsidR="00B64BC1">
        <w:rPr>
          <w:rStyle w:val="FootnoteReference"/>
        </w:rPr>
        <w:footnoteReference w:id="17"/>
      </w:r>
      <w:r w:rsidR="00B64BC1">
        <w:t xml:space="preserve">, this being the same </w:t>
      </w:r>
      <w:r w:rsidR="00B64BC1" w:rsidRPr="00B64BC1">
        <w:rPr>
          <w:i/>
        </w:rPr>
        <w:t>Pr</w:t>
      </w:r>
      <w:r w:rsidR="00063458">
        <w:rPr>
          <w:i/>
        </w:rPr>
        <w:t>y</w:t>
      </w:r>
      <w:r w:rsidR="00B64BC1" w:rsidRPr="00B64BC1">
        <w:rPr>
          <w:i/>
        </w:rPr>
        <w:t>dwen</w:t>
      </w:r>
      <w:r w:rsidR="0047162D">
        <w:t xml:space="preserve"> </w:t>
      </w:r>
      <w:r w:rsidR="00B64BC1">
        <w:t xml:space="preserve">which is named as Arthur’s ship </w:t>
      </w:r>
      <w:r w:rsidR="00B64BC1" w:rsidRPr="00B64BC1">
        <w:t xml:space="preserve">in the poem </w:t>
      </w:r>
      <w:bookmarkStart w:id="7" w:name="_Hlk535081857"/>
      <w:r w:rsidR="00B64BC1" w:rsidRPr="00B64BC1">
        <w:rPr>
          <w:i/>
        </w:rPr>
        <w:t>Preiddeu Annwn</w:t>
      </w:r>
      <w:r w:rsidR="00B64BC1" w:rsidRPr="00B64BC1">
        <w:t xml:space="preserve"> </w:t>
      </w:r>
      <w:bookmarkEnd w:id="7"/>
      <w:r w:rsidR="009B172E">
        <w:t xml:space="preserve">and </w:t>
      </w:r>
      <w:r w:rsidR="00B64BC1">
        <w:t xml:space="preserve">in the tale </w:t>
      </w:r>
      <w:bookmarkStart w:id="8" w:name="_Hlk535081839"/>
      <w:r w:rsidR="00B64BC1" w:rsidRPr="00B64BC1">
        <w:rPr>
          <w:i/>
        </w:rPr>
        <w:t>Culhwch and Olwen</w:t>
      </w:r>
      <w:bookmarkEnd w:id="8"/>
      <w:r w:rsidR="003A354D">
        <w:rPr>
          <w:i/>
        </w:rPr>
        <w:t xml:space="preserve">. </w:t>
      </w:r>
      <w:r w:rsidR="003A354D" w:rsidRPr="003A354D">
        <w:t>Preiddeu Annwn</w:t>
      </w:r>
      <w:r w:rsidR="003A354D">
        <w:t xml:space="preserve">, from the Book of Taliesin, is dated to between the late ninth and early twelfth centuries, and </w:t>
      </w:r>
      <w:r w:rsidR="003A354D" w:rsidRPr="003A354D">
        <w:t xml:space="preserve">Culhwch and Olwen </w:t>
      </w:r>
      <w:r w:rsidR="003A354D">
        <w:t xml:space="preserve">is </w:t>
      </w:r>
      <w:r w:rsidR="00B64BC1">
        <w:t>recorded in the White book of Rhydderch</w:t>
      </w:r>
      <w:r w:rsidR="003A354D">
        <w:t xml:space="preserve"> (c.1350) and the Red Book of Hergest (c.1384-1410) but accepted as having an earlier redaction around 1080-1100 and based on oral sources ‘long before that date.’</w:t>
      </w:r>
      <w:r w:rsidR="003A354D">
        <w:rPr>
          <w:rStyle w:val="FootnoteReference"/>
        </w:rPr>
        <w:footnoteReference w:id="18"/>
      </w:r>
      <w:r w:rsidR="003A354D">
        <w:t xml:space="preserve"> </w:t>
      </w:r>
      <w:r w:rsidR="00B64BC1">
        <w:t xml:space="preserve"> </w:t>
      </w:r>
      <w:r w:rsidR="003A354D">
        <w:t>It can therefore be seen that</w:t>
      </w:r>
      <w:r w:rsidR="00E14F1A">
        <w:t xml:space="preserve"> e</w:t>
      </w:r>
      <w:r w:rsidR="003A354D">
        <w:t xml:space="preserve">ach of these tales, both likely to have their originals in earlier oral lore, and having been recorded at least in the years surrounding Geoffrey if not long before, </w:t>
      </w:r>
      <w:r w:rsidR="00E14F1A">
        <w:t xml:space="preserve">are likely to be earlier materials that </w:t>
      </w:r>
      <w:r w:rsidR="003A354D">
        <w:t xml:space="preserve">he is aware of and </w:t>
      </w:r>
      <w:r w:rsidR="00E14F1A">
        <w:t xml:space="preserve">felt able to </w:t>
      </w:r>
      <w:r w:rsidR="003A354D">
        <w:t>draw from</w:t>
      </w:r>
      <w:r w:rsidR="00E14322">
        <w:t>, preserving them in some form at least</w:t>
      </w:r>
      <w:r w:rsidR="00063458">
        <w:t>. A</w:t>
      </w:r>
      <w:r w:rsidR="003A354D">
        <w:t xml:space="preserve">t the same time </w:t>
      </w:r>
      <w:r w:rsidR="00E14F1A">
        <w:t xml:space="preserve">Geoffrey is </w:t>
      </w:r>
      <w:r w:rsidR="003A354D">
        <w:t xml:space="preserve">willing to re-cast aspects of the </w:t>
      </w:r>
      <w:r w:rsidR="003A354D">
        <w:lastRenderedPageBreak/>
        <w:t>material</w:t>
      </w:r>
      <w:r w:rsidR="00E14F1A">
        <w:t xml:space="preserve"> for his own use. </w:t>
      </w:r>
      <w:r w:rsidR="002E0B0F">
        <w:t>This is highly innovative in itself</w:t>
      </w:r>
      <w:r w:rsidR="00063458">
        <w:t>, and shows he is taking a far more literary based approach to his source materials than those who came before him</w:t>
      </w:r>
      <w:r w:rsidR="002E0B0F">
        <w:t xml:space="preserve">. </w:t>
      </w:r>
      <w:r w:rsidR="00E14F1A">
        <w:t xml:space="preserve">This same Arthur as </w:t>
      </w:r>
      <w:r w:rsidR="00E14322">
        <w:t xml:space="preserve">heroic </w:t>
      </w:r>
      <w:r w:rsidR="00E14F1A">
        <w:t xml:space="preserve">war leader can be seen in both </w:t>
      </w:r>
      <w:r w:rsidR="00E14F1A" w:rsidRPr="00E14F1A">
        <w:rPr>
          <w:i/>
        </w:rPr>
        <w:t>Preiddeu</w:t>
      </w:r>
      <w:r w:rsidR="003A354D" w:rsidRPr="00E14F1A">
        <w:rPr>
          <w:i/>
        </w:rPr>
        <w:t xml:space="preserve"> </w:t>
      </w:r>
      <w:r w:rsidR="00E14F1A" w:rsidRPr="00E14F1A">
        <w:rPr>
          <w:i/>
        </w:rPr>
        <w:t>Annwn</w:t>
      </w:r>
      <w:r w:rsidR="003A354D">
        <w:t xml:space="preserve"> </w:t>
      </w:r>
      <w:r w:rsidR="00E14F1A">
        <w:t xml:space="preserve">and in </w:t>
      </w:r>
      <w:r w:rsidR="00E14F1A" w:rsidRPr="00E14F1A">
        <w:rPr>
          <w:i/>
        </w:rPr>
        <w:t>Culhwch</w:t>
      </w:r>
      <w:r w:rsidR="00E14F1A">
        <w:t xml:space="preserve">, with the sense of a rough and ready adventurer roaming the land at the head of a band of warriors. This is a headstrong Arthur, capable of making mistakes, as his does in his fateful raid in </w:t>
      </w:r>
      <w:r w:rsidR="00E14F1A" w:rsidRPr="00E14F1A">
        <w:rPr>
          <w:i/>
        </w:rPr>
        <w:t>Preiddeu</w:t>
      </w:r>
      <w:r w:rsidR="00E14F1A">
        <w:t xml:space="preserve">, and in his </w:t>
      </w:r>
      <w:r w:rsidR="006F6DF6">
        <w:t>hot-headed f</w:t>
      </w:r>
      <w:r w:rsidR="00E14F1A">
        <w:t>oolhard</w:t>
      </w:r>
      <w:r w:rsidR="009B172E">
        <w:t>iness in</w:t>
      </w:r>
      <w:r w:rsidR="00E14F1A">
        <w:t xml:space="preserve"> leaving of his kingdom to Mordred in the </w:t>
      </w:r>
      <w:r w:rsidR="00E14F1A" w:rsidRPr="00E14F1A">
        <w:rPr>
          <w:i/>
        </w:rPr>
        <w:t>Historia</w:t>
      </w:r>
      <w:r w:rsidR="00E14F1A">
        <w:t xml:space="preserve">. Another detail of his character, seen in </w:t>
      </w:r>
      <w:r w:rsidR="00E14F1A" w:rsidRPr="00283DED">
        <w:rPr>
          <w:i/>
        </w:rPr>
        <w:t>Culhwch</w:t>
      </w:r>
      <w:r w:rsidR="00E14F1A">
        <w:t>, is his willingness to seek the council of others repeatedly, if not, less kindly, his need to ask others what to do.</w:t>
      </w:r>
      <w:r w:rsidR="00283DED">
        <w:rPr>
          <w:rStyle w:val="FootnoteReference"/>
        </w:rPr>
        <w:footnoteReference w:id="19"/>
      </w:r>
      <w:r w:rsidR="00E14F1A">
        <w:t xml:space="preserve"> </w:t>
      </w:r>
      <w:r w:rsidR="00283DED">
        <w:t xml:space="preserve">This is repeated in </w:t>
      </w:r>
      <w:r w:rsidR="00960C29">
        <w:t xml:space="preserve">several parts of </w:t>
      </w:r>
      <w:r w:rsidR="00283DED">
        <w:t xml:space="preserve">Geoffrey’s Historia </w:t>
      </w:r>
      <w:r w:rsidR="009315C9">
        <w:t xml:space="preserve">where Arthur is regularly mentioned as taking advice from his courtiers and the clergy. </w:t>
      </w:r>
      <w:r w:rsidR="00283DED">
        <w:t>‘</w:t>
      </w:r>
      <w:r w:rsidR="00960C29" w:rsidRPr="00960C29">
        <w:t>‘Arthur complied with their advice and made his retreat into London, where he called an assembly of all the clergy and nobility…to ask their advice’</w:t>
      </w:r>
      <w:r w:rsidR="00960C29">
        <w:rPr>
          <w:rStyle w:val="FootnoteReference"/>
        </w:rPr>
        <w:footnoteReference w:id="20"/>
      </w:r>
      <w:r w:rsidR="006F6DF6">
        <w:t xml:space="preserve"> This may be seen as a civilising feature, but equally it can be seen as a sign of weakness</w:t>
      </w:r>
      <w:r w:rsidR="00E14322">
        <w:t xml:space="preserve"> or lack of intelligence</w:t>
      </w:r>
      <w:r w:rsidR="006F6DF6">
        <w:t xml:space="preserve"> in a leader- either way however it works well as a literary device opening up the action and drawing other characters and features into the text. Here perhaps Geoffrey has found a technique in the telling of Culhwch and Olwen that he found useful to his own ends, which he has therefore retained</w:t>
      </w:r>
      <w:r w:rsidR="00E14322">
        <w:t xml:space="preserve"> if not fully preserved, </w:t>
      </w:r>
      <w:r w:rsidR="006F6DF6">
        <w:t xml:space="preserve">and developed as both character detail and as plot mover. </w:t>
      </w:r>
    </w:p>
    <w:p w14:paraId="7E7A10A9" w14:textId="25ABC5A7" w:rsidR="003A6803" w:rsidRDefault="00CC0250" w:rsidP="00B355B3">
      <w:pPr>
        <w:spacing w:line="480" w:lineRule="auto"/>
      </w:pPr>
      <w:r>
        <w:t xml:space="preserve">Echoes of an older earlier Arthur may perhaps also be seen in his willingness to fight one to one as champion against Flollo, which perhaps shows a classical knowledge of Homers </w:t>
      </w:r>
      <w:r w:rsidRPr="00CC0250">
        <w:rPr>
          <w:i/>
        </w:rPr>
        <w:t>Iliad</w:t>
      </w:r>
      <w:r>
        <w:t xml:space="preserve">, with Achilles fighting Hector, along with other sources, </w:t>
      </w:r>
      <w:r w:rsidR="00E14322">
        <w:t xml:space="preserve">but possibly also </w:t>
      </w:r>
      <w:r>
        <w:t xml:space="preserve">an earlier </w:t>
      </w:r>
      <w:r w:rsidR="006F6DF6">
        <w:t xml:space="preserve">now lost </w:t>
      </w:r>
      <w:r>
        <w:t>British warrior tradition.</w:t>
      </w:r>
    </w:p>
    <w:p w14:paraId="46968179" w14:textId="77777777" w:rsidR="003A6803" w:rsidRDefault="00CC0250" w:rsidP="00B355B3">
      <w:pPr>
        <w:spacing w:line="480" w:lineRule="auto"/>
        <w:ind w:left="284" w:right="284"/>
      </w:pPr>
      <w:r w:rsidRPr="00CC0250">
        <w:lastRenderedPageBreak/>
        <w:t xml:space="preserve">‘Flollo, with grief observing his people perish with hunger, sent a message to Arthur, that </w:t>
      </w:r>
      <w:r>
        <w:t>t</w:t>
      </w:r>
      <w:r w:rsidRPr="00CC0250">
        <w:t xml:space="preserve">hey two alone should deicide the conquest for the kingdom </w:t>
      </w:r>
      <w:r>
        <w:t>in</w:t>
      </w:r>
      <w:r w:rsidRPr="00CC0250">
        <w:t xml:space="preserve"> a duel…Arthur was extremely pleased at Flollo’s proposal</w:t>
      </w:r>
      <w:r>
        <w:t>…</w:t>
      </w:r>
      <w:r w:rsidRPr="00CC0250">
        <w:t>’</w:t>
      </w:r>
      <w:r>
        <w:rPr>
          <w:rStyle w:val="FootnoteReference"/>
        </w:rPr>
        <w:footnoteReference w:id="21"/>
      </w:r>
      <w:r>
        <w:t xml:space="preserve"> </w:t>
      </w:r>
    </w:p>
    <w:p w14:paraId="65E02D44" w14:textId="13484F22" w:rsidR="009315C9" w:rsidRDefault="00CC0250" w:rsidP="00B355B3">
      <w:pPr>
        <w:spacing w:line="480" w:lineRule="auto"/>
      </w:pPr>
      <w:r>
        <w:t xml:space="preserve">Here we see Geoffrey’s use of older style set pieces, given a more modern </w:t>
      </w:r>
      <w:r w:rsidR="003A6803">
        <w:t xml:space="preserve">(for the period) </w:t>
      </w:r>
      <w:r>
        <w:t xml:space="preserve">twist which gives birth to the later courtly Arthur of </w:t>
      </w:r>
      <w:r w:rsidR="003A6803">
        <w:t>m</w:t>
      </w:r>
      <w:r>
        <w:t xml:space="preserve">edieval romances. The ‘duel’ takes the form of a courtly style joust, yet ends in a bloodthirsty description of Arthur slicing through Flollo’s head in a section </w:t>
      </w:r>
      <w:r w:rsidR="003A6803">
        <w:t xml:space="preserve">reminiscent of the Iliad’s battle set-pieces between heroes. This classical motif in the </w:t>
      </w:r>
      <w:r w:rsidR="003A6803" w:rsidRPr="003A6803">
        <w:rPr>
          <w:i/>
        </w:rPr>
        <w:t>Historia</w:t>
      </w:r>
      <w:r w:rsidR="003A6803" w:rsidRPr="003A6803">
        <w:rPr>
          <w:b/>
        </w:rPr>
        <w:t xml:space="preserve"> </w:t>
      </w:r>
      <w:bookmarkStart w:id="12" w:name="_GoBack"/>
      <w:bookmarkEnd w:id="12"/>
      <w:r w:rsidR="003A6803">
        <w:t xml:space="preserve">finds resonance in other areas of the text as well; in the origin story itself- of </w:t>
      </w:r>
      <w:r w:rsidR="00A56053">
        <w:t xml:space="preserve">the </w:t>
      </w:r>
      <w:r w:rsidR="003A6803">
        <w:t>Brit</w:t>
      </w:r>
      <w:r w:rsidR="00A56053">
        <w:t>o</w:t>
      </w:r>
      <w:r w:rsidR="003A6803">
        <w:t>n</w:t>
      </w:r>
      <w:r w:rsidR="00A56053">
        <w:t>s</w:t>
      </w:r>
      <w:r w:rsidR="003A6803">
        <w:t xml:space="preserve"> </w:t>
      </w:r>
      <w:r w:rsidR="00B355B3">
        <w:t>being refugees</w:t>
      </w:r>
      <w:r w:rsidR="003A6803">
        <w:t xml:space="preserve"> from Troy, and in the later refences to this in the Arthurian chapters.  </w:t>
      </w:r>
      <w:r w:rsidR="003A6803" w:rsidRPr="003A6803">
        <w:t>‘For the Britons still observed the custom of Troy, by which the men and women used to celebrate their festivals apart.’</w:t>
      </w:r>
      <w:r w:rsidR="003A6803">
        <w:rPr>
          <w:rStyle w:val="FootnoteReference"/>
        </w:rPr>
        <w:footnoteReference w:id="22"/>
      </w:r>
      <w:r w:rsidR="006F6DF6">
        <w:t xml:space="preserve">In this Geoffrey is highly innovative, in creating this detailed regal court, with its </w:t>
      </w:r>
      <w:r w:rsidR="002545CD">
        <w:t>C</w:t>
      </w:r>
      <w:r w:rsidR="006F6DF6">
        <w:t xml:space="preserve">lassical </w:t>
      </w:r>
      <w:r w:rsidR="002545CD">
        <w:t xml:space="preserve">European rather than Celtic </w:t>
      </w:r>
      <w:r w:rsidR="006F6DF6">
        <w:t>allusions</w:t>
      </w:r>
      <w:r w:rsidR="00E370E8">
        <w:t xml:space="preserve">, duels and jousts rather than open killing </w:t>
      </w:r>
      <w:r w:rsidR="002545CD">
        <w:t xml:space="preserve">as would be described in earlier materials like the </w:t>
      </w:r>
      <w:r w:rsidR="002545CD" w:rsidRPr="002545CD">
        <w:rPr>
          <w:i/>
        </w:rPr>
        <w:t>Gododdin</w:t>
      </w:r>
      <w:r w:rsidR="002545CD">
        <w:t xml:space="preserve"> for example. This </w:t>
      </w:r>
      <w:r w:rsidR="00E370E8">
        <w:t>creat</w:t>
      </w:r>
      <w:r w:rsidR="002545CD">
        <w:t>es</w:t>
      </w:r>
      <w:r w:rsidR="00E370E8">
        <w:t xml:space="preserve"> a more sanitary and civil Arthur overlaying the rougher warrior of the past. </w:t>
      </w:r>
      <w:r w:rsidR="002545CD">
        <w:t>Geoffrey i</w:t>
      </w:r>
      <w:r w:rsidR="006F6DF6">
        <w:t>s creating the</w:t>
      </w:r>
      <w:r w:rsidR="00E370E8">
        <w:t xml:space="preserve"> romantic </w:t>
      </w:r>
      <w:r w:rsidR="006F6DF6">
        <w:t>image of a medieval ideal</w:t>
      </w:r>
      <w:r w:rsidR="00E370E8">
        <w:t>, a golden age, while retaining the roots of a</w:t>
      </w:r>
      <w:r w:rsidR="006F6DF6">
        <w:t xml:space="preserve"> far simpler </w:t>
      </w:r>
      <w:r w:rsidR="00E370E8">
        <w:t xml:space="preserve">earlier Arthur just underneath for those who seek them. </w:t>
      </w:r>
      <w:r w:rsidR="006F6DF6">
        <w:t xml:space="preserve"> </w:t>
      </w:r>
      <w:r w:rsidR="003A6803" w:rsidRPr="003A6803">
        <w:t xml:space="preserve">   </w:t>
      </w:r>
    </w:p>
    <w:p w14:paraId="5C5CC837" w14:textId="21CBC5BD" w:rsidR="00EE7BC3" w:rsidRDefault="00C742A3" w:rsidP="00B355B3">
      <w:pPr>
        <w:spacing w:line="480" w:lineRule="auto"/>
      </w:pPr>
      <w:r>
        <w:t xml:space="preserve">As Padel points out, </w:t>
      </w:r>
      <w:r w:rsidR="00D824AA">
        <w:t xml:space="preserve">traces of Culhwch and Olwen can </w:t>
      </w:r>
      <w:r w:rsidR="003738ED">
        <w:t>be</w:t>
      </w:r>
      <w:r w:rsidR="00D824AA">
        <w:t xml:space="preserve"> seen in several places throughout Geoffrey’s </w:t>
      </w:r>
      <w:r w:rsidR="00D824AA" w:rsidRPr="00D824AA">
        <w:rPr>
          <w:i/>
        </w:rPr>
        <w:t>Historia</w:t>
      </w:r>
      <w:r w:rsidR="00D824AA" w:rsidRPr="00D824AA">
        <w:t>, but determining</w:t>
      </w:r>
      <w:r w:rsidR="00D824AA">
        <w:t xml:space="preserve"> to what extent this is truly the case, is </w:t>
      </w:r>
      <w:r w:rsidR="00614E8A">
        <w:t>a challenging task</w:t>
      </w:r>
      <w:r w:rsidR="00D824AA">
        <w:rPr>
          <w:i/>
        </w:rPr>
        <w:t xml:space="preserve">. </w:t>
      </w:r>
      <w:r w:rsidR="00614E8A">
        <w:rPr>
          <w:i/>
        </w:rPr>
        <w:t>‘</w:t>
      </w:r>
      <w:r w:rsidR="00D824AA">
        <w:t>One difficult topic i</w:t>
      </w:r>
      <w:r w:rsidR="00A56053">
        <w:t>n</w:t>
      </w:r>
      <w:r w:rsidR="00D824AA">
        <w:t xml:space="preserve"> the development of the Arthurian legend is the relationship</w:t>
      </w:r>
      <w:r w:rsidR="00A56053">
        <w:t>, if any,</w:t>
      </w:r>
      <w:r w:rsidR="00D824AA">
        <w:t xml:space="preserve"> between Geoffrey’s </w:t>
      </w:r>
      <w:r w:rsidR="00D824AA" w:rsidRPr="00E370E8">
        <w:rPr>
          <w:i/>
        </w:rPr>
        <w:t>His</w:t>
      </w:r>
      <w:r w:rsidR="00192F6D" w:rsidRPr="00E370E8">
        <w:rPr>
          <w:i/>
        </w:rPr>
        <w:t>t</w:t>
      </w:r>
      <w:r w:rsidR="00D824AA" w:rsidRPr="00E370E8">
        <w:rPr>
          <w:i/>
        </w:rPr>
        <w:t>or</w:t>
      </w:r>
      <w:r w:rsidR="00A56053">
        <w:rPr>
          <w:i/>
        </w:rPr>
        <w:t>y</w:t>
      </w:r>
      <w:r w:rsidR="00D824AA">
        <w:t xml:space="preserve"> and </w:t>
      </w:r>
      <w:r w:rsidR="00D824AA" w:rsidRPr="00E370E8">
        <w:rPr>
          <w:i/>
        </w:rPr>
        <w:t>Culhwch</w:t>
      </w:r>
      <w:r w:rsidR="00D824AA">
        <w:t>. The two share several narrative details</w:t>
      </w:r>
      <w:r w:rsidR="00A56053">
        <w:t>…</w:t>
      </w:r>
      <w:r w:rsidR="00D824AA">
        <w:t>.’</w:t>
      </w:r>
      <w:r w:rsidR="00D824AA">
        <w:rPr>
          <w:rStyle w:val="FootnoteReference"/>
        </w:rPr>
        <w:footnoteReference w:id="23"/>
      </w:r>
      <w:r w:rsidR="00192F6D">
        <w:t xml:space="preserve"> In Padel</w:t>
      </w:r>
      <w:r w:rsidR="00614E8A">
        <w:t>’</w:t>
      </w:r>
      <w:r w:rsidR="00192F6D">
        <w:t xml:space="preserve">s view these include </w:t>
      </w:r>
      <w:r w:rsidR="002545CD">
        <w:t xml:space="preserve">a similarity between </w:t>
      </w:r>
      <w:r w:rsidR="00192F6D">
        <w:t xml:space="preserve">the saints of Ireland coming to Arthur to ask for his protection when he arrives there hunting Twrch, in </w:t>
      </w:r>
      <w:r w:rsidR="00192F6D" w:rsidRPr="002545CD">
        <w:rPr>
          <w:i/>
        </w:rPr>
        <w:t>Culhwch and Olwen</w:t>
      </w:r>
      <w:r w:rsidR="00192F6D">
        <w:t>, and the Scottish Clergy also begging for mercy from Arthur after he’s conquered there</w:t>
      </w:r>
      <w:r w:rsidR="002545CD">
        <w:t xml:space="preserve"> in the </w:t>
      </w:r>
      <w:r w:rsidR="002545CD" w:rsidRPr="002545CD">
        <w:rPr>
          <w:i/>
        </w:rPr>
        <w:t>Historia</w:t>
      </w:r>
      <w:r w:rsidR="00192F6D">
        <w:t>. A</w:t>
      </w:r>
      <w:r w:rsidR="002545CD">
        <w:t xml:space="preserve">nother similarity in Padel’s view is </w:t>
      </w:r>
      <w:r w:rsidR="00192F6D">
        <w:t xml:space="preserve">Arthur’s </w:t>
      </w:r>
      <w:r w:rsidR="00192F6D">
        <w:lastRenderedPageBreak/>
        <w:t xml:space="preserve">horror when Twrch </w:t>
      </w:r>
      <w:r w:rsidR="002545CD">
        <w:t xml:space="preserve">in </w:t>
      </w:r>
      <w:r w:rsidR="002545CD" w:rsidRPr="002545CD">
        <w:rPr>
          <w:i/>
        </w:rPr>
        <w:t>Culhwch,</w:t>
      </w:r>
      <w:r w:rsidR="002545CD">
        <w:t xml:space="preserve"> </w:t>
      </w:r>
      <w:r w:rsidR="00192F6D">
        <w:t>and when Mordred</w:t>
      </w:r>
      <w:r w:rsidR="002545CD">
        <w:t xml:space="preserve"> in the </w:t>
      </w:r>
      <w:r w:rsidR="002545CD" w:rsidRPr="002545CD">
        <w:rPr>
          <w:i/>
        </w:rPr>
        <w:t>Historia</w:t>
      </w:r>
      <w:r w:rsidR="00192F6D" w:rsidRPr="002545CD">
        <w:rPr>
          <w:i/>
        </w:rPr>
        <w:t xml:space="preserve"> </w:t>
      </w:r>
      <w:r w:rsidR="00192F6D">
        <w:t>head to Cornwall</w:t>
      </w:r>
      <w:r w:rsidR="002545CD">
        <w:t>, Arthurs birthplace</w:t>
      </w:r>
      <w:r w:rsidR="000E42B4">
        <w:rPr>
          <w:rStyle w:val="FootnoteReference"/>
        </w:rPr>
        <w:footnoteReference w:id="24"/>
      </w:r>
      <w:r w:rsidR="00192F6D">
        <w:t xml:space="preserve">, </w:t>
      </w:r>
      <w:r w:rsidR="000E42B4">
        <w:t>although it could be said here that Arthur is primarily frustrated that Mordred has escaped him</w:t>
      </w:r>
      <w:r w:rsidR="00E370E8">
        <w:t>, rather than horrified</w:t>
      </w:r>
      <w:r w:rsidR="000E42B4">
        <w:t>. ‘Ar</w:t>
      </w:r>
      <w:r w:rsidR="00614E8A">
        <w:t>t</w:t>
      </w:r>
      <w:r w:rsidR="000E42B4">
        <w:t>hur, being inwardly grieved that he should so often escape...’</w:t>
      </w:r>
      <w:r w:rsidR="000E42B4">
        <w:rPr>
          <w:rStyle w:val="FootnoteReference"/>
        </w:rPr>
        <w:footnoteReference w:id="25"/>
      </w:r>
      <w:r w:rsidR="00614E8A">
        <w:t xml:space="preserve"> </w:t>
      </w:r>
      <w:r w:rsidR="000E42B4">
        <w:t xml:space="preserve">While there may be some debate about some of the details, however, the general feeling of much of Geoffrey’s </w:t>
      </w:r>
      <w:r w:rsidR="000E42B4" w:rsidRPr="00E370E8">
        <w:rPr>
          <w:i/>
        </w:rPr>
        <w:t>Historia</w:t>
      </w:r>
      <w:r w:rsidR="000E42B4">
        <w:t xml:space="preserve"> including the personality of Arthur, however minimally drawn, does show similarities with the older tale, </w:t>
      </w:r>
      <w:r w:rsidR="00E370E8">
        <w:t xml:space="preserve">strongly </w:t>
      </w:r>
      <w:r w:rsidR="000E42B4">
        <w:t>suggesting it was one of the earlier materials Geoffrey had used. That said, Padel does draw distinctions between the two, ‘the supernatural, folklore atmosphere of Culhwch contrasting with Geoffrey’s regal splendour.’</w:t>
      </w:r>
      <w:r w:rsidR="000E42B4">
        <w:rPr>
          <w:rStyle w:val="FootnoteReference"/>
        </w:rPr>
        <w:footnoteReference w:id="26"/>
      </w:r>
      <w:r w:rsidR="000E42B4">
        <w:t xml:space="preserve"> </w:t>
      </w:r>
      <w:r w:rsidR="00DC6039">
        <w:t>T</w:t>
      </w:r>
      <w:r w:rsidR="000E42B4">
        <w:t xml:space="preserve">races of </w:t>
      </w:r>
      <w:r w:rsidR="00DC6039">
        <w:t xml:space="preserve">other </w:t>
      </w:r>
      <w:r w:rsidR="000E42B4">
        <w:t xml:space="preserve">earlier texts and oral </w:t>
      </w:r>
      <w:r w:rsidR="00DC6039">
        <w:t xml:space="preserve">tales </w:t>
      </w:r>
      <w:r w:rsidR="000E42B4">
        <w:t>remain</w:t>
      </w:r>
      <w:r w:rsidR="00DC6039">
        <w:t xml:space="preserve"> quite visible in his </w:t>
      </w:r>
      <w:r w:rsidR="00DC6039" w:rsidRPr="00DC6039">
        <w:rPr>
          <w:i/>
        </w:rPr>
        <w:t>Historia</w:t>
      </w:r>
      <w:r w:rsidR="00DC6039">
        <w:t xml:space="preserve"> and</w:t>
      </w:r>
      <w:r w:rsidR="000E42B4">
        <w:t xml:space="preserve"> </w:t>
      </w:r>
      <w:r w:rsidR="00B706FA">
        <w:t xml:space="preserve">‘it is clear that the portrayal </w:t>
      </w:r>
      <w:r w:rsidR="00614E8A">
        <w:t xml:space="preserve">of Arthur in Culhwch, and also of the Twrch Trwyth go back centuries earlier than Geoffrey’s </w:t>
      </w:r>
      <w:r w:rsidR="00614E8A" w:rsidRPr="00614E8A">
        <w:rPr>
          <w:i/>
        </w:rPr>
        <w:t>History</w:t>
      </w:r>
      <w:r w:rsidR="00614E8A">
        <w:t>.’</w:t>
      </w:r>
      <w:r w:rsidR="00614E8A">
        <w:rPr>
          <w:rStyle w:val="FootnoteReference"/>
        </w:rPr>
        <w:footnoteReference w:id="27"/>
      </w:r>
      <w:r w:rsidR="00614E8A" w:rsidRPr="00614E8A">
        <w:t xml:space="preserve"> </w:t>
      </w:r>
      <w:r w:rsidR="00614E8A">
        <w:t>So borrowing from the tale is perfectly likely</w:t>
      </w:r>
      <w:r w:rsidR="00DC6039">
        <w:t>, if not completely verifiable</w:t>
      </w:r>
      <w:r w:rsidR="00614E8A">
        <w:t xml:space="preserve">. </w:t>
      </w:r>
      <w:r w:rsidR="00614E8A" w:rsidRPr="00614E8A">
        <w:t xml:space="preserve">Geoffrey none the less </w:t>
      </w:r>
      <w:r w:rsidR="00DC6039">
        <w:t xml:space="preserve">while preserving the tale for his own use </w:t>
      </w:r>
      <w:r w:rsidR="00614E8A" w:rsidRPr="00614E8A">
        <w:t xml:space="preserve">does repackage these </w:t>
      </w:r>
      <w:r w:rsidR="00614E8A">
        <w:t xml:space="preserve">features </w:t>
      </w:r>
      <w:r w:rsidR="00614E8A" w:rsidRPr="00614E8A">
        <w:t xml:space="preserve">and creates a </w:t>
      </w:r>
      <w:r w:rsidR="002E0B0F">
        <w:t xml:space="preserve">whole </w:t>
      </w:r>
      <w:r w:rsidR="00614E8A" w:rsidRPr="00614E8A">
        <w:t>new genre of his own, a precursor to the medieval romances to come</w:t>
      </w:r>
      <w:r w:rsidR="00614E8A">
        <w:t>.</w:t>
      </w:r>
    </w:p>
    <w:p w14:paraId="7CA12C49" w14:textId="2EBEAD5F" w:rsidR="00D824AA" w:rsidRDefault="00EE7BC3" w:rsidP="00B355B3">
      <w:pPr>
        <w:spacing w:line="480" w:lineRule="auto"/>
        <w:ind w:left="284" w:right="284"/>
      </w:pPr>
      <w:r>
        <w:t>‘For at that time Britain had arrived at such a pitch of grandeur than in abundance of riches, luxury of ornaments, and politeness of inhabitants it far surpassed all other kingdoms. The knights that were in it were famous for feats of chivalry…’</w:t>
      </w:r>
      <w:r>
        <w:rPr>
          <w:rStyle w:val="FootnoteReference"/>
        </w:rPr>
        <w:footnoteReference w:id="28"/>
      </w:r>
      <w:r>
        <w:t xml:space="preserve"> </w:t>
      </w:r>
      <w:r w:rsidR="000E42B4">
        <w:t xml:space="preserve">      </w:t>
      </w:r>
      <w:r w:rsidR="00192F6D">
        <w:t xml:space="preserve">   </w:t>
      </w:r>
    </w:p>
    <w:p w14:paraId="1D56D6D6" w14:textId="0D1E6FB1" w:rsidR="004812AF" w:rsidRDefault="009315C9" w:rsidP="00B355B3">
      <w:pPr>
        <w:spacing w:line="480" w:lineRule="auto"/>
      </w:pPr>
      <w:r>
        <w:t xml:space="preserve">Another visible earlier material in the </w:t>
      </w:r>
      <w:r w:rsidRPr="009315C9">
        <w:rPr>
          <w:i/>
        </w:rPr>
        <w:t>Historia</w:t>
      </w:r>
      <w:r>
        <w:t xml:space="preserve"> is that of Merlin’s prophecies- which are considered important enough by the author to be given their own </w:t>
      </w:r>
      <w:r w:rsidR="00BC58F3">
        <w:t>chapter</w:t>
      </w:r>
      <w:r>
        <w:t>. Prophecy features throughout the text, but those of Merlin are especially significant</w:t>
      </w:r>
      <w:r w:rsidR="00610B19">
        <w:t>, and Geoffrey stresses</w:t>
      </w:r>
      <w:r w:rsidR="00EB6E2A">
        <w:t xml:space="preserve">, much to some </w:t>
      </w:r>
      <w:r w:rsidR="003738ED">
        <w:t>critic’s</w:t>
      </w:r>
      <w:r w:rsidR="00EB6E2A">
        <w:t xml:space="preserve"> disbelief, </w:t>
      </w:r>
      <w:r w:rsidR="00610B19">
        <w:t>that these are translations of already existent material</w:t>
      </w:r>
      <w:r>
        <w:t xml:space="preserve">. </w:t>
      </w:r>
      <w:r w:rsidR="00EB6E2A">
        <w:t xml:space="preserve">‘Geoffrey’s claims that his “prophecies of  Merlin” represented a Latin translation from the original Brittonic might be taken as </w:t>
      </w:r>
      <w:r w:rsidR="00EB6E2A">
        <w:lastRenderedPageBreak/>
        <w:t xml:space="preserve">one of his more obvious departures into </w:t>
      </w:r>
      <w:r w:rsidR="00610B19">
        <w:t>fantasy</w:t>
      </w:r>
      <w:r w:rsidR="00EB6E2A">
        <w:t>’</w:t>
      </w:r>
      <w:r w:rsidR="00EB6E2A">
        <w:rPr>
          <w:rStyle w:val="FootnoteReference"/>
        </w:rPr>
        <w:footnoteReference w:id="29"/>
      </w:r>
      <w:r w:rsidR="00610B19">
        <w:t xml:space="preserve">, </w:t>
      </w:r>
      <w:r w:rsidR="00EB6E2A">
        <w:t xml:space="preserve"> </w:t>
      </w:r>
      <w:r w:rsidR="00610B19">
        <w:t xml:space="preserve">but Geoffrey </w:t>
      </w:r>
      <w:r w:rsidR="00FD4D30">
        <w:t xml:space="preserve">comes across as </w:t>
      </w:r>
      <w:r w:rsidR="00610B19">
        <w:t xml:space="preserve">very sincere about this point, and as </w:t>
      </w:r>
      <w:r w:rsidR="00EB6E2A">
        <w:t>C</w:t>
      </w:r>
      <w:r w:rsidR="00610B19">
        <w:t xml:space="preserve">rick points out, Michael Richter sees </w:t>
      </w:r>
      <w:r w:rsidR="00EB6E2A">
        <w:t>G</w:t>
      </w:r>
      <w:r w:rsidR="00610B19">
        <w:t>eoffrey</w:t>
      </w:r>
      <w:r w:rsidR="00EB6E2A">
        <w:t>’</w:t>
      </w:r>
      <w:r w:rsidR="00610B19">
        <w:t>s aim</w:t>
      </w:r>
      <w:r w:rsidR="00FD4D30">
        <w:t xml:space="preserve"> with regards to Merlin </w:t>
      </w:r>
      <w:r w:rsidR="00610B19">
        <w:t>as primarily that of an antiquarian.</w:t>
      </w:r>
      <w:r w:rsidR="00610B19">
        <w:rPr>
          <w:rStyle w:val="FootnoteReference"/>
        </w:rPr>
        <w:footnoteReference w:id="30"/>
      </w:r>
      <w:r w:rsidR="00610B19">
        <w:t xml:space="preserve"> </w:t>
      </w:r>
      <w:r w:rsidR="00E370E8">
        <w:t xml:space="preserve">This suggests he may well have been </w:t>
      </w:r>
      <w:r w:rsidR="00DC6039">
        <w:t xml:space="preserve">deeply </w:t>
      </w:r>
      <w:r w:rsidR="00E370E8">
        <w:t>concerned with the preservation of the material at this point</w:t>
      </w:r>
      <w:r w:rsidR="00DC6039">
        <w:t>, however ‘fantastical’ that material may be in and of itself</w:t>
      </w:r>
      <w:r w:rsidR="00E370E8">
        <w:t xml:space="preserve">. </w:t>
      </w:r>
      <w:r w:rsidR="00BC58F3">
        <w:t xml:space="preserve">Geoffrey’s prominent critic, </w:t>
      </w:r>
      <w:r>
        <w:t>Gerald of Wales asserts the pre-existence of written prophecies of Myrddin (Merlin)</w:t>
      </w:r>
      <w:r w:rsidR="00614E8A">
        <w:t xml:space="preserve"> and thus supports </w:t>
      </w:r>
      <w:r w:rsidR="00610B19">
        <w:t>G</w:t>
      </w:r>
      <w:r w:rsidR="00614E8A">
        <w:t>eoffrey’s assertions of their antiquity</w:t>
      </w:r>
      <w:r>
        <w:t xml:space="preserve"> in his</w:t>
      </w:r>
      <w:r w:rsidR="00BC58F3">
        <w:t xml:space="preserve"> twelfth century</w:t>
      </w:r>
      <w:r>
        <w:t xml:space="preserve"> </w:t>
      </w:r>
      <w:r w:rsidRPr="009315C9">
        <w:rPr>
          <w:i/>
        </w:rPr>
        <w:t>Expugnatio Hibernica</w:t>
      </w:r>
      <w:r w:rsidR="00E370E8">
        <w:rPr>
          <w:i/>
        </w:rPr>
        <w:t>,</w:t>
      </w:r>
      <w:r>
        <w:t xml:space="preserve"> </w:t>
      </w:r>
      <w:r w:rsidR="00BC58F3">
        <w:t>and another of Geoffrey’s critics, William of Newburgh also accepts Geoffrey’s claim that he translated the prophecies rather than invented them.</w:t>
      </w:r>
      <w:r w:rsidR="00BC58F3">
        <w:rPr>
          <w:rStyle w:val="FootnoteReference"/>
        </w:rPr>
        <w:footnoteReference w:id="31"/>
      </w:r>
      <w:r w:rsidR="00E14F1A">
        <w:t xml:space="preserve"> </w:t>
      </w:r>
      <w:r w:rsidR="00EB6E2A">
        <w:t>Some prophecies attributed to Merlin Silvestris such as the one concerning the eagle of Shaftesbury were certainly known before Geoffrey’s work.</w:t>
      </w:r>
      <w:r w:rsidR="00EB6E2A">
        <w:rPr>
          <w:rStyle w:val="FootnoteReference"/>
        </w:rPr>
        <w:footnoteReference w:id="32"/>
      </w:r>
      <w:r w:rsidR="00EB6E2A">
        <w:t xml:space="preserve"> There </w:t>
      </w:r>
      <w:r w:rsidR="00BC58F3">
        <w:t xml:space="preserve">is </w:t>
      </w:r>
      <w:r w:rsidR="00EB6E2A">
        <w:t xml:space="preserve">also </w:t>
      </w:r>
      <w:r w:rsidR="00BC58F3">
        <w:t>some evidence to suggest that the prophecy of Arthur</w:t>
      </w:r>
      <w:r w:rsidR="00FC265F">
        <w:t>’</w:t>
      </w:r>
      <w:r w:rsidR="00BC58F3">
        <w:t>s return also predated Geoffrey, and was passionately held in some quarters</w:t>
      </w:r>
      <w:r w:rsidR="00812209">
        <w:t xml:space="preserve">, before the </w:t>
      </w:r>
      <w:r w:rsidR="00812209" w:rsidRPr="00812209">
        <w:rPr>
          <w:i/>
        </w:rPr>
        <w:t>Historia</w:t>
      </w:r>
      <w:r w:rsidR="00BC58F3">
        <w:t xml:space="preserve">. As </w:t>
      </w:r>
      <w:r w:rsidR="00812209">
        <w:t xml:space="preserve">Tatlock via </w:t>
      </w:r>
      <w:r w:rsidR="00BC58F3">
        <w:t>Padel recounts,</w:t>
      </w:r>
    </w:p>
    <w:p w14:paraId="7538E8AE" w14:textId="58CA0F85" w:rsidR="00FB696B" w:rsidRDefault="0045668B" w:rsidP="00B355B3">
      <w:pPr>
        <w:spacing w:line="480" w:lineRule="auto"/>
        <w:ind w:left="284" w:right="284"/>
      </w:pPr>
      <w:r w:rsidRPr="00BC58F3">
        <w:t>“in</w:t>
      </w:r>
      <w:r w:rsidR="00BC58F3">
        <w:t xml:space="preserve"> the journey of </w:t>
      </w:r>
      <w:r>
        <w:t xml:space="preserve">the </w:t>
      </w:r>
      <w:r w:rsidRPr="00BC58F3">
        <w:t>Laon</w:t>
      </w:r>
      <w:r w:rsidR="00BC58F3" w:rsidRPr="00BC58F3">
        <w:t xml:space="preserve"> canons </w:t>
      </w:r>
      <w:r w:rsidR="00BC58F3">
        <w:t>in 1113…</w:t>
      </w:r>
      <w:r w:rsidR="00BC58F3" w:rsidRPr="00BC58F3">
        <w:t xml:space="preserve"> Their account of this notes a near-riot on their visit to Bodmin, as a Cornishman insisted that Arthur was not dead</w:t>
      </w:r>
      <w:r w:rsidR="004812AF">
        <w:t xml:space="preserve">, </w:t>
      </w:r>
      <w:r w:rsidR="00BC58F3" w:rsidRPr="00BC58F3">
        <w:t>‘</w:t>
      </w:r>
      <w:r w:rsidR="004812AF">
        <w:t xml:space="preserve">in just the same way as the Bretons are in the habit of arguing against the French on King Arthurs behalf.’ ‘ </w:t>
      </w:r>
      <w:r w:rsidR="004812AF">
        <w:rPr>
          <w:rStyle w:val="FootnoteReference"/>
        </w:rPr>
        <w:footnoteReference w:id="33"/>
      </w:r>
    </w:p>
    <w:p w14:paraId="07639D4F" w14:textId="77777777" w:rsidR="00B355B3" w:rsidRDefault="006C620D" w:rsidP="00B355B3">
      <w:pPr>
        <w:spacing w:line="480" w:lineRule="auto"/>
      </w:pPr>
      <w:r>
        <w:t xml:space="preserve">Political prophecies, like literary forgeries, were popular at the time, as this was a period of political and cultural upheaval, but as Roberts points out, </w:t>
      </w:r>
      <w:r w:rsidRPr="006C620D">
        <w:t>‘Whatever may be the explanation, Cadwalladr</w:t>
      </w:r>
      <w:r w:rsidR="009546CE">
        <w:t>’</w:t>
      </w:r>
      <w:r w:rsidRPr="006C620D">
        <w:t>s role as saviour is older than Geoffrey of Monmouth.’</w:t>
      </w:r>
      <w:r>
        <w:rPr>
          <w:rStyle w:val="FootnoteReference"/>
        </w:rPr>
        <w:footnoteReference w:id="34"/>
      </w:r>
      <w:r>
        <w:t xml:space="preserve"> </w:t>
      </w:r>
      <w:r w:rsidR="007F2C2B">
        <w:t>Geoffrey was preserving older material to some extent, even if he was creative or innovative with its transmission.</w:t>
      </w:r>
      <w:r w:rsidR="00B355B3">
        <w:t xml:space="preserve"> </w:t>
      </w:r>
    </w:p>
    <w:p w14:paraId="5AC24B6A" w14:textId="5037CA95" w:rsidR="006C620D" w:rsidRDefault="006C620D" w:rsidP="00B355B3">
      <w:pPr>
        <w:spacing w:line="480" w:lineRule="auto"/>
      </w:pPr>
      <w:r>
        <w:lastRenderedPageBreak/>
        <w:t xml:space="preserve">By claiming he is working to translate these older materials into Latin, </w:t>
      </w:r>
      <w:r w:rsidR="009546CE">
        <w:t xml:space="preserve">Geoffrey </w:t>
      </w:r>
      <w:r>
        <w:t>is claiming greater authority</w:t>
      </w:r>
      <w:r w:rsidR="009546CE">
        <w:t xml:space="preserve"> and gravitas for his text</w:t>
      </w:r>
      <w:r>
        <w:t xml:space="preserve">; </w:t>
      </w:r>
      <w:r w:rsidRPr="006C620D">
        <w:t>‘the ancient book is first of all, a legitimising device, a way of giving the Historia authority as history.’</w:t>
      </w:r>
      <w:r>
        <w:rPr>
          <w:rStyle w:val="FootnoteReference"/>
        </w:rPr>
        <w:footnoteReference w:id="35"/>
      </w:r>
      <w:r w:rsidRPr="006C620D">
        <w:t xml:space="preserve"> </w:t>
      </w:r>
      <w:r w:rsidR="002E0B0F">
        <w:t xml:space="preserve">The prophecies, as well as Geoffrey’s ‘ancient book’ may of course, </w:t>
      </w:r>
      <w:r w:rsidR="009546CE">
        <w:t xml:space="preserve">have existed. It is possible that they were </w:t>
      </w:r>
      <w:r w:rsidR="002E0B0F">
        <w:t xml:space="preserve">a collection of manuscripts now lost to us, </w:t>
      </w:r>
      <w:r w:rsidR="009546CE">
        <w:t>and equally it may be that the ‘ancient book’ and his British ‘manuscript’ of prophecies may be sym</w:t>
      </w:r>
      <w:r w:rsidR="002E0B0F">
        <w:t>bolic title</w:t>
      </w:r>
      <w:r w:rsidR="009546CE">
        <w:t>s</w:t>
      </w:r>
      <w:r w:rsidR="002E0B0F">
        <w:t xml:space="preserve"> </w:t>
      </w:r>
      <w:r w:rsidR="009546CE">
        <w:t xml:space="preserve">he </w:t>
      </w:r>
      <w:r w:rsidR="008845B2">
        <w:t xml:space="preserve">has </w:t>
      </w:r>
      <w:r w:rsidR="002E0B0F">
        <w:t xml:space="preserve">given to a body of interrelated oral lore, </w:t>
      </w:r>
      <w:r w:rsidR="009546CE">
        <w:t xml:space="preserve">perhaps passed to him in conversation with his friend Walter of Oxford, </w:t>
      </w:r>
      <w:r w:rsidR="002E0B0F">
        <w:t xml:space="preserve">which Geoffrey felt he needed to legitimise by suggesting </w:t>
      </w:r>
      <w:r w:rsidR="009546CE">
        <w:t>they</w:t>
      </w:r>
      <w:r w:rsidR="002E0B0F">
        <w:t xml:space="preserve"> had </w:t>
      </w:r>
      <w:r w:rsidR="009546CE">
        <w:t xml:space="preserve">already </w:t>
      </w:r>
      <w:r w:rsidR="002E0B0F">
        <w:t xml:space="preserve">been </w:t>
      </w:r>
      <w:r w:rsidR="009546CE">
        <w:t>recorded before he worked on them</w:t>
      </w:r>
      <w:r w:rsidR="002E0B0F">
        <w:t xml:space="preserve">.  </w:t>
      </w:r>
      <w:r w:rsidRPr="006C620D">
        <w:t xml:space="preserve">  </w:t>
      </w:r>
      <w:r>
        <w:t xml:space="preserve">   </w:t>
      </w:r>
    </w:p>
    <w:p w14:paraId="60583A95" w14:textId="7801C4E8" w:rsidR="00385365" w:rsidRDefault="0045668B" w:rsidP="00B355B3">
      <w:pPr>
        <w:spacing w:line="480" w:lineRule="auto"/>
      </w:pPr>
      <w:r>
        <w:t>So,</w:t>
      </w:r>
      <w:r w:rsidR="00812209">
        <w:t xml:space="preserve"> it can be seen that Geoffrey drew on various earlier materials when compiling his </w:t>
      </w:r>
      <w:r w:rsidR="00812209" w:rsidRPr="00812209">
        <w:rPr>
          <w:i/>
        </w:rPr>
        <w:t>Historia</w:t>
      </w:r>
      <w:r w:rsidR="00812209">
        <w:t xml:space="preserve">, but the finished work was very different to those that had gone before it. One of the reasons for this was its vast scope and narrative arc, from the founding of Britain to the aftermath of Arthurs defeat and the coming of Saxon rule. </w:t>
      </w:r>
      <w:r w:rsidR="006E0562">
        <w:t xml:space="preserve">No ‘history’ prior to this brought so many threads together as one coherent piece, yet </w:t>
      </w:r>
      <w:r w:rsidR="00385365">
        <w:t xml:space="preserve">to achieve this took more than a little re-arranging and </w:t>
      </w:r>
      <w:r w:rsidR="00CC4550">
        <w:t xml:space="preserve">embellishments some of which were to be expected in his era, yet on top of this, </w:t>
      </w:r>
      <w:r w:rsidR="006E0562">
        <w:t>his aims were very different than that of a historian today,</w:t>
      </w:r>
      <w:r w:rsidR="00385365">
        <w:t xml:space="preserve"> </w:t>
      </w:r>
      <w:r w:rsidR="006E0562">
        <w:t>as Echar</w:t>
      </w:r>
      <w:r w:rsidR="007F2C2B">
        <w:t>d</w:t>
      </w:r>
      <w:r w:rsidR="006E0562">
        <w:t xml:space="preserve"> discusses. </w:t>
      </w:r>
    </w:p>
    <w:p w14:paraId="36A31A21" w14:textId="18812728" w:rsidR="00DF1CD5" w:rsidRDefault="006E0562" w:rsidP="00B355B3">
      <w:pPr>
        <w:spacing w:line="480" w:lineRule="auto"/>
        <w:ind w:left="284" w:right="284"/>
      </w:pPr>
      <w:r w:rsidRPr="006E0562">
        <w:t>‘Geoffrey is certainly playing with history, but not simply, or even mainly, by inventing</w:t>
      </w:r>
      <w:r w:rsidR="00385365">
        <w:t xml:space="preserve"> </w:t>
      </w:r>
      <w:r w:rsidRPr="006E0562">
        <w:t xml:space="preserve">material and enlivening it with ‘literary’ conventions. </w:t>
      </w:r>
      <w:r w:rsidR="0045668B" w:rsidRPr="006E0562">
        <w:t>Indeed,</w:t>
      </w:r>
      <w:r w:rsidRPr="006E0562">
        <w:t xml:space="preserve"> most of Geoffrey’s literary moments…are easily understood as the rhetorical embellishments expected of and routinely practiced by Latin writers in many genres. It is when Geoffrey removes this mask that he separates himself from traditional historians. His manipulations of traditional historical writing has as its target the central assumption of medieval historiography itself; that is, that history is the unfolding of a providential plan for mankind, who</w:t>
      </w:r>
      <w:r w:rsidR="008845B2">
        <w:t>se</w:t>
      </w:r>
      <w:r w:rsidRPr="006E0562">
        <w:t xml:space="preserve"> benefit can be recognised by those with the right clues. ‘</w:t>
      </w:r>
      <w:r>
        <w:t xml:space="preserve"> </w:t>
      </w:r>
      <w:r w:rsidR="00385365">
        <w:rPr>
          <w:rStyle w:val="FootnoteReference"/>
        </w:rPr>
        <w:footnoteReference w:id="36"/>
      </w:r>
      <w:r>
        <w:t xml:space="preserve">     </w:t>
      </w:r>
      <w:r w:rsidR="00812209">
        <w:t xml:space="preserve"> </w:t>
      </w:r>
    </w:p>
    <w:p w14:paraId="457F4B29" w14:textId="76EBFE2D" w:rsidR="005314B2" w:rsidRDefault="00865AF4" w:rsidP="00B355B3">
      <w:pPr>
        <w:spacing w:line="480" w:lineRule="auto"/>
      </w:pPr>
      <w:r>
        <w:lastRenderedPageBreak/>
        <w:t xml:space="preserve">Geoffrey is telling a </w:t>
      </w:r>
      <w:r w:rsidRPr="005314B2">
        <w:rPr>
          <w:i/>
        </w:rPr>
        <w:t>story</w:t>
      </w:r>
      <w:r>
        <w:t xml:space="preserve"> of the history of Britain, to promote an underlying narrative </w:t>
      </w:r>
      <w:r w:rsidR="005314B2">
        <w:t>of universal order and progression under Gods divine plan, namely that the Britons were of noble stock, but had their time, as rulers of the Island, and that the handing over of that power was also divinely ordained in due course.</w:t>
      </w:r>
      <w:r w:rsidR="007F2C2B">
        <w:t xml:space="preserve"> </w:t>
      </w:r>
      <w:r w:rsidR="005314B2">
        <w:t xml:space="preserve"> </w:t>
      </w:r>
    </w:p>
    <w:p w14:paraId="6BF86AE2" w14:textId="32320F3C" w:rsidR="007D665C" w:rsidRDefault="003E1D06" w:rsidP="00B355B3">
      <w:pPr>
        <w:spacing w:line="480" w:lineRule="auto"/>
      </w:pPr>
      <w:r>
        <w:t xml:space="preserve">To look at this in more detail </w:t>
      </w:r>
      <w:r w:rsidR="00623FB9">
        <w:t xml:space="preserve">we need to unpick the differences between our modern ideas about history, and how these things were perceived in Geoffrey’s time. </w:t>
      </w:r>
      <w:r w:rsidR="007D665C">
        <w:t xml:space="preserve">As Echard reminds us the </w:t>
      </w:r>
    </w:p>
    <w:p w14:paraId="30F63261" w14:textId="5FC2DBC7" w:rsidR="007D665C" w:rsidRDefault="007D665C" w:rsidP="00B355B3">
      <w:pPr>
        <w:spacing w:line="480" w:lineRule="auto"/>
        <w:ind w:left="284" w:right="284"/>
      </w:pPr>
      <w:r w:rsidRPr="007D665C">
        <w:t xml:space="preserve">‘implied separation between history and </w:t>
      </w:r>
      <w:r w:rsidR="00865AF4">
        <w:t>fiction</w:t>
      </w:r>
      <w:r w:rsidRPr="007D665C">
        <w:t xml:space="preserve"> is in part a modern one. While it was recognised in the Middle Ages that the process of narrating history involved the imposing of ‘the formal organisation of stories’ no contradiction between this literary process and the achieving of historical truth was perceived because history was understood as a branch of eloquence.’</w:t>
      </w:r>
      <w:r>
        <w:rPr>
          <w:rStyle w:val="FootnoteReference"/>
        </w:rPr>
        <w:footnoteReference w:id="37"/>
      </w:r>
      <w:r w:rsidR="00623FB9">
        <w:t xml:space="preserve"> </w:t>
      </w:r>
    </w:p>
    <w:p w14:paraId="688FD3C4" w14:textId="191171C0" w:rsidR="00516203" w:rsidRDefault="002159EB" w:rsidP="00B355B3">
      <w:pPr>
        <w:spacing w:line="480" w:lineRule="auto"/>
      </w:pPr>
      <w:r>
        <w:t>G</w:t>
      </w:r>
      <w:r w:rsidR="00623FB9">
        <w:t xml:space="preserve">eoffrey’s </w:t>
      </w:r>
      <w:r w:rsidR="00623FB9" w:rsidRPr="00623FB9">
        <w:rPr>
          <w:i/>
        </w:rPr>
        <w:t>Historia</w:t>
      </w:r>
      <w:r w:rsidR="00623FB9">
        <w:t xml:space="preserve"> </w:t>
      </w:r>
      <w:r>
        <w:t xml:space="preserve">suggests that Britain was founded by </w:t>
      </w:r>
      <w:r w:rsidR="00623FB9">
        <w:t>Brutus,</w:t>
      </w:r>
      <w:r>
        <w:t xml:space="preserve"> son of </w:t>
      </w:r>
      <w:proofErr w:type="spellStart"/>
      <w:r>
        <w:t>Aenas</w:t>
      </w:r>
      <w:proofErr w:type="spellEnd"/>
      <w:r>
        <w:t xml:space="preserve"> of Troy. This is </w:t>
      </w:r>
      <w:r w:rsidR="00623FB9">
        <w:t xml:space="preserve">borrowed from </w:t>
      </w:r>
      <w:r w:rsidR="00623FB9" w:rsidRPr="00623FB9">
        <w:rPr>
          <w:i/>
        </w:rPr>
        <w:t>Historia Brittonum</w:t>
      </w:r>
      <w:r w:rsidR="00623FB9">
        <w:t xml:space="preserve"> </w:t>
      </w:r>
      <w:r w:rsidR="005C797C">
        <w:t>(829-30 C.E) ‘Britons are those who sprang from the family of Brutus.’</w:t>
      </w:r>
      <w:r w:rsidR="005C797C">
        <w:rPr>
          <w:rStyle w:val="FootnoteReference"/>
        </w:rPr>
        <w:footnoteReference w:id="38"/>
      </w:r>
      <w:r w:rsidR="005C797C">
        <w:t xml:space="preserve"> </w:t>
      </w:r>
      <w:r w:rsidR="00D42CFD">
        <w:t>Yet neither this, nor the works of Gildas, which Geoffrey also borrowed, have ever received the same criticism</w:t>
      </w:r>
      <w:r w:rsidR="003E1D06">
        <w:t xml:space="preserve"> as Geoffrey’s work</w:t>
      </w:r>
      <w:r w:rsidR="00D42CFD">
        <w:t xml:space="preserve">. It is, and was, understood that these ‘histories’ were not literal factual accounts of the past, </w:t>
      </w:r>
      <w:r w:rsidR="00842D62">
        <w:t xml:space="preserve">instead the focus and intent was the preserving and transmission of the </w:t>
      </w:r>
      <w:r w:rsidR="00842D62" w:rsidRPr="00842D62">
        <w:rPr>
          <w:i/>
        </w:rPr>
        <w:t>story</w:t>
      </w:r>
      <w:r w:rsidR="00842D62">
        <w:t xml:space="preserve">, of Britain’s origins. Geoffrey however </w:t>
      </w:r>
      <w:r w:rsidR="0010115C">
        <w:t>takes this further</w:t>
      </w:r>
      <w:r w:rsidR="00842D62">
        <w:t xml:space="preserve">, as he is the first to </w:t>
      </w:r>
      <w:r w:rsidR="001D44F1">
        <w:t xml:space="preserve">draw elements from previous material and create a new whole, moving features within these source materials around according to his own design. </w:t>
      </w:r>
      <w:r w:rsidR="00D42CFD">
        <w:t xml:space="preserve"> </w:t>
      </w:r>
      <w:r w:rsidR="001D44F1">
        <w:t xml:space="preserve">As Tatlock points out, </w:t>
      </w:r>
      <w:r w:rsidR="005314B2">
        <w:t xml:space="preserve">and as already discussed, </w:t>
      </w:r>
      <w:r w:rsidR="001D44F1">
        <w:t xml:space="preserve">the </w:t>
      </w:r>
      <w:r w:rsidR="001D44F1" w:rsidRPr="0010115C">
        <w:rPr>
          <w:i/>
        </w:rPr>
        <w:t>Historia</w:t>
      </w:r>
      <w:r w:rsidR="001D44F1">
        <w:t xml:space="preserve"> takes these older pieces to </w:t>
      </w:r>
      <w:r w:rsidR="005314B2">
        <w:t xml:space="preserve">form </w:t>
      </w:r>
      <w:r w:rsidR="001D44F1" w:rsidRPr="001D44F1">
        <w:t>a coherent</w:t>
      </w:r>
      <w:r w:rsidR="001D44F1">
        <w:t xml:space="preserve"> timeline, </w:t>
      </w:r>
      <w:r w:rsidR="001D44F1" w:rsidRPr="001D44F1">
        <w:t>‘history as a series of narratives’</w:t>
      </w:r>
      <w:r w:rsidR="001D44F1">
        <w:rPr>
          <w:rStyle w:val="FootnoteReference"/>
        </w:rPr>
        <w:footnoteReference w:id="39"/>
      </w:r>
      <w:r w:rsidR="001D44F1">
        <w:t xml:space="preserve">in a way that was not done before, but was </w:t>
      </w:r>
      <w:r w:rsidR="003E1D06">
        <w:t>happening increasingly by</w:t>
      </w:r>
      <w:r w:rsidR="001D44F1">
        <w:t xml:space="preserve"> the Middle Ages. The priority was creating this coherent narrative, with its ensuing message of continuity, heritage and lineage, </w:t>
      </w:r>
      <w:r w:rsidR="00323149" w:rsidRPr="00323149">
        <w:t xml:space="preserve">‘the </w:t>
      </w:r>
      <w:r w:rsidR="00323149" w:rsidRPr="00323149">
        <w:lastRenderedPageBreak/>
        <w:t xml:space="preserve">past could be used to interpret the present. </w:t>
      </w:r>
      <w:r w:rsidR="0045668B" w:rsidRPr="00323149">
        <w:t>Therefore,</w:t>
      </w:r>
      <w:r w:rsidR="00323149" w:rsidRPr="00323149">
        <w:t xml:space="preserve"> Geoffrey is preoccupied with explaining the origins of things …as a means of representing present circumstances as th</w:t>
      </w:r>
      <w:r w:rsidR="00323149">
        <w:t>e</w:t>
      </w:r>
      <w:r w:rsidR="00323149" w:rsidRPr="00323149">
        <w:t xml:space="preserve"> inevitable, and therefore natural outcome…’</w:t>
      </w:r>
      <w:r w:rsidR="00323149">
        <w:rPr>
          <w:rStyle w:val="FootnoteReference"/>
        </w:rPr>
        <w:footnoteReference w:id="40"/>
      </w:r>
      <w:r w:rsidR="001D44F1">
        <w:t xml:space="preserve">rather than a faithful reproduction of older materials, or verifiable facts. </w:t>
      </w:r>
      <w:r w:rsidR="001D44F1" w:rsidRPr="001D44F1">
        <w:t>‘This is the structure of Geoffrey’s Historia and of the histories of other twelfth century writers such as William of Malmsbury and Gerald of Wales ‘</w:t>
      </w:r>
      <w:r w:rsidR="001D44F1">
        <w:rPr>
          <w:rStyle w:val="FootnoteReference"/>
        </w:rPr>
        <w:footnoteReference w:id="41"/>
      </w:r>
      <w:r w:rsidR="0010115C">
        <w:t xml:space="preserve"> </w:t>
      </w:r>
      <w:r w:rsidR="00C03C4E">
        <w:t>What we have is a new weave of older materials to make something different</w:t>
      </w:r>
      <w:r w:rsidR="00500391">
        <w:t>, thus both preserving these older texts and being highly innovative with them at the same time</w:t>
      </w:r>
      <w:r w:rsidR="00C03C4E">
        <w:t xml:space="preserve">. In translating these materials (real or invented) into Latin, Geoffrey is changing both their nature and their audience, and creating a new whole more to do with entertainment and satisfying </w:t>
      </w:r>
      <w:r w:rsidR="005314B2">
        <w:t xml:space="preserve">and </w:t>
      </w:r>
      <w:r w:rsidR="00500391">
        <w:t xml:space="preserve">politically </w:t>
      </w:r>
      <w:r w:rsidR="005314B2">
        <w:t xml:space="preserve">validating </w:t>
      </w:r>
      <w:r w:rsidR="00C03C4E">
        <w:t>narrative</w:t>
      </w:r>
      <w:r w:rsidR="005314B2">
        <w:t xml:space="preserve"> for a new non-Celtic speaking Norman society, </w:t>
      </w:r>
      <w:r w:rsidR="004E0F90">
        <w:t>as part of the newly emerging genre of medieval romance</w:t>
      </w:r>
      <w:r w:rsidR="005314B2">
        <w:t xml:space="preserve">. This </w:t>
      </w:r>
      <w:r w:rsidR="00C03C4E">
        <w:t>c</w:t>
      </w:r>
      <w:r w:rsidR="00500391">
        <w:t xml:space="preserve">ould </w:t>
      </w:r>
      <w:r w:rsidR="00C03C4E">
        <w:t xml:space="preserve">none the less lay claim </w:t>
      </w:r>
      <w:r w:rsidR="00500391">
        <w:t xml:space="preserve">at the time </w:t>
      </w:r>
      <w:r w:rsidR="00C03C4E">
        <w:t>to the authority of history and the legitimacy of an authentic historically based production by the claim that he has translated the material from an ‘ancient book’.</w:t>
      </w:r>
      <w:r w:rsidR="005314B2">
        <w:t xml:space="preserve"> As already asserted, t</w:t>
      </w:r>
      <w:r w:rsidR="00C03C4E">
        <w:t>his</w:t>
      </w:r>
      <w:r w:rsidR="00C03C4E" w:rsidRPr="00C03C4E">
        <w:t xml:space="preserve"> ‘ancient book is first of all, a legitimising device, a way of giving the Historia authority as history.’ </w:t>
      </w:r>
      <w:r w:rsidR="00C03C4E">
        <w:rPr>
          <w:rStyle w:val="FootnoteReference"/>
        </w:rPr>
        <w:footnoteReference w:id="42"/>
      </w:r>
      <w:r w:rsidR="00C03C4E" w:rsidRPr="00C03C4E">
        <w:t xml:space="preserve"> </w:t>
      </w:r>
    </w:p>
    <w:p w14:paraId="5C1AAEAD" w14:textId="77777777" w:rsidR="00B355B3" w:rsidRDefault="00C9202F" w:rsidP="00B355B3">
      <w:pPr>
        <w:spacing w:line="480" w:lineRule="auto"/>
      </w:pPr>
      <w:r>
        <w:t>Geoffrey it seems is walking a fine and difficult path between various priorities in his text- he lays claims to historical legitimacy, whilst at the same time, creating a coherent and broad reaching tale out of materials which simply do not stretch so far, so he is forced to embellish</w:t>
      </w:r>
      <w:r w:rsidR="008F7A95">
        <w:t>-</w:t>
      </w:r>
      <w:r>
        <w:t xml:space="preserve"> perhaps </w:t>
      </w:r>
      <w:r w:rsidR="00B068FC">
        <w:t xml:space="preserve">sometimes </w:t>
      </w:r>
      <w:r>
        <w:t>fr</w:t>
      </w:r>
      <w:r w:rsidR="008F7A95">
        <w:t>o</w:t>
      </w:r>
      <w:r>
        <w:t xml:space="preserve">m oral sources </w:t>
      </w:r>
      <w:r w:rsidR="0050206C">
        <w:t xml:space="preserve">that were </w:t>
      </w:r>
      <w:r>
        <w:t xml:space="preserve">lost, its impossible to say, </w:t>
      </w:r>
      <w:r w:rsidR="0050206C">
        <w:t>and</w:t>
      </w:r>
      <w:r w:rsidR="008F7A95">
        <w:t xml:space="preserve"> </w:t>
      </w:r>
      <w:r w:rsidR="00B068FC">
        <w:t xml:space="preserve">at other times </w:t>
      </w:r>
      <w:r>
        <w:t>invent his own</w:t>
      </w:r>
      <w:r w:rsidR="0050206C">
        <w:t>,</w:t>
      </w:r>
      <w:r>
        <w:t xml:space="preserve"> in keeping with the style of his narrative. </w:t>
      </w:r>
      <w:r w:rsidR="004E0F90">
        <w:t>As</w:t>
      </w:r>
      <w:r w:rsidR="004E0F90" w:rsidRPr="004E0F90">
        <w:t xml:space="preserve"> Gabrielle Spiegel</w:t>
      </w:r>
      <w:r w:rsidR="004E0F90">
        <w:t xml:space="preserve"> points out in her discourse on Arthurian romance tales, </w:t>
      </w:r>
      <w:r w:rsidR="00B355B3">
        <w:t xml:space="preserve"> </w:t>
      </w:r>
    </w:p>
    <w:p w14:paraId="2A5D94F8" w14:textId="549B1252" w:rsidR="0010115C" w:rsidRDefault="004E0F90" w:rsidP="00B355B3">
      <w:pPr>
        <w:spacing w:line="480" w:lineRule="auto"/>
      </w:pPr>
      <w:r w:rsidRPr="004E0F90">
        <w:lastRenderedPageBreak/>
        <w:t>‘No longer at the service of historical or religious truth, Arthurian romance inscribes itself as a literary game in which the playful artifice of the writer produces in the reader that pleasure in the text which is at the same time the sign of its literary autonomy.’</w:t>
      </w:r>
      <w:r>
        <w:rPr>
          <w:rStyle w:val="FootnoteReference"/>
        </w:rPr>
        <w:footnoteReference w:id="43"/>
      </w:r>
    </w:p>
    <w:p w14:paraId="1EF25A68" w14:textId="2C2B29CB" w:rsidR="0050206C" w:rsidRDefault="008F7A95" w:rsidP="00B355B3">
      <w:pPr>
        <w:spacing w:line="480" w:lineRule="auto"/>
      </w:pPr>
      <w:r>
        <w:t xml:space="preserve">Its aim is foremost to be an enjoyable read, with some basis in fact, or at least some fictional claim to imagined fact, as a secondary aspect to its appeal. </w:t>
      </w:r>
      <w:r w:rsidR="0050206C">
        <w:t>In this way it can be seen that Geoffrey is using the materials to suit his own ends, in an emerging literary form. To th</w:t>
      </w:r>
      <w:r w:rsidR="00AB0021">
        <w:t>i</w:t>
      </w:r>
      <w:r w:rsidR="0050206C">
        <w:t xml:space="preserve">s </w:t>
      </w:r>
      <w:r>
        <w:t>purpose</w:t>
      </w:r>
      <w:r w:rsidR="0050206C">
        <w:t xml:space="preserve">, he is able to reach out to </w:t>
      </w:r>
      <w:r>
        <w:t xml:space="preserve">and give credibility to </w:t>
      </w:r>
      <w:r w:rsidR="0050206C">
        <w:t>the native Welsh audience, ‘who would have recognised some of their own tradition emerging from Geoffrey’s stories, albeit in modified form, and would perhaps appreciate finding those names and stories circulating among an international readership.’</w:t>
      </w:r>
      <w:r w:rsidR="0050206C">
        <w:rPr>
          <w:rStyle w:val="FootnoteReference"/>
        </w:rPr>
        <w:footnoteReference w:id="44"/>
      </w:r>
      <w:r w:rsidR="0050206C">
        <w:t xml:space="preserve"> Likewise, he is able to reach out to that wider international audience, claim literary status for </w:t>
      </w:r>
      <w:r>
        <w:t xml:space="preserve">both </w:t>
      </w:r>
      <w:r w:rsidR="0050206C">
        <w:t>his work and the older sources, and at the same time forge a link between these two cultures</w:t>
      </w:r>
      <w:r w:rsidR="00CD25D3">
        <w:t>, at a time when the new Norman rulers sought legitimacy over Britain in various forms.</w:t>
      </w:r>
      <w:r w:rsidR="0050206C">
        <w:t xml:space="preserve"> </w:t>
      </w:r>
    </w:p>
    <w:p w14:paraId="2737949C" w14:textId="45B760DC" w:rsidR="003E1D06" w:rsidRDefault="00CD25D3" w:rsidP="00B355B3">
      <w:pPr>
        <w:spacing w:line="480" w:lineRule="auto"/>
      </w:pPr>
      <w:r>
        <w:t>T</w:t>
      </w:r>
      <w:r w:rsidR="003E1D06">
        <w:t xml:space="preserve">he aftermath of the Norman invasion </w:t>
      </w:r>
      <w:r>
        <w:t xml:space="preserve">created the need </w:t>
      </w:r>
      <w:r w:rsidR="008F7A95">
        <w:t xml:space="preserve">to </w:t>
      </w:r>
      <w:r w:rsidR="008F7A95" w:rsidRPr="008F7A95">
        <w:t xml:space="preserve">appease and validate the new regime </w:t>
      </w:r>
      <w:r>
        <w:t>for those who wished to advance their careers</w:t>
      </w:r>
      <w:r w:rsidR="008F7A95">
        <w:t xml:space="preserve">, </w:t>
      </w:r>
      <w:r w:rsidR="003E1D06">
        <w:t xml:space="preserve">establishing the Norman rulers as the natural recipients of the throne.  </w:t>
      </w:r>
      <w:r w:rsidR="00C05F0D">
        <w:t xml:space="preserve">As </w:t>
      </w:r>
      <w:r w:rsidR="00B068FC">
        <w:t>C</w:t>
      </w:r>
      <w:r w:rsidR="00C05F0D">
        <w:t>rick points out s</w:t>
      </w:r>
      <w:r w:rsidR="003E1D06">
        <w:t xml:space="preserve">ome of the early criticism directed at Geoffrey </w:t>
      </w:r>
      <w:r w:rsidR="007D665C">
        <w:t>after his death found its roots in this shifting political landscape, where much of the</w:t>
      </w:r>
      <w:r w:rsidR="00B068FC">
        <w:t xml:space="preserve"> pseudo-</w:t>
      </w:r>
      <w:r w:rsidR="007D665C">
        <w:t xml:space="preserve"> historical narrat</w:t>
      </w:r>
      <w:r w:rsidR="0050206C">
        <w:t>i</w:t>
      </w:r>
      <w:r w:rsidR="004E0F90">
        <w:t>v</w:t>
      </w:r>
      <w:r w:rsidR="007D665C">
        <w:t>e that Geoffrey preserved was still of value, but his use of prophecy, in predicting the return of Arthur was undesirable in its pro-Briton sentiment,</w:t>
      </w:r>
      <w:r w:rsidR="007D665C">
        <w:rPr>
          <w:rStyle w:val="FootnoteReference"/>
        </w:rPr>
        <w:footnoteReference w:id="45"/>
      </w:r>
      <w:r w:rsidR="007D665C">
        <w:t xml:space="preserve"> even though much of his work could be seen to support the new succession, especially in his dedications of the book to prominent Norman lords.    </w:t>
      </w:r>
      <w:r w:rsidR="003E1D06">
        <w:t xml:space="preserve"> </w:t>
      </w:r>
    </w:p>
    <w:p w14:paraId="00875358" w14:textId="2C514436" w:rsidR="00516203" w:rsidRDefault="00516203" w:rsidP="00B355B3">
      <w:pPr>
        <w:spacing w:line="480" w:lineRule="auto"/>
      </w:pPr>
      <w:r>
        <w:t xml:space="preserve">Yet despite these dedications and cultural constrictions, debates still occur on how much Geoffrey was seeking the approval of the Norman aristocracy and how much he was promoting the original </w:t>
      </w:r>
      <w:r w:rsidR="008F7A95">
        <w:t>W</w:t>
      </w:r>
      <w:r>
        <w:t xml:space="preserve">elsh tales and making a statement on the </w:t>
      </w:r>
      <w:r w:rsidR="008F7A95">
        <w:t xml:space="preserve">cultural </w:t>
      </w:r>
      <w:r>
        <w:t>value of the Britons. As Gillingham notes,</w:t>
      </w:r>
    </w:p>
    <w:p w14:paraId="3E4F1710" w14:textId="640A3D75" w:rsidR="00F10EC7" w:rsidRDefault="00516203" w:rsidP="00B355B3">
      <w:pPr>
        <w:spacing w:line="480" w:lineRule="auto"/>
        <w:ind w:left="284" w:right="284"/>
      </w:pPr>
      <w:r>
        <w:lastRenderedPageBreak/>
        <w:t xml:space="preserve"> ‘</w:t>
      </w:r>
      <w:r w:rsidRPr="00516203">
        <w:t>In trying to sum it up in a few words I do not think I can do better than paraphrase another Geoffrey, Geoffrey Barrow: Geoffrey was a Welshman whose object was to secure cultural respectability for his own nation.’</w:t>
      </w:r>
      <w:r>
        <w:rPr>
          <w:rStyle w:val="FootnoteReference"/>
        </w:rPr>
        <w:footnoteReference w:id="46"/>
      </w:r>
    </w:p>
    <w:p w14:paraId="0D138645" w14:textId="74208C1B" w:rsidR="0086265B" w:rsidRDefault="008F7A95" w:rsidP="00B355B3">
      <w:pPr>
        <w:spacing w:line="480" w:lineRule="auto"/>
      </w:pPr>
      <w:r>
        <w:t>This view certainly has validity y</w:t>
      </w:r>
      <w:r w:rsidR="0086265B">
        <w:t>e</w:t>
      </w:r>
      <w:r>
        <w:t>t</w:t>
      </w:r>
      <w:r w:rsidR="0086265B">
        <w:t xml:space="preserve"> is </w:t>
      </w:r>
      <w:r>
        <w:t xml:space="preserve">still </w:t>
      </w:r>
      <w:r w:rsidR="0086265B">
        <w:t xml:space="preserve">disputed and some read the </w:t>
      </w:r>
      <w:r w:rsidR="0086265B" w:rsidRPr="0086265B">
        <w:rPr>
          <w:i/>
        </w:rPr>
        <w:t>Historia</w:t>
      </w:r>
      <w:r w:rsidR="0086265B">
        <w:t xml:space="preserve"> differently, as having </w:t>
      </w:r>
      <w:r>
        <w:t xml:space="preserve">anti-Welsh and </w:t>
      </w:r>
      <w:r w:rsidR="0086265B">
        <w:t>pro-Breton sympathies</w:t>
      </w:r>
      <w:r>
        <w:t xml:space="preserve">. The Bretons do </w:t>
      </w:r>
      <w:r w:rsidR="0086265B">
        <w:t xml:space="preserve">appear to be better off by the end of the </w:t>
      </w:r>
      <w:r w:rsidR="0086265B" w:rsidRPr="0086265B">
        <w:rPr>
          <w:i/>
        </w:rPr>
        <w:t>Historia</w:t>
      </w:r>
      <w:r w:rsidR="0086265B">
        <w:t xml:space="preserve">, and as Tatlock puts </w:t>
      </w:r>
      <w:r w:rsidR="003C28B0">
        <w:t xml:space="preserve">it Geoffrey could be seen here as </w:t>
      </w:r>
      <w:r w:rsidR="0086265B">
        <w:t xml:space="preserve">having </w:t>
      </w:r>
      <w:r w:rsidR="0086265B" w:rsidRPr="0086265B">
        <w:t xml:space="preserve">‘contempt for the </w:t>
      </w:r>
      <w:r w:rsidR="0086265B">
        <w:t>W</w:t>
      </w:r>
      <w:r w:rsidR="0086265B" w:rsidRPr="0086265B">
        <w:t>elsh’</w:t>
      </w:r>
      <w:r w:rsidR="0086265B">
        <w:rPr>
          <w:rStyle w:val="FootnoteReference"/>
        </w:rPr>
        <w:footnoteReference w:id="47"/>
      </w:r>
      <w:r w:rsidR="0086265B">
        <w:t xml:space="preserve"> in that they are defeated and accept their weakness by the time of Cadwallader. </w:t>
      </w:r>
      <w:r w:rsidR="003C28B0">
        <w:t xml:space="preserve">Either way </w:t>
      </w:r>
      <w:r w:rsidR="00516203">
        <w:t xml:space="preserve">in providing a Latin translation of the materials in his ‘ancient book’ he is promoting the gravitas of this earlier literary tradition and the richness of </w:t>
      </w:r>
      <w:r w:rsidR="009A54A6">
        <w:t>W</w:t>
      </w:r>
      <w:r w:rsidR="00516203">
        <w:t>elsh culture</w:t>
      </w:r>
      <w:r w:rsidR="009A54A6">
        <w:t xml:space="preserve">, and even if he is using this to increase the validity of Norman rule, it is implied that to have this validity they must find their position in relation to these earlier materials, and </w:t>
      </w:r>
      <w:r w:rsidR="003C28B0">
        <w:t xml:space="preserve">this earlier culture. </w:t>
      </w:r>
      <w:r w:rsidR="00B068FC">
        <w:t xml:space="preserve">The Normans are here having defeated the Saxons- enemies of the Briton. </w:t>
      </w:r>
      <w:r w:rsidR="003C28B0">
        <w:t xml:space="preserve">In </w:t>
      </w:r>
      <w:r w:rsidR="003738ED">
        <w:t>addition,</w:t>
      </w:r>
      <w:r w:rsidR="003C28B0">
        <w:t xml:space="preserve"> they must also b</w:t>
      </w:r>
      <w:r w:rsidR="009A54A6">
        <w:t xml:space="preserve">e considered as the rightful rulers in the eyes of God, as </w:t>
      </w:r>
      <w:r w:rsidR="003C28B0">
        <w:t xml:space="preserve">seen </w:t>
      </w:r>
      <w:r w:rsidR="009A54A6">
        <w:t xml:space="preserve">in the angel’s prophecy to Cadwallader. ‘For God was not willing any longer for the Britons to reign any longer in the island, before the time came of which Merlin </w:t>
      </w:r>
      <w:r w:rsidR="0086265B">
        <w:t>prophetically</w:t>
      </w:r>
      <w:r w:rsidR="009A54A6">
        <w:t xml:space="preserve"> told Arthur.’</w:t>
      </w:r>
      <w:r w:rsidR="0086265B">
        <w:rPr>
          <w:rStyle w:val="FootnoteReference"/>
        </w:rPr>
        <w:footnoteReference w:id="48"/>
      </w:r>
      <w:r w:rsidR="009A54A6">
        <w:t xml:space="preserve"> </w:t>
      </w:r>
      <w:r w:rsidR="0086265B">
        <w:t>In this way perhaps the pride of the Britons is also upheld</w:t>
      </w:r>
      <w:r w:rsidR="00B068FC">
        <w:t>, they lost as God wished it, but now the Normans have come and beaten their victors</w:t>
      </w:r>
      <w:r w:rsidR="0086265B">
        <w:t xml:space="preserve">.   </w:t>
      </w:r>
    </w:p>
    <w:p w14:paraId="1CB17CB8" w14:textId="56962DC2" w:rsidR="00767670" w:rsidRDefault="0086265B" w:rsidP="00B355B3">
      <w:pPr>
        <w:spacing w:line="480" w:lineRule="auto"/>
      </w:pPr>
      <w:r>
        <w:t>Geoffrey’s treatment of early material is difficult</w:t>
      </w:r>
      <w:r w:rsidR="003C496D">
        <w:t>;</w:t>
      </w:r>
      <w:r>
        <w:t xml:space="preserve"> even when he mentions a source, he is not always correct in its citation, and at other times sources are clea</w:t>
      </w:r>
      <w:r w:rsidR="003C496D">
        <w:t>r</w:t>
      </w:r>
      <w:r>
        <w:t xml:space="preserve">ly visible yet not </w:t>
      </w:r>
      <w:r w:rsidR="003C496D">
        <w:t xml:space="preserve">noted. </w:t>
      </w:r>
      <w:r w:rsidRPr="0086265B">
        <w:t>‘Geoffrey, for example, cited Gildas to lend weight to statements not derived from Gildas at all, and then when it suited him, used Gildas’s work without acknowledgement.’</w:t>
      </w:r>
      <w:r w:rsidR="003C496D">
        <w:rPr>
          <w:rStyle w:val="FootnoteReference"/>
        </w:rPr>
        <w:footnoteReference w:id="49"/>
      </w:r>
      <w:r w:rsidR="003C496D">
        <w:t xml:space="preserve"> Yet despite this as Thorpe mentions in  his introduction, </w:t>
      </w:r>
      <w:r w:rsidR="003C496D" w:rsidRPr="003C496D">
        <w:t>‘</w:t>
      </w:r>
      <w:r w:rsidR="003C496D">
        <w:t>G</w:t>
      </w:r>
      <w:r w:rsidR="003C496D" w:rsidRPr="003C496D">
        <w:t>eoffrey was bent on turning chronic</w:t>
      </w:r>
      <w:r w:rsidR="00B068FC">
        <w:t>a</w:t>
      </w:r>
      <w:r w:rsidR="003C496D" w:rsidRPr="003C496D">
        <w:t>l history into literature</w:t>
      </w:r>
      <w:r w:rsidR="003C496D">
        <w:t>,</w:t>
      </w:r>
      <w:r w:rsidR="003C496D" w:rsidRPr="003C496D">
        <w:t xml:space="preserve">’ </w:t>
      </w:r>
      <w:r w:rsidR="003C496D">
        <w:t xml:space="preserve">and </w:t>
      </w:r>
      <w:r w:rsidR="003C496D" w:rsidRPr="003C496D">
        <w:t xml:space="preserve">‘history keeps </w:t>
      </w:r>
      <w:r w:rsidR="003C496D" w:rsidRPr="003C496D">
        <w:lastRenderedPageBreak/>
        <w:t>peeping through the fiction</w:t>
      </w:r>
      <w:r w:rsidR="008C1D27">
        <w:t>.</w:t>
      </w:r>
      <w:r w:rsidR="003C496D" w:rsidRPr="003C496D">
        <w:t>’</w:t>
      </w:r>
      <w:r w:rsidR="003C496D">
        <w:rPr>
          <w:rStyle w:val="FootnoteReference"/>
        </w:rPr>
        <w:footnoteReference w:id="50"/>
      </w:r>
      <w:r w:rsidR="003C496D" w:rsidRPr="003C496D">
        <w:t xml:space="preserve"> </w:t>
      </w:r>
      <w:r w:rsidR="009A2511">
        <w:t xml:space="preserve">It may be that this is a matter of </w:t>
      </w:r>
      <w:r w:rsidR="00680ED0">
        <w:t>G</w:t>
      </w:r>
      <w:r w:rsidR="009A2511">
        <w:t xml:space="preserve">eoffrey writing from memory, </w:t>
      </w:r>
      <w:r w:rsidR="000F3172">
        <w:t>as Dimmock pointed out in the 19</w:t>
      </w:r>
      <w:r w:rsidR="000F3172" w:rsidRPr="000F3172">
        <w:rPr>
          <w:vertAlign w:val="superscript"/>
        </w:rPr>
        <w:t>th</w:t>
      </w:r>
      <w:r w:rsidR="000F3172">
        <w:t xml:space="preserve"> Century.</w:t>
      </w:r>
      <w:r w:rsidR="000F3172">
        <w:rPr>
          <w:rStyle w:val="FootnoteReference"/>
        </w:rPr>
        <w:footnoteReference w:id="51"/>
      </w:r>
      <w:r w:rsidR="000F3172">
        <w:t xml:space="preserve"> C</w:t>
      </w:r>
      <w:r w:rsidR="009A2511">
        <w:t>ertainly historical writing as we understand it today</w:t>
      </w:r>
      <w:r w:rsidR="00680ED0">
        <w:t xml:space="preserve"> is a far cry from his priorities or other writers of his time</w:t>
      </w:r>
      <w:r w:rsidR="00B47D24">
        <w:t>. B</w:t>
      </w:r>
      <w:r w:rsidR="00680ED0">
        <w:t>ut this doesn’t mean that his work is any less sophisticated</w:t>
      </w:r>
      <w:r w:rsidR="00B47D24">
        <w:t>, despite the complexity of the issue.</w:t>
      </w:r>
      <w:r w:rsidR="00680ED0">
        <w:t xml:space="preserve"> As </w:t>
      </w:r>
      <w:bookmarkStart w:id="33" w:name="_Hlk535180062"/>
      <w:r w:rsidR="00680ED0" w:rsidRPr="00680ED0">
        <w:t xml:space="preserve">Donnachadh </w:t>
      </w:r>
      <w:r w:rsidR="00680ED0">
        <w:rPr>
          <w:rFonts w:cstheme="minorHAnsi"/>
        </w:rPr>
        <w:t>Ó</w:t>
      </w:r>
      <w:r w:rsidR="00680ED0" w:rsidRPr="00680ED0">
        <w:t xml:space="preserve"> Corr</w:t>
      </w:r>
      <w:r w:rsidR="00680ED0">
        <w:rPr>
          <w:rFonts w:cstheme="minorHAnsi"/>
        </w:rPr>
        <w:t>ái</w:t>
      </w:r>
      <w:r w:rsidR="00680ED0" w:rsidRPr="00680ED0">
        <w:t xml:space="preserve">n </w:t>
      </w:r>
      <w:bookmarkEnd w:id="33"/>
      <w:r w:rsidR="00680ED0">
        <w:t xml:space="preserve">suggests in his work on the </w:t>
      </w:r>
      <w:r w:rsidR="00767670">
        <w:t xml:space="preserve">Irish medieval texts, we should not underestimate the </w:t>
      </w:r>
      <w:r w:rsidR="00B47D24">
        <w:t xml:space="preserve">medieval </w:t>
      </w:r>
      <w:r w:rsidR="00767670">
        <w:t>writer</w:t>
      </w:r>
      <w:r w:rsidR="00B47D24">
        <w:t>’</w:t>
      </w:r>
      <w:r w:rsidR="00767670">
        <w:t xml:space="preserve">s ability to produce multiple subtle levels of meaning, nor should we underestimate the ability of the medieval reader to understand these multiple layers in context. </w:t>
      </w:r>
    </w:p>
    <w:p w14:paraId="0D535ED8" w14:textId="6D52423C" w:rsidR="008C1D27" w:rsidRDefault="003738ED" w:rsidP="00B355B3">
      <w:pPr>
        <w:spacing w:line="480" w:lineRule="auto"/>
        <w:ind w:left="284" w:right="284"/>
      </w:pPr>
      <w:r w:rsidRPr="00680ED0">
        <w:t>‘</w:t>
      </w:r>
      <w:r>
        <w:t>I</w:t>
      </w:r>
      <w:r w:rsidR="00767670">
        <w:t xml:space="preserve"> do not hold that the scholars who wrote and re-wrote </w:t>
      </w:r>
      <w:r>
        <w:t>these narratives</w:t>
      </w:r>
      <w:r w:rsidR="00767670">
        <w:t xml:space="preserve"> believed them to be literally true…rather these </w:t>
      </w:r>
      <w:r w:rsidR="00680ED0" w:rsidRPr="00680ED0">
        <w:t xml:space="preserve">tales are discourses in symbolic form…within a </w:t>
      </w:r>
      <w:r w:rsidRPr="00680ED0">
        <w:t>well-practiced</w:t>
      </w:r>
      <w:r w:rsidR="00680ED0" w:rsidRPr="00680ED0">
        <w:t xml:space="preserve"> genre</w:t>
      </w:r>
      <w:r w:rsidR="00767670">
        <w:t xml:space="preserve"> familiar to the intended reader or audience. They are narrative devices by which </w:t>
      </w:r>
      <w:r w:rsidR="00680ED0" w:rsidRPr="00680ED0">
        <w:t>abstract ideas are conveyed and may be understood on a number of different levels.’</w:t>
      </w:r>
      <w:r w:rsidR="00767670">
        <w:rPr>
          <w:rStyle w:val="FootnoteReference"/>
        </w:rPr>
        <w:footnoteReference w:id="52"/>
      </w:r>
      <w:r w:rsidR="00680ED0">
        <w:t xml:space="preserve"> </w:t>
      </w:r>
    </w:p>
    <w:p w14:paraId="5C0B7AB2" w14:textId="4942D361" w:rsidR="00B47D24" w:rsidRDefault="00B47D24" w:rsidP="00B355B3">
      <w:pPr>
        <w:spacing w:line="480" w:lineRule="auto"/>
      </w:pPr>
      <w:r>
        <w:t xml:space="preserve">In this way we can understand Geoffrey’s work as perhaps operating on multiple levels. He praises the Britons, yet distinguishes them from the Welsh of his time- perhaps to protect himself politically under Norman rule. Equally, he dedicates the work to these Norman lords, and includes elements to validate their position, while at the same time suggesting their rise to power is in some way dependent on an older source and authority- that of the Britons, </w:t>
      </w:r>
      <w:r w:rsidR="009E3102">
        <w:t xml:space="preserve">in that they fit into a context established by the British, </w:t>
      </w:r>
      <w:r w:rsidR="003C28B0">
        <w:t>in addition to a</w:t>
      </w:r>
      <w:r>
        <w:t xml:space="preserve"> greater authority- God. He also appeals to a wider European literary audience by writing in Latin, and </w:t>
      </w:r>
      <w:r w:rsidR="003C28B0">
        <w:t xml:space="preserve">seeks </w:t>
      </w:r>
      <w:r>
        <w:t xml:space="preserve">an historical authority </w:t>
      </w:r>
      <w:r w:rsidR="003C28B0">
        <w:t xml:space="preserve">and credibility </w:t>
      </w:r>
      <w:r>
        <w:t xml:space="preserve">by his claims of translating </w:t>
      </w:r>
      <w:r w:rsidR="004C4140">
        <w:t xml:space="preserve">and thus preserving </w:t>
      </w:r>
      <w:r>
        <w:t>older works. By referring to and using these older sources, he also simultaneously appeals to his Welsh audience</w:t>
      </w:r>
      <w:r w:rsidR="003C28B0">
        <w:t>;</w:t>
      </w:r>
      <w:r>
        <w:t xml:space="preserve"> </w:t>
      </w:r>
      <w:r w:rsidR="000F3172">
        <w:t xml:space="preserve">by mentioning the prophecies he gives them </w:t>
      </w:r>
      <w:r w:rsidR="003C28B0">
        <w:t xml:space="preserve">validation, </w:t>
      </w:r>
      <w:r w:rsidR="000F3172">
        <w:t>hope and respect. An</w:t>
      </w:r>
      <w:r>
        <w:t>d</w:t>
      </w:r>
      <w:r w:rsidR="000F3172">
        <w:t xml:space="preserve"> </w:t>
      </w:r>
      <w:r w:rsidR="003738ED">
        <w:t>finally,</w:t>
      </w:r>
      <w:r>
        <w:t xml:space="preserve"> over all, he makes the </w:t>
      </w:r>
      <w:r w:rsidRPr="000F3172">
        <w:rPr>
          <w:i/>
        </w:rPr>
        <w:t xml:space="preserve">Historia </w:t>
      </w:r>
      <w:r>
        <w:t>read</w:t>
      </w:r>
      <w:r w:rsidR="000F3172">
        <w:t>a</w:t>
      </w:r>
      <w:r>
        <w:t xml:space="preserve">ble, </w:t>
      </w:r>
      <w:r w:rsidR="000F3172">
        <w:t xml:space="preserve">a </w:t>
      </w:r>
      <w:r>
        <w:t xml:space="preserve">coherent and </w:t>
      </w:r>
      <w:r w:rsidR="000F3172">
        <w:t xml:space="preserve">enjoyable literary project rather than a dense or didactic history. By combining these </w:t>
      </w:r>
      <w:r w:rsidR="003738ED">
        <w:t>points,</w:t>
      </w:r>
      <w:r w:rsidR="000F3172">
        <w:t xml:space="preserve"> he </w:t>
      </w:r>
      <w:r w:rsidR="000F3172">
        <w:lastRenderedPageBreak/>
        <w:t xml:space="preserve">makes the work </w:t>
      </w:r>
      <w:r w:rsidR="004C4140">
        <w:t xml:space="preserve">innovative and </w:t>
      </w:r>
      <w:r w:rsidR="000F3172">
        <w:t>appeal</w:t>
      </w:r>
      <w:r w:rsidR="004C4140">
        <w:t>ing</w:t>
      </w:r>
      <w:r w:rsidR="000F3172">
        <w:t xml:space="preserve"> to </w:t>
      </w:r>
      <w:r w:rsidR="003C28B0">
        <w:t xml:space="preserve">the </w:t>
      </w:r>
      <w:r w:rsidR="000F3172">
        <w:t>wide</w:t>
      </w:r>
      <w:r w:rsidR="003C28B0">
        <w:t>st and most</w:t>
      </w:r>
      <w:r w:rsidR="000F3172">
        <w:t xml:space="preserve"> diverse readership</w:t>
      </w:r>
      <w:r w:rsidR="003C28B0">
        <w:t xml:space="preserve">. Geoffrey </w:t>
      </w:r>
      <w:r w:rsidR="000F3172">
        <w:t>aims to please all quarters, and is highly successful. The popularity of his work, as William of Newburgh later put it, was ‘perhaps because he had by means of the Latin language cloaked the fables about Arthur in the respectable name of history.’</w:t>
      </w:r>
      <w:r w:rsidR="000F3172">
        <w:rPr>
          <w:rStyle w:val="FootnoteReference"/>
        </w:rPr>
        <w:footnoteReference w:id="53"/>
      </w:r>
      <w:r w:rsidR="000F3172">
        <w:t xml:space="preserve"> But it can</w:t>
      </w:r>
      <w:r w:rsidR="001C52AC">
        <w:t>’</w:t>
      </w:r>
      <w:r w:rsidR="000F3172">
        <w:t>t be forgotten that equally, he made something completely new</w:t>
      </w:r>
      <w:r w:rsidR="00C80D5D">
        <w:t xml:space="preserve">, highly innovative, </w:t>
      </w:r>
      <w:r w:rsidR="000F3172">
        <w:t xml:space="preserve">evocative and eminently entertaining, and it is this literary competence, more than his historical authority that lies at the heart of his success.   </w:t>
      </w:r>
      <w:r>
        <w:t xml:space="preserve">     </w:t>
      </w:r>
    </w:p>
    <w:p w14:paraId="2F8821B2" w14:textId="30C9F60C" w:rsidR="009E3102" w:rsidRDefault="001C52AC" w:rsidP="00B355B3">
      <w:pPr>
        <w:spacing w:line="480" w:lineRule="auto"/>
      </w:pPr>
      <w:r>
        <w:t xml:space="preserve">As Echard points out </w:t>
      </w:r>
      <w:r w:rsidRPr="001C52AC">
        <w:t>‘Geoffrey, writing what appears to be Latin prose history, seems to be carving out a different space for himself.</w:t>
      </w:r>
      <w:r>
        <w:t>’</w:t>
      </w:r>
      <w:r>
        <w:rPr>
          <w:rStyle w:val="FootnoteReference"/>
        </w:rPr>
        <w:footnoteReference w:id="54"/>
      </w:r>
      <w:r>
        <w:t xml:space="preserve"> In his elevation of Arthur into a wealthy and regal </w:t>
      </w:r>
      <w:r w:rsidR="004C4140">
        <w:t>H</w:t>
      </w:r>
      <w:r>
        <w:t xml:space="preserve">igh </w:t>
      </w:r>
      <w:r w:rsidR="004C4140">
        <w:t>K</w:t>
      </w:r>
      <w:r>
        <w:t xml:space="preserve">ing, and via his exploits into Europe making him an </w:t>
      </w:r>
      <w:r w:rsidR="004C4140">
        <w:t>E</w:t>
      </w:r>
      <w:r>
        <w:t xml:space="preserve">mperor, Geoffrey is producing a glamorous, readable and </w:t>
      </w:r>
      <w:r w:rsidRPr="001C52AC">
        <w:rPr>
          <w:i/>
        </w:rPr>
        <w:t>European</w:t>
      </w:r>
      <w:r>
        <w:t xml:space="preserve"> Arthur fit for the age in which he writes. In many ways, </w:t>
      </w:r>
      <w:r w:rsidR="004C4140">
        <w:t xml:space="preserve">in his quest to entertain his readers, </w:t>
      </w:r>
      <w:r>
        <w:t xml:space="preserve">the </w:t>
      </w:r>
      <w:r w:rsidRPr="001C52AC">
        <w:rPr>
          <w:i/>
        </w:rPr>
        <w:t>Historia</w:t>
      </w:r>
      <w:r>
        <w:t xml:space="preserve"> can be understood as a parody of historical writing, as John Lloyds and Christopher Brook have argued</w:t>
      </w:r>
      <w:r w:rsidR="00C80D5D">
        <w:t>.</w:t>
      </w:r>
      <w:r>
        <w:rPr>
          <w:rStyle w:val="FootnoteReference"/>
        </w:rPr>
        <w:footnoteReference w:id="55"/>
      </w:r>
      <w:r>
        <w:t xml:space="preserve"> </w:t>
      </w:r>
      <w:r w:rsidR="00C80D5D">
        <w:t>E</w:t>
      </w:r>
      <w:r>
        <w:t xml:space="preserve">qually in his holding up the virtues of the Britons and relating the story of their downfall to a Norman audience he could be making a call for unity and greater understanding </w:t>
      </w:r>
      <w:r w:rsidR="009E3102">
        <w:t>from the Norman lords concerning their Welsh and British subjects</w:t>
      </w:r>
      <w:r w:rsidR="00C80D5D">
        <w:t>, as Neil Wright argues</w:t>
      </w:r>
      <w:r w:rsidR="009E3102">
        <w:t>.</w:t>
      </w:r>
      <w:r w:rsidR="00C80D5D">
        <w:rPr>
          <w:rStyle w:val="FootnoteReference"/>
        </w:rPr>
        <w:footnoteReference w:id="56"/>
      </w:r>
      <w:r w:rsidR="009E3102">
        <w:t xml:space="preserve"> </w:t>
      </w:r>
      <w:r w:rsidR="00C80D5D">
        <w:t xml:space="preserve">Certainly it is possible to see that </w:t>
      </w:r>
      <w:r w:rsidR="009E3102">
        <w:t xml:space="preserve">Geoffrey </w:t>
      </w:r>
      <w:r w:rsidR="00C80D5D">
        <w:t xml:space="preserve">makes a distinction between and </w:t>
      </w:r>
      <w:r w:rsidR="009E3102">
        <w:t>plays down the virtues of the Welsh in favour of the Britons</w:t>
      </w:r>
      <w:r w:rsidR="004C4140">
        <w:t xml:space="preserve">, </w:t>
      </w:r>
      <w:r w:rsidR="009E3102">
        <w:t xml:space="preserve"> but it is possible that this is to ultimately protect both himself and them from the results of any Norman distrust. </w:t>
      </w:r>
      <w:r w:rsidR="004C4140">
        <w:t>Instead he reminds the Normans of a golden era that was once in the land they now hold. F</w:t>
      </w:r>
      <w:r w:rsidR="00C80D5D">
        <w:t>irst and foremost, this is a text to entertain a learned, European elite with the treasures of an evocative past</w:t>
      </w:r>
      <w:r w:rsidR="004C4140">
        <w:t>, which he claims a unique access to.</w:t>
      </w:r>
      <w:r w:rsidR="00C80D5D">
        <w:t xml:space="preserve"> </w:t>
      </w:r>
    </w:p>
    <w:p w14:paraId="21E2D48E" w14:textId="70011DEE" w:rsidR="002E0B0F" w:rsidRDefault="009E3102" w:rsidP="00B355B3">
      <w:pPr>
        <w:spacing w:line="480" w:lineRule="auto"/>
      </w:pPr>
      <w:r>
        <w:t xml:space="preserve">Geoffrey mentioned more than once his concerns about invoking Royal displeasure, and with reference to his prophecies of Merlin, he makes the claim that he has another manuscript awaiting the publication of his translation, but is unwilling to do so at this time as it may be ‘insensitive’ to do </w:t>
      </w:r>
      <w:r>
        <w:lastRenderedPageBreak/>
        <w:t>so in the eyes of the Norman rulers.</w:t>
      </w:r>
      <w:r w:rsidR="00013D92">
        <w:rPr>
          <w:rStyle w:val="FootnoteReference"/>
        </w:rPr>
        <w:footnoteReference w:id="57"/>
      </w:r>
      <w:r>
        <w:t xml:space="preserve"> </w:t>
      </w:r>
      <w:r w:rsidR="002E0B0F">
        <w:t>At first glance this may seem like one of the many fancies of Geoffrey and evidence of his fakery. However, it</w:t>
      </w:r>
      <w:r w:rsidR="00185B13">
        <w:t xml:space="preserve"> is the delicacy of th</w:t>
      </w:r>
      <w:r w:rsidR="002E0B0F">
        <w:t>e political situation of his era w</w:t>
      </w:r>
      <w:r w:rsidR="00185B13">
        <w:t xml:space="preserve">hich may have </w:t>
      </w:r>
      <w:r w:rsidR="003738ED">
        <w:t>led</w:t>
      </w:r>
      <w:r w:rsidR="00185B13">
        <w:t xml:space="preserve"> to some of the criticism he received from writers in the decades after his life, especially </w:t>
      </w:r>
      <w:r w:rsidR="003738ED">
        <w:t>Giraldus</w:t>
      </w:r>
      <w:r w:rsidR="00185B13">
        <w:t xml:space="preserve"> Cambrensis and Willian of Newburgh</w:t>
      </w:r>
      <w:r w:rsidR="001C06C5">
        <w:t>, both of which none the less borrowed from his work</w:t>
      </w:r>
      <w:r w:rsidR="002E0B0F">
        <w:t xml:space="preserve">. </w:t>
      </w:r>
      <w:r w:rsidR="00C80D5D">
        <w:t xml:space="preserve">The </w:t>
      </w:r>
      <w:r w:rsidR="00185B13">
        <w:t xml:space="preserve">political situation shifted </w:t>
      </w:r>
      <w:r w:rsidR="001C06C5" w:rsidRPr="001C06C5">
        <w:t>in response to the pressure mounted from the Celtic speaking regions of the British</w:t>
      </w:r>
      <w:r w:rsidR="001C06C5">
        <w:t>,</w:t>
      </w:r>
      <w:r w:rsidR="001C06C5" w:rsidRPr="001C06C5">
        <w:t xml:space="preserve"> </w:t>
      </w:r>
      <w:r w:rsidR="00185B13">
        <w:t xml:space="preserve">and the inclusion of such pro-British prophecies as that promising Arthurs return and/ or the resurgence of the Britons perhaps became unwise </w:t>
      </w:r>
      <w:r w:rsidR="004D5A60">
        <w:t>for those seeking royal patronage in the current cultural climate</w:t>
      </w:r>
      <w:r w:rsidR="00C80D5D">
        <w:t xml:space="preserve">. </w:t>
      </w:r>
      <w:r w:rsidR="003738ED">
        <w:t>Giraldus</w:t>
      </w:r>
      <w:r w:rsidR="001C06C5">
        <w:t xml:space="preserve"> Cambrensis seems especially sensitive to this, and </w:t>
      </w:r>
      <w:r w:rsidR="004D5A60">
        <w:t>was involved in the ‘royal appropriation of the Arthurian myth at Glastonbury’</w:t>
      </w:r>
      <w:r w:rsidR="002E0B0F">
        <w:t>.</w:t>
      </w:r>
      <w:r w:rsidR="004D5A60">
        <w:rPr>
          <w:rStyle w:val="FootnoteReference"/>
        </w:rPr>
        <w:footnoteReference w:id="58"/>
      </w:r>
      <w:r w:rsidR="004D5A60">
        <w:t xml:space="preserve"> </w:t>
      </w:r>
      <w:r w:rsidR="002E0B0F">
        <w:t xml:space="preserve">His visit to the </w:t>
      </w:r>
      <w:r w:rsidR="004D5A60">
        <w:t>disinterred so-called graves of Arthur and Guinevere at Glastonbury Abbey</w:t>
      </w:r>
      <w:r w:rsidR="004D5A60">
        <w:rPr>
          <w:rStyle w:val="FootnoteReference"/>
        </w:rPr>
        <w:footnoteReference w:id="59"/>
      </w:r>
      <w:r w:rsidR="00185B13">
        <w:t xml:space="preserve"> </w:t>
      </w:r>
      <w:r w:rsidR="002E0B0F">
        <w:t xml:space="preserve">can be understood as </w:t>
      </w:r>
      <w:r w:rsidR="004D5A60">
        <w:t xml:space="preserve">an attempt to quash rumours of Arthurs survival and potential return at some unknown point, instead promoting the </w:t>
      </w:r>
      <w:r w:rsidR="002E0B0F">
        <w:t>evidence of his death, for the benefit of the Norman rulers.</w:t>
      </w:r>
      <w:r w:rsidR="001C06C5">
        <w:t xml:space="preserve"> As such, </w:t>
      </w:r>
      <w:r w:rsidR="004C4140">
        <w:t xml:space="preserve">it can be seen that </w:t>
      </w:r>
      <w:r w:rsidR="001C06C5">
        <w:t xml:space="preserve">much of Geoffrey’s content remained useful, </w:t>
      </w:r>
      <w:r w:rsidR="00CA3C9C">
        <w:t xml:space="preserve">and was assumed as being faithfully preserved from older material, </w:t>
      </w:r>
      <w:r w:rsidR="001C06C5">
        <w:t xml:space="preserve">but the inclusion of the prophecies may have meant that speaking well of him and his work was politically unwise. </w:t>
      </w:r>
    </w:p>
    <w:p w14:paraId="7F39E04C" w14:textId="145402DB" w:rsidR="002E0B0F" w:rsidRDefault="005102C8" w:rsidP="00B355B3">
      <w:pPr>
        <w:spacing w:line="480" w:lineRule="auto"/>
      </w:pPr>
      <w:r>
        <w:t xml:space="preserve">Geoffrey clearly had access to a large body of older materials, manuscripts and oral sources, as well as having his work informed by classical and biblical sources. However, when considering how much of this material he actively preserved, we must </w:t>
      </w:r>
      <w:r w:rsidR="00507AEE">
        <w:t>decide</w:t>
      </w:r>
      <w:r>
        <w:t xml:space="preserve"> what we consider </w:t>
      </w:r>
      <w:r w:rsidR="001C06C5">
        <w:t>‘</w:t>
      </w:r>
      <w:r>
        <w:t>preservation</w:t>
      </w:r>
      <w:r w:rsidR="001C06C5">
        <w:t>’</w:t>
      </w:r>
      <w:r>
        <w:t xml:space="preserve"> to be. If our benchmark for this is the accurate translation and conveying of earlier manuscripts, and the faithful re-telling</w:t>
      </w:r>
      <w:r w:rsidR="00427BE2">
        <w:t xml:space="preserve"> and recording</w:t>
      </w:r>
      <w:r>
        <w:t xml:space="preserve"> o</w:t>
      </w:r>
      <w:r w:rsidR="00507AEE">
        <w:t>f</w:t>
      </w:r>
      <w:r>
        <w:t xml:space="preserve"> traditional oral lore, then Geoffrey falls far short. However, if we allow him to play freely with these materials for his own ends, and make them popular and easily consumable by a wider European medieval learned audience, then in many ways he succeeded</w:t>
      </w:r>
      <w:r w:rsidR="00427BE2">
        <w:t xml:space="preserve"> and preserved a great deal</w:t>
      </w:r>
      <w:r w:rsidR="001C06C5">
        <w:t xml:space="preserve">. </w:t>
      </w:r>
      <w:r w:rsidR="00427BE2">
        <w:t xml:space="preserve">By being innovative </w:t>
      </w:r>
      <w:r>
        <w:t>made th</w:t>
      </w:r>
      <w:r w:rsidR="001C06C5">
        <w:t xml:space="preserve">is knowledge and these </w:t>
      </w:r>
      <w:r>
        <w:t xml:space="preserve">earlier tales accessible </w:t>
      </w:r>
      <w:r>
        <w:lastRenderedPageBreak/>
        <w:t>a</w:t>
      </w:r>
      <w:r w:rsidR="00507AEE">
        <w:t>n</w:t>
      </w:r>
      <w:r>
        <w:t xml:space="preserve">d popular for a new generation, when the Norman invasion less than a century before could have </w:t>
      </w:r>
      <w:r w:rsidR="003738ED">
        <w:t>led</w:t>
      </w:r>
      <w:r>
        <w:t xml:space="preserve"> them to be forgotten. </w:t>
      </w:r>
      <w:r w:rsidR="00C82D1C">
        <w:t xml:space="preserve">His treatment of his source materials is interesting, </w:t>
      </w:r>
      <w:r w:rsidR="00507AEE">
        <w:t>in</w:t>
      </w:r>
      <w:r w:rsidR="00C82D1C">
        <w:t xml:space="preserve"> that he treats them with little respect in regard to faithfully reproducing them, but does treat the culture from which they came with great respect, and uses them, at least partially, to promote that </w:t>
      </w:r>
      <w:r w:rsidR="001C06C5">
        <w:t xml:space="preserve">culture </w:t>
      </w:r>
      <w:r w:rsidR="00C82D1C">
        <w:t xml:space="preserve">and illustrate </w:t>
      </w:r>
      <w:r w:rsidR="001C06C5">
        <w:t>its</w:t>
      </w:r>
      <w:r w:rsidR="00C82D1C">
        <w:t xml:space="preserve"> worth to a new Norman elite. In this sense Geoffrey is highly innovative. Neither history, nor pure fiction, the </w:t>
      </w:r>
      <w:r w:rsidR="00C82D1C" w:rsidRPr="00C82D1C">
        <w:rPr>
          <w:i/>
        </w:rPr>
        <w:t xml:space="preserve">Historia Regum </w:t>
      </w:r>
      <w:r w:rsidR="003738ED" w:rsidRPr="00C82D1C">
        <w:rPr>
          <w:i/>
        </w:rPr>
        <w:t>Brittaniae</w:t>
      </w:r>
      <w:r w:rsidR="003738ED">
        <w:t xml:space="preserve"> creates</w:t>
      </w:r>
      <w:r w:rsidR="00C82D1C">
        <w:t xml:space="preserve"> something new which forms the starting point for the many Arthurian romances which came after it, and created a whole new vision of King Arthur to appeal to a new wider audience.</w:t>
      </w:r>
      <w:r>
        <w:t xml:space="preserve"> </w:t>
      </w:r>
      <w:r w:rsidR="00C82D1C">
        <w:t xml:space="preserve">Rather than in opposition to the new Norman rule, this Arthur was ripe for their appropriation, and his regal </w:t>
      </w:r>
      <w:r w:rsidR="007F1DF3">
        <w:t>empirical</w:t>
      </w:r>
      <w:r w:rsidR="00C82D1C">
        <w:t xml:space="preserve"> imagery paved the way for him to leave his folklorish warrior roots behind, and become not only a mythical king of the Britons, but a mythical high king of the </w:t>
      </w:r>
      <w:r w:rsidR="00427BE2">
        <w:t>British</w:t>
      </w:r>
      <w:r w:rsidR="00C82D1C">
        <w:t xml:space="preserve">. An Arthur, and a history, for a new era, and a new Britain.    </w:t>
      </w:r>
    </w:p>
    <w:p w14:paraId="3DB3F073" w14:textId="4A4B9327" w:rsidR="001C06C5" w:rsidRDefault="00796207" w:rsidP="00796207">
      <w:pPr>
        <w:tabs>
          <w:tab w:val="left" w:pos="6210"/>
        </w:tabs>
      </w:pPr>
      <w:r>
        <w:tab/>
      </w:r>
    </w:p>
    <w:p w14:paraId="6B3782DB" w14:textId="0EC26C99" w:rsidR="00B47D24" w:rsidRPr="001C06C5" w:rsidRDefault="001C06C5" w:rsidP="005102C8">
      <w:pPr>
        <w:rPr>
          <w:u w:val="single"/>
        </w:rPr>
      </w:pPr>
      <w:r w:rsidRPr="001C06C5">
        <w:rPr>
          <w:u w:val="single"/>
        </w:rPr>
        <w:t>Bibliography.</w:t>
      </w:r>
      <w:r w:rsidR="004D5A60" w:rsidRPr="001C06C5">
        <w:rPr>
          <w:u w:val="single"/>
        </w:rPr>
        <w:t xml:space="preserve"> </w:t>
      </w:r>
    </w:p>
    <w:p w14:paraId="7C684E8C" w14:textId="1CE19C0C" w:rsidR="00251E55" w:rsidRDefault="00251E55" w:rsidP="005102C8">
      <w:r w:rsidRPr="00251E55">
        <w:t xml:space="preserve">Geoffrey of Monmouth, </w:t>
      </w:r>
      <w:r w:rsidRPr="003738ED">
        <w:rPr>
          <w:i/>
        </w:rPr>
        <w:t>History of the Kings of Britain</w:t>
      </w:r>
      <w:r w:rsidRPr="00251E55">
        <w:t xml:space="preserve">, Thompson, </w:t>
      </w:r>
      <w:r w:rsidR="003738ED">
        <w:t xml:space="preserve">A. </w:t>
      </w:r>
      <w:r w:rsidRPr="00251E55">
        <w:t>(trans) (In Parenthesis Publications, Medieval Latin series, Cambridge Ontario,</w:t>
      </w:r>
      <w:r>
        <w:t xml:space="preserve"> </w:t>
      </w:r>
      <w:r w:rsidRPr="00251E55">
        <w:t xml:space="preserve">1999).  </w:t>
      </w:r>
    </w:p>
    <w:p w14:paraId="043770FF" w14:textId="4EEC1CE7" w:rsidR="001C52AC" w:rsidRDefault="001C06C5" w:rsidP="005102C8">
      <w:r w:rsidRPr="001C06C5">
        <w:t xml:space="preserve">Geoffrey of Monmouth, </w:t>
      </w:r>
      <w:r w:rsidRPr="003738ED">
        <w:rPr>
          <w:i/>
        </w:rPr>
        <w:t>The History of the Kings of Britain</w:t>
      </w:r>
      <w:r w:rsidRPr="001C06C5">
        <w:t>, Thorpe,</w:t>
      </w:r>
      <w:r w:rsidR="003738ED">
        <w:t xml:space="preserve"> L.</w:t>
      </w:r>
      <w:r w:rsidRPr="001C06C5">
        <w:t xml:space="preserve"> </w:t>
      </w:r>
      <w:r w:rsidR="003738ED" w:rsidRPr="003738ED">
        <w:t xml:space="preserve">(ed and trans) </w:t>
      </w:r>
      <w:r w:rsidRPr="001C06C5">
        <w:t>(Penguin, London 1966)</w:t>
      </w:r>
      <w:r w:rsidR="00251E55">
        <w:t>.</w:t>
      </w:r>
    </w:p>
    <w:p w14:paraId="3B138F82" w14:textId="35554AF9" w:rsidR="00DD0BA9" w:rsidRDefault="00DD0BA9" w:rsidP="00DD0BA9">
      <w:r>
        <w:t xml:space="preserve">Nennius’s </w:t>
      </w:r>
      <w:r w:rsidRPr="003738ED">
        <w:rPr>
          <w:i/>
        </w:rPr>
        <w:t>History of the Britons</w:t>
      </w:r>
      <w:r>
        <w:t xml:space="preserve">. In </w:t>
      </w:r>
      <w:r w:rsidRPr="003738ED">
        <w:t>The works of Gildas and Nennius</w:t>
      </w:r>
      <w:r>
        <w:t xml:space="preserve"> by Gildas, </w:t>
      </w:r>
      <w:r w:rsidR="003738ED">
        <w:t xml:space="preserve">Nennius. </w:t>
      </w:r>
      <w:r>
        <w:t xml:space="preserve">516?-570? (Giles, J. A., 1808-1884.) </w:t>
      </w:r>
      <w:hyperlink r:id="rId9" w:history="1">
        <w:r w:rsidR="00251E55" w:rsidRPr="0034085B">
          <w:rPr>
            <w:rStyle w:val="Hyperlink"/>
          </w:rPr>
          <w:t>https://archive.org/details/b29339364/page/n171 accessed 12/1/19</w:t>
        </w:r>
      </w:hyperlink>
      <w:r>
        <w:t>.</w:t>
      </w:r>
      <w:r w:rsidR="003C496D" w:rsidRPr="003C496D">
        <w:t xml:space="preserve"> </w:t>
      </w:r>
    </w:p>
    <w:p w14:paraId="4CC535A1" w14:textId="5162B149" w:rsidR="00251E55" w:rsidRDefault="00251E55" w:rsidP="00DD0BA9">
      <w:r w:rsidRPr="00251E55">
        <w:t>Triad 2, from Bromwich</w:t>
      </w:r>
      <w:r w:rsidR="003738ED">
        <w:t>. R.</w:t>
      </w:r>
      <w:r w:rsidR="00796207">
        <w:t xml:space="preserve">, </w:t>
      </w:r>
      <w:r w:rsidRPr="003738ED">
        <w:rPr>
          <w:i/>
        </w:rPr>
        <w:t>Trioedd Ynys Prydein</w:t>
      </w:r>
      <w:r w:rsidRPr="00251E55">
        <w:t>, in Coe</w:t>
      </w:r>
      <w:r w:rsidR="003738ED">
        <w:t xml:space="preserve">. J.B. </w:t>
      </w:r>
      <w:r w:rsidRPr="00251E55">
        <w:t xml:space="preserve"> and Young</w:t>
      </w:r>
      <w:r w:rsidR="003738ED">
        <w:t xml:space="preserve">. S. </w:t>
      </w:r>
      <w:r w:rsidRPr="00251E55">
        <w:t>(eds) The Celtic sources for the Arthurian Legend. (Llanerch Press. 1995)</w:t>
      </w:r>
      <w:r w:rsidR="003738ED">
        <w:t>.</w:t>
      </w:r>
    </w:p>
    <w:p w14:paraId="46D7FF00" w14:textId="136F1D00" w:rsidR="00251E55" w:rsidRDefault="00251E55" w:rsidP="00DD0BA9">
      <w:r w:rsidRPr="00251E55">
        <w:t>Coe</w:t>
      </w:r>
      <w:r>
        <w:t xml:space="preserve">, </w:t>
      </w:r>
      <w:r w:rsidRPr="00251E55">
        <w:t>J.B. and Young</w:t>
      </w:r>
      <w:r>
        <w:t>. S.,</w:t>
      </w:r>
      <w:r w:rsidRPr="00251E55">
        <w:t xml:space="preserve"> (eds) </w:t>
      </w:r>
      <w:r w:rsidRPr="003738ED">
        <w:rPr>
          <w:i/>
        </w:rPr>
        <w:t>The Celtic sources for the Arthurian Legend</w:t>
      </w:r>
      <w:r w:rsidRPr="00251E55">
        <w:t>. (Llanerch Press. 1995)</w:t>
      </w:r>
      <w:r w:rsidR="003738ED">
        <w:t>.</w:t>
      </w:r>
    </w:p>
    <w:p w14:paraId="00BE2AE6" w14:textId="28B84B2A" w:rsidR="00251E55" w:rsidRDefault="00251E55" w:rsidP="00DD0BA9">
      <w:r w:rsidRPr="00251E55">
        <w:t>Crick,</w:t>
      </w:r>
      <w:r>
        <w:t xml:space="preserve"> J.</w:t>
      </w:r>
      <w:r w:rsidR="003738ED">
        <w:t xml:space="preserve">, </w:t>
      </w:r>
      <w:r w:rsidR="003738ED" w:rsidRPr="00251E55">
        <w:t>‘</w:t>
      </w:r>
      <w:r w:rsidRPr="003738ED">
        <w:rPr>
          <w:i/>
        </w:rPr>
        <w:t>The British Past and the Welsh Future: Gerald of Wales, Geoffrey of Monmouth and Arthur of Britain</w:t>
      </w:r>
      <w:r w:rsidRPr="00251E55">
        <w:t>', Celtica 23 (1999)</w:t>
      </w:r>
      <w:r w:rsidR="003738ED">
        <w:t>.</w:t>
      </w:r>
    </w:p>
    <w:p w14:paraId="26F5BC35" w14:textId="0ADC68C7" w:rsidR="00251E55" w:rsidRDefault="00251E55" w:rsidP="00DD0BA9">
      <w:r w:rsidRPr="00251E55">
        <w:t>Echard,</w:t>
      </w:r>
      <w:r>
        <w:t xml:space="preserve"> S.,</w:t>
      </w:r>
      <w:r w:rsidRPr="00796207">
        <w:rPr>
          <w:i/>
        </w:rPr>
        <w:t>'The Anger of Saturn shall fall': Geoffrey of Monmouth's Historia Regum Britannic and the Limits of History</w:t>
      </w:r>
      <w:r w:rsidRPr="00251E55">
        <w:t>' in Arthurian Narrative in the Latin Tradition (Cambridge: CUP, 1998)</w:t>
      </w:r>
      <w:r w:rsidR="00796207">
        <w:t>.</w:t>
      </w:r>
    </w:p>
    <w:p w14:paraId="731AD098" w14:textId="245B02C4" w:rsidR="00C05F0D" w:rsidRDefault="00C05F0D" w:rsidP="00DD0BA9">
      <w:r w:rsidRPr="00C05F0D">
        <w:t>Faulton</w:t>
      </w:r>
      <w:r w:rsidR="00796207">
        <w:t>,</w:t>
      </w:r>
      <w:r>
        <w:t xml:space="preserve"> H.</w:t>
      </w:r>
      <w:r w:rsidRPr="00C05F0D">
        <w:t xml:space="preserve">, </w:t>
      </w:r>
      <w:r w:rsidRPr="00796207">
        <w:rPr>
          <w:i/>
        </w:rPr>
        <w:t>History and Myth: Geoffrey of Monmouth's Historia Regum Britanniae</w:t>
      </w:r>
      <w:r w:rsidRPr="00C05F0D">
        <w:t xml:space="preserve"> in Fulton</w:t>
      </w:r>
      <w:r w:rsidR="00796207">
        <w:t>. H.,</w:t>
      </w:r>
      <w:r w:rsidRPr="00C05F0D">
        <w:t xml:space="preserve"> (ed.), A Companion to Arthurian Literature (Chichester: Blackwell Publishing, 2009)</w:t>
      </w:r>
      <w:r w:rsidR="00796207">
        <w:t>.</w:t>
      </w:r>
    </w:p>
    <w:p w14:paraId="477C452D" w14:textId="3C59E149" w:rsidR="00C05F0D" w:rsidRDefault="00C05F0D" w:rsidP="00DD0BA9">
      <w:r w:rsidRPr="00C05F0D">
        <w:t xml:space="preserve">Gillingham, </w:t>
      </w:r>
      <w:r>
        <w:t xml:space="preserve">J., </w:t>
      </w:r>
      <w:r w:rsidRPr="00796207">
        <w:rPr>
          <w:i/>
        </w:rPr>
        <w:t>'The Context and Purposes of Geoffrey of Monmouth's History of the Kings of Britain</w:t>
      </w:r>
      <w:r w:rsidRPr="00C05F0D">
        <w:t>', Anglo-Norman Studies 13 (1990)</w:t>
      </w:r>
      <w:r w:rsidR="00796207">
        <w:t>.</w:t>
      </w:r>
    </w:p>
    <w:p w14:paraId="78B8358D" w14:textId="5F552F64" w:rsidR="00251E55" w:rsidRDefault="00251E55" w:rsidP="00DD0BA9">
      <w:r w:rsidRPr="00251E55">
        <w:t>Lloyd-Morgan</w:t>
      </w:r>
      <w:r w:rsidR="00796207">
        <w:t>,</w:t>
      </w:r>
      <w:r w:rsidRPr="00251E55">
        <w:t xml:space="preserve"> </w:t>
      </w:r>
      <w:r w:rsidR="003738ED" w:rsidRPr="00251E55">
        <w:t>C.,</w:t>
      </w:r>
      <w:r w:rsidRPr="00251E55">
        <w:t xml:space="preserve"> </w:t>
      </w:r>
      <w:r w:rsidRPr="00796207">
        <w:rPr>
          <w:i/>
        </w:rPr>
        <w:t>Narratives and Non-Narratives</w:t>
      </w:r>
      <w:r w:rsidRPr="00251E55">
        <w:t xml:space="preserve">, </w:t>
      </w:r>
      <w:r w:rsidR="003738ED" w:rsidRPr="00251E55">
        <w:t>in</w:t>
      </w:r>
      <w:r w:rsidRPr="00251E55">
        <w:t xml:space="preserve"> Arthurian Literature XXI: Celtic Arthurian Material. </w:t>
      </w:r>
      <w:r w:rsidR="00796207">
        <w:t>(</w:t>
      </w:r>
      <w:r w:rsidRPr="00251E55">
        <w:t>C. Lloyd-Morgan, DS Brewer, 2004)</w:t>
      </w:r>
      <w:r w:rsidR="00796207">
        <w:t>.</w:t>
      </w:r>
    </w:p>
    <w:p w14:paraId="4DDB9946" w14:textId="69A7AD51" w:rsidR="00C05F0D" w:rsidRDefault="00C05F0D" w:rsidP="00DD0BA9">
      <w:r w:rsidRPr="00C05F0D">
        <w:lastRenderedPageBreak/>
        <w:t>Ó Corráin,</w:t>
      </w:r>
      <w:r>
        <w:t xml:space="preserve"> D., </w:t>
      </w:r>
      <w:r w:rsidRPr="00796207">
        <w:rPr>
          <w:i/>
        </w:rPr>
        <w:t>‘Irish Vernacular Law and the Old Testament</w:t>
      </w:r>
      <w:r w:rsidRPr="00C05F0D">
        <w:t xml:space="preserve">.’ In Ireland and </w:t>
      </w:r>
      <w:r w:rsidR="003738ED" w:rsidRPr="00C05F0D">
        <w:t>Christendom</w:t>
      </w:r>
      <w:r w:rsidRPr="00C05F0D">
        <w:t>. Eds. Ní Chatháin and M.</w:t>
      </w:r>
      <w:r w:rsidR="003738ED">
        <w:t xml:space="preserve"> </w:t>
      </w:r>
      <w:r w:rsidRPr="00C05F0D">
        <w:t>Richter. (Tübingen, 1987)</w:t>
      </w:r>
      <w:r w:rsidR="00796207">
        <w:t>.</w:t>
      </w:r>
    </w:p>
    <w:p w14:paraId="14B1074E" w14:textId="60B0FCC7" w:rsidR="00251E55" w:rsidRDefault="00251E55" w:rsidP="00DD0BA9">
      <w:r w:rsidRPr="00251E55">
        <w:t>Padel,</w:t>
      </w:r>
      <w:r>
        <w:t xml:space="preserve"> O.J.,</w:t>
      </w:r>
      <w:r w:rsidRPr="00251E55">
        <w:t xml:space="preserve"> ‘</w:t>
      </w:r>
      <w:r w:rsidRPr="00796207">
        <w:rPr>
          <w:i/>
        </w:rPr>
        <w:t>Arthur in Medieval Welsh Literature</w:t>
      </w:r>
      <w:r w:rsidRPr="00251E55">
        <w:t>.’ (University of Wales Press. 2000</w:t>
      </w:r>
      <w:r>
        <w:t>)</w:t>
      </w:r>
      <w:r w:rsidR="00796207">
        <w:t>.</w:t>
      </w:r>
    </w:p>
    <w:p w14:paraId="1AC07B72" w14:textId="00DE3DE8" w:rsidR="00251E55" w:rsidRDefault="00251E55" w:rsidP="00DD0BA9">
      <w:r w:rsidRPr="00251E55">
        <w:t>Padel, O.J.</w:t>
      </w:r>
      <w:r>
        <w:t xml:space="preserve">, </w:t>
      </w:r>
      <w:r w:rsidRPr="00796207">
        <w:rPr>
          <w:i/>
        </w:rPr>
        <w:t>'The Nature of Arthur'</w:t>
      </w:r>
      <w:r w:rsidRPr="00251E55">
        <w:t>, Cambrian Medieval Celtic Studies 27 (Summer 1994)</w:t>
      </w:r>
      <w:r w:rsidR="00796207">
        <w:t>.</w:t>
      </w:r>
    </w:p>
    <w:p w14:paraId="2AD8F57C" w14:textId="68F99810" w:rsidR="00251E55" w:rsidRDefault="00251E55" w:rsidP="00DD0BA9">
      <w:r w:rsidRPr="00251E55">
        <w:t xml:space="preserve">Roberts, B.F. </w:t>
      </w:r>
      <w:r w:rsidRPr="00796207">
        <w:rPr>
          <w:i/>
        </w:rPr>
        <w:t>'Geoffrey of Monmouth and Welsh Historical Tradition'</w:t>
      </w:r>
      <w:r w:rsidRPr="00251E55">
        <w:t>, Nottingham Medieval Studies 20 (1976)</w:t>
      </w:r>
      <w:r w:rsidR="00796207">
        <w:t>.</w:t>
      </w:r>
    </w:p>
    <w:p w14:paraId="4BEC7E2D" w14:textId="77777777" w:rsidR="00251E55" w:rsidRDefault="00251E55" w:rsidP="00DD0BA9"/>
    <w:sectPr w:rsidR="00251E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CB430" w14:textId="77777777" w:rsidR="006E1AF4" w:rsidRDefault="006E1AF4" w:rsidP="00160907">
      <w:pPr>
        <w:spacing w:after="0" w:line="240" w:lineRule="auto"/>
      </w:pPr>
      <w:r>
        <w:separator/>
      </w:r>
    </w:p>
  </w:endnote>
  <w:endnote w:type="continuationSeparator" w:id="0">
    <w:p w14:paraId="33343D7D" w14:textId="77777777" w:rsidR="006E1AF4" w:rsidRDefault="006E1AF4" w:rsidP="00160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F97749" w14:textId="77777777" w:rsidR="006E1AF4" w:rsidRDefault="006E1AF4" w:rsidP="00160907">
      <w:pPr>
        <w:spacing w:after="0" w:line="240" w:lineRule="auto"/>
      </w:pPr>
      <w:r>
        <w:separator/>
      </w:r>
    </w:p>
  </w:footnote>
  <w:footnote w:type="continuationSeparator" w:id="0">
    <w:p w14:paraId="3EAE6C0A" w14:textId="77777777" w:rsidR="006E1AF4" w:rsidRDefault="006E1AF4" w:rsidP="00160907">
      <w:pPr>
        <w:spacing w:after="0" w:line="240" w:lineRule="auto"/>
      </w:pPr>
      <w:r>
        <w:continuationSeparator/>
      </w:r>
    </w:p>
  </w:footnote>
  <w:footnote w:id="1">
    <w:p w14:paraId="0EEF5A88" w14:textId="29D20C30" w:rsidR="006C620D" w:rsidRDefault="006C620D">
      <w:pPr>
        <w:pStyle w:val="FootnoteText"/>
      </w:pPr>
      <w:r>
        <w:rPr>
          <w:rStyle w:val="FootnoteReference"/>
        </w:rPr>
        <w:footnoteRef/>
      </w:r>
      <w:r>
        <w:t xml:space="preserve"> </w:t>
      </w:r>
      <w:bookmarkStart w:id="0" w:name="_Hlk535251204"/>
      <w:r>
        <w:t xml:space="preserve">Geoffrey of Monmouth, The History of the Kings of Britain, ed and trans L. Thorpe, (Penguin, London 1966) </w:t>
      </w:r>
      <w:bookmarkEnd w:id="0"/>
      <w:r>
        <w:t xml:space="preserve">p. 17. </w:t>
      </w:r>
    </w:p>
  </w:footnote>
  <w:footnote w:id="2">
    <w:p w14:paraId="3660C50E" w14:textId="531BB6CC" w:rsidR="006C620D" w:rsidRDefault="006C620D">
      <w:pPr>
        <w:pStyle w:val="FootnoteText"/>
      </w:pPr>
      <w:r>
        <w:rPr>
          <w:rStyle w:val="FootnoteReference"/>
        </w:rPr>
        <w:footnoteRef/>
      </w:r>
      <w:r>
        <w:t xml:space="preserve"> </w:t>
      </w:r>
      <w:r>
        <w:rPr>
          <w:i/>
        </w:rPr>
        <w:t>i</w:t>
      </w:r>
      <w:r w:rsidRPr="00123DF1">
        <w:rPr>
          <w:i/>
        </w:rPr>
        <w:t>bid</w:t>
      </w:r>
      <w:r>
        <w:t>., p. 51.</w:t>
      </w:r>
    </w:p>
  </w:footnote>
  <w:footnote w:id="3">
    <w:p w14:paraId="55AFA22D" w14:textId="078F6631" w:rsidR="006C620D" w:rsidRDefault="006C620D">
      <w:pPr>
        <w:pStyle w:val="FootnoteText"/>
      </w:pPr>
      <w:r>
        <w:rPr>
          <w:rStyle w:val="FootnoteReference"/>
        </w:rPr>
        <w:footnoteRef/>
      </w:r>
      <w:r>
        <w:t xml:space="preserve"> </w:t>
      </w:r>
      <w:r>
        <w:rPr>
          <w:i/>
        </w:rPr>
        <w:t>i</w:t>
      </w:r>
      <w:r w:rsidRPr="00123DF1">
        <w:rPr>
          <w:i/>
        </w:rPr>
        <w:t>bid</w:t>
      </w:r>
      <w:r>
        <w:t>., p.51.</w:t>
      </w:r>
    </w:p>
  </w:footnote>
  <w:footnote w:id="4">
    <w:p w14:paraId="363F3F63" w14:textId="545087AC" w:rsidR="006C620D" w:rsidRDefault="006C620D">
      <w:pPr>
        <w:pStyle w:val="FootnoteText"/>
      </w:pPr>
      <w:r>
        <w:rPr>
          <w:rStyle w:val="FootnoteReference"/>
        </w:rPr>
        <w:footnoteRef/>
      </w:r>
      <w:r>
        <w:t xml:space="preserve"> </w:t>
      </w:r>
      <w:r>
        <w:rPr>
          <w:i/>
        </w:rPr>
        <w:t>i</w:t>
      </w:r>
      <w:r w:rsidRPr="00327F70">
        <w:rPr>
          <w:i/>
        </w:rPr>
        <w:t>bid</w:t>
      </w:r>
      <w:r>
        <w:t>., p.51.</w:t>
      </w:r>
    </w:p>
  </w:footnote>
  <w:footnote w:id="5">
    <w:p w14:paraId="4340D05C" w14:textId="15E5B3D9" w:rsidR="006C620D" w:rsidRDefault="006C620D">
      <w:pPr>
        <w:pStyle w:val="FootnoteText"/>
      </w:pPr>
      <w:r>
        <w:rPr>
          <w:rStyle w:val="FootnoteReference"/>
        </w:rPr>
        <w:footnoteRef/>
      </w:r>
      <w:r>
        <w:t xml:space="preserve"> </w:t>
      </w:r>
      <w:r w:rsidRPr="00327F70">
        <w:rPr>
          <w:i/>
        </w:rPr>
        <w:t>ibid</w:t>
      </w:r>
      <w:r>
        <w:t>., p. 51.</w:t>
      </w:r>
    </w:p>
  </w:footnote>
  <w:footnote w:id="6">
    <w:p w14:paraId="1CB7F216" w14:textId="7A2A4747" w:rsidR="006C620D" w:rsidRDefault="006C620D">
      <w:pPr>
        <w:pStyle w:val="FootnoteText"/>
      </w:pPr>
      <w:r>
        <w:rPr>
          <w:rStyle w:val="FootnoteReference"/>
        </w:rPr>
        <w:footnoteRef/>
      </w:r>
      <w:r>
        <w:t xml:space="preserve"> </w:t>
      </w:r>
      <w:r w:rsidRPr="00086596">
        <w:t xml:space="preserve">Geoffrey of Monmouth, </w:t>
      </w:r>
      <w:r w:rsidRPr="009B172E">
        <w:rPr>
          <w:i/>
        </w:rPr>
        <w:t>The History of the Kings of Britain</w:t>
      </w:r>
      <w:r w:rsidRPr="00086596">
        <w:t>, ed and trans L.</w:t>
      </w:r>
      <w:r>
        <w:t xml:space="preserve"> </w:t>
      </w:r>
      <w:r w:rsidRPr="00086596">
        <w:t>Thorpe, (Penguin, London 1966) p. 17.</w:t>
      </w:r>
    </w:p>
  </w:footnote>
  <w:footnote w:id="7">
    <w:p w14:paraId="039812BA" w14:textId="37FBA605" w:rsidR="00C15080" w:rsidRDefault="00C15080">
      <w:pPr>
        <w:pStyle w:val="FootnoteText"/>
      </w:pPr>
      <w:r>
        <w:rPr>
          <w:rStyle w:val="FootnoteReference"/>
        </w:rPr>
        <w:footnoteRef/>
      </w:r>
      <w:r>
        <w:t xml:space="preserve"> </w:t>
      </w:r>
      <w:r w:rsidRPr="00C15080">
        <w:rPr>
          <w:i/>
        </w:rPr>
        <w:t>ibid</w:t>
      </w:r>
      <w:r>
        <w:t>., p.17.</w:t>
      </w:r>
    </w:p>
  </w:footnote>
  <w:footnote w:id="8">
    <w:p w14:paraId="10E49A53" w14:textId="542860BF" w:rsidR="00C15080" w:rsidRDefault="00C15080">
      <w:pPr>
        <w:pStyle w:val="FootnoteText"/>
      </w:pPr>
      <w:r>
        <w:rPr>
          <w:rStyle w:val="FootnoteReference"/>
        </w:rPr>
        <w:footnoteRef/>
      </w:r>
      <w:r>
        <w:t xml:space="preserve"> </w:t>
      </w:r>
      <w:r w:rsidRPr="00063458">
        <w:rPr>
          <w:i/>
        </w:rPr>
        <w:t>ibid</w:t>
      </w:r>
      <w:r>
        <w:t>., p.17.</w:t>
      </w:r>
    </w:p>
  </w:footnote>
  <w:footnote w:id="9">
    <w:p w14:paraId="6E9C0A76" w14:textId="6051702D" w:rsidR="006C620D" w:rsidRDefault="006C620D">
      <w:pPr>
        <w:pStyle w:val="FootnoteText"/>
      </w:pPr>
      <w:r>
        <w:rPr>
          <w:rStyle w:val="FootnoteReference"/>
        </w:rPr>
        <w:footnoteRef/>
      </w:r>
      <w:r>
        <w:t xml:space="preserve"> </w:t>
      </w:r>
      <w:r w:rsidRPr="00FB696B">
        <w:rPr>
          <w:i/>
        </w:rPr>
        <w:t>ibid.,</w:t>
      </w:r>
      <w:r>
        <w:t xml:space="preserve"> p.101.</w:t>
      </w:r>
    </w:p>
  </w:footnote>
  <w:footnote w:id="10">
    <w:p w14:paraId="78161530" w14:textId="5BB414D3" w:rsidR="006C620D" w:rsidRDefault="006C620D">
      <w:pPr>
        <w:pStyle w:val="FootnoteText"/>
      </w:pPr>
      <w:r>
        <w:rPr>
          <w:rStyle w:val="FootnoteReference"/>
        </w:rPr>
        <w:footnoteRef/>
      </w:r>
      <w:r w:rsidRPr="00FB696B">
        <w:rPr>
          <w:i/>
        </w:rPr>
        <w:t xml:space="preserve"> ibid</w:t>
      </w:r>
      <w:r>
        <w:t>., p. 18</w:t>
      </w:r>
    </w:p>
  </w:footnote>
  <w:footnote w:id="11">
    <w:p w14:paraId="494B9359" w14:textId="77777777" w:rsidR="006C620D" w:rsidRDefault="006C620D" w:rsidP="00EB6347">
      <w:pPr>
        <w:pStyle w:val="FootnoteText"/>
      </w:pPr>
      <w:r>
        <w:rPr>
          <w:rStyle w:val="FootnoteReference"/>
        </w:rPr>
        <w:footnoteRef/>
      </w:r>
      <w:r>
        <w:t xml:space="preserve"> </w:t>
      </w:r>
      <w:bookmarkStart w:id="1" w:name="_Hlk535251764"/>
      <w:r>
        <w:t>Nennius’s History of the Britons. In The works of Gildas and Nennius</w:t>
      </w:r>
    </w:p>
    <w:p w14:paraId="2B63FFA3" w14:textId="72550B96" w:rsidR="006C620D" w:rsidRDefault="006C620D" w:rsidP="00EB6347">
      <w:pPr>
        <w:pStyle w:val="FootnoteText"/>
      </w:pPr>
      <w:r>
        <w:t>by Gildas, 516?-570? (Giles, J. A., 1808-1884.) p. 29. https://archive.org/details/b29339364/page/n171 accessed 12/1/19.</w:t>
      </w:r>
    </w:p>
    <w:bookmarkEnd w:id="1"/>
  </w:footnote>
  <w:footnote w:id="12">
    <w:p w14:paraId="3905D9B0" w14:textId="78CB8E87" w:rsidR="006C620D" w:rsidRPr="0047162D" w:rsidRDefault="006C620D">
      <w:pPr>
        <w:pStyle w:val="FootnoteText"/>
      </w:pPr>
      <w:r>
        <w:rPr>
          <w:rStyle w:val="FootnoteReference"/>
        </w:rPr>
        <w:footnoteRef/>
      </w:r>
      <w:r>
        <w:t xml:space="preserve"> </w:t>
      </w:r>
      <w:bookmarkStart w:id="2" w:name="_Hlk535251803"/>
      <w:bookmarkStart w:id="3" w:name="_Hlk535081249"/>
      <w:r>
        <w:t xml:space="preserve">Geoffrey of Monmouth, </w:t>
      </w:r>
      <w:r w:rsidRPr="0047162D">
        <w:rPr>
          <w:i/>
        </w:rPr>
        <w:t>Histor</w:t>
      </w:r>
      <w:r>
        <w:rPr>
          <w:i/>
        </w:rPr>
        <w:t xml:space="preserve">y </w:t>
      </w:r>
      <w:bookmarkStart w:id="4" w:name="_Hlk535148929"/>
      <w:r>
        <w:rPr>
          <w:i/>
        </w:rPr>
        <w:t xml:space="preserve">of the Kings of Britain, </w:t>
      </w:r>
      <w:r>
        <w:t>A. Thompson, (trans) (In Parenthesis Publications, Medieval Latin series, Cambridge Ontario,1999)</w:t>
      </w:r>
      <w:bookmarkEnd w:id="2"/>
      <w:r>
        <w:t>,</w:t>
      </w:r>
      <w:bookmarkEnd w:id="4"/>
      <w:r>
        <w:t xml:space="preserve"> </w:t>
      </w:r>
      <w:r w:rsidRPr="0047162D">
        <w:t>p.</w:t>
      </w:r>
      <w:r>
        <w:rPr>
          <w:i/>
        </w:rPr>
        <w:t xml:space="preserve"> </w:t>
      </w:r>
      <w:r>
        <w:t>172</w:t>
      </w:r>
      <w:bookmarkEnd w:id="3"/>
      <w:r>
        <w:t xml:space="preserve">. </w:t>
      </w:r>
    </w:p>
  </w:footnote>
  <w:footnote w:id="13">
    <w:p w14:paraId="12DE3ACE" w14:textId="68C8326B" w:rsidR="006C620D" w:rsidRDefault="006C620D" w:rsidP="009B172E">
      <w:pPr>
        <w:pStyle w:val="FootnoteText"/>
      </w:pPr>
      <w:r>
        <w:rPr>
          <w:rStyle w:val="FootnoteReference"/>
        </w:rPr>
        <w:footnoteRef/>
      </w:r>
      <w:r>
        <w:t xml:space="preserve"> </w:t>
      </w:r>
      <w:bookmarkStart w:id="5" w:name="_Hlk535251894"/>
      <w:r>
        <w:t xml:space="preserve">C. Lloyd-Morgan, </w:t>
      </w:r>
      <w:r w:rsidRPr="00B75CEA">
        <w:rPr>
          <w:i/>
        </w:rPr>
        <w:t>Narratives and Non-Narratives</w:t>
      </w:r>
      <w:r>
        <w:t xml:space="preserve">, in (Arthurian Literature XXI: Celtic Arthurian Material. C. Lloyd-Morgan, DS Brewer, 2004) </w:t>
      </w:r>
      <w:bookmarkEnd w:id="5"/>
      <w:r>
        <w:t xml:space="preserve">p.134. </w:t>
      </w:r>
    </w:p>
  </w:footnote>
  <w:footnote w:id="14">
    <w:p w14:paraId="05F71A9B" w14:textId="614EC39C" w:rsidR="006C620D" w:rsidRDefault="006C620D">
      <w:pPr>
        <w:pStyle w:val="FootnoteText"/>
      </w:pPr>
      <w:r>
        <w:rPr>
          <w:rStyle w:val="FootnoteReference"/>
        </w:rPr>
        <w:footnoteRef/>
      </w:r>
      <w:r>
        <w:t xml:space="preserve"> </w:t>
      </w:r>
      <w:bookmarkStart w:id="6" w:name="_Hlk535251974"/>
      <w:r>
        <w:t xml:space="preserve">Triad 2, from R. Bromwich </w:t>
      </w:r>
      <w:r w:rsidRPr="00B75CEA">
        <w:rPr>
          <w:i/>
        </w:rPr>
        <w:t>Trioedd Ynys Prydein</w:t>
      </w:r>
      <w:r>
        <w:t xml:space="preserve">, in </w:t>
      </w:r>
      <w:r w:rsidRPr="00B75CEA">
        <w:t>J.B. Coe and S.</w:t>
      </w:r>
      <w:r>
        <w:t xml:space="preserve"> </w:t>
      </w:r>
      <w:r w:rsidRPr="00B75CEA">
        <w:t>Youn</w:t>
      </w:r>
      <w:r>
        <w:t>g</w:t>
      </w:r>
      <w:r w:rsidRPr="00B75CEA">
        <w:t xml:space="preserve"> (eds) The Celtic sources for the Arthurian Legend. (Llanerch Press. 1995.), </w:t>
      </w:r>
      <w:bookmarkEnd w:id="6"/>
      <w:r w:rsidRPr="00B75CEA">
        <w:t>p</w:t>
      </w:r>
      <w:r>
        <w:t>.77.</w:t>
      </w:r>
    </w:p>
  </w:footnote>
  <w:footnote w:id="15">
    <w:p w14:paraId="2FA9B7CE" w14:textId="0EB92552" w:rsidR="006C620D" w:rsidRDefault="006C620D">
      <w:pPr>
        <w:pStyle w:val="FootnoteText"/>
      </w:pPr>
      <w:r>
        <w:rPr>
          <w:rStyle w:val="FootnoteReference"/>
        </w:rPr>
        <w:footnoteRef/>
      </w:r>
      <w:r w:rsidRPr="009B172E">
        <w:t xml:space="preserve">Geoffrey of Monmouth, </w:t>
      </w:r>
      <w:r w:rsidRPr="009B172E">
        <w:rPr>
          <w:i/>
        </w:rPr>
        <w:t>History</w:t>
      </w:r>
      <w:r w:rsidRPr="004834E7">
        <w:t xml:space="preserve"> </w:t>
      </w:r>
      <w:r w:rsidRPr="004834E7">
        <w:rPr>
          <w:i/>
        </w:rPr>
        <w:t xml:space="preserve">of the Kings of Britain, </w:t>
      </w:r>
      <w:r w:rsidRPr="003738ED">
        <w:t>A. Thompson, (trans) (In Parenthesis Publications, Medieval Latin series, Cambridge Ontario,1999</w:t>
      </w:r>
      <w:r w:rsidR="003738ED" w:rsidRPr="003738ED">
        <w:t>),</w:t>
      </w:r>
      <w:r w:rsidR="003738ED" w:rsidRPr="009B172E">
        <w:t xml:space="preserve"> p.</w:t>
      </w:r>
      <w:r w:rsidRPr="009B172E">
        <w:t xml:space="preserve"> 1</w:t>
      </w:r>
      <w:r>
        <w:t>49.</w:t>
      </w:r>
    </w:p>
  </w:footnote>
  <w:footnote w:id="16">
    <w:p w14:paraId="45F593F7" w14:textId="77777777" w:rsidR="006C620D" w:rsidRDefault="006C620D" w:rsidP="0047162D">
      <w:pPr>
        <w:pStyle w:val="FootnoteText"/>
      </w:pPr>
      <w:r>
        <w:rPr>
          <w:rStyle w:val="FootnoteReference"/>
        </w:rPr>
        <w:footnoteRef/>
      </w:r>
      <w:r>
        <w:t xml:space="preserve"> Nennius’s History of the Britons. In The works of Gildas and Nennius</w:t>
      </w:r>
    </w:p>
    <w:p w14:paraId="398C88D6" w14:textId="7E05F5F1" w:rsidR="006C620D" w:rsidRDefault="006C620D" w:rsidP="0047162D">
      <w:pPr>
        <w:pStyle w:val="FootnoteText"/>
      </w:pPr>
      <w:r>
        <w:t>by Gildas, 516? -570? (Giles, J. A., 1808-1884.) p. 29. https://archive.org/details/b29339364/page/n171 accessed 12/1/19</w:t>
      </w:r>
    </w:p>
  </w:footnote>
  <w:footnote w:id="17">
    <w:p w14:paraId="1A2D24BD" w14:textId="18B808E8" w:rsidR="006C620D" w:rsidRDefault="006C620D">
      <w:pPr>
        <w:pStyle w:val="FootnoteText"/>
      </w:pPr>
      <w:r>
        <w:rPr>
          <w:rStyle w:val="FootnoteReference"/>
        </w:rPr>
        <w:footnoteRef/>
      </w:r>
      <w:r>
        <w:t xml:space="preserve"> </w:t>
      </w:r>
      <w:r w:rsidRPr="00B64BC1">
        <w:t xml:space="preserve">Geoffrey of Monmouth, History, </w:t>
      </w:r>
      <w:r>
        <w:t xml:space="preserve">A. Thompson (1999) </w:t>
      </w:r>
      <w:r w:rsidRPr="00B64BC1">
        <w:t>p.</w:t>
      </w:r>
      <w:r>
        <w:t xml:space="preserve"> 153.</w:t>
      </w:r>
      <w:r w:rsidRPr="00B64BC1">
        <w:t xml:space="preserve"> </w:t>
      </w:r>
    </w:p>
  </w:footnote>
  <w:footnote w:id="18">
    <w:p w14:paraId="264F8B32" w14:textId="0F44E696" w:rsidR="006C620D" w:rsidRDefault="006C620D">
      <w:pPr>
        <w:pStyle w:val="FootnoteText"/>
      </w:pPr>
      <w:r>
        <w:rPr>
          <w:rStyle w:val="FootnoteReference"/>
        </w:rPr>
        <w:footnoteRef/>
      </w:r>
      <w:r>
        <w:t xml:space="preserve"> </w:t>
      </w:r>
      <w:bookmarkStart w:id="9" w:name="_Hlk535252037"/>
      <w:bookmarkStart w:id="10" w:name="_Hlk535099052"/>
      <w:r>
        <w:t xml:space="preserve">J.B. Coe and S. Young (eds) </w:t>
      </w:r>
      <w:r w:rsidRPr="003A354D">
        <w:rPr>
          <w:i/>
        </w:rPr>
        <w:t>The Celtic sources for the Arthurian Legend</w:t>
      </w:r>
      <w:r>
        <w:t>. (Llanerch Press. 1995.)</w:t>
      </w:r>
      <w:bookmarkEnd w:id="9"/>
      <w:r>
        <w:t>, p</w:t>
      </w:r>
      <w:bookmarkEnd w:id="10"/>
      <w:r>
        <w:t>. 56.</w:t>
      </w:r>
    </w:p>
  </w:footnote>
  <w:footnote w:id="19">
    <w:p w14:paraId="7A7005D1" w14:textId="69055193" w:rsidR="006C620D" w:rsidRDefault="006C620D">
      <w:pPr>
        <w:pStyle w:val="FootnoteText"/>
      </w:pPr>
      <w:r>
        <w:rPr>
          <w:rStyle w:val="FootnoteReference"/>
        </w:rPr>
        <w:footnoteRef/>
      </w:r>
      <w:r>
        <w:t xml:space="preserve"> ‘Are any of the wonders still not obtained?’ </w:t>
      </w:r>
      <w:r w:rsidRPr="00283DED">
        <w:rPr>
          <w:i/>
        </w:rPr>
        <w:t>Culhwch and Olwen</w:t>
      </w:r>
      <w:r>
        <w:t>, in</w:t>
      </w:r>
      <w:r w:rsidRPr="00283DED">
        <w:t xml:space="preserve"> J.B. Coe and S. Young (eds) The Celtic sources for the Arthurian Legend. (Llanerch Press. 1995.), p. </w:t>
      </w:r>
      <w:r>
        <w:t>71</w:t>
      </w:r>
      <w:r w:rsidRPr="00283DED">
        <w:t>.</w:t>
      </w:r>
      <w:r>
        <w:t xml:space="preserve"> Arthur repeatedly asks the others what the next stage of the quest is throughout the text- his willingness to consult others perhaps a signifier of a civilised king.</w:t>
      </w:r>
    </w:p>
  </w:footnote>
  <w:footnote w:id="20">
    <w:p w14:paraId="053E7965" w14:textId="3190BAAB" w:rsidR="006C620D" w:rsidRDefault="006C620D">
      <w:pPr>
        <w:pStyle w:val="FootnoteText"/>
      </w:pPr>
      <w:r>
        <w:rPr>
          <w:rStyle w:val="FootnoteReference"/>
        </w:rPr>
        <w:footnoteRef/>
      </w:r>
      <w:bookmarkStart w:id="11" w:name="_Hlk535101136"/>
      <w:r w:rsidRPr="00960C29">
        <w:t xml:space="preserve">Geoffrey of Monmouth, </w:t>
      </w:r>
      <w:r w:rsidRPr="00231861">
        <w:rPr>
          <w:i/>
        </w:rPr>
        <w:t>History</w:t>
      </w:r>
      <w:r w:rsidRPr="00960C29">
        <w:t xml:space="preserve">, </w:t>
      </w:r>
      <w:r>
        <w:t>A. Thom</w:t>
      </w:r>
      <w:r w:rsidRPr="00960C29">
        <w:t>p</w:t>
      </w:r>
      <w:r>
        <w:t>son (1999)</w:t>
      </w:r>
      <w:r w:rsidRPr="00960C29">
        <w:t xml:space="preserve">. </w:t>
      </w:r>
      <w:r>
        <w:t>p.</w:t>
      </w:r>
      <w:r w:rsidRPr="00960C29">
        <w:t>1</w:t>
      </w:r>
      <w:r>
        <w:t>51</w:t>
      </w:r>
      <w:bookmarkEnd w:id="11"/>
      <w:r>
        <w:t xml:space="preserve">. </w:t>
      </w:r>
    </w:p>
  </w:footnote>
  <w:footnote w:id="21">
    <w:p w14:paraId="39ECD8C4" w14:textId="76A1C96D" w:rsidR="006C620D" w:rsidRPr="00CC0250" w:rsidRDefault="006C620D">
      <w:pPr>
        <w:pStyle w:val="FootnoteText"/>
      </w:pPr>
      <w:r>
        <w:rPr>
          <w:rStyle w:val="FootnoteReference"/>
        </w:rPr>
        <w:footnoteRef/>
      </w:r>
      <w:r>
        <w:t xml:space="preserve"> </w:t>
      </w:r>
      <w:r w:rsidRPr="00CC0250">
        <w:rPr>
          <w:i/>
        </w:rPr>
        <w:t>Ibid</w:t>
      </w:r>
      <w:r>
        <w:rPr>
          <w:i/>
        </w:rPr>
        <w:t>.,</w:t>
      </w:r>
      <w:r>
        <w:t xml:space="preserve"> p.160. </w:t>
      </w:r>
    </w:p>
  </w:footnote>
  <w:footnote w:id="22">
    <w:p w14:paraId="5F635245" w14:textId="31C6380C" w:rsidR="006C620D" w:rsidRDefault="006C620D">
      <w:pPr>
        <w:pStyle w:val="FootnoteText"/>
      </w:pPr>
      <w:r>
        <w:rPr>
          <w:rStyle w:val="FootnoteReference"/>
        </w:rPr>
        <w:footnoteRef/>
      </w:r>
      <w:r>
        <w:t xml:space="preserve"> </w:t>
      </w:r>
      <w:r w:rsidRPr="003A6803">
        <w:rPr>
          <w:i/>
        </w:rPr>
        <w:t>ibid</w:t>
      </w:r>
      <w:r>
        <w:t xml:space="preserve">., p. 164. </w:t>
      </w:r>
    </w:p>
  </w:footnote>
  <w:footnote w:id="23">
    <w:p w14:paraId="2754D8A7" w14:textId="0713EE17" w:rsidR="006C620D" w:rsidRDefault="006C620D">
      <w:pPr>
        <w:pStyle w:val="FootnoteText"/>
      </w:pPr>
      <w:r>
        <w:rPr>
          <w:rStyle w:val="FootnoteReference"/>
        </w:rPr>
        <w:footnoteRef/>
      </w:r>
      <w:r>
        <w:t xml:space="preserve"> </w:t>
      </w:r>
      <w:bookmarkStart w:id="13" w:name="_Hlk535170480"/>
      <w:bookmarkStart w:id="14" w:name="_Hlk535252121"/>
      <w:r w:rsidRPr="00D824AA">
        <w:t xml:space="preserve">O.J. Padel, </w:t>
      </w:r>
      <w:r w:rsidRPr="00192F6D">
        <w:t>‘</w:t>
      </w:r>
      <w:r w:rsidRPr="00192F6D">
        <w:rPr>
          <w:i/>
        </w:rPr>
        <w:t>Arthur in Medieval Welsh Literature</w:t>
      </w:r>
      <w:r w:rsidRPr="00192F6D">
        <w:t>.</w:t>
      </w:r>
      <w:bookmarkEnd w:id="13"/>
      <w:r w:rsidRPr="00192F6D">
        <w:t xml:space="preserve">’ </w:t>
      </w:r>
      <w:r w:rsidR="003738ED" w:rsidRPr="00192F6D">
        <w:t>(University</w:t>
      </w:r>
      <w:r w:rsidRPr="00192F6D">
        <w:t xml:space="preserve"> of Wales Press. 2000</w:t>
      </w:r>
      <w:bookmarkEnd w:id="14"/>
      <w:r w:rsidRPr="00192F6D">
        <w:t>) p.7</w:t>
      </w:r>
      <w:r>
        <w:t>5.</w:t>
      </w:r>
    </w:p>
  </w:footnote>
  <w:footnote w:id="24">
    <w:p w14:paraId="375706A5" w14:textId="1E0DA003" w:rsidR="006C620D" w:rsidRDefault="006C620D">
      <w:pPr>
        <w:pStyle w:val="FootnoteText"/>
      </w:pPr>
      <w:r>
        <w:rPr>
          <w:rStyle w:val="FootnoteReference"/>
        </w:rPr>
        <w:footnoteRef/>
      </w:r>
      <w:r>
        <w:t xml:space="preserve"> </w:t>
      </w:r>
      <w:r w:rsidRPr="000E42B4">
        <w:rPr>
          <w:i/>
        </w:rPr>
        <w:t>ibi</w:t>
      </w:r>
      <w:r>
        <w:t>d., p75.</w:t>
      </w:r>
    </w:p>
  </w:footnote>
  <w:footnote w:id="25">
    <w:p w14:paraId="4174B322" w14:textId="0DA2918C" w:rsidR="006C620D" w:rsidRDefault="006C620D">
      <w:pPr>
        <w:pStyle w:val="FootnoteText"/>
      </w:pPr>
      <w:r>
        <w:rPr>
          <w:rStyle w:val="FootnoteReference"/>
        </w:rPr>
        <w:footnoteRef/>
      </w:r>
      <w:r>
        <w:t xml:space="preserve"> </w:t>
      </w:r>
      <w:r w:rsidRPr="000E42B4">
        <w:t xml:space="preserve">Geoffrey of Monmouth, </w:t>
      </w:r>
      <w:r w:rsidRPr="000E42B4">
        <w:rPr>
          <w:i/>
        </w:rPr>
        <w:t>History</w:t>
      </w:r>
      <w:r w:rsidRPr="000E42B4">
        <w:t xml:space="preserve">, A. Thompson (1999). </w:t>
      </w:r>
      <w:r>
        <w:t xml:space="preserve">P. </w:t>
      </w:r>
      <w:r w:rsidRPr="000E42B4">
        <w:t>1</w:t>
      </w:r>
      <w:r>
        <w:t>9</w:t>
      </w:r>
      <w:r w:rsidRPr="000E42B4">
        <w:t>1</w:t>
      </w:r>
    </w:p>
  </w:footnote>
  <w:footnote w:id="26">
    <w:p w14:paraId="34D34D79" w14:textId="5C03E67E" w:rsidR="006C620D" w:rsidRPr="000E42B4" w:rsidRDefault="006C620D">
      <w:pPr>
        <w:pStyle w:val="FootnoteText"/>
      </w:pPr>
      <w:r>
        <w:rPr>
          <w:rStyle w:val="FootnoteReference"/>
        </w:rPr>
        <w:footnoteRef/>
      </w:r>
      <w:r>
        <w:t xml:space="preserve"> </w:t>
      </w:r>
      <w:bookmarkStart w:id="15" w:name="_Hlk535172704"/>
      <w:r w:rsidRPr="000E42B4">
        <w:t xml:space="preserve">O.J. Padel, </w:t>
      </w:r>
      <w:r w:rsidRPr="000E42B4">
        <w:rPr>
          <w:i/>
        </w:rPr>
        <w:t>‘Arthur in Medieval Welsh Literature.’</w:t>
      </w:r>
      <w:r>
        <w:t>p.76</w:t>
      </w:r>
      <w:bookmarkEnd w:id="15"/>
      <w:r>
        <w:t xml:space="preserve">. </w:t>
      </w:r>
    </w:p>
  </w:footnote>
  <w:footnote w:id="27">
    <w:p w14:paraId="542794DD" w14:textId="6D90201D" w:rsidR="006C620D" w:rsidRDefault="006C620D">
      <w:pPr>
        <w:pStyle w:val="FootnoteText"/>
      </w:pPr>
      <w:r>
        <w:rPr>
          <w:rStyle w:val="FootnoteReference"/>
        </w:rPr>
        <w:footnoteRef/>
      </w:r>
      <w:r>
        <w:t xml:space="preserve"> </w:t>
      </w:r>
      <w:r w:rsidRPr="00614E8A">
        <w:t>O.J. Padel, ‘</w:t>
      </w:r>
      <w:r w:rsidRPr="00C05F0D">
        <w:rPr>
          <w:i/>
        </w:rPr>
        <w:t>Arthur in Medieval Welsh Literature</w:t>
      </w:r>
      <w:r w:rsidRPr="00614E8A">
        <w:t>.’p.76</w:t>
      </w:r>
      <w:r>
        <w:t>.</w:t>
      </w:r>
    </w:p>
  </w:footnote>
  <w:footnote w:id="28">
    <w:p w14:paraId="640DE010" w14:textId="5DDCE0EB" w:rsidR="006C620D" w:rsidRDefault="006C620D">
      <w:pPr>
        <w:pStyle w:val="FootnoteText"/>
      </w:pPr>
      <w:r>
        <w:rPr>
          <w:rStyle w:val="FootnoteReference"/>
        </w:rPr>
        <w:footnoteRef/>
      </w:r>
      <w:r>
        <w:t xml:space="preserve"> </w:t>
      </w:r>
      <w:bookmarkStart w:id="16" w:name="_Hlk535174330"/>
      <w:r w:rsidRPr="00EE7BC3">
        <w:t>Geoffrey of Monmouth, History, A. Thompson (1999). p.1</w:t>
      </w:r>
      <w:r>
        <w:t>64</w:t>
      </w:r>
      <w:bookmarkEnd w:id="16"/>
      <w:r w:rsidRPr="00EE7BC3">
        <w:t>.</w:t>
      </w:r>
    </w:p>
  </w:footnote>
  <w:footnote w:id="29">
    <w:p w14:paraId="61F2D048" w14:textId="22A19697" w:rsidR="006C620D" w:rsidRDefault="006C620D">
      <w:pPr>
        <w:pStyle w:val="FootnoteText"/>
      </w:pPr>
      <w:r>
        <w:rPr>
          <w:rStyle w:val="FootnoteReference"/>
        </w:rPr>
        <w:footnoteRef/>
      </w:r>
      <w:r>
        <w:t xml:space="preserve"> </w:t>
      </w:r>
      <w:bookmarkStart w:id="17" w:name="_Hlk535176754"/>
      <w:bookmarkStart w:id="18" w:name="_Hlk535252783"/>
      <w:r w:rsidRPr="00EB6E2A">
        <w:t>J.</w:t>
      </w:r>
      <w:r w:rsidR="003738ED">
        <w:t xml:space="preserve"> </w:t>
      </w:r>
      <w:r w:rsidRPr="00EB6E2A">
        <w:t xml:space="preserve">Crick, </w:t>
      </w:r>
      <w:r w:rsidRPr="00C05F0D">
        <w:rPr>
          <w:i/>
        </w:rPr>
        <w:t>'The British Past and the Welsh Future: Gerald of Wales, Geoffrey of Monmouth and Arthur of Britain</w:t>
      </w:r>
      <w:r w:rsidRPr="00EB6E2A">
        <w:t>', Celtica 23 (1999</w:t>
      </w:r>
      <w:bookmarkEnd w:id="17"/>
      <w:r w:rsidRPr="00EB6E2A">
        <w:t xml:space="preserve">), </w:t>
      </w:r>
      <w:bookmarkEnd w:id="18"/>
      <w:r w:rsidRPr="00EB6E2A">
        <w:t>p. 66.</w:t>
      </w:r>
    </w:p>
  </w:footnote>
  <w:footnote w:id="30">
    <w:p w14:paraId="0C8912D5" w14:textId="530CED5E" w:rsidR="006C620D" w:rsidRDefault="006C620D">
      <w:pPr>
        <w:pStyle w:val="FootnoteText"/>
      </w:pPr>
      <w:r>
        <w:rPr>
          <w:rStyle w:val="FootnoteReference"/>
        </w:rPr>
        <w:footnoteRef/>
      </w:r>
      <w:r>
        <w:t xml:space="preserve"> </w:t>
      </w:r>
      <w:r w:rsidRPr="00EB6E2A">
        <w:rPr>
          <w:i/>
        </w:rPr>
        <w:t>ibid</w:t>
      </w:r>
      <w:r>
        <w:t>., p. 66.</w:t>
      </w:r>
    </w:p>
  </w:footnote>
  <w:footnote w:id="31">
    <w:p w14:paraId="625345A3" w14:textId="3CE66097" w:rsidR="006C620D" w:rsidRDefault="006C620D">
      <w:pPr>
        <w:pStyle w:val="FootnoteText"/>
      </w:pPr>
      <w:r>
        <w:rPr>
          <w:rStyle w:val="FootnoteReference"/>
        </w:rPr>
        <w:footnoteRef/>
      </w:r>
      <w:r>
        <w:t xml:space="preserve"> </w:t>
      </w:r>
      <w:bookmarkStart w:id="19" w:name="_Hlk535176998"/>
      <w:bookmarkStart w:id="20" w:name="_Hlk535252274"/>
      <w:r>
        <w:t xml:space="preserve">B.F. </w:t>
      </w:r>
      <w:r w:rsidRPr="00BC58F3">
        <w:t xml:space="preserve">Roberts, </w:t>
      </w:r>
      <w:r w:rsidRPr="00BC58F3">
        <w:rPr>
          <w:i/>
        </w:rPr>
        <w:t>'Geoffrey of Monmouth and Welsh Historical Tradition'</w:t>
      </w:r>
      <w:bookmarkEnd w:id="19"/>
      <w:r w:rsidRPr="00BC58F3">
        <w:t>, Nottingham Medieval Studies 20 (1976)</w:t>
      </w:r>
      <w:bookmarkEnd w:id="20"/>
      <w:r w:rsidRPr="00BC58F3">
        <w:t>,</w:t>
      </w:r>
      <w:r>
        <w:t xml:space="preserve"> p. 39.</w:t>
      </w:r>
    </w:p>
  </w:footnote>
  <w:footnote w:id="32">
    <w:p w14:paraId="0B162FC9" w14:textId="2C1AD51B" w:rsidR="006C620D" w:rsidRDefault="006C620D">
      <w:pPr>
        <w:pStyle w:val="FootnoteText"/>
      </w:pPr>
      <w:r>
        <w:rPr>
          <w:rStyle w:val="FootnoteReference"/>
        </w:rPr>
        <w:footnoteRef/>
      </w:r>
      <w:r>
        <w:t xml:space="preserve"> </w:t>
      </w:r>
      <w:r w:rsidRPr="006C620D">
        <w:t>J.</w:t>
      </w:r>
      <w:r w:rsidR="003738ED">
        <w:t xml:space="preserve"> </w:t>
      </w:r>
      <w:r w:rsidRPr="006C620D">
        <w:t>Crick, 'The British Past</w:t>
      </w:r>
      <w:r>
        <w:t>…</w:t>
      </w:r>
      <w:r w:rsidRPr="006C620D">
        <w:t>',</w:t>
      </w:r>
      <w:r>
        <w:t xml:space="preserve"> </w:t>
      </w:r>
      <w:r w:rsidRPr="006C620D">
        <w:t>(1999</w:t>
      </w:r>
      <w:r>
        <w:t>) p. 66.</w:t>
      </w:r>
    </w:p>
  </w:footnote>
  <w:footnote w:id="33">
    <w:p w14:paraId="1F264882" w14:textId="600EB773" w:rsidR="006C620D" w:rsidRDefault="006C620D" w:rsidP="004812AF">
      <w:pPr>
        <w:pStyle w:val="FootnoteText"/>
      </w:pPr>
      <w:r>
        <w:rPr>
          <w:rStyle w:val="FootnoteReference"/>
        </w:rPr>
        <w:footnoteRef/>
      </w:r>
      <w:r>
        <w:t xml:space="preserve"> </w:t>
      </w:r>
      <w:bookmarkStart w:id="21" w:name="_Hlk535252327"/>
      <w:bookmarkStart w:id="22" w:name="_Hlk535169201"/>
      <w:r>
        <w:t xml:space="preserve">O.J. Padel, </w:t>
      </w:r>
      <w:r w:rsidRPr="004812AF">
        <w:rPr>
          <w:i/>
        </w:rPr>
        <w:t>'The Nature of Arthur'</w:t>
      </w:r>
      <w:r>
        <w:t xml:space="preserve">, Cambrian Medieval Celtic Studies 27 (Summer 1994), </w:t>
      </w:r>
      <w:bookmarkEnd w:id="21"/>
      <w:r>
        <w:t xml:space="preserve">p. 9.  </w:t>
      </w:r>
      <w:bookmarkEnd w:id="22"/>
    </w:p>
  </w:footnote>
  <w:footnote w:id="34">
    <w:p w14:paraId="31780CFA" w14:textId="026CEE85" w:rsidR="006C620D" w:rsidRDefault="006C620D">
      <w:pPr>
        <w:pStyle w:val="FootnoteText"/>
      </w:pPr>
      <w:r>
        <w:rPr>
          <w:rStyle w:val="FootnoteReference"/>
        </w:rPr>
        <w:footnoteRef/>
      </w:r>
      <w:r>
        <w:t xml:space="preserve"> </w:t>
      </w:r>
      <w:r w:rsidRPr="006C620D">
        <w:t>B.F. Roberts, 'Geoffrey of Monmouth and Welsh Historical Tradition'</w:t>
      </w:r>
      <w:r>
        <w:t>, p. 35.</w:t>
      </w:r>
    </w:p>
  </w:footnote>
  <w:footnote w:id="35">
    <w:p w14:paraId="018AFF40" w14:textId="653665AF" w:rsidR="006C620D" w:rsidRDefault="006C620D">
      <w:pPr>
        <w:pStyle w:val="FootnoteText"/>
      </w:pPr>
      <w:r>
        <w:rPr>
          <w:rStyle w:val="FootnoteReference"/>
        </w:rPr>
        <w:footnoteRef/>
      </w:r>
      <w:r>
        <w:t xml:space="preserve"> </w:t>
      </w:r>
      <w:r w:rsidRPr="006C620D">
        <w:t>S. Echard,'The Anger of Saturn shall fall': Geoffrey of Monmouth's Historia Regum Britannic and the Limits of History' in her Arthurian Narrative in the Latin Tradition (Cambridge: CUP, 1998), p.</w:t>
      </w:r>
      <w:r>
        <w:t>34</w:t>
      </w:r>
      <w:r w:rsidRPr="006C620D">
        <w:t>.</w:t>
      </w:r>
    </w:p>
  </w:footnote>
  <w:footnote w:id="36">
    <w:p w14:paraId="76A0015C" w14:textId="3620DA67" w:rsidR="006C620D" w:rsidRDefault="006C620D">
      <w:pPr>
        <w:pStyle w:val="FootnoteText"/>
      </w:pPr>
      <w:r>
        <w:rPr>
          <w:rStyle w:val="FootnoteReference"/>
        </w:rPr>
        <w:footnoteRef/>
      </w:r>
      <w:r>
        <w:t xml:space="preserve"> </w:t>
      </w:r>
      <w:bookmarkStart w:id="23" w:name="_Hlk535152117"/>
      <w:bookmarkStart w:id="24" w:name="_Hlk535177232"/>
      <w:r w:rsidR="00C05F0D" w:rsidRPr="00C05F0D">
        <w:rPr>
          <w:i/>
        </w:rPr>
        <w:t>ibid</w:t>
      </w:r>
      <w:r w:rsidR="00C05F0D">
        <w:t xml:space="preserve">., </w:t>
      </w:r>
      <w:bookmarkEnd w:id="23"/>
      <w:r w:rsidRPr="00385365">
        <w:t>p</w:t>
      </w:r>
      <w:r>
        <w:t>.</w:t>
      </w:r>
      <w:r w:rsidR="00865AF4">
        <w:t>66</w:t>
      </w:r>
      <w:r>
        <w:t>.</w:t>
      </w:r>
      <w:bookmarkEnd w:id="24"/>
    </w:p>
  </w:footnote>
  <w:footnote w:id="37">
    <w:p w14:paraId="17B719DA" w14:textId="43C48457" w:rsidR="006C620D" w:rsidRDefault="006C620D">
      <w:pPr>
        <w:pStyle w:val="FootnoteText"/>
      </w:pPr>
      <w:r>
        <w:rPr>
          <w:rStyle w:val="FootnoteReference"/>
        </w:rPr>
        <w:footnoteRef/>
      </w:r>
      <w:r>
        <w:t xml:space="preserve"> </w:t>
      </w:r>
      <w:r w:rsidRPr="007D665C">
        <w:rPr>
          <w:i/>
        </w:rPr>
        <w:t>ibid</w:t>
      </w:r>
      <w:r>
        <w:t>., p. 32.</w:t>
      </w:r>
    </w:p>
  </w:footnote>
  <w:footnote w:id="38">
    <w:p w14:paraId="0AA8CB41" w14:textId="398D7E72" w:rsidR="006C620D" w:rsidRDefault="006C620D" w:rsidP="00D42CFD">
      <w:pPr>
        <w:pStyle w:val="FootnoteText"/>
      </w:pPr>
      <w:r w:rsidRPr="00D42CFD">
        <w:rPr>
          <w:rStyle w:val="FootnoteReference"/>
          <w:i/>
        </w:rPr>
        <w:footnoteRef/>
      </w:r>
      <w:r w:rsidRPr="00D42CFD">
        <w:rPr>
          <w:i/>
        </w:rPr>
        <w:t xml:space="preserve"> </w:t>
      </w:r>
      <w:bookmarkStart w:id="25" w:name="_Hlk535079195"/>
      <w:r>
        <w:rPr>
          <w:i/>
        </w:rPr>
        <w:t xml:space="preserve">ibid., </w:t>
      </w:r>
      <w:r>
        <w:t xml:space="preserve">p.7. </w:t>
      </w:r>
      <w:hyperlink r:id="rId1" w:history="1">
        <w:r w:rsidRPr="00E06256">
          <w:rPr>
            <w:rStyle w:val="Hyperlink"/>
          </w:rPr>
          <w:t>https://archive.org/details/b29339364/page/n171</w:t>
        </w:r>
      </w:hyperlink>
      <w:r>
        <w:t xml:space="preserve"> accessed 12/1/19.</w:t>
      </w:r>
    </w:p>
    <w:bookmarkEnd w:id="25"/>
  </w:footnote>
  <w:footnote w:id="39">
    <w:p w14:paraId="043A0060" w14:textId="353E1D2E" w:rsidR="006C620D" w:rsidRDefault="006C620D">
      <w:pPr>
        <w:pStyle w:val="FootnoteText"/>
      </w:pPr>
      <w:r>
        <w:rPr>
          <w:rStyle w:val="FootnoteReference"/>
        </w:rPr>
        <w:footnoteRef/>
      </w:r>
      <w:r>
        <w:t xml:space="preserve"> Tatlock in </w:t>
      </w:r>
      <w:bookmarkStart w:id="26" w:name="_Hlk535252544"/>
      <w:r w:rsidRPr="00323149">
        <w:t>H</w:t>
      </w:r>
      <w:r>
        <w:t xml:space="preserve">. </w:t>
      </w:r>
      <w:r w:rsidR="00C05F0D">
        <w:t>Faulton.,</w:t>
      </w:r>
      <w:r w:rsidRPr="00323149">
        <w:rPr>
          <w:i/>
        </w:rPr>
        <w:t xml:space="preserve"> History and Myth: Geoffrey of Monmouth's Historia Regum Britanniae</w:t>
      </w:r>
      <w:r w:rsidRPr="00323149">
        <w:t xml:space="preserve"> in H. Fulton (ed.), A Companion to Arthurian Literature (Chichester: Blackwell Publishing, 2009)</w:t>
      </w:r>
      <w:bookmarkEnd w:id="26"/>
      <w:r w:rsidRPr="00323149">
        <w:t>, p. 7</w:t>
      </w:r>
      <w:r>
        <w:t>2.</w:t>
      </w:r>
    </w:p>
  </w:footnote>
  <w:footnote w:id="40">
    <w:p w14:paraId="1A0D3499" w14:textId="276BBD65" w:rsidR="006C620D" w:rsidRDefault="006C620D">
      <w:pPr>
        <w:pStyle w:val="FootnoteText"/>
      </w:pPr>
      <w:r>
        <w:rPr>
          <w:rStyle w:val="FootnoteReference"/>
        </w:rPr>
        <w:footnoteRef/>
      </w:r>
      <w:r>
        <w:t xml:space="preserve"> </w:t>
      </w:r>
      <w:r w:rsidRPr="00323149">
        <w:rPr>
          <w:i/>
        </w:rPr>
        <w:t>ibid</w:t>
      </w:r>
      <w:r w:rsidRPr="00323149">
        <w:t>., p. 72</w:t>
      </w:r>
    </w:p>
  </w:footnote>
  <w:footnote w:id="41">
    <w:p w14:paraId="46630265" w14:textId="17B4BDE5" w:rsidR="006C620D" w:rsidRDefault="006C620D">
      <w:pPr>
        <w:pStyle w:val="FootnoteText"/>
      </w:pPr>
      <w:r>
        <w:rPr>
          <w:rStyle w:val="FootnoteReference"/>
        </w:rPr>
        <w:footnoteRef/>
      </w:r>
      <w:r>
        <w:t xml:space="preserve"> </w:t>
      </w:r>
      <w:bookmarkStart w:id="27" w:name="_Hlk535075310"/>
      <w:r w:rsidRPr="00323149">
        <w:rPr>
          <w:i/>
        </w:rPr>
        <w:t>ibid</w:t>
      </w:r>
      <w:r>
        <w:t>., p. 72</w:t>
      </w:r>
      <w:bookmarkEnd w:id="27"/>
    </w:p>
  </w:footnote>
  <w:footnote w:id="42">
    <w:p w14:paraId="0FAFAB3D" w14:textId="4F3959BF" w:rsidR="006C620D" w:rsidRDefault="006C620D">
      <w:pPr>
        <w:pStyle w:val="FootnoteText"/>
      </w:pPr>
      <w:r>
        <w:rPr>
          <w:rStyle w:val="FootnoteReference"/>
        </w:rPr>
        <w:footnoteRef/>
      </w:r>
      <w:r>
        <w:t xml:space="preserve"> </w:t>
      </w:r>
      <w:bookmarkStart w:id="28" w:name="_Hlk535181770"/>
      <w:r w:rsidRPr="00C03C4E">
        <w:t>S. Echard,</w:t>
      </w:r>
      <w:r w:rsidRPr="00C03C4E">
        <w:rPr>
          <w:i/>
        </w:rPr>
        <w:t>'The Anger of Saturn shall fall</w:t>
      </w:r>
      <w:r w:rsidR="003738ED" w:rsidRPr="00C03C4E">
        <w:rPr>
          <w:i/>
        </w:rPr>
        <w:t>’, p.</w:t>
      </w:r>
      <w:r>
        <w:t>34</w:t>
      </w:r>
      <w:bookmarkEnd w:id="28"/>
      <w:r>
        <w:t>.</w:t>
      </w:r>
    </w:p>
  </w:footnote>
  <w:footnote w:id="43">
    <w:p w14:paraId="07715826" w14:textId="09450DC6" w:rsidR="006C620D" w:rsidRDefault="006C620D">
      <w:pPr>
        <w:pStyle w:val="FootnoteText"/>
      </w:pPr>
      <w:r>
        <w:rPr>
          <w:rStyle w:val="FootnoteReference"/>
        </w:rPr>
        <w:footnoteRef/>
      </w:r>
      <w:r>
        <w:t xml:space="preserve"> G. Spiegel, </w:t>
      </w:r>
      <w:r w:rsidR="003738ED">
        <w:t xml:space="preserve">in S. </w:t>
      </w:r>
      <w:r w:rsidRPr="004E0F90">
        <w:t>Echard,'The Anger of Saturn shall fall'</w:t>
      </w:r>
      <w:r>
        <w:t xml:space="preserve">, pp.32-33. </w:t>
      </w:r>
    </w:p>
  </w:footnote>
  <w:footnote w:id="44">
    <w:p w14:paraId="476B1A7C" w14:textId="39A07958" w:rsidR="006C620D" w:rsidRDefault="006C620D">
      <w:pPr>
        <w:pStyle w:val="FootnoteText"/>
      </w:pPr>
      <w:r>
        <w:rPr>
          <w:rStyle w:val="FootnoteReference"/>
        </w:rPr>
        <w:footnoteRef/>
      </w:r>
      <w:r>
        <w:t xml:space="preserve"> </w:t>
      </w:r>
      <w:bookmarkStart w:id="29" w:name="_Hlk535181330"/>
      <w:r>
        <w:t>O.J. Padel, ‘</w:t>
      </w:r>
      <w:r w:rsidRPr="00192F6D">
        <w:rPr>
          <w:i/>
        </w:rPr>
        <w:t>Arthur in Medieval Welsh Literature</w:t>
      </w:r>
      <w:r>
        <w:t xml:space="preserve">.’ (University of Wales Press. 2000) p.72.  </w:t>
      </w:r>
      <w:bookmarkEnd w:id="29"/>
    </w:p>
  </w:footnote>
  <w:footnote w:id="45">
    <w:p w14:paraId="7E9F2DDE" w14:textId="392E1BEE" w:rsidR="006C620D" w:rsidRDefault="006C620D">
      <w:pPr>
        <w:pStyle w:val="FootnoteText"/>
      </w:pPr>
      <w:r>
        <w:rPr>
          <w:rStyle w:val="FootnoteReference"/>
        </w:rPr>
        <w:footnoteRef/>
      </w:r>
      <w:r>
        <w:t xml:space="preserve"> </w:t>
      </w:r>
      <w:r w:rsidR="00C05F0D" w:rsidRPr="00C05F0D">
        <w:t>J.</w:t>
      </w:r>
      <w:r w:rsidR="003738ED">
        <w:t xml:space="preserve"> </w:t>
      </w:r>
      <w:r w:rsidR="00C05F0D" w:rsidRPr="00C05F0D">
        <w:t xml:space="preserve">Crick, 'The British </w:t>
      </w:r>
      <w:r w:rsidR="00C05F0D">
        <w:t xml:space="preserve">past…’ </w:t>
      </w:r>
      <w:r w:rsidR="00C05F0D" w:rsidRPr="00C05F0D">
        <w:t xml:space="preserve">(1999), </w:t>
      </w:r>
      <w:r w:rsidR="00C05F0D">
        <w:t>p.74</w:t>
      </w:r>
    </w:p>
  </w:footnote>
  <w:footnote w:id="46">
    <w:p w14:paraId="7164CFC2" w14:textId="669FF282" w:rsidR="006C620D" w:rsidRDefault="006C620D">
      <w:pPr>
        <w:pStyle w:val="FootnoteText"/>
      </w:pPr>
      <w:r>
        <w:rPr>
          <w:rStyle w:val="FootnoteReference"/>
        </w:rPr>
        <w:footnoteRef/>
      </w:r>
      <w:r>
        <w:t xml:space="preserve"> </w:t>
      </w:r>
      <w:bookmarkStart w:id="30" w:name="_Hlk535182114"/>
      <w:bookmarkStart w:id="31" w:name="_Hlk535252880"/>
      <w:r>
        <w:t xml:space="preserve">J. </w:t>
      </w:r>
      <w:r w:rsidRPr="00516203">
        <w:t xml:space="preserve">Gillingham, </w:t>
      </w:r>
      <w:r w:rsidRPr="00516203">
        <w:rPr>
          <w:i/>
        </w:rPr>
        <w:t xml:space="preserve">'The Context and Purposes </w:t>
      </w:r>
      <w:bookmarkEnd w:id="30"/>
      <w:r w:rsidRPr="00516203">
        <w:rPr>
          <w:i/>
        </w:rPr>
        <w:t>of Geoffrey of Monmouth's History of the Kings of Britain'</w:t>
      </w:r>
      <w:r w:rsidRPr="00516203">
        <w:t>, Anglo-Norman Studies 13 (1990),</w:t>
      </w:r>
      <w:r>
        <w:t xml:space="preserve"> </w:t>
      </w:r>
      <w:bookmarkEnd w:id="31"/>
      <w:r>
        <w:t>p. 100.</w:t>
      </w:r>
    </w:p>
  </w:footnote>
  <w:footnote w:id="47">
    <w:p w14:paraId="66F5CB61" w14:textId="780DE89C" w:rsidR="006C620D" w:rsidRDefault="006C620D">
      <w:pPr>
        <w:pStyle w:val="FootnoteText"/>
      </w:pPr>
      <w:r>
        <w:rPr>
          <w:rStyle w:val="FootnoteReference"/>
        </w:rPr>
        <w:footnoteRef/>
      </w:r>
      <w:r>
        <w:t xml:space="preserve"> </w:t>
      </w:r>
      <w:r w:rsidRPr="0086265B">
        <w:rPr>
          <w:i/>
        </w:rPr>
        <w:t>ibid</w:t>
      </w:r>
      <w:r>
        <w:t xml:space="preserve">., p.103. </w:t>
      </w:r>
    </w:p>
  </w:footnote>
  <w:footnote w:id="48">
    <w:p w14:paraId="7758AD10" w14:textId="3AA2B334" w:rsidR="006C620D" w:rsidRDefault="006C620D">
      <w:pPr>
        <w:pStyle w:val="FootnoteText"/>
      </w:pPr>
      <w:r>
        <w:rPr>
          <w:rStyle w:val="FootnoteReference"/>
        </w:rPr>
        <w:footnoteRef/>
      </w:r>
      <w:r>
        <w:t xml:space="preserve"> </w:t>
      </w:r>
      <w:r w:rsidRPr="0086265B">
        <w:t xml:space="preserve">Geoffrey of Monmouth, </w:t>
      </w:r>
      <w:r w:rsidRPr="0086265B">
        <w:rPr>
          <w:i/>
        </w:rPr>
        <w:t>History</w:t>
      </w:r>
      <w:r w:rsidRPr="0086265B">
        <w:t>, A. Thompson (1999). p.</w:t>
      </w:r>
      <w:r>
        <w:t>212.</w:t>
      </w:r>
    </w:p>
  </w:footnote>
  <w:footnote w:id="49">
    <w:p w14:paraId="1300055D" w14:textId="55D60E54" w:rsidR="006C620D" w:rsidRDefault="006C620D">
      <w:pPr>
        <w:pStyle w:val="FootnoteText"/>
      </w:pPr>
      <w:r>
        <w:rPr>
          <w:rStyle w:val="FootnoteReference"/>
        </w:rPr>
        <w:footnoteRef/>
      </w:r>
      <w:r>
        <w:t xml:space="preserve"> </w:t>
      </w:r>
      <w:bookmarkStart w:id="32" w:name="_Hlk535181582"/>
      <w:r>
        <w:t xml:space="preserve">J. </w:t>
      </w:r>
      <w:r w:rsidR="003738ED" w:rsidRPr="003C496D">
        <w:t>Crick,</w:t>
      </w:r>
      <w:r w:rsidR="003738ED" w:rsidRPr="003C496D">
        <w:rPr>
          <w:i/>
        </w:rPr>
        <w:t xml:space="preserve"> ‘The</w:t>
      </w:r>
      <w:r w:rsidRPr="003C496D">
        <w:rPr>
          <w:i/>
        </w:rPr>
        <w:t xml:space="preserve"> British Past and the Welsh Future: </w:t>
      </w:r>
      <w:bookmarkEnd w:id="32"/>
      <w:r w:rsidRPr="003C496D">
        <w:rPr>
          <w:i/>
        </w:rPr>
        <w:t>Gerald of Wales, Geoffrey of Monmouth and Arthur of Britain'</w:t>
      </w:r>
      <w:r w:rsidRPr="003C496D">
        <w:t>, Celtica 23 (1999</w:t>
      </w:r>
      <w:r w:rsidR="003738ED" w:rsidRPr="003C496D">
        <w:t>),</w:t>
      </w:r>
      <w:r w:rsidR="003738ED">
        <w:t xml:space="preserve"> p.</w:t>
      </w:r>
      <w:r>
        <w:t>.68.</w:t>
      </w:r>
    </w:p>
  </w:footnote>
  <w:footnote w:id="50">
    <w:p w14:paraId="45D9DABD" w14:textId="19F0EF05" w:rsidR="006C620D" w:rsidRDefault="006C620D">
      <w:pPr>
        <w:pStyle w:val="FootnoteText"/>
      </w:pPr>
      <w:r>
        <w:rPr>
          <w:rStyle w:val="FootnoteReference"/>
        </w:rPr>
        <w:footnoteRef/>
      </w:r>
      <w:r>
        <w:t xml:space="preserve"> </w:t>
      </w:r>
      <w:r w:rsidRPr="003C496D">
        <w:t>Geoffrey of Monmouth, The History of the Kings of Britain, ed and trans L. Thorpe, (Penguin, London 1966) p. 1</w:t>
      </w:r>
      <w:r>
        <w:t>9</w:t>
      </w:r>
      <w:r w:rsidRPr="003C496D">
        <w:t>.</w:t>
      </w:r>
    </w:p>
  </w:footnote>
  <w:footnote w:id="51">
    <w:p w14:paraId="4CF12D51" w14:textId="426B404B" w:rsidR="000F3172" w:rsidRDefault="000F3172">
      <w:pPr>
        <w:pStyle w:val="FootnoteText"/>
      </w:pPr>
      <w:r>
        <w:rPr>
          <w:rStyle w:val="FootnoteReference"/>
        </w:rPr>
        <w:footnoteRef/>
      </w:r>
      <w:r>
        <w:t xml:space="preserve"> </w:t>
      </w:r>
      <w:r w:rsidRPr="000F3172">
        <w:t xml:space="preserve">J. </w:t>
      </w:r>
      <w:r w:rsidR="003738ED" w:rsidRPr="000F3172">
        <w:t>Crick, ‘The</w:t>
      </w:r>
      <w:r w:rsidRPr="000F3172">
        <w:t xml:space="preserve"> British Past and the Welsh Future:</w:t>
      </w:r>
      <w:r>
        <w:t xml:space="preserve">’ p. </w:t>
      </w:r>
      <w:r w:rsidR="001C52AC">
        <w:t>68.</w:t>
      </w:r>
    </w:p>
  </w:footnote>
  <w:footnote w:id="52">
    <w:p w14:paraId="16473241" w14:textId="30ED30F3" w:rsidR="00767670" w:rsidRDefault="00767670">
      <w:pPr>
        <w:pStyle w:val="FootnoteText"/>
      </w:pPr>
      <w:r>
        <w:rPr>
          <w:rStyle w:val="FootnoteReference"/>
        </w:rPr>
        <w:footnoteRef/>
      </w:r>
      <w:r>
        <w:t xml:space="preserve"> </w:t>
      </w:r>
      <w:r w:rsidRPr="00767670">
        <w:t>D</w:t>
      </w:r>
      <w:r>
        <w:t xml:space="preserve">. </w:t>
      </w:r>
      <w:r w:rsidRPr="00767670">
        <w:t>Ó Corráin</w:t>
      </w:r>
      <w:r>
        <w:t xml:space="preserve">, ‘Irish Vernacular Law and the Old Testament.’ In Ireland and </w:t>
      </w:r>
      <w:r w:rsidR="003738ED">
        <w:t>Christendom</w:t>
      </w:r>
      <w:r>
        <w:t>. Eds. N</w:t>
      </w:r>
      <w:r>
        <w:rPr>
          <w:rFonts w:cstheme="minorHAnsi"/>
        </w:rPr>
        <w:t>í</w:t>
      </w:r>
      <w:r>
        <w:t xml:space="preserve"> Chath</w:t>
      </w:r>
      <w:r>
        <w:rPr>
          <w:rFonts w:cstheme="minorHAnsi"/>
        </w:rPr>
        <w:t>á</w:t>
      </w:r>
      <w:r>
        <w:t>in and M.Richter. (T</w:t>
      </w:r>
      <w:r>
        <w:rPr>
          <w:rFonts w:cstheme="minorHAnsi"/>
        </w:rPr>
        <w:t>ü</w:t>
      </w:r>
      <w:r>
        <w:t xml:space="preserve">bingen, 1987), p.290-1.   </w:t>
      </w:r>
    </w:p>
  </w:footnote>
  <w:footnote w:id="53">
    <w:p w14:paraId="66D9B702" w14:textId="323F2623" w:rsidR="000F3172" w:rsidRDefault="000F3172">
      <w:pPr>
        <w:pStyle w:val="FootnoteText"/>
      </w:pPr>
      <w:r>
        <w:rPr>
          <w:rStyle w:val="FootnoteReference"/>
        </w:rPr>
        <w:footnoteRef/>
      </w:r>
      <w:r>
        <w:t xml:space="preserve"> </w:t>
      </w:r>
      <w:r w:rsidRPr="000F3172">
        <w:t>O.J. Padel, ‘Arthur in Medieval Welsh Literature.’ (University of Wales Press. 2000) p.7</w:t>
      </w:r>
      <w:r>
        <w:t>6</w:t>
      </w:r>
      <w:r w:rsidRPr="000F3172">
        <w:t xml:space="preserve">.  </w:t>
      </w:r>
    </w:p>
  </w:footnote>
  <w:footnote w:id="54">
    <w:p w14:paraId="0C69B371" w14:textId="0100565C" w:rsidR="001C52AC" w:rsidRDefault="001C52AC">
      <w:pPr>
        <w:pStyle w:val="FootnoteText"/>
      </w:pPr>
      <w:r>
        <w:rPr>
          <w:rStyle w:val="FootnoteReference"/>
        </w:rPr>
        <w:footnoteRef/>
      </w:r>
      <w:r>
        <w:t xml:space="preserve"> </w:t>
      </w:r>
      <w:r w:rsidRPr="001C52AC">
        <w:t>S. Echard,'The Anger of Saturn shall fall</w:t>
      </w:r>
      <w:r w:rsidR="003738ED" w:rsidRPr="001C52AC">
        <w:t>’, p.</w:t>
      </w:r>
      <w:r w:rsidRPr="001C52AC">
        <w:t>3</w:t>
      </w:r>
      <w:r>
        <w:t>2.</w:t>
      </w:r>
    </w:p>
  </w:footnote>
  <w:footnote w:id="55">
    <w:p w14:paraId="30BEBD58" w14:textId="00FB311A" w:rsidR="001C52AC" w:rsidRDefault="001C52AC">
      <w:pPr>
        <w:pStyle w:val="FootnoteText"/>
      </w:pPr>
      <w:r>
        <w:rPr>
          <w:rStyle w:val="FootnoteReference"/>
        </w:rPr>
        <w:footnoteRef/>
      </w:r>
      <w:r>
        <w:t xml:space="preserve"> </w:t>
      </w:r>
      <w:bookmarkStart w:id="34" w:name="_Hlk535250250"/>
      <w:r w:rsidRPr="001C52AC">
        <w:t>J. Gillingham, 'The Context and Purposes</w:t>
      </w:r>
      <w:r>
        <w:t>…’p. 100.</w:t>
      </w:r>
      <w:bookmarkEnd w:id="34"/>
    </w:p>
  </w:footnote>
  <w:footnote w:id="56">
    <w:p w14:paraId="061F2886" w14:textId="37511DA3" w:rsidR="00C80D5D" w:rsidRDefault="00C80D5D">
      <w:pPr>
        <w:pStyle w:val="FootnoteText"/>
      </w:pPr>
      <w:r>
        <w:rPr>
          <w:rStyle w:val="FootnoteReference"/>
        </w:rPr>
        <w:footnoteRef/>
      </w:r>
      <w:r>
        <w:t xml:space="preserve"> </w:t>
      </w:r>
      <w:r w:rsidRPr="00C80D5D">
        <w:t>J. Gillingham, 'The Context and Purposes…’p. 100.</w:t>
      </w:r>
    </w:p>
  </w:footnote>
  <w:footnote w:id="57">
    <w:p w14:paraId="614E0279" w14:textId="703D7BDB" w:rsidR="00013D92" w:rsidRDefault="00013D92">
      <w:pPr>
        <w:pStyle w:val="FootnoteText"/>
      </w:pPr>
      <w:r>
        <w:rPr>
          <w:rStyle w:val="FootnoteReference"/>
        </w:rPr>
        <w:footnoteRef/>
      </w:r>
      <w:r>
        <w:t xml:space="preserve"> </w:t>
      </w:r>
      <w:r w:rsidR="00185B13" w:rsidRPr="00185B13">
        <w:t>Crick, J., 'The British Past and the Welsh Future: Gerald of Wales, Geoffrey of Monmouth and Arthur of Britain', Celtica 23 (1999),</w:t>
      </w:r>
      <w:r w:rsidR="00185B13">
        <w:t xml:space="preserve">p.70. Geoffrey did however later criticise King John in his Expugnatio Hibernica lxiii. </w:t>
      </w:r>
    </w:p>
  </w:footnote>
  <w:footnote w:id="58">
    <w:p w14:paraId="08321808" w14:textId="0B429C92" w:rsidR="004D5A60" w:rsidRDefault="004D5A60">
      <w:pPr>
        <w:pStyle w:val="FootnoteText"/>
      </w:pPr>
      <w:r>
        <w:rPr>
          <w:rStyle w:val="FootnoteReference"/>
        </w:rPr>
        <w:footnoteRef/>
      </w:r>
      <w:r>
        <w:t xml:space="preserve"> </w:t>
      </w:r>
      <w:r w:rsidRPr="004D5A60">
        <w:rPr>
          <w:i/>
        </w:rPr>
        <w:t>ibid</w:t>
      </w:r>
      <w:r>
        <w:t>., p. 75.</w:t>
      </w:r>
    </w:p>
  </w:footnote>
  <w:footnote w:id="59">
    <w:p w14:paraId="5C8831AC" w14:textId="415EFB75" w:rsidR="004D5A60" w:rsidRDefault="004D5A60">
      <w:pPr>
        <w:pStyle w:val="FootnoteText"/>
      </w:pPr>
      <w:r>
        <w:rPr>
          <w:rStyle w:val="FootnoteReference"/>
        </w:rPr>
        <w:footnoteRef/>
      </w:r>
      <w:r w:rsidRPr="004D5A60">
        <w:rPr>
          <w:i/>
        </w:rPr>
        <w:t xml:space="preserve"> ibid</w:t>
      </w:r>
      <w:r>
        <w:t>., p.72.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EC7"/>
    <w:rsid w:val="00013D92"/>
    <w:rsid w:val="000218EA"/>
    <w:rsid w:val="00063458"/>
    <w:rsid w:val="00086596"/>
    <w:rsid w:val="000E42B4"/>
    <w:rsid w:val="000F3172"/>
    <w:rsid w:val="0010115C"/>
    <w:rsid w:val="00123DF1"/>
    <w:rsid w:val="00137C23"/>
    <w:rsid w:val="00140AB4"/>
    <w:rsid w:val="001432D4"/>
    <w:rsid w:val="00160907"/>
    <w:rsid w:val="00185B13"/>
    <w:rsid w:val="00192F6D"/>
    <w:rsid w:val="001C06C5"/>
    <w:rsid w:val="001C52AC"/>
    <w:rsid w:val="001D44F1"/>
    <w:rsid w:val="002159EB"/>
    <w:rsid w:val="00231861"/>
    <w:rsid w:val="00236025"/>
    <w:rsid w:val="00251E55"/>
    <w:rsid w:val="002545CD"/>
    <w:rsid w:val="00283DED"/>
    <w:rsid w:val="002E0B0F"/>
    <w:rsid w:val="00323149"/>
    <w:rsid w:val="00327F70"/>
    <w:rsid w:val="003738ED"/>
    <w:rsid w:val="00385365"/>
    <w:rsid w:val="003A354D"/>
    <w:rsid w:val="003A6803"/>
    <w:rsid w:val="003C28B0"/>
    <w:rsid w:val="003C496D"/>
    <w:rsid w:val="003E1D06"/>
    <w:rsid w:val="00427BE2"/>
    <w:rsid w:val="0045668B"/>
    <w:rsid w:val="0047162D"/>
    <w:rsid w:val="004812AF"/>
    <w:rsid w:val="004834E7"/>
    <w:rsid w:val="004902B9"/>
    <w:rsid w:val="004C4140"/>
    <w:rsid w:val="004D5A60"/>
    <w:rsid w:val="004E0F90"/>
    <w:rsid w:val="00500391"/>
    <w:rsid w:val="0050206C"/>
    <w:rsid w:val="00507AEE"/>
    <w:rsid w:val="005102C8"/>
    <w:rsid w:val="00516203"/>
    <w:rsid w:val="005314B2"/>
    <w:rsid w:val="00532E72"/>
    <w:rsid w:val="00543409"/>
    <w:rsid w:val="00591A00"/>
    <w:rsid w:val="005928E1"/>
    <w:rsid w:val="005A5F8C"/>
    <w:rsid w:val="005C797C"/>
    <w:rsid w:val="00610B19"/>
    <w:rsid w:val="00614E8A"/>
    <w:rsid w:val="00623FB9"/>
    <w:rsid w:val="00680ED0"/>
    <w:rsid w:val="006C620D"/>
    <w:rsid w:val="006E0562"/>
    <w:rsid w:val="006E1AF4"/>
    <w:rsid w:val="006E67B8"/>
    <w:rsid w:val="006F6DF6"/>
    <w:rsid w:val="00707D3C"/>
    <w:rsid w:val="00767670"/>
    <w:rsid w:val="00796207"/>
    <w:rsid w:val="007D665C"/>
    <w:rsid w:val="007F1DF3"/>
    <w:rsid w:val="007F2C2B"/>
    <w:rsid w:val="00812209"/>
    <w:rsid w:val="00842D62"/>
    <w:rsid w:val="0086265B"/>
    <w:rsid w:val="00865AF4"/>
    <w:rsid w:val="008768E4"/>
    <w:rsid w:val="008845B2"/>
    <w:rsid w:val="008C1D27"/>
    <w:rsid w:val="008D3A30"/>
    <w:rsid w:val="008F7A95"/>
    <w:rsid w:val="009315C9"/>
    <w:rsid w:val="009546CE"/>
    <w:rsid w:val="00960C29"/>
    <w:rsid w:val="00995BF9"/>
    <w:rsid w:val="009A2511"/>
    <w:rsid w:val="009A54A6"/>
    <w:rsid w:val="009B172E"/>
    <w:rsid w:val="009E3102"/>
    <w:rsid w:val="00A1795B"/>
    <w:rsid w:val="00A56053"/>
    <w:rsid w:val="00AB0021"/>
    <w:rsid w:val="00B068FC"/>
    <w:rsid w:val="00B07628"/>
    <w:rsid w:val="00B114E5"/>
    <w:rsid w:val="00B355B3"/>
    <w:rsid w:val="00B47D24"/>
    <w:rsid w:val="00B64BC1"/>
    <w:rsid w:val="00B706FA"/>
    <w:rsid w:val="00B75CEA"/>
    <w:rsid w:val="00BC58F3"/>
    <w:rsid w:val="00C03C4E"/>
    <w:rsid w:val="00C05F0D"/>
    <w:rsid w:val="00C15080"/>
    <w:rsid w:val="00C17845"/>
    <w:rsid w:val="00C257B9"/>
    <w:rsid w:val="00C310F3"/>
    <w:rsid w:val="00C479EB"/>
    <w:rsid w:val="00C742A3"/>
    <w:rsid w:val="00C80B7A"/>
    <w:rsid w:val="00C80D5D"/>
    <w:rsid w:val="00C82D1C"/>
    <w:rsid w:val="00C9202F"/>
    <w:rsid w:val="00CA3C9C"/>
    <w:rsid w:val="00CC0250"/>
    <w:rsid w:val="00CC4550"/>
    <w:rsid w:val="00CD25D3"/>
    <w:rsid w:val="00D42CFD"/>
    <w:rsid w:val="00D824AA"/>
    <w:rsid w:val="00DB2859"/>
    <w:rsid w:val="00DC6039"/>
    <w:rsid w:val="00DD0BA9"/>
    <w:rsid w:val="00DF1CD5"/>
    <w:rsid w:val="00E02815"/>
    <w:rsid w:val="00E14322"/>
    <w:rsid w:val="00E14F1A"/>
    <w:rsid w:val="00E370E8"/>
    <w:rsid w:val="00EB6347"/>
    <w:rsid w:val="00EB6E2A"/>
    <w:rsid w:val="00EE7BC3"/>
    <w:rsid w:val="00F10EC7"/>
    <w:rsid w:val="00F900EC"/>
    <w:rsid w:val="00FB696B"/>
    <w:rsid w:val="00FC265F"/>
    <w:rsid w:val="00FC65FA"/>
    <w:rsid w:val="00FD4D30"/>
    <w:rsid w:val="00FF0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32C59"/>
  <w15:chartTrackingRefBased/>
  <w15:docId w15:val="{65DD980B-0133-45D5-AC30-AAE70F2BA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BodyText"/>
    <w:link w:val="Heading3Char"/>
    <w:qFormat/>
    <w:rsid w:val="00B355B3"/>
    <w:pPr>
      <w:keepNext/>
      <w:numPr>
        <w:ilvl w:val="2"/>
        <w:numId w:val="1"/>
      </w:numPr>
      <w:suppressAutoHyphens/>
      <w:spacing w:after="0" w:line="240" w:lineRule="auto"/>
      <w:ind w:firstLine="0"/>
      <w:jc w:val="both"/>
      <w:outlineLvl w:val="2"/>
    </w:pPr>
    <w:rPr>
      <w:rFonts w:ascii="Tahoma" w:eastAsia="SimSun" w:hAnsi="Tahoma" w:cs="Tahoma"/>
      <w:b/>
      <w:bCs/>
      <w:sz w:val="20"/>
      <w:szCs w:val="20"/>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609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0907"/>
    <w:rPr>
      <w:sz w:val="20"/>
      <w:szCs w:val="20"/>
    </w:rPr>
  </w:style>
  <w:style w:type="character" w:styleId="FootnoteReference">
    <w:name w:val="footnote reference"/>
    <w:basedOn w:val="DefaultParagraphFont"/>
    <w:uiPriority w:val="99"/>
    <w:semiHidden/>
    <w:unhideWhenUsed/>
    <w:rsid w:val="00160907"/>
    <w:rPr>
      <w:vertAlign w:val="superscript"/>
    </w:rPr>
  </w:style>
  <w:style w:type="character" w:styleId="Hyperlink">
    <w:name w:val="Hyperlink"/>
    <w:basedOn w:val="DefaultParagraphFont"/>
    <w:uiPriority w:val="99"/>
    <w:unhideWhenUsed/>
    <w:rsid w:val="00D42CFD"/>
    <w:rPr>
      <w:color w:val="0563C1" w:themeColor="hyperlink"/>
      <w:u w:val="single"/>
    </w:rPr>
  </w:style>
  <w:style w:type="character" w:styleId="UnresolvedMention">
    <w:name w:val="Unresolved Mention"/>
    <w:basedOn w:val="DefaultParagraphFont"/>
    <w:uiPriority w:val="99"/>
    <w:semiHidden/>
    <w:unhideWhenUsed/>
    <w:rsid w:val="00D42CFD"/>
    <w:rPr>
      <w:color w:val="605E5C"/>
      <w:shd w:val="clear" w:color="auto" w:fill="E1DFDD"/>
    </w:rPr>
  </w:style>
  <w:style w:type="character" w:customStyle="1" w:styleId="Heading3Char">
    <w:name w:val="Heading 3 Char"/>
    <w:basedOn w:val="DefaultParagraphFont"/>
    <w:link w:val="Heading3"/>
    <w:rsid w:val="00B355B3"/>
    <w:rPr>
      <w:rFonts w:ascii="Tahoma" w:eastAsia="SimSun" w:hAnsi="Tahoma" w:cs="Tahoma"/>
      <w:b/>
      <w:bCs/>
      <w:sz w:val="20"/>
      <w:szCs w:val="20"/>
      <w:lang w:eastAsia="ar-SA"/>
    </w:rPr>
  </w:style>
  <w:style w:type="paragraph" w:styleId="NormalWeb">
    <w:name w:val="Normal (Web)"/>
    <w:basedOn w:val="Normal"/>
    <w:rsid w:val="00B355B3"/>
    <w:pPr>
      <w:suppressAutoHyphens/>
      <w:spacing w:before="280" w:after="280" w:line="240" w:lineRule="auto"/>
    </w:pPr>
    <w:rPr>
      <w:rFonts w:ascii="Georgia" w:eastAsia="SimSun" w:hAnsi="Georgia" w:cs="Georgia"/>
      <w:color w:val="000000"/>
      <w:sz w:val="21"/>
      <w:szCs w:val="21"/>
      <w:lang w:eastAsia="ar-SA"/>
    </w:rPr>
  </w:style>
  <w:style w:type="paragraph" w:styleId="BodyText">
    <w:name w:val="Body Text"/>
    <w:basedOn w:val="Normal"/>
    <w:link w:val="BodyTextChar"/>
    <w:uiPriority w:val="99"/>
    <w:semiHidden/>
    <w:unhideWhenUsed/>
    <w:rsid w:val="00B355B3"/>
    <w:pPr>
      <w:spacing w:after="120"/>
    </w:pPr>
  </w:style>
  <w:style w:type="character" w:customStyle="1" w:styleId="BodyTextChar">
    <w:name w:val="Body Text Char"/>
    <w:basedOn w:val="DefaultParagraphFont"/>
    <w:link w:val="BodyText"/>
    <w:uiPriority w:val="99"/>
    <w:semiHidden/>
    <w:rsid w:val="00B35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rchive.org/details/b29339364/page/n171%20accessed%2012/1/19"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details/b29339364/page/n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2FC453-40A6-4735-BF0C-CC96ACBA9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5265</Words>
  <Characters>30011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dc:creator>
  <cp:keywords/>
  <dc:description/>
  <cp:lastModifiedBy>danu</cp:lastModifiedBy>
  <cp:revision>2</cp:revision>
  <dcterms:created xsi:type="dcterms:W3CDTF">2019-01-15T23:17:00Z</dcterms:created>
  <dcterms:modified xsi:type="dcterms:W3CDTF">2019-01-15T23:17:00Z</dcterms:modified>
</cp:coreProperties>
</file>