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4BCF1F" w14:textId="4AFF5C8D" w:rsidR="00304329" w:rsidRDefault="00304329" w:rsidP="00A960F6">
      <w:pPr>
        <w:jc w:val="both"/>
      </w:pPr>
      <w:bookmarkStart w:id="0" w:name="_Hlk165393758"/>
      <w:bookmarkStart w:id="1" w:name="_Hlk165412700"/>
      <w:r>
        <w:t>The Art Life Archive as a Method and Methodology</w:t>
      </w:r>
      <w:r w:rsidR="00E0086C">
        <w:rPr>
          <w:rFonts w:hint="eastAsia"/>
        </w:rPr>
        <w:t>: p</w:t>
      </w:r>
      <w:r>
        <w:t>sychobiography in the Construction of the Artist's Self-Archive</w:t>
      </w:r>
      <w:bookmarkEnd w:id="0"/>
    </w:p>
    <w:bookmarkEnd w:id="1"/>
    <w:p w14:paraId="4DB4E43C" w14:textId="58FCEE58" w:rsidR="00304329" w:rsidRDefault="00304329" w:rsidP="00A960F6">
      <w:pPr>
        <w:jc w:val="both"/>
      </w:pPr>
    </w:p>
    <w:p w14:paraId="19D0F8A8" w14:textId="67FD3AD3" w:rsidR="00304329" w:rsidRDefault="00304329" w:rsidP="00A960F6">
      <w:pPr>
        <w:pStyle w:val="a9"/>
        <w:numPr>
          <w:ilvl w:val="0"/>
          <w:numId w:val="1"/>
        </w:numPr>
        <w:jc w:val="both"/>
      </w:pPr>
      <w:r>
        <w:rPr>
          <w:rFonts w:hint="eastAsia"/>
        </w:rPr>
        <w:t>Introduction</w:t>
      </w:r>
    </w:p>
    <w:p w14:paraId="0F5AECB9" w14:textId="277BF73A" w:rsidR="00304329" w:rsidRPr="00B90695" w:rsidRDefault="00304329" w:rsidP="00A960F6">
      <w:pPr>
        <w:jc w:val="both"/>
        <w:rPr>
          <w:i/>
          <w:iCs/>
        </w:rPr>
      </w:pPr>
      <w:bookmarkStart w:id="2" w:name="OLE_LINK1"/>
      <w:bookmarkStart w:id="3" w:name="_Hlk165388654"/>
      <w:r w:rsidRPr="00B90695">
        <w:rPr>
          <w:i/>
          <w:iCs/>
        </w:rPr>
        <w:t xml:space="preserve">The will to archive continues to be a powerful impulse in contemporary culture </w:t>
      </w:r>
      <w:bookmarkEnd w:id="2"/>
      <w:r w:rsidRPr="00B90695">
        <w:rPr>
          <w:i/>
          <w:iCs/>
        </w:rPr>
        <w:t>(Featherstone</w:t>
      </w:r>
      <w:r w:rsidR="008B1207">
        <w:rPr>
          <w:rFonts w:hint="eastAsia"/>
          <w:i/>
          <w:iCs/>
        </w:rPr>
        <w:t xml:space="preserve"> M.</w:t>
      </w:r>
      <w:r w:rsidRPr="00B90695">
        <w:rPr>
          <w:i/>
          <w:iCs/>
        </w:rPr>
        <w:t xml:space="preserve"> 2006). </w:t>
      </w:r>
    </w:p>
    <w:bookmarkEnd w:id="3"/>
    <w:p w14:paraId="610E18B8" w14:textId="1AC2DE0B" w:rsidR="00781A6F" w:rsidRPr="001F13D1" w:rsidRDefault="005A1E20" w:rsidP="00A960F6">
      <w:pPr>
        <w:jc w:val="both"/>
      </w:pPr>
      <w:r>
        <w:t>In 1994, Derrida delved into the conceptual connections between Freudian psychoanalysis and the essence of memory retention in his work "</w:t>
      </w:r>
      <w:r w:rsidR="008B1207" w:rsidRPr="008B1207">
        <w:t xml:space="preserve"> </w:t>
      </w:r>
      <w:r w:rsidR="008B1207" w:rsidRPr="00B90695">
        <w:t>Archive Fever: A Freudian Impression</w:t>
      </w:r>
      <w:r>
        <w:t>"</w:t>
      </w:r>
      <w:r w:rsidR="008B1207">
        <w:rPr>
          <w:rFonts w:hint="eastAsia"/>
        </w:rPr>
        <w:t>,</w:t>
      </w:r>
      <w:r>
        <w:t xml:space="preserve"> proposing the impact and significance of the psychological inclination to "archive" for historical narration, thereby paving the way for contemporary scholarly contemplation on an examination of the importance of archival practices. Since then, it has initiated a new era of academic introspection regarding the significance of archives.</w:t>
      </w:r>
      <w:r>
        <w:rPr>
          <w:rFonts w:hint="eastAsia"/>
        </w:rPr>
        <w:t xml:space="preserve"> And i</w:t>
      </w:r>
      <w:r>
        <w:t xml:space="preserve">n </w:t>
      </w:r>
      <w:r>
        <w:rPr>
          <w:rFonts w:hint="eastAsia"/>
        </w:rPr>
        <w:t>the</w:t>
      </w:r>
      <w:r>
        <w:t xml:space="preserve"> 2004 article, "The Archival Impulse", Hal Foster was the first to elaborate on the phenomenon of the "archival impulse", </w:t>
      </w:r>
      <w:r>
        <w:rPr>
          <w:rFonts w:hint="eastAsia"/>
        </w:rPr>
        <w:t>posting</w:t>
      </w:r>
      <w:r>
        <w:t xml:space="preserve"> that the </w:t>
      </w:r>
      <w:bookmarkStart w:id="4" w:name="OLE_LINK8"/>
      <w:r>
        <w:t>archival impulse</w:t>
      </w:r>
      <w:bookmarkEnd w:id="4"/>
      <w:r>
        <w:t xml:space="preserve"> reveals an impulse to put history back together.</w:t>
      </w:r>
      <w:r w:rsidR="00B120F7">
        <w:rPr>
          <w:rFonts w:hint="eastAsia"/>
        </w:rPr>
        <w:t xml:space="preserve"> </w:t>
      </w:r>
      <w:r w:rsidR="00B120F7" w:rsidRPr="00B120F7">
        <w:t>In the past decade, the concept of "archive" has increasingly influenced the development of contemporary art and the writing of art history</w:t>
      </w:r>
      <w:r w:rsidR="00B120F7">
        <w:rPr>
          <w:rFonts w:hint="eastAsia"/>
        </w:rPr>
        <w:t>. Also</w:t>
      </w:r>
      <w:r w:rsidR="00B120F7">
        <w:t>,</w:t>
      </w:r>
      <w:r w:rsidR="00B120F7">
        <w:rPr>
          <w:rFonts w:hint="eastAsia"/>
        </w:rPr>
        <w:t xml:space="preserve"> a</w:t>
      </w:r>
      <w:r w:rsidR="00B120F7" w:rsidRPr="00B120F7">
        <w:t>rt history researchers have been devoting more attention to resource</w:t>
      </w:r>
      <w:r w:rsidR="00B120F7">
        <w:rPr>
          <w:rFonts w:hint="eastAsia"/>
        </w:rPr>
        <w:t xml:space="preserve"> collection</w:t>
      </w:r>
      <w:r w:rsidR="00B120F7" w:rsidRPr="00B120F7">
        <w:t xml:space="preserve"> for artists' archives and even discussi</w:t>
      </w:r>
      <w:r w:rsidR="00B120F7">
        <w:rPr>
          <w:rFonts w:hint="eastAsia"/>
        </w:rPr>
        <w:t>ng</w:t>
      </w:r>
      <w:r w:rsidR="00B120F7" w:rsidRPr="00B120F7">
        <w:t xml:space="preserve"> </w:t>
      </w:r>
      <w:r w:rsidR="00B120F7">
        <w:rPr>
          <w:rFonts w:hint="eastAsia"/>
        </w:rPr>
        <w:t>methods for their construction</w:t>
      </w:r>
      <w:r w:rsidR="00B120F7" w:rsidRPr="00B120F7">
        <w:t>.</w:t>
      </w:r>
      <w:r w:rsidR="00B120F7">
        <w:rPr>
          <w:rFonts w:hint="eastAsia"/>
        </w:rPr>
        <w:t xml:space="preserve"> </w:t>
      </w:r>
      <w:r w:rsidR="00781A6F" w:rsidRPr="00781A6F">
        <w:t>"</w:t>
      </w:r>
      <w:r w:rsidR="00781A6F">
        <w:rPr>
          <w:rFonts w:hint="eastAsia"/>
        </w:rPr>
        <w:t>A</w:t>
      </w:r>
      <w:r w:rsidR="00781A6F" w:rsidRPr="00781A6F">
        <w:t>rchive</w:t>
      </w:r>
      <w:r w:rsidR="00781A6F">
        <w:rPr>
          <w:rFonts w:hint="eastAsia"/>
        </w:rPr>
        <w:t xml:space="preserve"> a</w:t>
      </w:r>
      <w:r w:rsidR="00781A6F" w:rsidRPr="00781A6F">
        <w:t>s a method</w:t>
      </w:r>
      <w:r w:rsidR="00781A6F">
        <w:t>”</w:t>
      </w:r>
      <w:r w:rsidR="00781A6F" w:rsidRPr="00781A6F">
        <w:t xml:space="preserve">, is a loud </w:t>
      </w:r>
      <w:r w:rsidR="00781A6F">
        <w:rPr>
          <w:rFonts w:hint="eastAsia"/>
        </w:rPr>
        <w:t xml:space="preserve">and </w:t>
      </w:r>
      <w:r w:rsidR="00781A6F">
        <w:t>wide</w:t>
      </w:r>
      <w:r w:rsidR="00781A6F">
        <w:rPr>
          <w:rFonts w:hint="eastAsia"/>
        </w:rPr>
        <w:t xml:space="preserve"> </w:t>
      </w:r>
      <w:r w:rsidR="00781A6F" w:rsidRPr="00781A6F">
        <w:t xml:space="preserve">slogan </w:t>
      </w:r>
      <w:r w:rsidR="00781A6F">
        <w:t>used</w:t>
      </w:r>
      <w:r w:rsidR="00781A6F">
        <w:rPr>
          <w:rFonts w:hint="eastAsia"/>
        </w:rPr>
        <w:t xml:space="preserve"> </w:t>
      </w:r>
      <w:r w:rsidR="00781A6F" w:rsidRPr="00781A6F">
        <w:t>in contemporary art creation</w:t>
      </w:r>
      <w:r w:rsidR="00E23D9D">
        <w:t>. Still, the</w:t>
      </w:r>
      <w:r w:rsidR="00781A6F" w:rsidRPr="00781A6F">
        <w:t xml:space="preserve"> method of art archive construction, and even the methodological research employed by artists to establish their archives have not yet been adequately distinguished from the fundamental scope of archival research. This issue is particularly evident in China, where it has not received sufficient attention.</w:t>
      </w:r>
      <w:r w:rsidR="00E0086C">
        <w:rPr>
          <w:rFonts w:hint="eastAsia"/>
        </w:rPr>
        <w:t xml:space="preserve"> </w:t>
      </w:r>
      <w:r w:rsidR="00E0086C" w:rsidRPr="00E0086C">
        <w:t xml:space="preserve">Therefore, based on all the firsthand information available regarding Hu Yichuan's art archive, this </w:t>
      </w:r>
      <w:r w:rsidR="00A82791">
        <w:rPr>
          <w:rFonts w:hint="eastAsia"/>
        </w:rPr>
        <w:t>article</w:t>
      </w:r>
      <w:r w:rsidR="00E0086C" w:rsidRPr="00E0086C">
        <w:t xml:space="preserve"> aims to systematically organize and summarize the methodology and self-methodology of artist archive construction using "Hu Yichuan" as a case study amidst extensive foundational research. Additionally, it seeks to establish a standardized </w:t>
      </w:r>
      <w:r w:rsidR="00E0086C">
        <w:rPr>
          <w:rFonts w:hint="eastAsia"/>
        </w:rPr>
        <w:t xml:space="preserve">and </w:t>
      </w:r>
      <w:r w:rsidR="00E0086C">
        <w:t>activated</w:t>
      </w:r>
      <w:r w:rsidR="00E0086C">
        <w:rPr>
          <w:rFonts w:hint="eastAsia"/>
        </w:rPr>
        <w:t xml:space="preserve"> </w:t>
      </w:r>
      <w:r w:rsidR="00E0086C" w:rsidRPr="00E0086C">
        <w:t>template for artist archives grounded in theory, with a focus on both China and the global context.</w:t>
      </w:r>
    </w:p>
    <w:p w14:paraId="538A566D" w14:textId="74D740C7" w:rsidR="00304329" w:rsidRDefault="00304329" w:rsidP="00A960F6">
      <w:pPr>
        <w:jc w:val="both"/>
      </w:pPr>
    </w:p>
    <w:p w14:paraId="781444D8" w14:textId="76B1C58E" w:rsidR="00E0086C" w:rsidRDefault="00E0086C" w:rsidP="00A960F6">
      <w:pPr>
        <w:pStyle w:val="a9"/>
        <w:numPr>
          <w:ilvl w:val="0"/>
          <w:numId w:val="1"/>
        </w:numPr>
        <w:jc w:val="both"/>
      </w:pPr>
      <w:r w:rsidRPr="00E0086C">
        <w:t xml:space="preserve">The origins of the archival approach to personal life research: </w:t>
      </w:r>
      <w:r>
        <w:rPr>
          <w:rFonts w:hint="eastAsia"/>
        </w:rPr>
        <w:t>e</w:t>
      </w:r>
      <w:r w:rsidRPr="00E0086C">
        <w:t>xploring the evolution from "archive" to "</w:t>
      </w:r>
      <w:proofErr w:type="gramStart"/>
      <w:r w:rsidRPr="00E0086C">
        <w:t>archiving</w:t>
      </w:r>
      <w:proofErr w:type="gramEnd"/>
      <w:r w:rsidRPr="00E0086C">
        <w:t>"</w:t>
      </w:r>
    </w:p>
    <w:p w14:paraId="1A20921E" w14:textId="505A74FB" w:rsidR="00E0086C" w:rsidRDefault="00B90695" w:rsidP="00A960F6">
      <w:pPr>
        <w:jc w:val="both"/>
        <w:rPr>
          <w:i/>
          <w:iCs/>
        </w:rPr>
      </w:pPr>
      <w:r w:rsidRPr="00B90695">
        <w:rPr>
          <w:rFonts w:hint="eastAsia"/>
          <w:i/>
          <w:iCs/>
        </w:rPr>
        <w:t>A</w:t>
      </w:r>
      <w:r w:rsidRPr="00B90695">
        <w:rPr>
          <w:i/>
          <w:iCs/>
        </w:rPr>
        <w:t xml:space="preserve">t the word "archive"-and with the archive of so familiar a word. </w:t>
      </w:r>
      <w:proofErr w:type="spellStart"/>
      <w:proofErr w:type="gramStart"/>
      <w:r w:rsidRPr="00B90695">
        <w:rPr>
          <w:i/>
          <w:iCs/>
        </w:rPr>
        <w:t>Arkhe</w:t>
      </w:r>
      <w:proofErr w:type="spellEnd"/>
      <w:proofErr w:type="gramEnd"/>
      <w:r w:rsidRPr="00B90695">
        <w:rPr>
          <w:rFonts w:hint="eastAsia"/>
          <w:i/>
          <w:iCs/>
        </w:rPr>
        <w:t xml:space="preserve"> </w:t>
      </w:r>
      <w:r w:rsidRPr="00B90695">
        <w:rPr>
          <w:i/>
          <w:iCs/>
        </w:rPr>
        <w:t>we recall, names at once the commencement and the commandment. This name apparently</w:t>
      </w:r>
      <w:r w:rsidRPr="00B90695">
        <w:rPr>
          <w:rFonts w:hint="eastAsia"/>
          <w:i/>
          <w:iCs/>
        </w:rPr>
        <w:t xml:space="preserve"> </w:t>
      </w:r>
      <w:r w:rsidRPr="00B90695">
        <w:rPr>
          <w:i/>
          <w:iCs/>
        </w:rPr>
        <w:t xml:space="preserve">coordinates two principles in one: the principle according to nature or history, there </w:t>
      </w:r>
      <w:proofErr w:type="spellStart"/>
      <w:r w:rsidRPr="00B90695">
        <w:rPr>
          <w:i/>
          <w:iCs/>
        </w:rPr>
        <w:t>where</w:t>
      </w:r>
      <w:proofErr w:type="spellEnd"/>
      <w:r w:rsidRPr="00B90695">
        <w:rPr>
          <w:rFonts w:hint="eastAsia"/>
          <w:i/>
          <w:iCs/>
        </w:rPr>
        <w:t xml:space="preserve"> </w:t>
      </w:r>
      <w:r w:rsidRPr="00B90695">
        <w:rPr>
          <w:i/>
          <w:iCs/>
        </w:rPr>
        <w:t>things commence-physical, historical, or ontological principle-but also the principle</w:t>
      </w:r>
      <w:r w:rsidRPr="00B90695">
        <w:rPr>
          <w:rFonts w:hint="eastAsia"/>
          <w:i/>
          <w:iCs/>
        </w:rPr>
        <w:t xml:space="preserve"> </w:t>
      </w:r>
      <w:r w:rsidRPr="00B90695">
        <w:rPr>
          <w:i/>
          <w:iCs/>
        </w:rPr>
        <w:t xml:space="preserve">according </w:t>
      </w:r>
      <w:r w:rsidRPr="00B90695">
        <w:rPr>
          <w:i/>
          <w:iCs/>
        </w:rPr>
        <w:lastRenderedPageBreak/>
        <w:t>to the law, there where men and gods command, there where authority, social</w:t>
      </w:r>
      <w:r w:rsidRPr="00B90695">
        <w:rPr>
          <w:rFonts w:hint="eastAsia"/>
          <w:i/>
          <w:iCs/>
        </w:rPr>
        <w:t xml:space="preserve"> </w:t>
      </w:r>
      <w:r w:rsidRPr="00B90695">
        <w:rPr>
          <w:i/>
          <w:iCs/>
        </w:rPr>
        <w:t>order are exercised, in this place from which order is given-nomologica</w:t>
      </w:r>
      <w:r w:rsidRPr="00B90695">
        <w:rPr>
          <w:rFonts w:hint="eastAsia"/>
          <w:i/>
          <w:iCs/>
        </w:rPr>
        <w:t xml:space="preserve">l principle. </w:t>
      </w:r>
      <w:r w:rsidRPr="00B90695">
        <w:rPr>
          <w:i/>
          <w:iCs/>
        </w:rPr>
        <w:t>(Derrida 1996)</w:t>
      </w:r>
      <w:r w:rsidRPr="00B90695">
        <w:rPr>
          <w:i/>
          <w:iCs/>
        </w:rPr>
        <w:cr/>
      </w:r>
    </w:p>
    <w:p w14:paraId="0299F97A" w14:textId="4E2A508D" w:rsidR="00B90695" w:rsidRDefault="00B90695" w:rsidP="00A960F6">
      <w:pPr>
        <w:jc w:val="both"/>
      </w:pPr>
      <w:r w:rsidRPr="00B90695">
        <w:t>When Derrida initiates his "Archive Fever: A Freudian Impression" by delving into the etymology of the term "archive,"</w:t>
      </w:r>
      <w:r w:rsidR="003545E6">
        <w:rPr>
          <w:rFonts w:hint="eastAsia"/>
        </w:rPr>
        <w:t xml:space="preserve"> h</w:t>
      </w:r>
      <w:r w:rsidR="003545E6" w:rsidRPr="003545E6">
        <w:t xml:space="preserve">e argues that the </w:t>
      </w:r>
      <w:r w:rsidR="00DB31A8" w:rsidRPr="003545E6">
        <w:t>Greek Latin</w:t>
      </w:r>
      <w:r w:rsidR="003545E6" w:rsidRPr="003545E6">
        <w:t xml:space="preserve"> word "</w:t>
      </w:r>
      <w:proofErr w:type="spellStart"/>
      <w:r w:rsidR="003545E6" w:rsidRPr="003545E6">
        <w:t>Arkhe</w:t>
      </w:r>
      <w:proofErr w:type="spellEnd"/>
      <w:r w:rsidR="003545E6" w:rsidRPr="003545E6">
        <w:t>", which encompasses both "beginning" and "commandment", suggests that the original connotation of "archive" was a comprehensive statement capable of encapsulating time, location, individual, and conduct.</w:t>
      </w:r>
      <w:r w:rsidR="003545E6">
        <w:rPr>
          <w:rFonts w:hint="eastAsia"/>
        </w:rPr>
        <w:t xml:space="preserve"> </w:t>
      </w:r>
      <w:r w:rsidR="00AB080F" w:rsidRPr="00AB080F">
        <w:t xml:space="preserve">Does this imply that our conceptualization of "archive" or "archiving" can be operationalized as an event with a coherent narrative structure, encompassing a clear beginning and end - </w:t>
      </w:r>
      <w:r w:rsidR="00DB31A8" w:rsidRPr="00AB080F">
        <w:t>like</w:t>
      </w:r>
      <w:r w:rsidR="00AB080F" w:rsidRPr="00AB080F">
        <w:t xml:space="preserve"> the case of archiving an individual's life?</w:t>
      </w:r>
      <w:r w:rsidR="00DB31A8">
        <w:rPr>
          <w:rFonts w:hint="eastAsia"/>
        </w:rPr>
        <w:t xml:space="preserve"> </w:t>
      </w:r>
      <w:bookmarkStart w:id="5" w:name="OLE_LINK2"/>
      <w:r w:rsidR="00DB31A8" w:rsidRPr="00DB31A8">
        <w:t xml:space="preserve">When Derrida studies Freud's archive and applies his psychoanalytic and hermeneutic-phenomenological methodologies to the interplay between archive, memory, and technology as manifestations of their origins (Freud), </w:t>
      </w:r>
      <w:bookmarkEnd w:id="5"/>
      <w:r w:rsidR="00DB31A8" w:rsidRPr="00DB31A8">
        <w:t>he opens the value of historical retelling and contemporary reflection on "archival consciousness".</w:t>
      </w:r>
      <w:r w:rsidR="00DB31A8">
        <w:rPr>
          <w:rFonts w:hint="eastAsia"/>
        </w:rPr>
        <w:t xml:space="preserve"> </w:t>
      </w:r>
      <w:r w:rsidR="00DB31A8" w:rsidRPr="00DB31A8">
        <w:t>The aspect that captivates my attention the most is Derrida's contemplation on the inherent human compulsion to generate and safeguard archives, as exemplified through the Freudian archive. Moreover, it explores the ramifications of this Freudian "desire," "drive," "libido," or what has been referred to as "archival fever" for our comprehension of history and identity.</w:t>
      </w:r>
      <w:r w:rsidR="00DB31A8">
        <w:rPr>
          <w:rFonts w:hint="eastAsia"/>
        </w:rPr>
        <w:t xml:space="preserve"> </w:t>
      </w:r>
      <w:r w:rsidR="007E28B1" w:rsidRPr="007E28B1">
        <w:t>By drawing upon Freud's concept of the '</w:t>
      </w:r>
      <w:bookmarkStart w:id="6" w:name="OLE_LINK18"/>
      <w:r w:rsidR="007E28B1" w:rsidRPr="007E28B1">
        <w:t>mystical writing pad</w:t>
      </w:r>
      <w:bookmarkEnd w:id="6"/>
      <w:r w:rsidR="007E28B1" w:rsidRPr="007E28B1">
        <w:t>', Derrida illuminates how archives and archiving are fundamental to the very essence of constructing history, culture, memory, and identity through this metaphorical understanding of memory and the unconscious. All these influences resonate with my initial research and interests.</w:t>
      </w:r>
    </w:p>
    <w:p w14:paraId="2EA4B027" w14:textId="77777777" w:rsidR="00CF6978" w:rsidRDefault="007E28B1" w:rsidP="00A960F6">
      <w:pPr>
        <w:jc w:val="both"/>
      </w:pPr>
      <w:r w:rsidRPr="007E28B1">
        <w:t xml:space="preserve">My research focuses on an artist's former residence and the </w:t>
      </w:r>
      <w:r>
        <w:t>artefacts</w:t>
      </w:r>
      <w:r w:rsidRPr="007E28B1">
        <w:t xml:space="preserve"> that preserve the essence of the artist's life within it. This artist </w:t>
      </w:r>
      <w:r>
        <w:rPr>
          <w:rFonts w:hint="eastAsia"/>
        </w:rPr>
        <w:t>is</w:t>
      </w:r>
      <w:r w:rsidRPr="007E28B1">
        <w:t xml:space="preserve"> my grandfather, Hu Yichuan. Furthermore, this house museum is also my birthplace. Presently, I hold multiple roles as the manager and researcher of this museum, along with being affiliated with the Hu Yichuan Research Institute. Additionally, I actively engage in art creation and curation.</w:t>
      </w:r>
      <w:r>
        <w:rPr>
          <w:rFonts w:hint="eastAsia"/>
        </w:rPr>
        <w:t xml:space="preserve"> </w:t>
      </w:r>
      <w:r w:rsidR="008E3A0F" w:rsidRPr="008E3A0F">
        <w:t xml:space="preserve">My diverse identities have provided me with the necessary conditions to observe and describe my research subjects in a more nuanced and empathetic manner. </w:t>
      </w:r>
      <w:bookmarkStart w:id="7" w:name="OLE_LINK20"/>
      <w:r w:rsidR="008E3A0F">
        <w:rPr>
          <w:rFonts w:hint="eastAsia"/>
        </w:rPr>
        <w:t>But also d</w:t>
      </w:r>
      <w:r w:rsidR="008E3A0F" w:rsidRPr="008E3A0F">
        <w:t>ue to the intergenerational nature of my grandfather's "</w:t>
      </w:r>
      <w:r w:rsidR="008E3A0F">
        <w:rPr>
          <w:rFonts w:hint="eastAsia"/>
        </w:rPr>
        <w:t>strangeness</w:t>
      </w:r>
      <w:r w:rsidR="008E3A0F" w:rsidRPr="008E3A0F">
        <w:t xml:space="preserve">," I am often able to detach myself from our familial relationship, allowing me to approach </w:t>
      </w:r>
      <w:bookmarkEnd w:id="7"/>
      <w:r w:rsidR="008E3A0F">
        <w:t>each</w:t>
      </w:r>
      <w:r w:rsidR="008E3A0F" w:rsidRPr="008E3A0F">
        <w:t xml:space="preserve"> piece of the artist's imprint of the times with a kind of onlooker's, fragmentary chance.</w:t>
      </w:r>
      <w:r w:rsidR="008E3A0F">
        <w:rPr>
          <w:rFonts w:hint="eastAsia"/>
        </w:rPr>
        <w:t xml:space="preserve"> </w:t>
      </w:r>
      <w:r w:rsidR="008E3A0F" w:rsidRPr="008E3A0F">
        <w:t>T</w:t>
      </w:r>
      <w:r w:rsidR="008E3A0F">
        <w:rPr>
          <w:rFonts w:hint="eastAsia"/>
        </w:rPr>
        <w:t>herefore, t</w:t>
      </w:r>
      <w:r w:rsidR="008E3A0F" w:rsidRPr="008E3A0F">
        <w:t>he key to my comfort and confidence primarily lies in a "relatively stable repository of memories" - the artist's home, which serves as an archive of the artist's innate state of being.</w:t>
      </w:r>
      <w:r w:rsidR="008E3A0F">
        <w:rPr>
          <w:rFonts w:hint="eastAsia"/>
        </w:rPr>
        <w:t xml:space="preserve"> </w:t>
      </w:r>
      <w:r w:rsidR="008E3A0F" w:rsidRPr="008E3A0F">
        <w:t xml:space="preserve">My multiple identities enable me to explore the purpose of confronting the memory of this artist's life through various avenues, prompting contemplation on whether the ultimate </w:t>
      </w:r>
      <w:r w:rsidR="008E3A0F" w:rsidRPr="008E3A0F">
        <w:lastRenderedPageBreak/>
        <w:t>"destination" I strive for is driven by my quest for artistic truth or by my grandfather's desire for self-identification, which compels him to preserve and perpetuate the significance of his artistic journey.</w:t>
      </w:r>
      <w:r w:rsidR="008E3A0F">
        <w:rPr>
          <w:rFonts w:hint="eastAsia"/>
        </w:rPr>
        <w:t xml:space="preserve"> </w:t>
      </w:r>
    </w:p>
    <w:p w14:paraId="612FC89F" w14:textId="5F11B6E1" w:rsidR="009A503D" w:rsidRDefault="008B5C88" w:rsidP="00A960F6">
      <w:pPr>
        <w:jc w:val="both"/>
      </w:pPr>
      <w:bookmarkStart w:id="8" w:name="OLE_LINK3"/>
      <w:r w:rsidRPr="008B5C88">
        <w:t>The blurred boundaries of my research purpose arise from this very reason. Nevertheless, despite the amalgamation of narratives</w:t>
      </w:r>
      <w:r w:rsidR="00CF6978">
        <w:rPr>
          <w:rFonts w:hint="eastAsia"/>
        </w:rPr>
        <w:t xml:space="preserve">， </w:t>
      </w:r>
      <w:r w:rsidR="00CF6978">
        <w:t xml:space="preserve">and </w:t>
      </w:r>
      <w:r w:rsidRPr="008B5C88">
        <w:t>subjective and objective perspectives, the fundamental aim of my research remains to transform this physical, historical, and ontological "place" - the artist's home - into a comprehensive archive.</w:t>
      </w:r>
      <w:bookmarkEnd w:id="8"/>
      <w:r w:rsidR="00CF6978">
        <w:rPr>
          <w:rFonts w:hint="eastAsia"/>
        </w:rPr>
        <w:t xml:space="preserve"> </w:t>
      </w:r>
      <w:r w:rsidR="00CF6978" w:rsidRPr="00CF6978">
        <w:t>As Derrida points out</w:t>
      </w:r>
      <w:r w:rsidR="00CF6978">
        <w:rPr>
          <w:rFonts w:hint="eastAsia"/>
        </w:rPr>
        <w:t xml:space="preserve"> </w:t>
      </w:r>
      <w:r w:rsidR="00CF6978">
        <w:t xml:space="preserve">“In a way, the term indeed refers, as one would correctly believe, to the </w:t>
      </w:r>
      <w:proofErr w:type="spellStart"/>
      <w:r w:rsidR="00CF6978">
        <w:t>arkhe</w:t>
      </w:r>
      <w:proofErr w:type="spellEnd"/>
      <w:r w:rsidR="00CF6978">
        <w:t xml:space="preserve"> in the physical, historical, or</w:t>
      </w:r>
      <w:r w:rsidR="00CF6978">
        <w:rPr>
          <w:rFonts w:hint="eastAsia"/>
        </w:rPr>
        <w:t xml:space="preserve"> </w:t>
      </w:r>
      <w:r w:rsidR="00CF6978">
        <w:t xml:space="preserve">ontological sense, which is to say to the </w:t>
      </w:r>
      <w:proofErr w:type="spellStart"/>
      <w:r w:rsidR="00CF6978">
        <w:t>originary</w:t>
      </w:r>
      <w:proofErr w:type="spellEnd"/>
      <w:r w:rsidR="00CF6978">
        <w:t>, the first, the principial, the primitive,</w:t>
      </w:r>
      <w:r w:rsidR="00CF6978">
        <w:rPr>
          <w:rFonts w:hint="eastAsia"/>
        </w:rPr>
        <w:t xml:space="preserve"> </w:t>
      </w:r>
      <w:r w:rsidR="00CF6978">
        <w:t>in short to the commencem</w:t>
      </w:r>
      <w:r w:rsidR="00CF6978">
        <w:rPr>
          <w:rFonts w:hint="eastAsia"/>
        </w:rPr>
        <w:t>ent.</w:t>
      </w:r>
      <w:r w:rsidR="00CF6978">
        <w:t>”</w:t>
      </w:r>
      <w:r w:rsidR="00CF6978" w:rsidRPr="00CF6978">
        <w:rPr>
          <w:i/>
          <w:iCs/>
        </w:rPr>
        <w:t xml:space="preserve"> </w:t>
      </w:r>
      <w:r w:rsidR="00CF6978" w:rsidRPr="00B90695">
        <w:rPr>
          <w:i/>
          <w:iCs/>
        </w:rPr>
        <w:t>(Derrida 1996)</w:t>
      </w:r>
      <w:r w:rsidR="00CF6978">
        <w:rPr>
          <w:rFonts w:hint="eastAsia"/>
          <w:i/>
          <w:iCs/>
        </w:rPr>
        <w:t xml:space="preserve"> </w:t>
      </w:r>
      <w:r w:rsidR="00CF6978" w:rsidRPr="00CF6978">
        <w:t>Therefore, as the gatekeeper who temporarily holds the "key to Hu Yichuan's life memory", constructing the "Hu Yichuan Art Archive" is one of the most important goals.</w:t>
      </w:r>
      <w:r w:rsidR="00CF6978">
        <w:rPr>
          <w:rFonts w:hint="eastAsia"/>
        </w:rPr>
        <w:t xml:space="preserve"> </w:t>
      </w:r>
      <w:r w:rsidR="009A503D" w:rsidRPr="009A503D">
        <w:t>However, beyond that, I highly value the diversity bestowed upon me by my multiple identities. Am I merely an archivist? Am I solely a scholarly researcher focused on archives?</w:t>
      </w:r>
      <w:r w:rsidR="009A503D">
        <w:rPr>
          <w:rFonts w:hint="eastAsia"/>
        </w:rPr>
        <w:t xml:space="preserve"> </w:t>
      </w:r>
      <w:r w:rsidR="009A503D" w:rsidRPr="009A503D">
        <w:t>No. My research interests and academic ideals, rooted in kinship, enable me to appreciate the importance of delving into the truth of art and the truth of historical eras through the lived experiences of my maternal grandfather—an artist who occupied a significant position throughout China's pivotal stages of development in the twentieth century.</w:t>
      </w:r>
      <w:r w:rsidR="009A503D">
        <w:rPr>
          <w:rFonts w:hint="eastAsia"/>
        </w:rPr>
        <w:t xml:space="preserve"> </w:t>
      </w:r>
      <w:r w:rsidR="009A503D" w:rsidRPr="009A503D">
        <w:t xml:space="preserve">I will analyze the case of Hu Yichuan and similar artists, examining their archival legacy and the inherent drive for "archiving," whether conscious or habitual, </w:t>
      </w:r>
      <w:r w:rsidR="009A503D">
        <w:t>to</w:t>
      </w:r>
      <w:r w:rsidR="009A503D" w:rsidRPr="009A503D">
        <w:t xml:space="preserve"> contemplate and implement the construction of an artist archive that can serve as a narrative function and template for contemporary China. The concept of "archive" serves as both my means and method, potentially evolving into my methodology.</w:t>
      </w:r>
    </w:p>
    <w:p w14:paraId="3A5AA299" w14:textId="77777777" w:rsidR="009A503D" w:rsidRDefault="009A503D" w:rsidP="00A960F6">
      <w:pPr>
        <w:jc w:val="both"/>
      </w:pPr>
    </w:p>
    <w:p w14:paraId="5DFF4E33" w14:textId="1851BEC8" w:rsidR="009A503D" w:rsidRDefault="009A503D" w:rsidP="00A960F6">
      <w:pPr>
        <w:pStyle w:val="a9"/>
        <w:numPr>
          <w:ilvl w:val="0"/>
          <w:numId w:val="1"/>
        </w:numPr>
        <w:jc w:val="both"/>
      </w:pPr>
      <w:r w:rsidRPr="009A503D">
        <w:t>The archiving of personality as personal psychobiography: a phenomenological-hermeneutic approach to archival methods</w:t>
      </w:r>
    </w:p>
    <w:p w14:paraId="641B95CA" w14:textId="114E4FE3" w:rsidR="00481686" w:rsidRPr="00481686" w:rsidRDefault="005136E7" w:rsidP="00A960F6">
      <w:pPr>
        <w:jc w:val="both"/>
        <w:rPr>
          <w:i/>
          <w:iCs/>
        </w:rPr>
      </w:pPr>
      <w:bookmarkStart w:id="9" w:name="OLE_LINK30"/>
      <w:r w:rsidRPr="00481686">
        <w:rPr>
          <w:rFonts w:hint="eastAsia"/>
          <w:i/>
          <w:iCs/>
        </w:rPr>
        <w:t>“</w:t>
      </w:r>
      <w:r w:rsidRPr="00481686">
        <w:rPr>
          <w:i/>
          <w:iCs/>
        </w:rPr>
        <w:t>Increasingly, scholars interested in primary investigation are (1) revisiting primary and canonical materials with a new set of research questions in mind, (2) mining a broader range of archives than heretofore considered, (3) viewing (and adding to existing) archives in ways that make</w:t>
      </w:r>
      <w:r w:rsidRPr="00481686">
        <w:rPr>
          <w:rFonts w:hint="eastAsia"/>
          <w:i/>
          <w:iCs/>
        </w:rPr>
        <w:t xml:space="preserve"> </w:t>
      </w:r>
      <w:r w:rsidRPr="00481686">
        <w:rPr>
          <w:i/>
          <w:iCs/>
        </w:rPr>
        <w:t>knowledge rather than simply finding what’s already known, and (4) taking advantage of new technologies to expand the scope and possibilities inherent in archival investigation.</w:t>
      </w:r>
      <w:r w:rsidRPr="00481686">
        <w:rPr>
          <w:rFonts w:hint="eastAsia"/>
          <w:i/>
          <w:iCs/>
        </w:rPr>
        <w:t xml:space="preserve">” </w:t>
      </w:r>
      <w:bookmarkEnd w:id="9"/>
      <w:r w:rsidRPr="00481686">
        <w:rPr>
          <w:rFonts w:hint="eastAsia"/>
          <w:i/>
          <w:iCs/>
        </w:rPr>
        <w:t>(</w:t>
      </w:r>
      <w:proofErr w:type="spellStart"/>
      <w:r w:rsidRPr="00481686">
        <w:rPr>
          <w:i/>
          <w:iCs/>
        </w:rPr>
        <w:t>Lynée</w:t>
      </w:r>
      <w:proofErr w:type="spellEnd"/>
      <w:r w:rsidRPr="00481686">
        <w:rPr>
          <w:rFonts w:hint="eastAsia"/>
          <w:i/>
          <w:iCs/>
        </w:rPr>
        <w:t xml:space="preserve"> LG 2012) </w:t>
      </w:r>
      <w:bookmarkStart w:id="10" w:name="OLE_LINK32"/>
    </w:p>
    <w:p w14:paraId="7C1A77DE" w14:textId="77777777" w:rsidR="00481686" w:rsidRDefault="00481686" w:rsidP="00A960F6">
      <w:pPr>
        <w:jc w:val="both"/>
      </w:pPr>
      <w:bookmarkStart w:id="11" w:name="OLE_LINK29"/>
      <w:proofErr w:type="spellStart"/>
      <w:r w:rsidRPr="005136E7">
        <w:t>Lynée</w:t>
      </w:r>
      <w:bookmarkEnd w:id="11"/>
      <w:proofErr w:type="spellEnd"/>
      <w:r w:rsidRPr="005136E7">
        <w:t xml:space="preserve"> Lewis </w:t>
      </w:r>
      <w:proofErr w:type="spellStart"/>
      <w:r w:rsidRPr="005136E7">
        <w:t>Gaillet</w:t>
      </w:r>
      <w:proofErr w:type="spellEnd"/>
      <w:r w:rsidRPr="005136E7">
        <w:t xml:space="preserve"> proposes historically transformative trends in contemporary archival research within her article titled </w:t>
      </w:r>
      <w:r>
        <w:t>“</w:t>
      </w:r>
      <w:r w:rsidRPr="005136E7">
        <w:t>(Per)Forming Archival Research Methodologies</w:t>
      </w:r>
      <w:r>
        <w:t>”</w:t>
      </w:r>
      <w:r>
        <w:rPr>
          <w:rFonts w:hint="eastAsia"/>
        </w:rPr>
        <w:t xml:space="preserve">. </w:t>
      </w:r>
    </w:p>
    <w:p w14:paraId="03A2879D" w14:textId="7519DC04" w:rsidR="009A503D" w:rsidRDefault="005136E7" w:rsidP="00A960F6">
      <w:pPr>
        <w:jc w:val="both"/>
      </w:pPr>
      <w:r w:rsidRPr="005136E7">
        <w:t xml:space="preserve">The application of </w:t>
      </w:r>
      <w:proofErr w:type="spellStart"/>
      <w:r w:rsidRPr="005136E7">
        <w:t>decentred</w:t>
      </w:r>
      <w:proofErr w:type="spellEnd"/>
      <w:r w:rsidRPr="005136E7">
        <w:t xml:space="preserve"> thinking and Derrida's historical deconstructionism has progressively dissociated the term "archive" from its initial "official" connotation, thereby </w:t>
      </w:r>
      <w:r w:rsidRPr="005136E7">
        <w:lastRenderedPageBreak/>
        <w:t>facilitating the potential for establishing connections between diverse identities and the object of research.</w:t>
      </w:r>
      <w:bookmarkEnd w:id="10"/>
      <w:r>
        <w:rPr>
          <w:rFonts w:hint="eastAsia"/>
        </w:rPr>
        <w:t xml:space="preserve"> </w:t>
      </w:r>
      <w:r w:rsidRPr="005136E7">
        <w:t xml:space="preserve">I developed an increasing awareness of the distinctions and commonalities between the practices of archivists and archival researchers, as succinctly summarized by </w:t>
      </w:r>
      <w:proofErr w:type="spellStart"/>
      <w:r w:rsidRPr="005136E7">
        <w:t>Lynée</w:t>
      </w:r>
      <w:proofErr w:type="spellEnd"/>
      <w:r w:rsidRPr="005136E7">
        <w:t xml:space="preserve"> Lewis </w:t>
      </w:r>
      <w:proofErr w:type="spellStart"/>
      <w:r w:rsidRPr="005136E7">
        <w:t>Gaillet</w:t>
      </w:r>
      <w:proofErr w:type="spellEnd"/>
      <w:r w:rsidRPr="005136E7">
        <w:t>. Consequently, I consciously began to acknowledge the intricate interplay between research methods and methodologies.</w:t>
      </w:r>
      <w:r>
        <w:rPr>
          <w:rFonts w:hint="eastAsia"/>
        </w:rPr>
        <w:t xml:space="preserve"> </w:t>
      </w:r>
      <w:bookmarkStart w:id="12" w:name="_Hlk165391512"/>
      <w:r>
        <w:rPr>
          <w:rFonts w:hint="eastAsia"/>
        </w:rPr>
        <w:t>“T</w:t>
      </w:r>
      <w:r w:rsidRPr="00AB6A17">
        <w:t>his redefinition of the role archives play in cultural scholarship is interdisciplinary</w:t>
      </w:r>
      <w:r w:rsidR="003417F9">
        <w:rPr>
          <w:rFonts w:hint="eastAsia"/>
        </w:rPr>
        <w:t>. (</w:t>
      </w:r>
      <w:proofErr w:type="spellStart"/>
      <w:r w:rsidRPr="00D6078B">
        <w:t>Lynée</w:t>
      </w:r>
      <w:proofErr w:type="spellEnd"/>
      <w:r w:rsidRPr="00D6078B">
        <w:t xml:space="preserve"> L</w:t>
      </w:r>
      <w:r w:rsidR="00B431B2">
        <w:rPr>
          <w:rFonts w:hint="eastAsia"/>
        </w:rPr>
        <w:t>.</w:t>
      </w:r>
      <w:r>
        <w:rPr>
          <w:rFonts w:hint="eastAsia"/>
        </w:rPr>
        <w:t>G</w:t>
      </w:r>
      <w:r w:rsidR="00B431B2">
        <w:rPr>
          <w:rFonts w:hint="eastAsia"/>
        </w:rPr>
        <w:t>.</w:t>
      </w:r>
      <w:r>
        <w:rPr>
          <w:rFonts w:hint="eastAsia"/>
        </w:rPr>
        <w:t xml:space="preserve"> 2012）</w:t>
      </w:r>
      <w:bookmarkEnd w:id="12"/>
      <w:r w:rsidR="003417F9" w:rsidRPr="003417F9">
        <w:t xml:space="preserve">However, </w:t>
      </w:r>
      <w:r w:rsidR="003417F9">
        <w:t xml:space="preserve">the </w:t>
      </w:r>
      <w:r w:rsidR="003417F9" w:rsidRPr="003417F9">
        <w:t xml:space="preserve">phenomenological methodology is commonly employed in the humanities for conducting research through direct engagement with primary sources, such as archives, and subsequently organizing and analyzing the acquired data linguistically. Consequently, I </w:t>
      </w:r>
      <w:proofErr w:type="spellStart"/>
      <w:r w:rsidR="003417F9">
        <w:t>endeavour</w:t>
      </w:r>
      <w:proofErr w:type="spellEnd"/>
      <w:r w:rsidR="003417F9" w:rsidRPr="003417F9">
        <w:t xml:space="preserve"> to comprehend the principles of phenomenological methodology initially and progressively ascertain and elucidate the research objectives.</w:t>
      </w:r>
    </w:p>
    <w:p w14:paraId="3FCD0FF7" w14:textId="443C710E" w:rsidR="003417F9" w:rsidRDefault="003417F9" w:rsidP="00A960F6">
      <w:pPr>
        <w:jc w:val="both"/>
      </w:pPr>
      <w:r w:rsidRPr="00361945">
        <w:t>In “</w:t>
      </w:r>
      <w:bookmarkStart w:id="13" w:name="OLE_LINK35"/>
      <w:r w:rsidRPr="00361945">
        <w:t>An Argument for Archival</w:t>
      </w:r>
      <w:bookmarkEnd w:id="13"/>
      <w:r w:rsidRPr="00361945">
        <w:t xml:space="preserve"> Research </w:t>
      </w:r>
      <w:r>
        <w:t xml:space="preserve">Methods: Thinking beyond Methodology,” </w:t>
      </w:r>
      <w:proofErr w:type="spellStart"/>
      <w:r>
        <w:t>L’Eplattenier</w:t>
      </w:r>
      <w:proofErr w:type="spellEnd"/>
      <w:r>
        <w:t xml:space="preserve"> </w:t>
      </w:r>
      <w:bookmarkStart w:id="14" w:name="OLE_LINK34"/>
      <w:r w:rsidR="00CF059D">
        <w:t>Barbara</w:t>
      </w:r>
      <w:bookmarkEnd w:id="14"/>
      <w:r w:rsidR="00CF059D">
        <w:t xml:space="preserve"> </w:t>
      </w:r>
      <w:r>
        <w:t xml:space="preserve">explains the importance of integrating discussions of methods and methodology: </w:t>
      </w:r>
      <w:bookmarkStart w:id="15" w:name="_Hlk165391602"/>
      <w:r>
        <w:t>“Just as methodology allows us to theorize the goals of our research, methods allow us to contextualize the research process or the researched subject and materials. Methods make the invisible work of historical research visible” (</w:t>
      </w:r>
      <w:r w:rsidR="00CF059D">
        <w:rPr>
          <w:rFonts w:hint="eastAsia"/>
        </w:rPr>
        <w:t>2009</w:t>
      </w:r>
      <w:r>
        <w:t>).</w:t>
      </w:r>
      <w:bookmarkEnd w:id="15"/>
      <w:r>
        <w:t xml:space="preserve"> </w:t>
      </w:r>
      <w:r w:rsidR="00CF059D" w:rsidRPr="00CF059D">
        <w:t xml:space="preserve">By examining the process of constructing the artist's archive, </w:t>
      </w:r>
      <w:r w:rsidR="00CF059D">
        <w:t>I aim</w:t>
      </w:r>
      <w:r w:rsidR="00CF059D" w:rsidRPr="00CF059D">
        <w:t xml:space="preserve"> to initiate a "psychological biography of the artist," which entails narrating an individual's life through phenomenological and hermeneutic approaches. </w:t>
      </w:r>
      <w:r w:rsidR="00A960F6">
        <w:rPr>
          <w:rFonts w:hint="eastAsia"/>
        </w:rPr>
        <w:t>Perhaps in the end</w:t>
      </w:r>
      <w:r w:rsidR="00CF059D" w:rsidRPr="00CF059D">
        <w:t>, I intend to create "Hu Yichuan's Art Archive" by reconstructing and interpreting the character's life trajectory while exploring personality research methodologies within the realm of psychology.</w:t>
      </w:r>
    </w:p>
    <w:p w14:paraId="3E062900" w14:textId="387DA3E2" w:rsidR="00A960F6" w:rsidRDefault="00A960F6" w:rsidP="00A960F6">
      <w:pPr>
        <w:jc w:val="both"/>
      </w:pPr>
      <w:r w:rsidRPr="00A960F6">
        <w:t xml:space="preserve">The philosopher Edmund Husserl, in his book </w:t>
      </w:r>
      <w:r>
        <w:t>“</w:t>
      </w:r>
      <w:r w:rsidRPr="00A960F6">
        <w:t>The Crisis of European Science and the Phenomenology of Transcendentalism</w:t>
      </w:r>
      <w:r>
        <w:t>”</w:t>
      </w:r>
      <w:r w:rsidRPr="00A960F6">
        <w:t>, employed the German term "Lebenswelt" (</w:t>
      </w:r>
      <w:proofErr w:type="gramStart"/>
      <w:r w:rsidRPr="00A960F6">
        <w:t>life-world</w:t>
      </w:r>
      <w:proofErr w:type="gramEnd"/>
      <w:r w:rsidRPr="00A960F6">
        <w:t>) to denote the individual's "the world of immediate experience"</w:t>
      </w:r>
      <w:r>
        <w:rPr>
          <w:rFonts w:hint="eastAsia"/>
        </w:rPr>
        <w:t>(1970)</w:t>
      </w:r>
      <w:r w:rsidRPr="00A960F6">
        <w:t xml:space="preserve">. In sociology, phenomenology serves as a methodological research perspective for exploring the sociological significance of this concept. Scholars such as Scheler and Schutz have utilized phenomenological questioning methods to investigate human society, particularly human social </w:t>
      </w:r>
      <w:proofErr w:type="spellStart"/>
      <w:r>
        <w:t>behaviour</w:t>
      </w:r>
      <w:proofErr w:type="spellEnd"/>
      <w:r w:rsidRPr="00A960F6">
        <w:t>. This approach is also referred to as interpretative phenomenology.</w:t>
      </w:r>
      <w:r w:rsidR="006C21B1">
        <w:rPr>
          <w:rFonts w:hint="eastAsia"/>
        </w:rPr>
        <w:t xml:space="preserve"> </w:t>
      </w:r>
      <w:r w:rsidR="006C21B1" w:rsidRPr="006C21B1">
        <w:t>In other words, Phenomenological Viewing, in terms of its ideas about the phenomenological sociological analysis of attitudes towards nature, asserts that "Phenomenology encompasses not only the examination of consciousness but also the exploration of self-consciousness's materialization and modernity's materialization; similarly, sociology extends beyond a mere study of society to encompass our experiential relationship with the world and ourselves" (Ferguson</w:t>
      </w:r>
      <w:r w:rsidR="006C21B1">
        <w:rPr>
          <w:rFonts w:hint="eastAsia"/>
        </w:rPr>
        <w:t xml:space="preserve"> H. 2010</w:t>
      </w:r>
      <w:r w:rsidR="006C21B1" w:rsidRPr="006C21B1">
        <w:t>).</w:t>
      </w:r>
      <w:r w:rsidR="00B431B2">
        <w:rPr>
          <w:rFonts w:hint="eastAsia"/>
        </w:rPr>
        <w:t xml:space="preserve"> </w:t>
      </w:r>
      <w:bookmarkStart w:id="16" w:name="OLE_LINK39"/>
      <w:r w:rsidR="00B431B2" w:rsidRPr="00B431B2">
        <w:t xml:space="preserve">The case of Hu Yichuan is predicated upon the idiosyncrasies of an individual's life intertwined with the archetypal nature of the era and the nation. Born at the inception of the 20th century, Hu Yichuan's </w:t>
      </w:r>
      <w:r w:rsidR="00B431B2" w:rsidRPr="00B431B2">
        <w:lastRenderedPageBreak/>
        <w:t>entire existence has been inextricably linked to China's modern revolution and the construction of a new China.</w:t>
      </w:r>
      <w:r w:rsidR="00B431B2">
        <w:rPr>
          <w:rFonts w:hint="eastAsia"/>
        </w:rPr>
        <w:t xml:space="preserve"> </w:t>
      </w:r>
      <w:r w:rsidR="00B431B2" w:rsidRPr="00B431B2">
        <w:t>However, within the context of this era, to what extent did his individual personality and ontological spirit exert influence? Can we piece together and organize his identity as an artist, his desire to perceive the world through artistic thinking, and the interplay between his modernity and the zeitgeist? Can all these elements be reconstructed from the traces he left behind, forming a comprehensive and detailed historical archive of 20th-century art in written form</w:t>
      </w:r>
      <w:r w:rsidR="00B431B2">
        <w:t>?</w:t>
      </w:r>
      <w:r w:rsidR="00B431B2">
        <w:rPr>
          <w:rFonts w:hint="eastAsia"/>
        </w:rPr>
        <w:t xml:space="preserve"> </w:t>
      </w:r>
      <w:r w:rsidR="00B431B2">
        <w:t>“</w:t>
      </w:r>
      <w:r w:rsidR="00B431B2" w:rsidRPr="00B431B2">
        <w:t>The study of modernity as a distinct experience, and the dialectical comprehension of the characteristics of the empirical enigma in general as the central historical problem of intersubjectivity “</w:t>
      </w:r>
      <w:r w:rsidR="00B431B2">
        <w:t>(</w:t>
      </w:r>
      <w:r w:rsidR="00B431B2" w:rsidRPr="00B431B2">
        <w:t>Ferguson</w:t>
      </w:r>
      <w:r w:rsidR="00B431B2">
        <w:rPr>
          <w:rFonts w:hint="eastAsia"/>
        </w:rPr>
        <w:t xml:space="preserve"> H. </w:t>
      </w:r>
      <w:r w:rsidR="00B431B2" w:rsidRPr="00B431B2">
        <w:t>2010).</w:t>
      </w:r>
      <w:r w:rsidR="00B431B2">
        <w:rPr>
          <w:rFonts w:hint="eastAsia"/>
        </w:rPr>
        <w:t xml:space="preserve"> </w:t>
      </w:r>
    </w:p>
    <w:bookmarkEnd w:id="16"/>
    <w:p w14:paraId="47A5D444" w14:textId="486FE5E6" w:rsidR="003417F9" w:rsidRDefault="00B431B2" w:rsidP="00A960F6">
      <w:pPr>
        <w:jc w:val="both"/>
      </w:pPr>
      <w:r w:rsidRPr="00B431B2">
        <w:t>Furthermore, by employing a "</w:t>
      </w:r>
      <w:proofErr w:type="spellStart"/>
      <w:r w:rsidRPr="00B431B2">
        <w:t>psychobiographical</w:t>
      </w:r>
      <w:proofErr w:type="spellEnd"/>
      <w:r w:rsidRPr="00B431B2">
        <w:t xml:space="preserve">" approach that integrates phenomenological and hermeneutic analyses, my research assumes a more descriptive or narrative nature, enabling me to delve deeper into the intrinsic value of an artist's determination to construct their archive </w:t>
      </w:r>
      <w:r>
        <w:rPr>
          <w:rFonts w:hint="eastAsia"/>
        </w:rPr>
        <w:t xml:space="preserve">drive </w:t>
      </w:r>
      <w:r w:rsidRPr="00B431B2">
        <w:t>and articulate the self-narrative of their artistic journey.</w:t>
      </w:r>
      <w:r w:rsidR="002868E6">
        <w:rPr>
          <w:rFonts w:hint="eastAsia"/>
        </w:rPr>
        <w:t xml:space="preserve"> </w:t>
      </w:r>
      <w:r w:rsidR="002868E6" w:rsidRPr="002868E6">
        <w:t xml:space="preserve">This approach underscores the phenomenological value of the individual and the specific, thereby highlighting the significance of conducting case studies; it emphasizes the researcher's conscious experience in comprehending the essence and significance of the object under study, with a focus on preserving the integrity of one's personality and inner world. Through this type of analysis, can I establish a connection between Derrida's interpretation of Freud's archival drive and artists' life narratives, such as Hu Yichuan, who consciously maintained archives documenting </w:t>
      </w:r>
      <w:r w:rsidR="00634F8A">
        <w:t>his</w:t>
      </w:r>
      <w:r w:rsidR="002868E6" w:rsidRPr="002868E6">
        <w:t xml:space="preserve"> </w:t>
      </w:r>
      <w:r w:rsidR="00634F8A">
        <w:t>life</w:t>
      </w:r>
      <w:r w:rsidR="002868E6" w:rsidRPr="002868E6">
        <w:t>?</w:t>
      </w:r>
      <w:r w:rsidR="00634F8A">
        <w:rPr>
          <w:rFonts w:hint="eastAsia"/>
        </w:rPr>
        <w:t xml:space="preserve"> </w:t>
      </w:r>
      <w:bookmarkStart w:id="17" w:name="OLE_LINK42"/>
      <w:r w:rsidR="00634F8A" w:rsidRPr="00634F8A">
        <w:t>Mayer</w:t>
      </w:r>
      <w:r w:rsidR="00634F8A">
        <w:rPr>
          <w:rFonts w:hint="eastAsia"/>
        </w:rPr>
        <w:t xml:space="preserve"> </w:t>
      </w:r>
      <w:r w:rsidR="00634F8A" w:rsidRPr="00634F8A">
        <w:t>C.</w:t>
      </w:r>
      <w:r w:rsidR="00B77382">
        <w:rPr>
          <w:rFonts w:hint="eastAsia"/>
        </w:rPr>
        <w:t>-</w:t>
      </w:r>
      <w:r w:rsidR="00634F8A" w:rsidRPr="00634F8A">
        <w:t>H.</w:t>
      </w:r>
      <w:r w:rsidR="00634F8A">
        <w:rPr>
          <w:rFonts w:hint="eastAsia"/>
        </w:rPr>
        <w:t xml:space="preserve"> </w:t>
      </w:r>
      <w:r w:rsidR="00634F8A" w:rsidRPr="00634F8A">
        <w:t>&amp; Maree</w:t>
      </w:r>
      <w:r w:rsidR="00634F8A">
        <w:rPr>
          <w:rFonts w:hint="eastAsia"/>
        </w:rPr>
        <w:t xml:space="preserve"> </w:t>
      </w:r>
      <w:r w:rsidR="00634F8A" w:rsidRPr="00634F8A">
        <w:t>D</w:t>
      </w:r>
      <w:bookmarkEnd w:id="17"/>
      <w:r w:rsidR="00634F8A" w:rsidRPr="00634F8A">
        <w:t xml:space="preserve">., in describing the characteristics of psychobiography, suggest that "Freud, who pioneered psychobiography, had as his primary purpose in writing </w:t>
      </w:r>
      <w:r w:rsidR="00634F8A">
        <w:t>‘</w:t>
      </w:r>
      <w:r w:rsidR="00634F8A" w:rsidRPr="00634F8A">
        <w:t>Leonardo da Vinci and His Childhood Memories</w:t>
      </w:r>
      <w:r w:rsidR="00634F8A">
        <w:t>’</w:t>
      </w:r>
      <w:r w:rsidR="00634F8A" w:rsidRPr="00634F8A">
        <w:t xml:space="preserve"> an inquiry into how the capacity for outstanding artistic creativity develops."</w:t>
      </w:r>
      <w:r w:rsidR="00B77382">
        <w:rPr>
          <w:rFonts w:hint="eastAsia"/>
        </w:rPr>
        <w:t>(2017)</w:t>
      </w:r>
    </w:p>
    <w:p w14:paraId="765D2D1E" w14:textId="30E4D185" w:rsidR="00AE39D6" w:rsidRPr="00AE39D6" w:rsidRDefault="00B77382" w:rsidP="00B77382">
      <w:pPr>
        <w:jc w:val="both"/>
      </w:pPr>
      <w:r w:rsidRPr="00B77382">
        <w:t xml:space="preserve">According to Professor Lili Li from the School of Psychology at Xinjiang Normal University, </w:t>
      </w:r>
      <w:r w:rsidR="00410685">
        <w:t>“Psychobiography</w:t>
      </w:r>
      <w:r w:rsidRPr="00B77382">
        <w:t xml:space="preserve"> is considered a phenomenological-hermeneutic life-narrative analysis (PLA) in terms of research methodology due to its meticulous description and interpretation of individual life stories and experiences. This approach shares many similarities with Interpretative Phenomenological Analysis (IPA).</w:t>
      </w:r>
      <w:r w:rsidR="00410685">
        <w:rPr>
          <w:rFonts w:hint="eastAsia"/>
        </w:rPr>
        <w:t xml:space="preserve"> </w:t>
      </w:r>
      <w:r w:rsidR="00410685" w:rsidRPr="00410685">
        <w:t>The methods are both qualitative research approaches that incorporate phenomenology and hermeneutics, focusing on the subjective experiences of individuals</w:t>
      </w:r>
      <w:proofErr w:type="gramStart"/>
      <w:r w:rsidR="00410685">
        <w:t>”</w:t>
      </w:r>
      <w:proofErr w:type="gramEnd"/>
      <w:r w:rsidR="00410685">
        <w:rPr>
          <w:rFonts w:hint="eastAsia"/>
        </w:rPr>
        <w:t>（Li L.L. 2022</w:t>
      </w:r>
      <w:r w:rsidR="00410685">
        <w:t>）</w:t>
      </w:r>
      <w:r w:rsidR="00410685">
        <w:rPr>
          <w:rFonts w:hint="eastAsia"/>
        </w:rPr>
        <w:t xml:space="preserve">. Also, </w:t>
      </w:r>
      <w:r w:rsidR="00410685">
        <w:t>she</w:t>
      </w:r>
      <w:r w:rsidR="00410685">
        <w:rPr>
          <w:rFonts w:hint="eastAsia"/>
        </w:rPr>
        <w:t xml:space="preserve"> </w:t>
      </w:r>
      <w:r w:rsidR="00410685">
        <w:t>states</w:t>
      </w:r>
      <w:r w:rsidR="00410685">
        <w:rPr>
          <w:rFonts w:hint="eastAsia"/>
        </w:rPr>
        <w:t xml:space="preserve"> that </w:t>
      </w:r>
      <w:r w:rsidR="00410685">
        <w:t>“</w:t>
      </w:r>
      <w:r w:rsidR="00410685" w:rsidRPr="00410685">
        <w:t xml:space="preserve">The PLA encompasses a comprehensive examination of an individual's life trajectory, employing phenomenological and hermeneutic methodologies to analyze narrative data </w:t>
      </w:r>
      <w:r w:rsidR="00410685">
        <w:t>about</w:t>
      </w:r>
      <w:r w:rsidR="00410685" w:rsidRPr="00410685">
        <w:t xml:space="preserve"> the individual's life experiences. This approach </w:t>
      </w:r>
      <w:r w:rsidR="00410685">
        <w:t>applies</w:t>
      </w:r>
      <w:r w:rsidR="00410685" w:rsidRPr="00410685">
        <w:t xml:space="preserve"> to all research </w:t>
      </w:r>
      <w:proofErr w:type="spellStart"/>
      <w:r w:rsidR="00410685">
        <w:t>endeavours</w:t>
      </w:r>
      <w:proofErr w:type="spellEnd"/>
      <w:r w:rsidR="00410685" w:rsidRPr="00410685">
        <w:t xml:space="preserve"> that seek to interpret human events and lived experiences from a phenomenological standpoint</w:t>
      </w:r>
      <w:r w:rsidR="00410685">
        <w:t>”</w:t>
      </w:r>
      <w:r w:rsidR="00410685">
        <w:rPr>
          <w:rFonts w:hint="eastAsia"/>
        </w:rPr>
        <w:t xml:space="preserve"> </w:t>
      </w:r>
      <w:r w:rsidR="00410685" w:rsidRPr="00410685">
        <w:t>(Li L</w:t>
      </w:r>
      <w:r w:rsidR="00410685">
        <w:rPr>
          <w:rFonts w:hint="eastAsia"/>
        </w:rPr>
        <w:t>.</w:t>
      </w:r>
      <w:r w:rsidR="00410685" w:rsidRPr="00410685">
        <w:t>L</w:t>
      </w:r>
      <w:r w:rsidR="00410685">
        <w:rPr>
          <w:rFonts w:hint="eastAsia"/>
        </w:rPr>
        <w:t>.</w:t>
      </w:r>
      <w:r w:rsidR="00410685" w:rsidRPr="00410685">
        <w:t xml:space="preserve"> 2022).</w:t>
      </w:r>
      <w:r w:rsidR="00410685">
        <w:rPr>
          <w:rFonts w:hint="eastAsia"/>
        </w:rPr>
        <w:t xml:space="preserve"> </w:t>
      </w:r>
      <w:bookmarkStart w:id="18" w:name="OLE_LINK48"/>
      <w:r w:rsidR="00D22CA3" w:rsidRPr="00D22CA3">
        <w:t xml:space="preserve">In addition to the comparisons among diverse subtle </w:t>
      </w:r>
      <w:r w:rsidR="00D22CA3" w:rsidRPr="00D22CA3">
        <w:lastRenderedPageBreak/>
        <w:t>phenomenological methodologies, it would be worthwhile for me to explore and experiment with whether there exists a philosophical approach towards studying individualistic methodologies.</w:t>
      </w:r>
    </w:p>
    <w:bookmarkEnd w:id="18"/>
    <w:p w14:paraId="539646FD" w14:textId="77777777" w:rsidR="00AE39D6" w:rsidRDefault="00AE39D6" w:rsidP="00AE39D6"/>
    <w:p w14:paraId="4D3E1C04" w14:textId="305161EA" w:rsidR="00D22CA3" w:rsidRDefault="00D22CA3" w:rsidP="00D22CA3">
      <w:pPr>
        <w:pStyle w:val="a9"/>
        <w:numPr>
          <w:ilvl w:val="0"/>
          <w:numId w:val="1"/>
        </w:numPr>
      </w:pPr>
      <w:r>
        <w:rPr>
          <w:rFonts w:hint="eastAsia"/>
        </w:rPr>
        <w:t>Limitation</w:t>
      </w:r>
    </w:p>
    <w:p w14:paraId="51DB688F" w14:textId="4579E3AC" w:rsidR="00AE39D6" w:rsidRDefault="00F33F66" w:rsidP="00F33F66">
      <w:pPr>
        <w:jc w:val="both"/>
      </w:pPr>
      <w:r w:rsidRPr="00F33F66">
        <w:t xml:space="preserve">Whether employing interpretative phenomenology as a methodological approach or selecting the </w:t>
      </w:r>
      <w:r>
        <w:t>artist's</w:t>
      </w:r>
      <w:r w:rsidRPr="00F33F66">
        <w:t xml:space="preserve"> case as a justification for the case study; whether utilizing </w:t>
      </w:r>
      <w:proofErr w:type="spellStart"/>
      <w:r w:rsidRPr="00F33F66">
        <w:t>psychobiographical</w:t>
      </w:r>
      <w:proofErr w:type="spellEnd"/>
      <w:r w:rsidRPr="00F33F66">
        <w:t xml:space="preserve"> descriptive analysis or </w:t>
      </w:r>
      <w:proofErr w:type="spellStart"/>
      <w:r>
        <w:t>endeavouring</w:t>
      </w:r>
      <w:proofErr w:type="spellEnd"/>
      <w:r w:rsidRPr="00F33F66">
        <w:t xml:space="preserve"> to extrapolate the "archive" as a methodology, </w:t>
      </w:r>
      <w:r>
        <w:rPr>
          <w:rFonts w:hint="eastAsia"/>
        </w:rPr>
        <w:t>s</w:t>
      </w:r>
      <w:r w:rsidRPr="00F33F66">
        <w:t xml:space="preserve">uch relative methodological individualism would face criticism within the dominant positivist school of research due to its subjective nature, abstractness, and potential absence of theoretical grounding, </w:t>
      </w:r>
      <w:bookmarkStart w:id="19" w:name="OLE_LINK53"/>
      <w:r w:rsidRPr="00F33F66">
        <w:t>thereby raising doubts about my attempts at excessive complexity and confusion in addition to my ability to conduct interdisciplinary research.</w:t>
      </w:r>
      <w:r>
        <w:rPr>
          <w:rFonts w:hint="eastAsia"/>
        </w:rPr>
        <w:t xml:space="preserve"> However, t</w:t>
      </w:r>
      <w:r w:rsidRPr="00F33F66">
        <w:t>he intrinsic interest and academic purpose of my entire research lie in its potential as an experimental dialogue encompassing history, memory, objects, artistic ideals, and the future.</w:t>
      </w:r>
      <w:r>
        <w:rPr>
          <w:rFonts w:hint="eastAsia"/>
        </w:rPr>
        <w:t xml:space="preserve"> </w:t>
      </w:r>
      <w:r w:rsidRPr="00F33F66">
        <w:t>It may serve as an impeccable and practical archival product, or it could be a journey into the artist's archive of thoughts. However, all of this will be accomplished through meticulous document analysis, examination of historical materials, comparison of sources, and extensive interviews. I will adopt both a macro and micro perspective to provide mutual evidence and strive to uncover the truth from various angles. Moreover, I will employ diverse methods to enhance the case data and organize corresponding archival logic.</w:t>
      </w:r>
    </w:p>
    <w:p w14:paraId="4CE1C38B" w14:textId="77777777" w:rsidR="00F33F66" w:rsidRDefault="00F33F66" w:rsidP="00F33F66">
      <w:pPr>
        <w:jc w:val="both"/>
      </w:pPr>
    </w:p>
    <w:p w14:paraId="357DF9C6" w14:textId="16AE8AF0" w:rsidR="00F33F66" w:rsidRDefault="00F33F66" w:rsidP="00F33F66">
      <w:pPr>
        <w:pStyle w:val="a9"/>
        <w:numPr>
          <w:ilvl w:val="0"/>
          <w:numId w:val="1"/>
        </w:numPr>
        <w:jc w:val="both"/>
      </w:pPr>
      <w:r>
        <w:rPr>
          <w:rFonts w:hint="eastAsia"/>
        </w:rPr>
        <w:t>Conclusion</w:t>
      </w:r>
    </w:p>
    <w:p w14:paraId="68A82DDC" w14:textId="72595A71" w:rsidR="00AE39D6" w:rsidRDefault="00F33F66" w:rsidP="00A82791">
      <w:pPr>
        <w:jc w:val="both"/>
      </w:pPr>
      <w:r w:rsidRPr="00F33F66">
        <w:t>After proposing that "archive" serves as both a method and methodology, the trajectory and purpose of my research became more lucid. The establishment of the "Hu Yichuan Art Archive" not only represents the culmination of my investigation but also functions as a vehicle and process through which I delve into the interplay between the artist's archival drive and his existential values.</w:t>
      </w:r>
      <w:r w:rsidR="00A82791">
        <w:rPr>
          <w:rFonts w:hint="eastAsia"/>
        </w:rPr>
        <w:t xml:space="preserve"> </w:t>
      </w:r>
      <w:bookmarkStart w:id="20" w:name="OLE_LINK56"/>
      <w:r w:rsidR="00A82791" w:rsidRPr="00A82791">
        <w:t xml:space="preserve">The </w:t>
      </w:r>
      <w:r w:rsidR="00A82791">
        <w:rPr>
          <w:rFonts w:hint="eastAsia"/>
        </w:rPr>
        <w:t>article</w:t>
      </w:r>
      <w:r w:rsidR="00A82791" w:rsidRPr="00A82791">
        <w:t xml:space="preserve"> commences with my approach to embarking on the research, and the quest for inquiries, delving into the viability of the methodologies and approaches I am endeavoring to employ, as well as the potential blurring of boundaries that may arise from interactions.</w:t>
      </w:r>
      <w:bookmarkStart w:id="21" w:name="OLE_LINK57"/>
      <w:bookmarkStart w:id="22" w:name="OLE_LINK58"/>
      <w:r w:rsidR="0031333C">
        <w:rPr>
          <w:rFonts w:hint="eastAsia"/>
        </w:rPr>
        <w:t xml:space="preserve"> </w:t>
      </w:r>
      <w:bookmarkStart w:id="23" w:name="OLE_LINK59"/>
      <w:r w:rsidR="0031333C">
        <w:rPr>
          <w:rFonts w:hint="eastAsia"/>
        </w:rPr>
        <w:t>Once</w:t>
      </w:r>
      <w:r w:rsidR="00A82791" w:rsidRPr="00A82791">
        <w:t xml:space="preserve"> conducting a meticulous methodological derivation of interpretive phenomenological theory, and aligning it with my philosophical values orientation, </w:t>
      </w:r>
      <w:bookmarkEnd w:id="23"/>
      <w:r w:rsidR="00A82791" w:rsidRPr="00A82791">
        <w:t>it is unequivocal that I will predominantly employ phenomenological theory, along with its specific logics of interpretive and social phenomenology, as the guiding framework for my research methodology.</w:t>
      </w:r>
      <w:bookmarkEnd w:id="19"/>
      <w:bookmarkEnd w:id="20"/>
      <w:bookmarkEnd w:id="21"/>
      <w:bookmarkEnd w:id="22"/>
      <w:r w:rsidR="00A82791">
        <w:rPr>
          <w:rFonts w:hint="eastAsia"/>
        </w:rPr>
        <w:t xml:space="preserve"> Meanwhile</w:t>
      </w:r>
      <w:r w:rsidR="00A82791" w:rsidRPr="00A82791">
        <w:t xml:space="preserve">, I will employ case studies and </w:t>
      </w:r>
      <w:proofErr w:type="spellStart"/>
      <w:r w:rsidR="00A82791" w:rsidRPr="00A82791">
        <w:t>psychobiographical</w:t>
      </w:r>
      <w:proofErr w:type="spellEnd"/>
      <w:r w:rsidR="00A82791" w:rsidRPr="00A82791">
        <w:t xml:space="preserve"> methods to reexamine the life trajectory </w:t>
      </w:r>
      <w:r w:rsidR="00A82791" w:rsidRPr="00A82791">
        <w:lastRenderedPageBreak/>
        <w:t>of the individual artist through hermeneutic and psychological analyses. Furthermore, I will conduct a methodological experiment that involves moving from material archives to literary descriptions and then retracing our steps based on the logic of the "archive"</w:t>
      </w:r>
      <w:r w:rsidR="00A82791">
        <w:rPr>
          <w:rFonts w:hint="eastAsia"/>
        </w:rPr>
        <w:t>.</w:t>
      </w:r>
      <w:r w:rsidR="00AE39D6">
        <w:tab/>
      </w:r>
    </w:p>
    <w:p w14:paraId="3B2F6FDE" w14:textId="77777777" w:rsidR="00A30849" w:rsidRDefault="00A30849" w:rsidP="00A82791">
      <w:pPr>
        <w:jc w:val="both"/>
      </w:pPr>
    </w:p>
    <w:p w14:paraId="3CB4AEFF" w14:textId="77777777" w:rsidR="002E11FE" w:rsidRDefault="002E11FE" w:rsidP="002E11FE">
      <w:pPr>
        <w:rPr>
          <w:rFonts w:hint="eastAsia"/>
        </w:rPr>
      </w:pPr>
      <w:r>
        <w:rPr>
          <w:rFonts w:hint="eastAsia"/>
        </w:rPr>
        <w:t>Notes:</w:t>
      </w:r>
    </w:p>
    <w:p w14:paraId="7AAA474C" w14:textId="77777777" w:rsidR="002E11FE" w:rsidRPr="00A36E8F" w:rsidRDefault="002E11FE" w:rsidP="002E11FE">
      <w:pPr>
        <w:rPr>
          <w:rFonts w:ascii="Roboto" w:eastAsia="宋体" w:hAnsi="Roboto" w:cs="宋体"/>
          <w:color w:val="000000"/>
          <w:kern w:val="0"/>
          <w:sz w:val="21"/>
          <w:szCs w:val="21"/>
          <w14:ligatures w14:val="none"/>
        </w:rPr>
      </w:pPr>
      <w:r w:rsidRPr="00A36E8F">
        <w:rPr>
          <w:rFonts w:ascii="Roboto" w:eastAsia="宋体" w:hAnsi="Roboto" w:cs="宋体"/>
          <w:color w:val="000000"/>
          <w:kern w:val="0"/>
          <w:sz w:val="21"/>
          <w:szCs w:val="21"/>
          <w14:ligatures w14:val="none"/>
        </w:rPr>
        <w:t xml:space="preserve">Derrida, J. (1998). Archive Fever: A Freudian Impression (2nd </w:t>
      </w:r>
      <w:proofErr w:type="spellStart"/>
      <w:r w:rsidRPr="00A36E8F">
        <w:rPr>
          <w:rFonts w:ascii="Roboto" w:eastAsia="宋体" w:hAnsi="Roboto" w:cs="宋体"/>
          <w:color w:val="000000"/>
          <w:kern w:val="0"/>
          <w:sz w:val="21"/>
          <w:szCs w:val="21"/>
          <w14:ligatures w14:val="none"/>
        </w:rPr>
        <w:t>edn</w:t>
      </w:r>
      <w:proofErr w:type="spellEnd"/>
      <w:r w:rsidRPr="00A36E8F">
        <w:rPr>
          <w:rFonts w:ascii="Roboto" w:eastAsia="宋体" w:hAnsi="Roboto" w:cs="宋体"/>
          <w:color w:val="000000"/>
          <w:kern w:val="0"/>
          <w:sz w:val="21"/>
          <w:szCs w:val="21"/>
          <w14:ligatures w14:val="none"/>
        </w:rPr>
        <w:t xml:space="preserve">., E. </w:t>
      </w:r>
      <w:proofErr w:type="spellStart"/>
      <w:r w:rsidRPr="00A36E8F">
        <w:rPr>
          <w:rFonts w:ascii="Roboto" w:eastAsia="宋体" w:hAnsi="Roboto" w:cs="宋体"/>
          <w:color w:val="000000"/>
          <w:kern w:val="0"/>
          <w:sz w:val="21"/>
          <w:szCs w:val="21"/>
          <w14:ligatures w14:val="none"/>
        </w:rPr>
        <w:t>Prenowitz</w:t>
      </w:r>
      <w:proofErr w:type="spellEnd"/>
      <w:r w:rsidRPr="00A36E8F">
        <w:rPr>
          <w:rFonts w:ascii="Roboto" w:eastAsia="宋体" w:hAnsi="Roboto" w:cs="宋体"/>
          <w:color w:val="000000"/>
          <w:kern w:val="0"/>
          <w:sz w:val="21"/>
          <w:szCs w:val="21"/>
          <w14:ligatures w14:val="none"/>
        </w:rPr>
        <w:t xml:space="preserve">, Trans.). Chicago: University of Chicago Press. (Original work published 1995) </w:t>
      </w:r>
    </w:p>
    <w:p w14:paraId="717E2691" w14:textId="77777777" w:rsidR="002E11FE" w:rsidRDefault="002E11FE" w:rsidP="002E11FE">
      <w:pPr>
        <w:rPr>
          <w:rFonts w:ascii="Roboto" w:eastAsia="宋体" w:hAnsi="Roboto" w:cs="宋体"/>
          <w:color w:val="000000"/>
          <w:kern w:val="0"/>
          <w:sz w:val="21"/>
          <w:szCs w:val="21"/>
          <w14:ligatures w14:val="none"/>
        </w:rPr>
      </w:pPr>
      <w:r w:rsidRPr="00A36E8F">
        <w:rPr>
          <w:rFonts w:ascii="Roboto" w:eastAsia="宋体" w:hAnsi="Roboto" w:cs="宋体"/>
          <w:color w:val="000000"/>
          <w:kern w:val="0"/>
          <w:sz w:val="21"/>
          <w:szCs w:val="21"/>
          <w14:ligatures w14:val="none"/>
        </w:rPr>
        <w:t>Featherstone, M.</w:t>
      </w:r>
      <w:r>
        <w:rPr>
          <w:rFonts w:ascii="Roboto" w:eastAsia="宋体" w:hAnsi="Roboto" w:cs="宋体" w:hint="eastAsia"/>
          <w:color w:val="000000"/>
          <w:kern w:val="0"/>
          <w:sz w:val="21"/>
          <w:szCs w:val="21"/>
          <w14:ligatures w14:val="none"/>
        </w:rPr>
        <w:t xml:space="preserve"> </w:t>
      </w:r>
      <w:r w:rsidRPr="00A36E8F">
        <w:rPr>
          <w:rFonts w:ascii="Roboto" w:eastAsia="宋体" w:hAnsi="Roboto" w:cs="宋体"/>
          <w:color w:val="000000"/>
          <w:kern w:val="0"/>
          <w:sz w:val="21"/>
          <w:szCs w:val="21"/>
          <w14:ligatures w14:val="none"/>
        </w:rPr>
        <w:t xml:space="preserve">(2006). </w:t>
      </w:r>
      <w:bookmarkStart w:id="24" w:name="OLE_LINK26"/>
      <w:r w:rsidRPr="00A36E8F">
        <w:rPr>
          <w:rFonts w:ascii="Roboto" w:eastAsia="宋体" w:hAnsi="Roboto" w:cs="宋体"/>
          <w:color w:val="000000"/>
          <w:kern w:val="0"/>
          <w:sz w:val="21"/>
          <w:szCs w:val="21"/>
          <w14:ligatures w14:val="none"/>
        </w:rPr>
        <w:t>Archive. Theory, Culture &amp; Society</w:t>
      </w:r>
      <w:bookmarkEnd w:id="24"/>
      <w:r w:rsidRPr="00A36E8F">
        <w:rPr>
          <w:rFonts w:ascii="Roboto" w:eastAsia="宋体" w:hAnsi="Roboto" w:cs="宋体"/>
          <w:color w:val="000000"/>
          <w:kern w:val="0"/>
          <w:sz w:val="21"/>
          <w:szCs w:val="21"/>
          <w14:ligatures w14:val="none"/>
        </w:rPr>
        <w:t>, 23(2-3), 591-596.</w:t>
      </w:r>
      <w:r w:rsidRPr="00A36E8F">
        <w:rPr>
          <w:rFonts w:ascii="Roboto" w:eastAsia="宋体" w:hAnsi="Roboto" w:cs="宋体" w:hint="eastAsia"/>
          <w:color w:val="000000"/>
          <w:kern w:val="0"/>
          <w:sz w:val="21"/>
          <w:szCs w:val="21"/>
          <w14:ligatures w14:val="none"/>
        </w:rPr>
        <w:t xml:space="preserve"> </w:t>
      </w:r>
      <w:hyperlink r:id="rId8" w:history="1">
        <w:r w:rsidRPr="002F6B29">
          <w:rPr>
            <w:rStyle w:val="af3"/>
            <w:rFonts w:ascii="Roboto" w:eastAsia="宋体" w:hAnsi="Roboto" w:cs="宋体"/>
            <w:kern w:val="0"/>
            <w:sz w:val="21"/>
            <w:szCs w:val="21"/>
            <w14:ligatures w14:val="none"/>
          </w:rPr>
          <w:t>http://tcs.sagepub.com/content/23/2-3/591</w:t>
        </w:r>
      </w:hyperlink>
    </w:p>
    <w:p w14:paraId="0F9A818A" w14:textId="77777777" w:rsidR="002E11FE" w:rsidRPr="00A36E8F" w:rsidRDefault="002E11FE" w:rsidP="002E11FE">
      <w:pPr>
        <w:rPr>
          <w:rFonts w:ascii="Roboto" w:eastAsia="宋体" w:hAnsi="Roboto" w:cs="宋体" w:hint="eastAsia"/>
          <w:color w:val="000000"/>
          <w:kern w:val="0"/>
          <w:sz w:val="21"/>
          <w:szCs w:val="21"/>
          <w14:ligatures w14:val="none"/>
        </w:rPr>
      </w:pPr>
      <w:r>
        <w:rPr>
          <w:rFonts w:ascii="Roboto" w:eastAsia="宋体" w:hAnsi="Roboto" w:cs="宋体" w:hint="eastAsia"/>
          <w:color w:val="000000"/>
          <w:kern w:val="0"/>
          <w:sz w:val="21"/>
          <w:szCs w:val="21"/>
          <w14:ligatures w14:val="none"/>
        </w:rPr>
        <w:t xml:space="preserve">Ferguson, H. 2010. Phenomenological Sociology. Translated by Liu </w:t>
      </w:r>
      <w:proofErr w:type="spellStart"/>
      <w:r>
        <w:rPr>
          <w:rFonts w:ascii="Roboto" w:eastAsia="宋体" w:hAnsi="Roboto" w:cs="宋体" w:hint="eastAsia"/>
          <w:color w:val="000000"/>
          <w:kern w:val="0"/>
          <w:sz w:val="21"/>
          <w:szCs w:val="21"/>
          <w14:ligatures w14:val="none"/>
        </w:rPr>
        <w:t>Conghui</w:t>
      </w:r>
      <w:proofErr w:type="spellEnd"/>
      <w:r>
        <w:rPr>
          <w:rFonts w:ascii="Roboto" w:eastAsia="宋体" w:hAnsi="Roboto" w:cs="宋体" w:hint="eastAsia"/>
          <w:color w:val="000000"/>
          <w:kern w:val="0"/>
          <w:sz w:val="21"/>
          <w:szCs w:val="21"/>
          <w14:ligatures w14:val="none"/>
        </w:rPr>
        <w:t>、</w:t>
      </w:r>
      <w:r>
        <w:rPr>
          <w:rFonts w:ascii="Roboto" w:eastAsia="宋体" w:hAnsi="Roboto" w:cs="宋体" w:hint="eastAsia"/>
          <w:color w:val="000000"/>
          <w:kern w:val="0"/>
          <w:sz w:val="21"/>
          <w:szCs w:val="21"/>
          <w14:ligatures w14:val="none"/>
        </w:rPr>
        <w:t xml:space="preserve">Guo </w:t>
      </w:r>
      <w:proofErr w:type="spellStart"/>
      <w:r>
        <w:rPr>
          <w:rFonts w:ascii="Roboto" w:eastAsia="宋体" w:hAnsi="Roboto" w:cs="宋体" w:hint="eastAsia"/>
          <w:color w:val="000000"/>
          <w:kern w:val="0"/>
          <w:sz w:val="21"/>
          <w:szCs w:val="21"/>
          <w14:ligatures w14:val="none"/>
        </w:rPr>
        <w:t>Zhitian</w:t>
      </w:r>
      <w:proofErr w:type="spellEnd"/>
      <w:r>
        <w:rPr>
          <w:rFonts w:ascii="Roboto" w:eastAsia="宋体" w:hAnsi="Roboto" w:cs="宋体" w:hint="eastAsia"/>
          <w:color w:val="000000"/>
          <w:kern w:val="0"/>
          <w:sz w:val="21"/>
          <w:szCs w:val="21"/>
          <w14:ligatures w14:val="none"/>
        </w:rPr>
        <w:t>、</w:t>
      </w:r>
      <w:r>
        <w:rPr>
          <w:rFonts w:ascii="Roboto" w:eastAsia="宋体" w:hAnsi="Roboto" w:cs="宋体" w:hint="eastAsia"/>
          <w:color w:val="000000"/>
          <w:kern w:val="0"/>
          <w:sz w:val="21"/>
          <w:szCs w:val="21"/>
          <w14:ligatures w14:val="none"/>
        </w:rPr>
        <w:t>and Zhang Qi. Beijing: Peking University Press.</w:t>
      </w:r>
    </w:p>
    <w:p w14:paraId="35683E29" w14:textId="77777777" w:rsidR="002E11FE" w:rsidRPr="00A36E8F" w:rsidRDefault="002E11FE" w:rsidP="002E11FE">
      <w:pPr>
        <w:rPr>
          <w:rFonts w:ascii="Roboto" w:eastAsia="宋体" w:hAnsi="Roboto" w:cs="宋体" w:hint="eastAsia"/>
          <w:color w:val="000000"/>
          <w:kern w:val="0"/>
          <w:sz w:val="21"/>
          <w:szCs w:val="21"/>
          <w14:ligatures w14:val="none"/>
        </w:rPr>
      </w:pPr>
      <w:r w:rsidRPr="00A36E8F">
        <w:rPr>
          <w:rFonts w:ascii="Roboto" w:eastAsia="宋体" w:hAnsi="Roboto" w:cs="宋体"/>
          <w:color w:val="000000"/>
          <w:kern w:val="0"/>
          <w:sz w:val="21"/>
          <w:szCs w:val="21"/>
          <w14:ligatures w14:val="none"/>
        </w:rPr>
        <w:t>Foster, H.</w:t>
      </w:r>
      <w:r>
        <w:rPr>
          <w:rFonts w:ascii="Roboto" w:eastAsia="宋体" w:hAnsi="Roboto" w:cs="宋体" w:hint="eastAsia"/>
          <w:color w:val="000000"/>
          <w:kern w:val="0"/>
          <w:sz w:val="21"/>
          <w:szCs w:val="21"/>
          <w14:ligatures w14:val="none"/>
        </w:rPr>
        <w:t xml:space="preserve"> </w:t>
      </w:r>
      <w:r w:rsidRPr="00A36E8F">
        <w:rPr>
          <w:rFonts w:ascii="Roboto" w:eastAsia="宋体" w:hAnsi="Roboto" w:cs="宋体"/>
          <w:color w:val="000000"/>
          <w:kern w:val="0"/>
          <w:sz w:val="21"/>
          <w:szCs w:val="21"/>
          <w14:ligatures w14:val="none"/>
        </w:rPr>
        <w:t>(2004). An Archival Impulse. October 110 (Autumn), 3-22. Cambridge, MA: The MIT Press.</w:t>
      </w:r>
      <w:r w:rsidRPr="00A36E8F">
        <w:rPr>
          <w:rFonts w:ascii="Roboto" w:eastAsia="宋体" w:hAnsi="Roboto" w:cs="宋体" w:hint="eastAsia"/>
          <w:color w:val="000000"/>
          <w:kern w:val="0"/>
          <w:sz w:val="21"/>
          <w:szCs w:val="21"/>
          <w14:ligatures w14:val="none"/>
        </w:rPr>
        <w:t xml:space="preserve"> </w:t>
      </w:r>
      <w:r w:rsidRPr="00A36E8F">
        <w:rPr>
          <w:rFonts w:ascii="Roboto" w:eastAsia="宋体" w:hAnsi="Roboto" w:cs="宋体"/>
          <w:color w:val="000000"/>
          <w:kern w:val="0"/>
          <w:sz w:val="21"/>
          <w:szCs w:val="21"/>
          <w14:ligatures w14:val="none"/>
        </w:rPr>
        <w:t>http://www.jstor.org/stable/3397555</w:t>
      </w:r>
    </w:p>
    <w:p w14:paraId="7B25791E" w14:textId="68D02550" w:rsidR="002E11FE" w:rsidRPr="00A36E8F" w:rsidRDefault="002E11FE" w:rsidP="002E11FE">
      <w:pPr>
        <w:rPr>
          <w:rFonts w:ascii="Roboto" w:eastAsia="宋体" w:hAnsi="Roboto" w:cs="宋体"/>
          <w:color w:val="000000"/>
          <w:kern w:val="0"/>
          <w:sz w:val="21"/>
          <w:szCs w:val="21"/>
          <w14:ligatures w14:val="none"/>
        </w:rPr>
      </w:pPr>
      <w:proofErr w:type="spellStart"/>
      <w:r w:rsidRPr="00A36E8F">
        <w:rPr>
          <w:rFonts w:ascii="Roboto" w:eastAsia="宋体" w:hAnsi="Roboto" w:cs="宋体"/>
          <w:color w:val="000000"/>
          <w:kern w:val="0"/>
          <w:sz w:val="21"/>
          <w:szCs w:val="21"/>
          <w14:ligatures w14:val="none"/>
        </w:rPr>
        <w:t>L’Eplattenier</w:t>
      </w:r>
      <w:proofErr w:type="spellEnd"/>
      <w:r w:rsidRPr="00A36E8F">
        <w:rPr>
          <w:rFonts w:ascii="Roboto" w:eastAsia="宋体" w:hAnsi="Roboto" w:cs="宋体"/>
          <w:color w:val="000000"/>
          <w:kern w:val="0"/>
          <w:sz w:val="21"/>
          <w:szCs w:val="21"/>
          <w14:ligatures w14:val="none"/>
        </w:rPr>
        <w:t>, Barbara. An Argument for Archival Research Methods: Thinking Beyond Methodology.</w:t>
      </w:r>
      <w:r>
        <w:rPr>
          <w:rFonts w:ascii="Roboto" w:eastAsia="宋体" w:hAnsi="Roboto" w:cs="宋体" w:hint="eastAsia"/>
          <w:color w:val="000000"/>
          <w:kern w:val="0"/>
          <w:sz w:val="21"/>
          <w:szCs w:val="21"/>
          <w14:ligatures w14:val="none"/>
        </w:rPr>
        <w:t xml:space="preserve"> </w:t>
      </w:r>
      <w:r w:rsidRPr="00A36E8F">
        <w:rPr>
          <w:rFonts w:ascii="Roboto" w:eastAsia="宋体" w:hAnsi="Roboto" w:cs="宋体"/>
          <w:color w:val="000000"/>
          <w:kern w:val="0"/>
          <w:sz w:val="21"/>
          <w:szCs w:val="21"/>
          <w14:ligatures w14:val="none"/>
        </w:rPr>
        <w:t>College English</w:t>
      </w:r>
      <w:r w:rsidRPr="00A36E8F">
        <w:rPr>
          <w:rFonts w:ascii="Roboto" w:eastAsia="宋体" w:hAnsi="Roboto" w:cs="宋体" w:hint="eastAsia"/>
          <w:color w:val="000000"/>
          <w:kern w:val="0"/>
          <w:sz w:val="21"/>
          <w:szCs w:val="21"/>
          <w14:ligatures w14:val="none"/>
        </w:rPr>
        <w:t xml:space="preserve"> </w:t>
      </w:r>
      <w:r w:rsidRPr="00A36E8F">
        <w:rPr>
          <w:rFonts w:ascii="Roboto" w:eastAsia="宋体" w:hAnsi="Roboto" w:cs="宋体"/>
          <w:color w:val="000000"/>
          <w:kern w:val="0"/>
          <w:sz w:val="21"/>
          <w:szCs w:val="21"/>
          <w14:ligatures w14:val="none"/>
        </w:rPr>
        <w:t>72.1 (2009). 67–79. Print. Message to the author. 10 Aug. 2011. Email.</w:t>
      </w:r>
    </w:p>
    <w:p w14:paraId="67A46603" w14:textId="77777777" w:rsidR="002E11FE" w:rsidRDefault="002E11FE" w:rsidP="002E11FE">
      <w:pPr>
        <w:pStyle w:val="af2"/>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LILI, L., 2022. </w:t>
      </w:r>
      <w:r w:rsidRPr="00A36E8F">
        <w:rPr>
          <w:rFonts w:ascii="Roboto" w:hAnsi="Roboto"/>
          <w:color w:val="000000"/>
          <w:sz w:val="21"/>
          <w:szCs w:val="21"/>
        </w:rPr>
        <w:t>Psychobiography: A Phenomenological-hermeneutic Analysis of Personality. </w:t>
      </w:r>
      <w:r>
        <w:rPr>
          <w:rFonts w:ascii="Roboto" w:hAnsi="Roboto"/>
          <w:color w:val="000000"/>
          <w:sz w:val="21"/>
          <w:szCs w:val="21"/>
        </w:rPr>
        <w:t>International Science Group Inc.</w:t>
      </w:r>
    </w:p>
    <w:p w14:paraId="75C442BC" w14:textId="77777777" w:rsidR="00495652" w:rsidRPr="00A36E8F" w:rsidRDefault="00495652" w:rsidP="00495652">
      <w:pPr>
        <w:rPr>
          <w:rFonts w:ascii="Roboto" w:eastAsia="宋体" w:hAnsi="Roboto" w:cs="宋体" w:hint="eastAsia"/>
          <w:color w:val="000000"/>
          <w:kern w:val="0"/>
          <w:sz w:val="21"/>
          <w:szCs w:val="21"/>
          <w14:ligatures w14:val="none"/>
        </w:rPr>
      </w:pPr>
      <w:r w:rsidRPr="00A36E8F">
        <w:rPr>
          <w:rFonts w:ascii="Roboto" w:eastAsia="宋体" w:hAnsi="Roboto" w:cs="宋体"/>
          <w:color w:val="000000"/>
          <w:kern w:val="0"/>
          <w:sz w:val="21"/>
          <w:szCs w:val="21"/>
          <w14:ligatures w14:val="none"/>
        </w:rPr>
        <w:t xml:space="preserve">Mayer, C.-H., &amp; Maree, D. (2017). A </w:t>
      </w:r>
      <w:proofErr w:type="spellStart"/>
      <w:r w:rsidRPr="00A36E8F">
        <w:rPr>
          <w:rFonts w:ascii="Roboto" w:eastAsia="宋体" w:hAnsi="Roboto" w:cs="宋体"/>
          <w:color w:val="000000"/>
          <w:kern w:val="0"/>
          <w:sz w:val="21"/>
          <w:szCs w:val="21"/>
          <w14:ligatures w14:val="none"/>
        </w:rPr>
        <w:t>psychobiographical</w:t>
      </w:r>
      <w:proofErr w:type="spellEnd"/>
      <w:r w:rsidRPr="00A36E8F">
        <w:rPr>
          <w:rFonts w:ascii="Roboto" w:eastAsia="宋体" w:hAnsi="Roboto" w:cs="宋体"/>
          <w:color w:val="000000"/>
          <w:kern w:val="0"/>
          <w:sz w:val="21"/>
          <w:szCs w:val="21"/>
          <w14:ligatures w14:val="none"/>
        </w:rPr>
        <w:t xml:space="preserve"> study of intuition in a writer’s life: Paulo Coelho revisited. Europe’s Journal of Psychology, 13 (3), 472–490.</w:t>
      </w:r>
    </w:p>
    <w:p w14:paraId="39F97F13" w14:textId="77777777" w:rsidR="00495652" w:rsidRPr="00A36E8F" w:rsidRDefault="00495652" w:rsidP="00495652">
      <w:pPr>
        <w:rPr>
          <w:rFonts w:ascii="Roboto" w:eastAsia="宋体" w:hAnsi="Roboto" w:cs="宋体"/>
          <w:color w:val="000000"/>
          <w:kern w:val="0"/>
          <w:sz w:val="21"/>
          <w:szCs w:val="21"/>
          <w14:ligatures w14:val="none"/>
        </w:rPr>
      </w:pPr>
      <w:r w:rsidRPr="00A36E8F">
        <w:rPr>
          <w:rFonts w:ascii="Roboto" w:eastAsia="宋体" w:hAnsi="Roboto" w:cs="宋体"/>
          <w:color w:val="000000"/>
          <w:kern w:val="0"/>
          <w:sz w:val="21"/>
          <w:szCs w:val="21"/>
          <w14:ligatures w14:val="none"/>
        </w:rPr>
        <w:t xml:space="preserve">Mayer C., </w:t>
      </w:r>
      <w:proofErr w:type="spellStart"/>
      <w:r w:rsidRPr="00A36E8F">
        <w:rPr>
          <w:rFonts w:ascii="Roboto" w:eastAsia="宋体" w:hAnsi="Roboto" w:cs="宋体"/>
          <w:color w:val="000000"/>
          <w:kern w:val="0"/>
          <w:sz w:val="21"/>
          <w:szCs w:val="21"/>
          <w14:ligatures w14:val="none"/>
        </w:rPr>
        <w:t>Köváry</w:t>
      </w:r>
      <w:proofErr w:type="spellEnd"/>
      <w:r w:rsidRPr="00A36E8F">
        <w:rPr>
          <w:rFonts w:ascii="Roboto" w:eastAsia="宋体" w:hAnsi="Roboto" w:cs="宋体"/>
          <w:color w:val="000000"/>
          <w:kern w:val="0"/>
          <w:sz w:val="21"/>
          <w:szCs w:val="21"/>
          <w14:ligatures w14:val="none"/>
        </w:rPr>
        <w:t>, Z. (Ed.). (2019). New Trends in Psychobiography. Springer Nature Switzerland AG, 115-132.</w:t>
      </w:r>
    </w:p>
    <w:p w14:paraId="51F465D8" w14:textId="77777777" w:rsidR="00A30849" w:rsidRDefault="00A30849" w:rsidP="00A82791">
      <w:pPr>
        <w:jc w:val="both"/>
      </w:pPr>
    </w:p>
    <w:p w14:paraId="43D474EF" w14:textId="77777777" w:rsidR="00495652" w:rsidRPr="00495652" w:rsidRDefault="00495652" w:rsidP="00A82791">
      <w:pPr>
        <w:jc w:val="both"/>
        <w:rPr>
          <w:rFonts w:hint="eastAsia"/>
        </w:rPr>
      </w:pPr>
    </w:p>
    <w:p w14:paraId="383AF21D" w14:textId="5D2FD677" w:rsidR="002E11FE" w:rsidRDefault="002E11FE" w:rsidP="00A82791">
      <w:pPr>
        <w:jc w:val="both"/>
      </w:pPr>
      <w:r>
        <w:rPr>
          <w:rFonts w:hint="eastAsia"/>
        </w:rPr>
        <w:t>References:</w:t>
      </w:r>
    </w:p>
    <w:p w14:paraId="0154B120" w14:textId="31040CF5" w:rsidR="00495652" w:rsidRDefault="00495652" w:rsidP="00495652">
      <w:pPr>
        <w:pStyle w:val="af2"/>
        <w:shd w:val="clear" w:color="auto" w:fill="FFFFFF"/>
        <w:spacing w:before="0" w:beforeAutospacing="0" w:after="173" w:afterAutospacing="0"/>
        <w:rPr>
          <w:rFonts w:ascii="Roboto" w:hAnsi="Roboto" w:hint="eastAsia"/>
          <w:color w:val="000000"/>
          <w:sz w:val="21"/>
          <w:szCs w:val="21"/>
        </w:rPr>
      </w:pPr>
      <w:r>
        <w:rPr>
          <w:rFonts w:ascii="Roboto" w:hAnsi="Roboto"/>
          <w:color w:val="000000"/>
          <w:sz w:val="21"/>
          <w:szCs w:val="21"/>
        </w:rPr>
        <w:t>CARBONE, K., 2020. Archival Art: Memory Practices, Interventions, and Productions. </w:t>
      </w:r>
      <w:r>
        <w:rPr>
          <w:rFonts w:ascii="Roboto" w:hAnsi="Roboto"/>
          <w:i/>
          <w:iCs/>
          <w:color w:val="000000"/>
          <w:sz w:val="21"/>
          <w:szCs w:val="21"/>
        </w:rPr>
        <w:t>Curator (New York, N.Y.), </w:t>
      </w:r>
      <w:r>
        <w:rPr>
          <w:rFonts w:ascii="Roboto" w:hAnsi="Roboto"/>
          <w:b/>
          <w:bCs/>
          <w:color w:val="000000"/>
          <w:sz w:val="21"/>
          <w:szCs w:val="21"/>
        </w:rPr>
        <w:t>63</w:t>
      </w:r>
      <w:r>
        <w:rPr>
          <w:rFonts w:ascii="Roboto" w:hAnsi="Roboto"/>
          <w:color w:val="000000"/>
          <w:sz w:val="21"/>
          <w:szCs w:val="21"/>
        </w:rPr>
        <w:t>(2), pp. 257-263.</w:t>
      </w:r>
    </w:p>
    <w:p w14:paraId="2B88A693" w14:textId="51B6DE2F" w:rsidR="00495652" w:rsidRDefault="00495652" w:rsidP="00495652">
      <w:pPr>
        <w:pStyle w:val="af2"/>
        <w:shd w:val="clear" w:color="auto" w:fill="FFFFFF"/>
        <w:spacing w:before="0" w:beforeAutospacing="0" w:after="173" w:afterAutospacing="0"/>
        <w:rPr>
          <w:rFonts w:ascii="Roboto" w:hAnsi="Roboto" w:hint="eastAsia"/>
          <w:color w:val="000000"/>
          <w:sz w:val="21"/>
          <w:szCs w:val="21"/>
        </w:rPr>
      </w:pPr>
      <w:r>
        <w:rPr>
          <w:rFonts w:ascii="Roboto" w:hAnsi="Roboto"/>
          <w:color w:val="000000"/>
          <w:sz w:val="21"/>
          <w:szCs w:val="21"/>
        </w:rPr>
        <w:t>CHLEBOWSKI, I.S., 2008. </w:t>
      </w:r>
      <w:r>
        <w:rPr>
          <w:rFonts w:ascii="Roboto" w:hAnsi="Roboto"/>
          <w:i/>
          <w:iCs/>
          <w:color w:val="000000"/>
          <w:sz w:val="21"/>
          <w:szCs w:val="21"/>
        </w:rPr>
        <w:t>Archive Fever: uses of the Document in Contemporary Art. </w:t>
      </w:r>
      <w:r>
        <w:rPr>
          <w:rFonts w:ascii="Roboto" w:hAnsi="Roboto"/>
          <w:color w:val="000000"/>
          <w:sz w:val="21"/>
          <w:szCs w:val="21"/>
        </w:rPr>
        <w:t>Berkeley: University of California Press.</w:t>
      </w:r>
    </w:p>
    <w:p w14:paraId="0E3E27EE" w14:textId="6F76861E" w:rsidR="00495652" w:rsidRPr="009E5206" w:rsidRDefault="00495652" w:rsidP="00495652">
      <w:pPr>
        <w:pStyle w:val="af2"/>
        <w:shd w:val="clear" w:color="auto" w:fill="FFFFFF"/>
        <w:spacing w:before="0" w:beforeAutospacing="0" w:after="173" w:afterAutospacing="0"/>
        <w:rPr>
          <w:rFonts w:ascii="Roboto" w:hAnsi="Roboto" w:hint="eastAsia"/>
          <w:color w:val="000000"/>
          <w:sz w:val="21"/>
          <w:szCs w:val="21"/>
        </w:rPr>
      </w:pPr>
      <w:r>
        <w:rPr>
          <w:rFonts w:ascii="Roboto" w:hAnsi="Roboto"/>
          <w:color w:val="000000"/>
          <w:sz w:val="21"/>
          <w:szCs w:val="21"/>
        </w:rPr>
        <w:t>DERRIDA, J., 1996. </w:t>
      </w:r>
      <w:r>
        <w:rPr>
          <w:rFonts w:ascii="Roboto" w:hAnsi="Roboto"/>
          <w:i/>
          <w:iCs/>
          <w:color w:val="000000"/>
          <w:sz w:val="21"/>
          <w:szCs w:val="21"/>
        </w:rPr>
        <w:t xml:space="preserve">Archive </w:t>
      </w:r>
      <w:proofErr w:type="gramStart"/>
      <w:r>
        <w:rPr>
          <w:rFonts w:ascii="Roboto" w:hAnsi="Roboto"/>
          <w:i/>
          <w:iCs/>
          <w:color w:val="000000"/>
          <w:sz w:val="21"/>
          <w:szCs w:val="21"/>
        </w:rPr>
        <w:t>fever :</w:t>
      </w:r>
      <w:proofErr w:type="gramEnd"/>
      <w:r>
        <w:rPr>
          <w:rFonts w:ascii="Roboto" w:hAnsi="Roboto"/>
          <w:i/>
          <w:iCs/>
          <w:color w:val="000000"/>
          <w:sz w:val="21"/>
          <w:szCs w:val="21"/>
        </w:rPr>
        <w:t xml:space="preserve"> a Freudian impression. </w:t>
      </w:r>
      <w:r>
        <w:rPr>
          <w:rFonts w:ascii="Roboto" w:hAnsi="Roboto"/>
          <w:color w:val="000000"/>
          <w:sz w:val="21"/>
          <w:szCs w:val="21"/>
        </w:rPr>
        <w:t xml:space="preserve">Chicago, </w:t>
      </w:r>
      <w:proofErr w:type="gramStart"/>
      <w:r>
        <w:rPr>
          <w:rFonts w:ascii="Roboto" w:hAnsi="Roboto"/>
          <w:color w:val="000000"/>
          <w:sz w:val="21"/>
          <w:szCs w:val="21"/>
        </w:rPr>
        <w:t>IL ;</w:t>
      </w:r>
      <w:proofErr w:type="gramEnd"/>
      <w:r>
        <w:rPr>
          <w:rFonts w:ascii="Roboto" w:hAnsi="Roboto"/>
          <w:color w:val="000000"/>
          <w:sz w:val="21"/>
          <w:szCs w:val="21"/>
        </w:rPr>
        <w:t>: University of Chicago Press.</w:t>
      </w:r>
    </w:p>
    <w:p w14:paraId="018E7EF0" w14:textId="77777777" w:rsidR="00495652" w:rsidRDefault="00495652" w:rsidP="00495652">
      <w:pPr>
        <w:pStyle w:val="af2"/>
        <w:shd w:val="clear" w:color="auto" w:fill="FFFFFF"/>
        <w:spacing w:before="0" w:beforeAutospacing="0" w:after="173" w:afterAutospacing="0"/>
        <w:rPr>
          <w:rFonts w:ascii="Roboto" w:hAnsi="Roboto" w:hint="eastAsia"/>
          <w:color w:val="000000"/>
          <w:sz w:val="21"/>
          <w:szCs w:val="21"/>
        </w:rPr>
      </w:pPr>
      <w:r>
        <w:rPr>
          <w:rFonts w:ascii="Roboto" w:hAnsi="Roboto"/>
          <w:color w:val="000000"/>
          <w:sz w:val="21"/>
          <w:szCs w:val="21"/>
        </w:rPr>
        <w:lastRenderedPageBreak/>
        <w:t>EL GUABLI, B., 2022. Rethinking Archives, Rewriting History: Other-Archives and the Interdisciplinary Approaches to Moroccan History of the “Years of Lead”. </w:t>
      </w:r>
      <w:r>
        <w:rPr>
          <w:rFonts w:ascii="Roboto" w:hAnsi="Roboto"/>
          <w:i/>
          <w:iCs/>
          <w:color w:val="000000"/>
          <w:sz w:val="21"/>
          <w:szCs w:val="21"/>
        </w:rPr>
        <w:t>History in Africa, </w:t>
      </w:r>
      <w:r>
        <w:rPr>
          <w:rFonts w:ascii="Roboto" w:hAnsi="Roboto"/>
          <w:b/>
          <w:bCs/>
          <w:color w:val="000000"/>
          <w:sz w:val="21"/>
          <w:szCs w:val="21"/>
        </w:rPr>
        <w:t>49</w:t>
      </w:r>
      <w:r>
        <w:rPr>
          <w:rFonts w:ascii="Roboto" w:hAnsi="Roboto"/>
          <w:color w:val="000000"/>
          <w:sz w:val="21"/>
          <w:szCs w:val="21"/>
        </w:rPr>
        <w:t>, pp. 207-234.</w:t>
      </w:r>
    </w:p>
    <w:p w14:paraId="52A87220" w14:textId="77777777" w:rsidR="00495652" w:rsidRDefault="00495652" w:rsidP="00495652">
      <w:pPr>
        <w:pStyle w:val="af2"/>
        <w:shd w:val="clear" w:color="auto" w:fill="FFFFFF"/>
        <w:spacing w:before="0" w:beforeAutospacing="0" w:after="173" w:afterAutospacing="0"/>
        <w:rPr>
          <w:rFonts w:ascii="Roboto" w:hAnsi="Roboto"/>
          <w:i/>
          <w:iCs/>
          <w:color w:val="000000"/>
          <w:sz w:val="21"/>
          <w:szCs w:val="21"/>
        </w:rPr>
      </w:pPr>
      <w:r>
        <w:rPr>
          <w:rFonts w:ascii="Roboto" w:hAnsi="Roboto"/>
          <w:color w:val="000000"/>
          <w:sz w:val="21"/>
          <w:szCs w:val="21"/>
        </w:rPr>
        <w:t>ENOCH, J., </w:t>
      </w:r>
      <w:r>
        <w:rPr>
          <w:rFonts w:ascii="Roboto" w:hAnsi="Roboto"/>
          <w:i/>
          <w:iCs/>
          <w:color w:val="000000"/>
          <w:sz w:val="21"/>
          <w:szCs w:val="21"/>
        </w:rPr>
        <w:t>Changing Research Methods, Changing History: A Reflection on Language, Location, and Archive.</w:t>
      </w:r>
    </w:p>
    <w:p w14:paraId="5E75A0B8" w14:textId="7B03894A" w:rsidR="00495652" w:rsidRDefault="00495652" w:rsidP="00495652">
      <w:pPr>
        <w:pStyle w:val="af2"/>
        <w:shd w:val="clear" w:color="auto" w:fill="FFFFFF"/>
        <w:spacing w:before="0" w:beforeAutospacing="0" w:after="173" w:afterAutospacing="0"/>
        <w:rPr>
          <w:rFonts w:ascii="Roboto" w:hAnsi="Roboto" w:hint="eastAsia"/>
          <w:color w:val="000000"/>
          <w:sz w:val="21"/>
          <w:szCs w:val="21"/>
        </w:rPr>
      </w:pPr>
      <w:r>
        <w:rPr>
          <w:rFonts w:ascii="Roboto" w:hAnsi="Roboto"/>
          <w:color w:val="000000"/>
          <w:sz w:val="21"/>
          <w:szCs w:val="21"/>
        </w:rPr>
        <w:t>FOSTER, H., 2004. An Archival Impulse. </w:t>
      </w:r>
      <w:r>
        <w:rPr>
          <w:rFonts w:ascii="Roboto" w:hAnsi="Roboto"/>
          <w:i/>
          <w:iCs/>
          <w:color w:val="000000"/>
          <w:sz w:val="21"/>
          <w:szCs w:val="21"/>
        </w:rPr>
        <w:t>October, </w:t>
      </w:r>
      <w:r>
        <w:rPr>
          <w:rFonts w:ascii="Roboto" w:hAnsi="Roboto"/>
          <w:b/>
          <w:bCs/>
          <w:color w:val="000000"/>
          <w:sz w:val="21"/>
          <w:szCs w:val="21"/>
        </w:rPr>
        <w:t>110</w:t>
      </w:r>
      <w:r>
        <w:rPr>
          <w:rFonts w:ascii="Roboto" w:hAnsi="Roboto"/>
          <w:color w:val="000000"/>
          <w:sz w:val="21"/>
          <w:szCs w:val="21"/>
        </w:rPr>
        <w:t>(110), pp. 3-22.</w:t>
      </w:r>
    </w:p>
    <w:p w14:paraId="61A39705" w14:textId="77777777" w:rsidR="00495652" w:rsidRDefault="00495652" w:rsidP="00495652">
      <w:pPr>
        <w:pStyle w:val="af2"/>
        <w:shd w:val="clear" w:color="auto" w:fill="FFFFFF"/>
        <w:spacing w:before="0" w:beforeAutospacing="0" w:after="173" w:afterAutospacing="0"/>
        <w:rPr>
          <w:rFonts w:ascii="Roboto" w:hAnsi="Roboto"/>
          <w:i/>
          <w:iCs/>
          <w:color w:val="000000"/>
          <w:sz w:val="21"/>
          <w:szCs w:val="21"/>
        </w:rPr>
      </w:pPr>
      <w:r>
        <w:rPr>
          <w:rFonts w:ascii="Roboto" w:hAnsi="Roboto"/>
          <w:color w:val="000000"/>
          <w:sz w:val="21"/>
          <w:szCs w:val="21"/>
        </w:rPr>
        <w:t>GAILLET, L.L., </w:t>
      </w:r>
      <w:r>
        <w:rPr>
          <w:rFonts w:ascii="Roboto" w:hAnsi="Roboto"/>
          <w:i/>
          <w:iCs/>
          <w:color w:val="000000"/>
          <w:sz w:val="21"/>
          <w:szCs w:val="21"/>
        </w:rPr>
        <w:t>(Per)</w:t>
      </w:r>
      <w:proofErr w:type="spellStart"/>
      <w:r>
        <w:rPr>
          <w:rFonts w:ascii="Roboto" w:hAnsi="Roboto"/>
          <w:i/>
          <w:iCs/>
          <w:color w:val="000000"/>
          <w:sz w:val="21"/>
          <w:szCs w:val="21"/>
        </w:rPr>
        <w:t>Forming_Archival_Research</w:t>
      </w:r>
      <w:proofErr w:type="spellEnd"/>
      <w:r>
        <w:rPr>
          <w:rFonts w:ascii="Roboto" w:hAnsi="Roboto"/>
          <w:i/>
          <w:iCs/>
          <w:color w:val="000000"/>
          <w:sz w:val="21"/>
          <w:szCs w:val="21"/>
        </w:rPr>
        <w:t>.</w:t>
      </w:r>
    </w:p>
    <w:p w14:paraId="11A14A31" w14:textId="6EF2FDE7" w:rsidR="00495652" w:rsidRPr="00495652" w:rsidRDefault="00495652" w:rsidP="00495652">
      <w:pPr>
        <w:pStyle w:val="af2"/>
        <w:shd w:val="clear" w:color="auto" w:fill="FFFFFF"/>
        <w:spacing w:before="0" w:beforeAutospacing="0" w:after="173" w:afterAutospacing="0"/>
        <w:rPr>
          <w:rFonts w:ascii="Roboto" w:hAnsi="Roboto" w:hint="eastAsia"/>
          <w:color w:val="000000"/>
          <w:sz w:val="21"/>
          <w:szCs w:val="21"/>
        </w:rPr>
      </w:pPr>
      <w:r>
        <w:rPr>
          <w:rFonts w:ascii="Roboto" w:hAnsi="Roboto"/>
          <w:color w:val="000000"/>
          <w:sz w:val="21"/>
          <w:szCs w:val="21"/>
        </w:rPr>
        <w:t>HANNULA, M., SUORANTA, J. and VADÉN, T., 2021. </w:t>
      </w:r>
      <w:r>
        <w:rPr>
          <w:rFonts w:ascii="Roboto" w:hAnsi="Roboto"/>
          <w:i/>
          <w:iCs/>
          <w:color w:val="000000"/>
          <w:sz w:val="21"/>
          <w:szCs w:val="21"/>
        </w:rPr>
        <w:t>Artistic Research Methodology. </w:t>
      </w:r>
      <w:r>
        <w:rPr>
          <w:rFonts w:ascii="Roboto" w:hAnsi="Roboto"/>
          <w:color w:val="000000"/>
          <w:sz w:val="21"/>
          <w:szCs w:val="21"/>
        </w:rPr>
        <w:t>Peter Lang US.</w:t>
      </w:r>
    </w:p>
    <w:p w14:paraId="73A7EEFF" w14:textId="77777777" w:rsidR="00495652" w:rsidRDefault="00495652" w:rsidP="00495652">
      <w:pPr>
        <w:pStyle w:val="af2"/>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JARDINE, B. and DRAGE, M., 2018. The total archive: Data, subjectivity, universality. </w:t>
      </w:r>
      <w:r>
        <w:rPr>
          <w:rFonts w:ascii="Roboto" w:hAnsi="Roboto"/>
          <w:i/>
          <w:iCs/>
          <w:color w:val="000000"/>
          <w:sz w:val="21"/>
          <w:szCs w:val="21"/>
        </w:rPr>
        <w:t>History of the human sciences, </w:t>
      </w:r>
      <w:r>
        <w:rPr>
          <w:rFonts w:ascii="Roboto" w:hAnsi="Roboto"/>
          <w:b/>
          <w:bCs/>
          <w:color w:val="000000"/>
          <w:sz w:val="21"/>
          <w:szCs w:val="21"/>
        </w:rPr>
        <w:t>31</w:t>
      </w:r>
      <w:r>
        <w:rPr>
          <w:rFonts w:ascii="Roboto" w:hAnsi="Roboto"/>
          <w:color w:val="000000"/>
          <w:sz w:val="21"/>
          <w:szCs w:val="21"/>
        </w:rPr>
        <w:t>(5), pp. 3-22.</w:t>
      </w:r>
    </w:p>
    <w:p w14:paraId="0C88AB7E" w14:textId="77777777" w:rsidR="00495652" w:rsidRDefault="00495652" w:rsidP="00495652">
      <w:pPr>
        <w:pStyle w:val="af2"/>
        <w:shd w:val="clear" w:color="auto" w:fill="FFFFFF"/>
        <w:spacing w:before="0" w:beforeAutospacing="0" w:after="173" w:afterAutospacing="0"/>
        <w:rPr>
          <w:rFonts w:ascii="Roboto" w:hAnsi="Roboto"/>
          <w:i/>
          <w:iCs/>
          <w:color w:val="000000"/>
          <w:sz w:val="21"/>
          <w:szCs w:val="21"/>
        </w:rPr>
      </w:pPr>
      <w:r>
        <w:rPr>
          <w:rFonts w:ascii="Roboto" w:hAnsi="Roboto"/>
          <w:color w:val="000000"/>
          <w:sz w:val="21"/>
          <w:szCs w:val="21"/>
        </w:rPr>
        <w:t>KŐVÁRY, Z., </w:t>
      </w:r>
      <w:r>
        <w:rPr>
          <w:rFonts w:ascii="Roboto" w:hAnsi="Roboto"/>
          <w:i/>
          <w:iCs/>
          <w:color w:val="000000"/>
          <w:sz w:val="21"/>
          <w:szCs w:val="21"/>
        </w:rPr>
        <w:t>Psychobiography as a method. The revival of studying lives: New perspectives in personality and creativity research.</w:t>
      </w:r>
    </w:p>
    <w:p w14:paraId="7227C82D" w14:textId="77777777" w:rsidR="00495652" w:rsidRDefault="00495652" w:rsidP="00495652">
      <w:pPr>
        <w:pStyle w:val="af2"/>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L’EPLATTENIER, B.E., RAMSEY, A., MASTRANGELO, L. and SHARER, W., </w:t>
      </w:r>
      <w:r>
        <w:rPr>
          <w:rFonts w:ascii="Roboto" w:hAnsi="Roboto"/>
          <w:i/>
          <w:iCs/>
          <w:color w:val="000000"/>
          <w:sz w:val="21"/>
          <w:szCs w:val="21"/>
        </w:rPr>
        <w:t>O</w:t>
      </w:r>
      <w:r>
        <w:rPr>
          <w:rFonts w:ascii="Roboto" w:hAnsi="Roboto" w:hint="eastAsia"/>
          <w:i/>
          <w:iCs/>
          <w:color w:val="000000"/>
          <w:sz w:val="21"/>
          <w:szCs w:val="21"/>
        </w:rPr>
        <w:t>pinion</w:t>
      </w:r>
      <w:r>
        <w:rPr>
          <w:rFonts w:ascii="Roboto" w:hAnsi="Roboto"/>
          <w:i/>
          <w:iCs/>
          <w:color w:val="000000"/>
          <w:sz w:val="21"/>
          <w:szCs w:val="21"/>
        </w:rPr>
        <w:t>: An Argument for Archival Research Methods: Thinking Beyond Methodology F.</w:t>
      </w:r>
    </w:p>
    <w:p w14:paraId="17FE5A0B" w14:textId="22F01219" w:rsidR="00495652" w:rsidRPr="009E5206" w:rsidRDefault="00495652" w:rsidP="00495652">
      <w:pPr>
        <w:pStyle w:val="af2"/>
        <w:shd w:val="clear" w:color="auto" w:fill="FFFFFF"/>
        <w:spacing w:before="0" w:beforeAutospacing="0" w:after="173" w:afterAutospacing="0"/>
        <w:rPr>
          <w:rFonts w:ascii="Roboto" w:hAnsi="Roboto" w:hint="eastAsia"/>
          <w:color w:val="000000"/>
          <w:sz w:val="21"/>
          <w:szCs w:val="21"/>
        </w:rPr>
      </w:pPr>
      <w:r>
        <w:rPr>
          <w:rFonts w:ascii="Roboto" w:hAnsi="Roboto"/>
          <w:color w:val="000000"/>
          <w:sz w:val="21"/>
          <w:szCs w:val="21"/>
        </w:rPr>
        <w:t>LILI, L., 2022. </w:t>
      </w:r>
      <w:r>
        <w:rPr>
          <w:rFonts w:ascii="Roboto" w:hAnsi="Roboto"/>
          <w:i/>
          <w:iCs/>
          <w:color w:val="000000"/>
          <w:sz w:val="21"/>
          <w:szCs w:val="21"/>
        </w:rPr>
        <w:t>Psychobiography: A Phenomenological-hermeneutic Analysis of Personality. </w:t>
      </w:r>
      <w:r>
        <w:rPr>
          <w:rFonts w:ascii="Roboto" w:hAnsi="Roboto"/>
          <w:color w:val="000000"/>
          <w:sz w:val="21"/>
          <w:szCs w:val="21"/>
        </w:rPr>
        <w:t>International Science Group Inc.</w:t>
      </w:r>
    </w:p>
    <w:p w14:paraId="13D116DD" w14:textId="77777777" w:rsidR="00495652" w:rsidRPr="009E5206" w:rsidRDefault="00495652" w:rsidP="00495652">
      <w:pPr>
        <w:pStyle w:val="af2"/>
        <w:shd w:val="clear" w:color="auto" w:fill="FFFFFF"/>
        <w:spacing w:before="0" w:beforeAutospacing="0" w:after="173" w:afterAutospacing="0"/>
        <w:rPr>
          <w:rFonts w:ascii="Roboto" w:hAnsi="Roboto" w:hint="eastAsia"/>
          <w:color w:val="000000"/>
          <w:sz w:val="21"/>
          <w:szCs w:val="21"/>
        </w:rPr>
      </w:pPr>
      <w:r w:rsidRPr="009E5206">
        <w:rPr>
          <w:rFonts w:ascii="Roboto" w:hAnsi="Roboto"/>
          <w:color w:val="000000"/>
          <w:sz w:val="21"/>
          <w:szCs w:val="21"/>
        </w:rPr>
        <w:t>Martyn Denscombe</w:t>
      </w:r>
      <w:r w:rsidRPr="009E5206">
        <w:rPr>
          <w:rFonts w:ascii="Roboto" w:hAnsi="Roboto" w:hint="eastAsia"/>
          <w:color w:val="000000"/>
          <w:sz w:val="21"/>
          <w:szCs w:val="21"/>
        </w:rPr>
        <w:t xml:space="preserve">, </w:t>
      </w:r>
      <w:r w:rsidRPr="009E5206">
        <w:rPr>
          <w:rFonts w:ascii="Roboto" w:hAnsi="Roboto"/>
          <w:color w:val="000000"/>
          <w:sz w:val="21"/>
          <w:szCs w:val="21"/>
        </w:rPr>
        <w:t>The Good Research Guide</w:t>
      </w:r>
      <w:r w:rsidRPr="009E5206">
        <w:rPr>
          <w:rFonts w:ascii="Roboto" w:hAnsi="Roboto" w:hint="eastAsia"/>
          <w:color w:val="000000"/>
          <w:sz w:val="21"/>
          <w:szCs w:val="21"/>
        </w:rPr>
        <w:t>,</w:t>
      </w:r>
      <w:r w:rsidRPr="009E5206">
        <w:rPr>
          <w:rFonts w:ascii="Roboto" w:hAnsi="Roboto"/>
          <w:color w:val="000000"/>
          <w:sz w:val="21"/>
          <w:szCs w:val="21"/>
        </w:rPr>
        <w:t xml:space="preserve"> 3, </w:t>
      </w:r>
      <w:proofErr w:type="gramStart"/>
      <w:r w:rsidRPr="009E5206">
        <w:rPr>
          <w:rFonts w:ascii="Roboto" w:hAnsi="Roboto"/>
          <w:color w:val="000000"/>
          <w:sz w:val="21"/>
          <w:szCs w:val="21"/>
        </w:rPr>
        <w:t xml:space="preserve">2007 </w:t>
      </w:r>
      <w:r w:rsidRPr="009E5206">
        <w:rPr>
          <w:rFonts w:ascii="Roboto" w:hAnsi="Roboto" w:hint="eastAsia"/>
          <w:color w:val="000000"/>
          <w:sz w:val="21"/>
          <w:szCs w:val="21"/>
        </w:rPr>
        <w:t>,</w:t>
      </w:r>
      <w:proofErr w:type="gramEnd"/>
      <w:r w:rsidRPr="009E5206">
        <w:rPr>
          <w:rFonts w:ascii="Roboto" w:hAnsi="Roboto"/>
          <w:color w:val="000000"/>
          <w:sz w:val="21"/>
          <w:szCs w:val="21"/>
        </w:rPr>
        <w:t xml:space="preserve"> Open University Press</w:t>
      </w:r>
    </w:p>
    <w:p w14:paraId="2084C343" w14:textId="29F479C4" w:rsidR="00495652" w:rsidRPr="009E5206" w:rsidRDefault="00495652" w:rsidP="00495652">
      <w:pPr>
        <w:pStyle w:val="af2"/>
        <w:shd w:val="clear" w:color="auto" w:fill="FFFFFF"/>
        <w:spacing w:before="0" w:beforeAutospacing="0" w:after="173" w:afterAutospacing="0"/>
        <w:rPr>
          <w:rFonts w:ascii="Roboto" w:hAnsi="Roboto" w:hint="eastAsia"/>
          <w:color w:val="000000"/>
          <w:sz w:val="21"/>
          <w:szCs w:val="21"/>
        </w:rPr>
      </w:pPr>
      <w:r>
        <w:rPr>
          <w:rFonts w:ascii="Roboto" w:hAnsi="Roboto"/>
          <w:color w:val="000000"/>
          <w:sz w:val="21"/>
          <w:szCs w:val="21"/>
        </w:rPr>
        <w:t>ORRGHEN, A., 2019. The Archive Art Phenomenon: History and Critique at the Turn of the Twenty-First Century. </w:t>
      </w:r>
      <w:proofErr w:type="spellStart"/>
      <w:r>
        <w:rPr>
          <w:rFonts w:ascii="Roboto" w:hAnsi="Roboto"/>
          <w:i/>
          <w:iCs/>
          <w:color w:val="000000"/>
          <w:sz w:val="21"/>
          <w:szCs w:val="21"/>
        </w:rPr>
        <w:t>Konsthistorisk</w:t>
      </w:r>
      <w:proofErr w:type="spellEnd"/>
      <w:r>
        <w:rPr>
          <w:rFonts w:ascii="Roboto" w:hAnsi="Roboto"/>
          <w:i/>
          <w:iCs/>
          <w:color w:val="000000"/>
          <w:sz w:val="21"/>
          <w:szCs w:val="21"/>
        </w:rPr>
        <w:t xml:space="preserve"> </w:t>
      </w:r>
      <w:proofErr w:type="spellStart"/>
      <w:r>
        <w:rPr>
          <w:rFonts w:ascii="Roboto" w:hAnsi="Roboto"/>
          <w:i/>
          <w:iCs/>
          <w:color w:val="000000"/>
          <w:sz w:val="21"/>
          <w:szCs w:val="21"/>
        </w:rPr>
        <w:t>Tidskrift</w:t>
      </w:r>
      <w:proofErr w:type="spellEnd"/>
      <w:r>
        <w:rPr>
          <w:rFonts w:ascii="Roboto" w:hAnsi="Roboto"/>
          <w:i/>
          <w:iCs/>
          <w:color w:val="000000"/>
          <w:sz w:val="21"/>
          <w:szCs w:val="21"/>
        </w:rPr>
        <w:t>, </w:t>
      </w:r>
      <w:r>
        <w:rPr>
          <w:rFonts w:ascii="Roboto" w:hAnsi="Roboto"/>
          <w:b/>
          <w:bCs/>
          <w:color w:val="000000"/>
          <w:sz w:val="21"/>
          <w:szCs w:val="21"/>
        </w:rPr>
        <w:t>88</w:t>
      </w:r>
      <w:r>
        <w:rPr>
          <w:rFonts w:ascii="Roboto" w:hAnsi="Roboto"/>
          <w:color w:val="000000"/>
          <w:sz w:val="21"/>
          <w:szCs w:val="21"/>
        </w:rPr>
        <w:t>(1), pp. 48-53.</w:t>
      </w:r>
    </w:p>
    <w:p w14:paraId="5CBC3B92" w14:textId="5BC8305E" w:rsidR="00495652" w:rsidRDefault="00495652" w:rsidP="00495652">
      <w:pPr>
        <w:pStyle w:val="af2"/>
        <w:shd w:val="clear" w:color="auto" w:fill="FFFFFF"/>
        <w:spacing w:before="0" w:beforeAutospacing="0" w:after="173" w:afterAutospacing="0"/>
        <w:rPr>
          <w:rFonts w:ascii="Roboto" w:hAnsi="Roboto" w:hint="eastAsia"/>
          <w:color w:val="000000"/>
          <w:sz w:val="21"/>
          <w:szCs w:val="21"/>
        </w:rPr>
      </w:pPr>
      <w:r>
        <w:rPr>
          <w:rFonts w:ascii="Roboto" w:hAnsi="Roboto"/>
          <w:color w:val="000000"/>
          <w:sz w:val="21"/>
          <w:szCs w:val="21"/>
        </w:rPr>
        <w:t>STERNFELD, J., </w:t>
      </w:r>
      <w:r>
        <w:rPr>
          <w:rFonts w:ascii="Roboto" w:hAnsi="Roboto"/>
          <w:i/>
          <w:iCs/>
          <w:color w:val="000000"/>
          <w:sz w:val="21"/>
          <w:szCs w:val="21"/>
        </w:rPr>
        <w:t>Archival Theory and Digital Historiography: Selection, Search, and Metadata as Archival Processes for Assessing Historical Contextualization.</w:t>
      </w:r>
    </w:p>
    <w:p w14:paraId="3C4629CE" w14:textId="77777777" w:rsidR="00495652" w:rsidRDefault="00495652" w:rsidP="00495652">
      <w:pPr>
        <w:pStyle w:val="af2"/>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REED, M., 2017. From the Archive to Art History. </w:t>
      </w:r>
      <w:r>
        <w:rPr>
          <w:rFonts w:ascii="Roboto" w:hAnsi="Roboto"/>
          <w:i/>
          <w:iCs/>
          <w:color w:val="000000"/>
          <w:sz w:val="21"/>
          <w:szCs w:val="21"/>
        </w:rPr>
        <w:t>Art journal (New York.1960), </w:t>
      </w:r>
      <w:r>
        <w:rPr>
          <w:rFonts w:ascii="Roboto" w:hAnsi="Roboto"/>
          <w:b/>
          <w:bCs/>
          <w:color w:val="000000"/>
          <w:sz w:val="21"/>
          <w:szCs w:val="21"/>
        </w:rPr>
        <w:t>76</w:t>
      </w:r>
      <w:r>
        <w:rPr>
          <w:rFonts w:ascii="Roboto" w:hAnsi="Roboto"/>
          <w:color w:val="000000"/>
          <w:sz w:val="21"/>
          <w:szCs w:val="21"/>
        </w:rPr>
        <w:t>(1), pp. 121-128.</w:t>
      </w:r>
    </w:p>
    <w:p w14:paraId="6ABE8E8A" w14:textId="77777777" w:rsidR="00495652" w:rsidRPr="009E5206" w:rsidRDefault="00495652" w:rsidP="00495652"/>
    <w:p w14:paraId="2D7EE661" w14:textId="77777777" w:rsidR="002E11FE" w:rsidRPr="00495652" w:rsidRDefault="002E11FE" w:rsidP="00A82791">
      <w:pPr>
        <w:jc w:val="both"/>
        <w:rPr>
          <w:rFonts w:hint="eastAsia"/>
        </w:rPr>
      </w:pPr>
    </w:p>
    <w:sectPr w:rsidR="002E11FE" w:rsidRPr="0049565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933FFB" w14:textId="77777777" w:rsidR="00A22038" w:rsidRDefault="00A22038" w:rsidP="00AE0E80">
      <w:pPr>
        <w:spacing w:after="0" w:line="240" w:lineRule="auto"/>
      </w:pPr>
      <w:r>
        <w:separator/>
      </w:r>
    </w:p>
  </w:endnote>
  <w:endnote w:type="continuationSeparator" w:id="0">
    <w:p w14:paraId="799FE735" w14:textId="77777777" w:rsidR="00A22038" w:rsidRDefault="00A22038" w:rsidP="00AE0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26B11F" w14:textId="77777777" w:rsidR="00A22038" w:rsidRDefault="00A22038" w:rsidP="00AE0E80">
      <w:pPr>
        <w:spacing w:after="0" w:line="240" w:lineRule="auto"/>
      </w:pPr>
      <w:r>
        <w:separator/>
      </w:r>
    </w:p>
  </w:footnote>
  <w:footnote w:type="continuationSeparator" w:id="0">
    <w:p w14:paraId="2AFDC282" w14:textId="77777777" w:rsidR="00A22038" w:rsidRDefault="00A22038" w:rsidP="00AE0E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C576B7"/>
    <w:multiLevelType w:val="hybridMultilevel"/>
    <w:tmpl w:val="D0F84D56"/>
    <w:lvl w:ilvl="0" w:tplc="141CF1B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77403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329"/>
    <w:rsid w:val="000321A2"/>
    <w:rsid w:val="001F13D1"/>
    <w:rsid w:val="002868E6"/>
    <w:rsid w:val="002966F3"/>
    <w:rsid w:val="002E11FE"/>
    <w:rsid w:val="00304329"/>
    <w:rsid w:val="0031333C"/>
    <w:rsid w:val="003417F9"/>
    <w:rsid w:val="003545E6"/>
    <w:rsid w:val="00407D06"/>
    <w:rsid w:val="00410685"/>
    <w:rsid w:val="004643C5"/>
    <w:rsid w:val="00481686"/>
    <w:rsid w:val="00495652"/>
    <w:rsid w:val="005136E7"/>
    <w:rsid w:val="00525F86"/>
    <w:rsid w:val="00534EB2"/>
    <w:rsid w:val="00585063"/>
    <w:rsid w:val="005A1E20"/>
    <w:rsid w:val="00617381"/>
    <w:rsid w:val="00634F8A"/>
    <w:rsid w:val="006C21B1"/>
    <w:rsid w:val="00725A6E"/>
    <w:rsid w:val="00753528"/>
    <w:rsid w:val="00781A6F"/>
    <w:rsid w:val="007E28B1"/>
    <w:rsid w:val="008B1207"/>
    <w:rsid w:val="008B5C88"/>
    <w:rsid w:val="008E3A0F"/>
    <w:rsid w:val="009A503D"/>
    <w:rsid w:val="00A22038"/>
    <w:rsid w:val="00A30849"/>
    <w:rsid w:val="00A82791"/>
    <w:rsid w:val="00A960F6"/>
    <w:rsid w:val="00AB080F"/>
    <w:rsid w:val="00AE0E80"/>
    <w:rsid w:val="00AE39D6"/>
    <w:rsid w:val="00B120F7"/>
    <w:rsid w:val="00B431B2"/>
    <w:rsid w:val="00B77382"/>
    <w:rsid w:val="00B90695"/>
    <w:rsid w:val="00C43695"/>
    <w:rsid w:val="00CF059D"/>
    <w:rsid w:val="00CF6978"/>
    <w:rsid w:val="00D22CA3"/>
    <w:rsid w:val="00DB31A8"/>
    <w:rsid w:val="00E0086C"/>
    <w:rsid w:val="00E23D9D"/>
    <w:rsid w:val="00F33F66"/>
    <w:rsid w:val="00FF00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34E103"/>
  <w15:chartTrackingRefBased/>
  <w15:docId w15:val="{10E41E8A-2D0A-4ED1-8BA0-4A73592CC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30432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30432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30432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30432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304329"/>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304329"/>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30432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0432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30432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0432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30432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304329"/>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304329"/>
    <w:rPr>
      <w:rFonts w:cstheme="majorBidi"/>
      <w:color w:val="0F4761" w:themeColor="accent1" w:themeShade="BF"/>
      <w:sz w:val="28"/>
      <w:szCs w:val="28"/>
    </w:rPr>
  </w:style>
  <w:style w:type="character" w:customStyle="1" w:styleId="50">
    <w:name w:val="标题 5 字符"/>
    <w:basedOn w:val="a0"/>
    <w:link w:val="5"/>
    <w:uiPriority w:val="9"/>
    <w:semiHidden/>
    <w:rsid w:val="00304329"/>
    <w:rPr>
      <w:rFonts w:cstheme="majorBidi"/>
      <w:color w:val="0F4761" w:themeColor="accent1" w:themeShade="BF"/>
      <w:sz w:val="24"/>
    </w:rPr>
  </w:style>
  <w:style w:type="character" w:customStyle="1" w:styleId="60">
    <w:name w:val="标题 6 字符"/>
    <w:basedOn w:val="a0"/>
    <w:link w:val="6"/>
    <w:uiPriority w:val="9"/>
    <w:semiHidden/>
    <w:rsid w:val="00304329"/>
    <w:rPr>
      <w:rFonts w:cstheme="majorBidi"/>
      <w:b/>
      <w:bCs/>
      <w:color w:val="0F4761" w:themeColor="accent1" w:themeShade="BF"/>
    </w:rPr>
  </w:style>
  <w:style w:type="character" w:customStyle="1" w:styleId="70">
    <w:name w:val="标题 7 字符"/>
    <w:basedOn w:val="a0"/>
    <w:link w:val="7"/>
    <w:uiPriority w:val="9"/>
    <w:semiHidden/>
    <w:rsid w:val="00304329"/>
    <w:rPr>
      <w:rFonts w:cstheme="majorBidi"/>
      <w:b/>
      <w:bCs/>
      <w:color w:val="595959" w:themeColor="text1" w:themeTint="A6"/>
    </w:rPr>
  </w:style>
  <w:style w:type="character" w:customStyle="1" w:styleId="80">
    <w:name w:val="标题 8 字符"/>
    <w:basedOn w:val="a0"/>
    <w:link w:val="8"/>
    <w:uiPriority w:val="9"/>
    <w:semiHidden/>
    <w:rsid w:val="00304329"/>
    <w:rPr>
      <w:rFonts w:cstheme="majorBidi"/>
      <w:color w:val="595959" w:themeColor="text1" w:themeTint="A6"/>
    </w:rPr>
  </w:style>
  <w:style w:type="character" w:customStyle="1" w:styleId="90">
    <w:name w:val="标题 9 字符"/>
    <w:basedOn w:val="a0"/>
    <w:link w:val="9"/>
    <w:uiPriority w:val="9"/>
    <w:semiHidden/>
    <w:rsid w:val="00304329"/>
    <w:rPr>
      <w:rFonts w:eastAsiaTheme="majorEastAsia" w:cstheme="majorBidi"/>
      <w:color w:val="595959" w:themeColor="text1" w:themeTint="A6"/>
    </w:rPr>
  </w:style>
  <w:style w:type="paragraph" w:styleId="a3">
    <w:name w:val="Title"/>
    <w:basedOn w:val="a"/>
    <w:next w:val="a"/>
    <w:link w:val="a4"/>
    <w:uiPriority w:val="10"/>
    <w:qFormat/>
    <w:rsid w:val="0030432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0432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0432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0432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04329"/>
    <w:pPr>
      <w:spacing w:before="160"/>
      <w:jc w:val="center"/>
    </w:pPr>
    <w:rPr>
      <w:i/>
      <w:iCs/>
      <w:color w:val="404040" w:themeColor="text1" w:themeTint="BF"/>
    </w:rPr>
  </w:style>
  <w:style w:type="character" w:customStyle="1" w:styleId="a8">
    <w:name w:val="引用 字符"/>
    <w:basedOn w:val="a0"/>
    <w:link w:val="a7"/>
    <w:uiPriority w:val="29"/>
    <w:rsid w:val="00304329"/>
    <w:rPr>
      <w:i/>
      <w:iCs/>
      <w:color w:val="404040" w:themeColor="text1" w:themeTint="BF"/>
    </w:rPr>
  </w:style>
  <w:style w:type="paragraph" w:styleId="a9">
    <w:name w:val="List Paragraph"/>
    <w:basedOn w:val="a"/>
    <w:uiPriority w:val="34"/>
    <w:qFormat/>
    <w:rsid w:val="00304329"/>
    <w:pPr>
      <w:ind w:left="720"/>
      <w:contextualSpacing/>
    </w:pPr>
  </w:style>
  <w:style w:type="character" w:styleId="aa">
    <w:name w:val="Intense Emphasis"/>
    <w:basedOn w:val="a0"/>
    <w:uiPriority w:val="21"/>
    <w:qFormat/>
    <w:rsid w:val="00304329"/>
    <w:rPr>
      <w:i/>
      <w:iCs/>
      <w:color w:val="0F4761" w:themeColor="accent1" w:themeShade="BF"/>
    </w:rPr>
  </w:style>
  <w:style w:type="paragraph" w:styleId="ab">
    <w:name w:val="Intense Quote"/>
    <w:basedOn w:val="a"/>
    <w:next w:val="a"/>
    <w:link w:val="ac"/>
    <w:uiPriority w:val="30"/>
    <w:qFormat/>
    <w:rsid w:val="003043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304329"/>
    <w:rPr>
      <w:i/>
      <w:iCs/>
      <w:color w:val="0F4761" w:themeColor="accent1" w:themeShade="BF"/>
    </w:rPr>
  </w:style>
  <w:style w:type="character" w:styleId="ad">
    <w:name w:val="Intense Reference"/>
    <w:basedOn w:val="a0"/>
    <w:uiPriority w:val="32"/>
    <w:qFormat/>
    <w:rsid w:val="00304329"/>
    <w:rPr>
      <w:b/>
      <w:bCs/>
      <w:smallCaps/>
      <w:color w:val="0F4761" w:themeColor="accent1" w:themeShade="BF"/>
      <w:spacing w:val="5"/>
    </w:rPr>
  </w:style>
  <w:style w:type="paragraph" w:styleId="ae">
    <w:name w:val="header"/>
    <w:basedOn w:val="a"/>
    <w:link w:val="af"/>
    <w:uiPriority w:val="99"/>
    <w:unhideWhenUsed/>
    <w:rsid w:val="00AE0E80"/>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AE0E80"/>
    <w:rPr>
      <w:sz w:val="18"/>
      <w:szCs w:val="18"/>
    </w:rPr>
  </w:style>
  <w:style w:type="paragraph" w:styleId="af0">
    <w:name w:val="footer"/>
    <w:basedOn w:val="a"/>
    <w:link w:val="af1"/>
    <w:uiPriority w:val="99"/>
    <w:unhideWhenUsed/>
    <w:rsid w:val="00AE0E80"/>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AE0E80"/>
    <w:rPr>
      <w:sz w:val="18"/>
      <w:szCs w:val="18"/>
    </w:rPr>
  </w:style>
  <w:style w:type="paragraph" w:styleId="af2">
    <w:name w:val="Normal (Web)"/>
    <w:basedOn w:val="a"/>
    <w:uiPriority w:val="99"/>
    <w:semiHidden/>
    <w:unhideWhenUsed/>
    <w:rsid w:val="002E11FE"/>
    <w:pPr>
      <w:widowControl/>
      <w:spacing w:before="100" w:beforeAutospacing="1" w:after="100" w:afterAutospacing="1" w:line="240" w:lineRule="auto"/>
    </w:pPr>
    <w:rPr>
      <w:rFonts w:ascii="宋体" w:eastAsia="宋体" w:hAnsi="宋体" w:cs="宋体"/>
      <w:kern w:val="0"/>
      <w:sz w:val="24"/>
      <w14:ligatures w14:val="none"/>
    </w:rPr>
  </w:style>
  <w:style w:type="character" w:styleId="af3">
    <w:name w:val="Hyperlink"/>
    <w:basedOn w:val="a0"/>
    <w:uiPriority w:val="99"/>
    <w:unhideWhenUsed/>
    <w:rsid w:val="002E11F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tcs.sagepub.com/content/23/2-3/59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FC56EA-30C0-4FD9-93D3-95FFD0032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8</Pages>
  <Words>2919</Words>
  <Characters>17691</Characters>
  <Application>Microsoft Office Word</Application>
  <DocSecurity>0</DocSecurity>
  <Lines>274</Lines>
  <Paragraphs>47</Paragraphs>
  <ScaleCrop>false</ScaleCrop>
  <Company/>
  <LinksUpToDate>false</LinksUpToDate>
  <CharactersWithSpaces>20554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Shanshan Xiao (2113702)</dc:creator>
  <cp:keywords/>
  <dc:description/>
  <cp:lastModifiedBy>Shanshan Xiao (2113702)</cp:lastModifiedBy>
  <cp:revision>17</cp:revision>
  <dcterms:created xsi:type="dcterms:W3CDTF">2024-04-28T19:00:00Z</dcterms:created>
  <dcterms:modified xsi:type="dcterms:W3CDTF">2024-05-01T16:12:00Z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ce3cd20a-a4bf-477a-9b85-07fd6f2af087</vt:lpwstr>
  </property>
</Properties>
</file>