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media/hdphoto1.wdp" ContentType="image/vnd.ms-photo"/>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120" w:after="120"/>
        <w:jc w:val="center"/>
        <w:rPr>
          <w:lang w:val="en-IN"/>
        </w:rPr>
      </w:pPr>
      <w:r>
        <w:rPr/>
        <w:drawing>
          <wp:inline distT="0" distB="0" distL="0" distR="0">
            <wp:extent cx="3451860" cy="1458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2"/>
                    <a:stretch>
                      <a:fillRect/>
                    </a:stretch>
                  </pic:blipFill>
                  <pic:spPr bwMode="auto">
                    <a:xfrm>
                      <a:off x="0" y="0"/>
                      <a:ext cx="3451860" cy="1458595"/>
                    </a:xfrm>
                    <a:prstGeom prst="rect">
                      <a:avLst/>
                    </a:prstGeom>
                    <a:noFill/>
                  </pic:spPr>
                </pic:pic>
              </a:graphicData>
            </a:graphic>
          </wp:inline>
        </w:drawing>
      </w:r>
    </w:p>
    <w:p>
      <w:pPr>
        <w:pStyle w:val="Normal"/>
        <w:jc w:val="center"/>
        <w:rPr>
          <w:b/>
          <w:bCs/>
          <w:lang w:val="en-IN"/>
        </w:rPr>
      </w:pPr>
      <w:r>
        <w:rPr>
          <w:b/>
          <w:bCs/>
          <w:lang w:val="en-IN"/>
        </w:rPr>
      </w:r>
    </w:p>
    <w:p>
      <w:pPr>
        <w:pStyle w:val="Normal"/>
        <w:jc w:val="center"/>
        <w:rPr>
          <w:b/>
          <w:bCs/>
          <w:lang w:val="en-IN"/>
        </w:rPr>
      </w:pPr>
      <w:r>
        <w:rPr>
          <w:b/>
          <w:bCs/>
          <w:lang w:val="en-IN"/>
        </w:rPr>
        <w:t>Master of Business Administration (MBA)</w:t>
      </w:r>
    </w:p>
    <w:p>
      <w:pPr>
        <w:pStyle w:val="Normal"/>
        <w:jc w:val="center"/>
        <w:rPr>
          <w:b/>
          <w:bCs/>
          <w:lang w:val="en-IN"/>
        </w:rPr>
      </w:pPr>
      <w:r>
        <w:rPr>
          <w:b/>
          <w:bCs/>
          <w:lang w:val="en-IN"/>
        </w:rPr>
        <w:t xml:space="preserve">Module Title: </w:t>
      </w:r>
      <w:r>
        <w:rPr>
          <w:lang w:val="en-IN"/>
        </w:rPr>
        <w:t>International Marketing: Principles and Practices</w:t>
      </w:r>
    </w:p>
    <w:p>
      <w:pPr>
        <w:pStyle w:val="Normal"/>
        <w:jc w:val="center"/>
        <w:rPr>
          <w:b/>
          <w:bCs/>
          <w:lang w:val="en-IN"/>
        </w:rPr>
      </w:pPr>
      <w:r>
        <w:rPr>
          <w:b/>
          <w:bCs/>
          <w:lang w:val="en-IN"/>
        </w:rPr>
        <w:t xml:space="preserve">Module Code: </w:t>
      </w:r>
      <w:r>
        <w:rPr/>
        <w:t>LCMB7026</w:t>
      </w:r>
    </w:p>
    <w:p>
      <w:pPr>
        <w:pStyle w:val="Normal"/>
        <w:jc w:val="center"/>
        <w:rPr>
          <w:lang w:val="en-IN"/>
        </w:rPr>
      </w:pPr>
      <w:r>
        <w:rPr>
          <w:lang w:val="en-IN"/>
        </w:rPr>
      </w:r>
    </w:p>
    <w:p>
      <w:pPr>
        <w:pStyle w:val="Normal"/>
        <w:jc w:val="center"/>
        <w:rPr>
          <w:b/>
          <w:bCs/>
          <w:lang w:val="en-IN"/>
        </w:rPr>
      </w:pPr>
      <w:r>
        <w:rPr>
          <w:b/>
          <w:bCs/>
          <w:lang w:val="en-IN"/>
        </w:rPr>
        <w:t xml:space="preserve">Assessment Title: </w:t>
      </w:r>
      <w:r>
        <w:rPr/>
        <w:t xml:space="preserve">International Market Entry Strategy and Marketing Mix </w:t>
      </w:r>
    </w:p>
    <w:p>
      <w:pPr>
        <w:pStyle w:val="Normal"/>
        <w:jc w:val="center"/>
        <w:rPr>
          <w:lang w:val="en-IN"/>
        </w:rPr>
      </w:pPr>
      <w:r>
        <w:rPr>
          <w:b/>
          <w:bCs/>
          <w:lang w:val="en-IN"/>
        </w:rPr>
        <w:t>Company Selected:</w:t>
      </w:r>
      <w:r>
        <w:rPr>
          <w:lang w:val="en-IN"/>
        </w:rPr>
        <w:t xml:space="preserve"> Pizza Hut</w:t>
      </w:r>
    </w:p>
    <w:p>
      <w:pPr>
        <w:pStyle w:val="Normal"/>
        <w:jc w:val="center"/>
        <w:rPr>
          <w:b/>
          <w:bCs/>
          <w:lang w:val="en-IN"/>
        </w:rPr>
      </w:pPr>
      <w:r>
        <w:rPr>
          <w:b/>
          <w:bCs/>
        </w:rPr>
        <w:t>Home Country:</w:t>
      </w:r>
      <w:r>
        <w:rPr/>
        <w:t xml:space="preserve"> UK</w:t>
        <w:br/>
      </w:r>
      <w:r>
        <w:rPr>
          <w:b/>
          <w:bCs/>
        </w:rPr>
        <w:t>Host Country:</w:t>
      </w:r>
      <w:r>
        <w:rPr/>
        <w:t xml:space="preserve"> India</w:t>
      </w:r>
    </w:p>
    <w:p>
      <w:pPr>
        <w:pStyle w:val="Normal"/>
        <w:jc w:val="center"/>
        <w:rPr>
          <w:lang w:val="en-IN"/>
        </w:rPr>
      </w:pPr>
      <w:r>
        <w:rPr>
          <w:lang w:val="en-IN"/>
        </w:rPr>
      </w:r>
    </w:p>
    <w:p>
      <w:pPr>
        <w:pStyle w:val="Normal"/>
        <w:jc w:val="center"/>
        <w:rPr>
          <w:b/>
          <w:bCs/>
          <w:lang w:val="en-IN"/>
        </w:rPr>
      </w:pPr>
      <w:r>
        <w:rPr>
          <w:b/>
          <w:bCs/>
          <w:lang w:val="en-IN"/>
        </w:rPr>
        <w:t xml:space="preserve">Student Name: </w:t>
      </w:r>
      <w:r>
        <w:rPr>
          <w:rFonts w:cs="Arial"/>
          <w:b w:val="false"/>
          <w:bCs w:val="false"/>
          <w:szCs w:val="24"/>
          <w:lang w:val="en-IN"/>
        </w:rPr>
        <w:t>Raj Rameshchandra Patel</w:t>
      </w:r>
    </w:p>
    <w:p>
      <w:pPr>
        <w:pStyle w:val="Normal"/>
        <w:jc w:val="center"/>
        <w:rPr>
          <w:b/>
          <w:bCs/>
          <w:lang w:val="en-IN"/>
        </w:rPr>
      </w:pPr>
      <w:r>
        <w:rPr>
          <w:b/>
          <w:bCs/>
          <w:lang w:val="en-IN"/>
        </w:rPr>
        <w:t>Student ID:</w:t>
      </w:r>
      <w:r>
        <w:rPr>
          <w:rFonts w:cs="Arial"/>
          <w:b w:val="false"/>
          <w:bCs w:val="false"/>
          <w:szCs w:val="24"/>
          <w:lang w:val="en-IN"/>
        </w:rPr>
        <w:t>2518465</w:t>
      </w:r>
    </w:p>
    <w:p>
      <w:pPr>
        <w:pStyle w:val="Normal"/>
        <w:jc w:val="center"/>
        <w:rPr>
          <w:lang w:val="en-IN"/>
        </w:rPr>
      </w:pPr>
      <w:r>
        <w:rPr>
          <w:lang w:val="en-IN"/>
        </w:rPr>
      </w:r>
    </w:p>
    <w:p>
      <w:pPr>
        <w:pStyle w:val="Normal"/>
        <w:jc w:val="center"/>
        <w:rPr>
          <w:b/>
          <w:bCs/>
          <w:lang w:val="en-IN"/>
        </w:rPr>
      </w:pPr>
      <w:r>
        <w:rPr>
          <w:b/>
          <w:bCs/>
          <w:lang w:val="en-IN"/>
        </w:rPr>
        <w:t>Lecturer Name:</w:t>
      </w:r>
      <w:r>
        <w:rPr>
          <w:b w:val="false"/>
          <w:bCs w:val="false"/>
          <w:lang w:val="en-IN"/>
        </w:rPr>
        <w:t xml:space="preserve"> Dr. Piyumika Gamage</w:t>
      </w:r>
    </w:p>
    <w:p>
      <w:pPr>
        <w:pStyle w:val="Normal"/>
        <w:jc w:val="center"/>
        <w:rPr>
          <w:lang w:val="en-IN"/>
        </w:rPr>
      </w:pPr>
      <w:r>
        <w:rPr>
          <w:lang w:val="en-IN"/>
        </w:rPr>
      </w:r>
    </w:p>
    <w:p>
      <w:pPr>
        <w:pStyle w:val="Normal"/>
        <w:jc w:val="center"/>
        <w:rPr>
          <w:b/>
          <w:bCs/>
          <w:lang w:val="en-IN"/>
        </w:rPr>
      </w:pPr>
      <w:r>
        <w:rPr>
          <w:lang w:val="en-IN"/>
        </w:rPr>
      </w:r>
    </w:p>
    <w:p>
      <w:pPr>
        <w:pStyle w:val="Normal"/>
        <w:spacing w:lineRule="auto" w:line="259" w:before="0" w:after="160"/>
        <w:jc w:val="start"/>
        <w:rPr>
          <w:lang w:val="en-IN"/>
        </w:rPr>
      </w:pPr>
      <w:r>
        <w:rPr>
          <w:lang w:val="en-IN"/>
        </w:rPr>
      </w:r>
    </w:p>
    <w:sdt>
      <w:sdtPr>
        <w:docPartObj>
          <w:docPartGallery w:val="Table of Contents"/>
          <w:docPartUnique w:val="true"/>
        </w:docPartObj>
      </w:sdtPr>
      <w:sdtContent>
        <w:p>
          <w:pPr>
            <w:pStyle w:val="TOCHeading"/>
            <w:spacing w:before="0" w:after="0"/>
            <w:jc w:val="center"/>
            <w:rPr>
              <w:rFonts w:ascii="Arial" w:hAnsi="Arial" w:cs="Arial"/>
              <w:b/>
              <w:bCs/>
              <w:color w:themeColor="text1" w:val="000000"/>
            </w:rPr>
          </w:pPr>
          <w:r>
            <w:br w:type="page"/>
          </w:r>
          <w:r>
            <w:rPr>
              <w:rFonts w:cs="Arial" w:ascii="Arial" w:hAnsi="Arial"/>
              <w:b/>
              <w:bCs/>
              <w:color w:themeColor="text1" w:val="000000"/>
            </w:rPr>
            <w:t>Table of Contents</w:t>
          </w:r>
        </w:p>
        <w:p>
          <w:pPr>
            <w:pStyle w:val="TOC1"/>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r>
            <w:fldChar w:fldCharType="begin"/>
          </w:r>
          <w:r>
            <w:rPr>
              <w:rStyle w:val="IndexLink"/>
              <w:webHidden/>
              <w:lang w:val="en-IN"/>
            </w:rPr>
            <w:instrText xml:space="preserve"> TOC \z \o "1-3" \u \h</w:instrText>
          </w:r>
          <w:r>
            <w:rPr>
              <w:rStyle w:val="IndexLink"/>
              <w:webHidden/>
              <w:lang w:val="en-IN"/>
            </w:rPr>
            <w:fldChar w:fldCharType="separate"/>
          </w:r>
          <w:hyperlink w:anchor="_Toc237516684">
            <w:r>
              <w:rPr>
                <w:rStyle w:val="IndexLink"/>
                <w:webHidden/>
                <w:lang w:val="en-IN"/>
              </w:rPr>
              <w:t xml:space="preserve">SECTION 1: </w:t>
            </w:r>
            <w:r>
              <w:rPr>
                <w:rStyle w:val="IndexLink"/>
              </w:rPr>
              <w:t>International Market Entry Strategy and Comparative Marketing Mix of Pizza Hut in the UK and India</w:t>
            </w:r>
            <w:r>
              <w:rPr>
                <w:webHidden/>
              </w:rPr>
              <w:fldChar w:fldCharType="begin"/>
            </w:r>
            <w:r>
              <w:rPr>
                <w:webHidden/>
              </w:rPr>
              <w:instrText xml:space="preserve">PAGEREF _Toc237516684 \h</w:instrText>
            </w:r>
            <w:r>
              <w:rPr>
                <w:webHidden/>
              </w:rPr>
              <w:fldChar w:fldCharType="separate"/>
            </w:r>
            <w:r>
              <w:rPr>
                <w:rStyle w:val="IndexLink"/>
                <w:vanish w:val="false"/>
              </w:rPr>
              <w:tab/>
              <w:t>3</w:t>
            </w:r>
            <w:r>
              <w:rPr>
                <w:webHidden/>
              </w:rPr>
              <w:fldChar w:fldCharType="end"/>
            </w:r>
          </w:hyperlink>
        </w:p>
        <w:p>
          <w:pPr>
            <w:pStyle w:val="TOC2"/>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685">
            <w:r>
              <w:rPr>
                <w:rStyle w:val="IndexLink"/>
                <w:webHidden/>
                <w:lang w:val="en-IN"/>
              </w:rPr>
              <w:t>1.1 Introduction</w:t>
            </w:r>
            <w:r>
              <w:rPr>
                <w:webHidden/>
              </w:rPr>
              <w:fldChar w:fldCharType="begin"/>
            </w:r>
            <w:r>
              <w:rPr>
                <w:webHidden/>
              </w:rPr>
              <w:instrText xml:space="preserve">PAGEREF _Toc237516685 \h</w:instrText>
            </w:r>
            <w:r>
              <w:rPr>
                <w:webHidden/>
              </w:rPr>
              <w:fldChar w:fldCharType="separate"/>
            </w:r>
            <w:r>
              <w:rPr>
                <w:rStyle w:val="IndexLink"/>
                <w:vanish w:val="false"/>
              </w:rPr>
              <w:tab/>
              <w:t>3</w:t>
            </w:r>
            <w:r>
              <w:rPr>
                <w:webHidden/>
              </w:rPr>
              <w:fldChar w:fldCharType="end"/>
            </w:r>
          </w:hyperlink>
        </w:p>
        <w:p>
          <w:pPr>
            <w:pStyle w:val="TOC2"/>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686">
            <w:r>
              <w:rPr>
                <w:rStyle w:val="IndexLink"/>
                <w:webHidden/>
                <w:lang w:val="en-IN"/>
              </w:rPr>
              <w:t>1.2 Pizza Hut and Market Context</w:t>
            </w:r>
            <w:r>
              <w:rPr>
                <w:webHidden/>
              </w:rPr>
              <w:fldChar w:fldCharType="begin"/>
            </w:r>
            <w:r>
              <w:rPr>
                <w:webHidden/>
              </w:rPr>
              <w:instrText xml:space="preserve">PAGEREF _Toc237516686 \h</w:instrText>
            </w:r>
            <w:r>
              <w:rPr>
                <w:webHidden/>
              </w:rPr>
              <w:fldChar w:fldCharType="separate"/>
            </w:r>
            <w:r>
              <w:rPr>
                <w:rStyle w:val="IndexLink"/>
                <w:vanish w:val="false"/>
              </w:rPr>
              <w:tab/>
              <w:t>4</w:t>
            </w:r>
            <w:r>
              <w:rPr>
                <w:webHidden/>
              </w:rPr>
              <w:fldChar w:fldCharType="end"/>
            </w:r>
          </w:hyperlink>
        </w:p>
        <w:p>
          <w:pPr>
            <w:pStyle w:val="TOC2"/>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687">
            <w:r>
              <w:rPr>
                <w:rStyle w:val="IndexLink"/>
                <w:webHidden/>
                <w:lang w:val="en-IN"/>
              </w:rPr>
              <w:t>1.3 Comparative PESTEL Analysis</w:t>
            </w:r>
            <w:r>
              <w:rPr>
                <w:webHidden/>
              </w:rPr>
              <w:fldChar w:fldCharType="begin"/>
            </w:r>
            <w:r>
              <w:rPr>
                <w:webHidden/>
              </w:rPr>
              <w:instrText xml:space="preserve">PAGEREF _Toc237516687 \h</w:instrText>
            </w:r>
            <w:r>
              <w:rPr>
                <w:webHidden/>
              </w:rPr>
              <w:fldChar w:fldCharType="separate"/>
            </w:r>
            <w:r>
              <w:rPr>
                <w:rStyle w:val="IndexLink"/>
                <w:vanish w:val="false"/>
              </w:rPr>
              <w:tab/>
              <w:t>4</w:t>
            </w:r>
            <w:r>
              <w:rPr>
                <w:webHidden/>
              </w:rPr>
              <w:fldChar w:fldCharType="end"/>
            </w:r>
          </w:hyperlink>
        </w:p>
        <w:p>
          <w:pPr>
            <w:pStyle w:val="TOC2"/>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688">
            <w:r>
              <w:rPr>
                <w:rStyle w:val="IndexLink"/>
                <w:webHidden/>
                <w:lang w:val="en-IN"/>
              </w:rPr>
              <w:t>1.4 Hofstede Cultural Comparison</w:t>
            </w:r>
            <w:r>
              <w:rPr>
                <w:webHidden/>
              </w:rPr>
              <w:fldChar w:fldCharType="begin"/>
            </w:r>
            <w:r>
              <w:rPr>
                <w:webHidden/>
              </w:rPr>
              <w:instrText xml:space="preserve">PAGEREF _Toc237516688 \h</w:instrText>
            </w:r>
            <w:r>
              <w:rPr>
                <w:webHidden/>
              </w:rPr>
              <w:fldChar w:fldCharType="separate"/>
            </w:r>
            <w:r>
              <w:rPr>
                <w:rStyle w:val="IndexLink"/>
                <w:vanish w:val="false"/>
              </w:rPr>
              <w:tab/>
              <w:t>8</w:t>
            </w:r>
            <w:r>
              <w:rPr>
                <w:webHidden/>
              </w:rPr>
              <w:fldChar w:fldCharType="end"/>
            </w:r>
          </w:hyperlink>
        </w:p>
        <w:p>
          <w:pPr>
            <w:pStyle w:val="TOC2"/>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689">
            <w:r>
              <w:rPr>
                <w:rStyle w:val="IndexLink"/>
                <w:webHidden/>
                <w:lang w:val="en-IN"/>
              </w:rPr>
              <w:t>1.5 Comparative STP Analysis</w:t>
            </w:r>
            <w:r>
              <w:rPr>
                <w:webHidden/>
              </w:rPr>
              <w:fldChar w:fldCharType="begin"/>
            </w:r>
            <w:r>
              <w:rPr>
                <w:webHidden/>
              </w:rPr>
              <w:instrText xml:space="preserve">PAGEREF _Toc237516689 \h</w:instrText>
            </w:r>
            <w:r>
              <w:rPr>
                <w:webHidden/>
              </w:rPr>
              <w:fldChar w:fldCharType="separate"/>
            </w:r>
            <w:r>
              <w:rPr>
                <w:rStyle w:val="IndexLink"/>
                <w:vanish w:val="false"/>
              </w:rPr>
              <w:tab/>
              <w:t>10</w:t>
            </w:r>
            <w:r>
              <w:rPr>
                <w:webHidden/>
              </w:rPr>
              <w:fldChar w:fldCharType="end"/>
            </w:r>
          </w:hyperlink>
        </w:p>
        <w:p>
          <w:pPr>
            <w:pStyle w:val="TOC2"/>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690">
            <w:r>
              <w:rPr>
                <w:rStyle w:val="IndexLink"/>
                <w:webHidden/>
                <w:lang w:val="en-IN"/>
              </w:rPr>
              <w:t>1.6 Comparative International Marketing Mix (7Ps)</w:t>
            </w:r>
            <w:r>
              <w:rPr>
                <w:webHidden/>
              </w:rPr>
              <w:fldChar w:fldCharType="begin"/>
            </w:r>
            <w:r>
              <w:rPr>
                <w:webHidden/>
              </w:rPr>
              <w:instrText xml:space="preserve">PAGEREF _Toc237516690 \h</w:instrText>
            </w:r>
            <w:r>
              <w:rPr>
                <w:webHidden/>
              </w:rPr>
              <w:fldChar w:fldCharType="separate"/>
            </w:r>
            <w:r>
              <w:rPr>
                <w:rStyle w:val="IndexLink"/>
                <w:vanish w:val="false"/>
              </w:rPr>
              <w:tab/>
              <w:t>12</w:t>
            </w:r>
            <w:r>
              <w:rPr>
                <w:webHidden/>
              </w:rPr>
              <w:fldChar w:fldCharType="end"/>
            </w:r>
          </w:hyperlink>
        </w:p>
        <w:p>
          <w:pPr>
            <w:pStyle w:val="TOC2"/>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691">
            <w:r>
              <w:rPr>
                <w:rStyle w:val="IndexLink"/>
                <w:webHidden/>
                <w:lang w:val="en-IN"/>
              </w:rPr>
              <w:t>1.7 Market Entry Strategy in India</w:t>
            </w:r>
            <w:r>
              <w:rPr>
                <w:webHidden/>
              </w:rPr>
              <w:fldChar w:fldCharType="begin"/>
            </w:r>
            <w:r>
              <w:rPr>
                <w:webHidden/>
              </w:rPr>
              <w:instrText xml:space="preserve">PAGEREF _Toc237516691 \h</w:instrText>
            </w:r>
            <w:r>
              <w:rPr>
                <w:webHidden/>
              </w:rPr>
              <w:fldChar w:fldCharType="separate"/>
            </w:r>
            <w:r>
              <w:rPr>
                <w:rStyle w:val="IndexLink"/>
                <w:vanish w:val="false"/>
              </w:rPr>
              <w:tab/>
              <w:t>16</w:t>
            </w:r>
            <w:r>
              <w:rPr>
                <w:webHidden/>
              </w:rPr>
              <w:fldChar w:fldCharType="end"/>
            </w:r>
          </w:hyperlink>
        </w:p>
        <w:p>
          <w:pPr>
            <w:pStyle w:val="TOC2"/>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692">
            <w:r>
              <w:rPr>
                <w:rStyle w:val="IndexLink"/>
                <w:webHidden/>
                <w:lang w:val="en-IN"/>
              </w:rPr>
              <w:t>1.8 Ethical Issues in Pizza Hut’s Marketing Mix in India</w:t>
            </w:r>
            <w:r>
              <w:rPr>
                <w:webHidden/>
              </w:rPr>
              <w:fldChar w:fldCharType="begin"/>
            </w:r>
            <w:r>
              <w:rPr>
                <w:webHidden/>
              </w:rPr>
              <w:instrText xml:space="preserve">PAGEREF _Toc237516692 \h</w:instrText>
            </w:r>
            <w:r>
              <w:rPr>
                <w:webHidden/>
              </w:rPr>
              <w:fldChar w:fldCharType="separate"/>
            </w:r>
            <w:r>
              <w:rPr>
                <w:rStyle w:val="IndexLink"/>
                <w:vanish w:val="false"/>
              </w:rPr>
              <w:tab/>
              <w:t>17</w:t>
            </w:r>
            <w:r>
              <w:rPr>
                <w:webHidden/>
              </w:rPr>
              <w:fldChar w:fldCharType="end"/>
            </w:r>
          </w:hyperlink>
        </w:p>
        <w:p>
          <w:pPr>
            <w:pStyle w:val="TOC2"/>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693">
            <w:r>
              <w:rPr>
                <w:rStyle w:val="IndexLink"/>
                <w:webHidden/>
                <w:lang w:val="en-IN"/>
              </w:rPr>
              <w:t>1.9 Recommendations for Future International Marketing Strategy</w:t>
            </w:r>
            <w:r>
              <w:rPr>
                <w:webHidden/>
              </w:rPr>
              <w:fldChar w:fldCharType="begin"/>
            </w:r>
            <w:r>
              <w:rPr>
                <w:webHidden/>
              </w:rPr>
              <w:instrText xml:space="preserve">PAGEREF _Toc237516693 \h</w:instrText>
            </w:r>
            <w:r>
              <w:rPr>
                <w:webHidden/>
              </w:rPr>
              <w:fldChar w:fldCharType="separate"/>
            </w:r>
            <w:r>
              <w:rPr>
                <w:rStyle w:val="IndexLink"/>
                <w:vanish w:val="false"/>
              </w:rPr>
              <w:tab/>
              <w:t>17</w:t>
            </w:r>
            <w:r>
              <w:rPr>
                <w:webHidden/>
              </w:rPr>
              <w:fldChar w:fldCharType="end"/>
            </w:r>
          </w:hyperlink>
        </w:p>
        <w:p>
          <w:pPr>
            <w:pStyle w:val="TOC1"/>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694">
            <w:r>
              <w:rPr>
                <w:rStyle w:val="IndexLink"/>
                <w:webHidden/>
              </w:rPr>
              <w:t xml:space="preserve">SECTION 2: </w:t>
            </w:r>
            <w:r>
              <w:rPr>
                <w:rStyle w:val="IndexLink"/>
                <w:lang w:val="en-IN"/>
              </w:rPr>
              <w:t>Reflective Account of the Research and Analysis Process</w:t>
            </w:r>
            <w:r>
              <w:rPr>
                <w:webHidden/>
              </w:rPr>
              <w:fldChar w:fldCharType="begin"/>
            </w:r>
            <w:r>
              <w:rPr>
                <w:webHidden/>
              </w:rPr>
              <w:instrText xml:space="preserve">PAGEREF _Toc237516694 \h</w:instrText>
            </w:r>
            <w:r>
              <w:rPr>
                <w:webHidden/>
              </w:rPr>
              <w:fldChar w:fldCharType="separate"/>
            </w:r>
            <w:r>
              <w:rPr>
                <w:rStyle w:val="IndexLink"/>
                <w:vanish w:val="false"/>
              </w:rPr>
              <w:tab/>
              <w:t>19</w:t>
            </w:r>
            <w:r>
              <w:rPr>
                <w:webHidden/>
              </w:rPr>
              <w:fldChar w:fldCharType="end"/>
            </w:r>
          </w:hyperlink>
        </w:p>
        <w:p>
          <w:pPr>
            <w:pStyle w:val="TOC2"/>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695">
            <w:r>
              <w:rPr>
                <w:rStyle w:val="IndexLink"/>
                <w:webHidden/>
                <w:lang w:val="en-IN"/>
              </w:rPr>
              <w:t>2.1 Description</w:t>
            </w:r>
            <w:r>
              <w:rPr>
                <w:webHidden/>
              </w:rPr>
              <w:fldChar w:fldCharType="begin"/>
            </w:r>
            <w:r>
              <w:rPr>
                <w:webHidden/>
              </w:rPr>
              <w:instrText xml:space="preserve">PAGEREF _Toc237516695 \h</w:instrText>
            </w:r>
            <w:r>
              <w:rPr>
                <w:webHidden/>
              </w:rPr>
              <w:fldChar w:fldCharType="separate"/>
            </w:r>
            <w:r>
              <w:rPr>
                <w:rStyle w:val="IndexLink"/>
                <w:vanish w:val="false"/>
              </w:rPr>
              <w:tab/>
              <w:t>19</w:t>
            </w:r>
            <w:r>
              <w:rPr>
                <w:webHidden/>
              </w:rPr>
              <w:fldChar w:fldCharType="end"/>
            </w:r>
          </w:hyperlink>
        </w:p>
        <w:p>
          <w:pPr>
            <w:pStyle w:val="TOC2"/>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696">
            <w:r>
              <w:rPr>
                <w:rStyle w:val="IndexLink"/>
                <w:webHidden/>
                <w:lang w:val="en-IN"/>
              </w:rPr>
              <w:t>2.2 Feelings</w:t>
            </w:r>
            <w:r>
              <w:rPr>
                <w:webHidden/>
              </w:rPr>
              <w:fldChar w:fldCharType="begin"/>
            </w:r>
            <w:r>
              <w:rPr>
                <w:webHidden/>
              </w:rPr>
              <w:instrText xml:space="preserve">PAGEREF _Toc237516696 \h</w:instrText>
            </w:r>
            <w:r>
              <w:rPr>
                <w:webHidden/>
              </w:rPr>
              <w:fldChar w:fldCharType="separate"/>
            </w:r>
            <w:r>
              <w:rPr>
                <w:rStyle w:val="IndexLink"/>
                <w:vanish w:val="false"/>
              </w:rPr>
              <w:tab/>
              <w:t>20</w:t>
            </w:r>
            <w:r>
              <w:rPr>
                <w:webHidden/>
              </w:rPr>
              <w:fldChar w:fldCharType="end"/>
            </w:r>
          </w:hyperlink>
        </w:p>
        <w:p>
          <w:pPr>
            <w:pStyle w:val="TOC2"/>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697">
            <w:r>
              <w:rPr>
                <w:rStyle w:val="IndexLink"/>
                <w:webHidden/>
                <w:lang w:val="en-IN"/>
              </w:rPr>
              <w:t>2.3 Evaluation</w:t>
            </w:r>
            <w:r>
              <w:rPr>
                <w:webHidden/>
              </w:rPr>
              <w:fldChar w:fldCharType="begin"/>
            </w:r>
            <w:r>
              <w:rPr>
                <w:webHidden/>
              </w:rPr>
              <w:instrText xml:space="preserve">PAGEREF _Toc237516697 \h</w:instrText>
            </w:r>
            <w:r>
              <w:rPr>
                <w:webHidden/>
              </w:rPr>
              <w:fldChar w:fldCharType="separate"/>
            </w:r>
            <w:r>
              <w:rPr>
                <w:rStyle w:val="IndexLink"/>
                <w:vanish w:val="false"/>
              </w:rPr>
              <w:tab/>
              <w:t>20</w:t>
            </w:r>
            <w:r>
              <w:rPr>
                <w:webHidden/>
              </w:rPr>
              <w:fldChar w:fldCharType="end"/>
            </w:r>
          </w:hyperlink>
        </w:p>
        <w:p>
          <w:pPr>
            <w:pStyle w:val="TOC2"/>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698">
            <w:r>
              <w:rPr>
                <w:rStyle w:val="IndexLink"/>
                <w:webHidden/>
                <w:lang w:val="en-IN"/>
              </w:rPr>
              <w:t>2.4 Analysis</w:t>
            </w:r>
            <w:r>
              <w:rPr>
                <w:webHidden/>
              </w:rPr>
              <w:fldChar w:fldCharType="begin"/>
            </w:r>
            <w:r>
              <w:rPr>
                <w:webHidden/>
              </w:rPr>
              <w:instrText xml:space="preserve">PAGEREF _Toc237516698 \h</w:instrText>
            </w:r>
            <w:r>
              <w:rPr>
                <w:webHidden/>
              </w:rPr>
              <w:fldChar w:fldCharType="separate"/>
            </w:r>
            <w:r>
              <w:rPr>
                <w:rStyle w:val="IndexLink"/>
                <w:vanish w:val="false"/>
              </w:rPr>
              <w:tab/>
              <w:t>21</w:t>
            </w:r>
            <w:r>
              <w:rPr>
                <w:webHidden/>
              </w:rPr>
              <w:fldChar w:fldCharType="end"/>
            </w:r>
          </w:hyperlink>
        </w:p>
        <w:p>
          <w:pPr>
            <w:pStyle w:val="TOC2"/>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699">
            <w:r>
              <w:rPr>
                <w:rStyle w:val="IndexLink"/>
                <w:webHidden/>
                <w:lang w:val="en-IN"/>
              </w:rPr>
              <w:t>2.5 Conclusion</w:t>
            </w:r>
            <w:r>
              <w:rPr>
                <w:webHidden/>
              </w:rPr>
              <w:fldChar w:fldCharType="begin"/>
            </w:r>
            <w:r>
              <w:rPr>
                <w:webHidden/>
              </w:rPr>
              <w:instrText xml:space="preserve">PAGEREF _Toc237516699 \h</w:instrText>
            </w:r>
            <w:r>
              <w:rPr>
                <w:webHidden/>
              </w:rPr>
              <w:fldChar w:fldCharType="separate"/>
            </w:r>
            <w:r>
              <w:rPr>
                <w:rStyle w:val="IndexLink"/>
                <w:vanish w:val="false"/>
              </w:rPr>
              <w:tab/>
              <w:t>22</w:t>
            </w:r>
            <w:r>
              <w:rPr>
                <w:webHidden/>
              </w:rPr>
              <w:fldChar w:fldCharType="end"/>
            </w:r>
          </w:hyperlink>
        </w:p>
        <w:p>
          <w:pPr>
            <w:pStyle w:val="TOC2"/>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700">
            <w:r>
              <w:rPr>
                <w:rStyle w:val="IndexLink"/>
                <w:webHidden/>
                <w:lang w:val="en-IN"/>
              </w:rPr>
              <w:t>2.6 Action Plan</w:t>
            </w:r>
            <w:r>
              <w:rPr>
                <w:webHidden/>
              </w:rPr>
              <w:fldChar w:fldCharType="begin"/>
            </w:r>
            <w:r>
              <w:rPr>
                <w:webHidden/>
              </w:rPr>
              <w:instrText xml:space="preserve">PAGEREF _Toc237516700 \h</w:instrText>
            </w:r>
            <w:r>
              <w:rPr>
                <w:webHidden/>
              </w:rPr>
              <w:fldChar w:fldCharType="separate"/>
            </w:r>
            <w:r>
              <w:rPr>
                <w:rStyle w:val="IndexLink"/>
                <w:vanish w:val="false"/>
              </w:rPr>
              <w:tab/>
              <w:t>22</w:t>
            </w:r>
            <w:r>
              <w:rPr>
                <w:webHidden/>
              </w:rPr>
              <w:fldChar w:fldCharType="end"/>
            </w:r>
          </w:hyperlink>
        </w:p>
        <w:p>
          <w:pPr>
            <w:pStyle w:val="TOC1"/>
            <w:tabs>
              <w:tab w:val="clear" w:pos="720"/>
              <w:tab w:val="right" w:pos="9016" w:leader="dot"/>
            </w:tabs>
            <w:rPr>
              <w:rFonts w:ascii="Aptos" w:hAnsi="Aptos" w:eastAsia="" w:asciiTheme="minorHAnsi" w:eastAsiaTheme="minorEastAsia" w:hAnsiTheme="minorHAnsi"/>
              <w:kern w:val="2"/>
              <w:szCs w:val="24"/>
              <w:lang w:val="en-IN" w:eastAsia="en-IN"/>
              <w14:ligatures w14:val="standardContextual"/>
            </w:rPr>
          </w:pPr>
          <w:hyperlink w:anchor="_Toc237516701">
            <w:r>
              <w:rPr>
                <w:rStyle w:val="IndexLink"/>
                <w:webHidden/>
              </w:rPr>
              <w:t>References</w:t>
            </w:r>
            <w:r>
              <w:rPr>
                <w:webHidden/>
              </w:rPr>
              <w:fldChar w:fldCharType="begin"/>
            </w:r>
            <w:r>
              <w:rPr>
                <w:webHidden/>
              </w:rPr>
              <w:instrText xml:space="preserve">PAGEREF _Toc237516701 \h</w:instrText>
            </w:r>
            <w:r>
              <w:rPr>
                <w:webHidden/>
              </w:rPr>
              <w:fldChar w:fldCharType="separate"/>
            </w:r>
            <w:r>
              <w:rPr>
                <w:rStyle w:val="IndexLink"/>
                <w:vanish w:val="false"/>
              </w:rPr>
              <w:tab/>
              <w:t>24</w:t>
            </w:r>
            <w:r>
              <w:rPr>
                <w:webHidden/>
              </w:rPr>
              <w:fldChar w:fldCharType="end"/>
            </w:r>
          </w:hyperlink>
        </w:p>
        <w:p>
          <w:pPr>
            <w:pStyle w:val="Normal"/>
            <w:rPr/>
          </w:pPr>
          <w:r>
            <w:rPr/>
          </w:r>
          <w:r>
            <w:rPr/>
            <w:fldChar w:fldCharType="end"/>
          </w:r>
        </w:p>
      </w:sdtContent>
    </w:sdt>
    <w:p>
      <w:pPr>
        <w:pStyle w:val="Heading2"/>
        <w:rPr>
          <w:lang w:val="en-IN"/>
        </w:rPr>
      </w:pPr>
      <w:r>
        <w:rPr>
          <w:lang w:val="en-IN"/>
        </w:rPr>
      </w:r>
    </w:p>
    <w:p>
      <w:pPr>
        <w:pStyle w:val="Heading2"/>
        <w:rPr>
          <w:lang w:val="en-IN"/>
        </w:rPr>
      </w:pPr>
      <w:r>
        <w:rPr>
          <w:lang w:val="en-IN"/>
        </w:rPr>
      </w:r>
    </w:p>
    <w:p>
      <w:pPr>
        <w:pStyle w:val="Normal"/>
        <w:spacing w:lineRule="auto" w:line="259" w:before="0" w:after="160"/>
        <w:jc w:val="start"/>
        <w:rPr>
          <w:rFonts w:eastAsia="" w:cs="" w:cstheme="majorBidi" w:eastAsiaTheme="majorEastAsia"/>
          <w:b/>
          <w:i/>
          <w:szCs w:val="32"/>
          <w:u w:val="single"/>
          <w:lang w:val="en-IN"/>
        </w:rPr>
      </w:pPr>
      <w:r>
        <w:rPr>
          <w:rFonts w:eastAsia="" w:cs="" w:cstheme="majorBidi" w:eastAsiaTheme="majorEastAsia"/>
          <w:b/>
          <w:i/>
          <w:szCs w:val="32"/>
          <w:u w:val="single"/>
          <w:lang w:val="en-IN"/>
        </w:rPr>
      </w:r>
      <w:r>
        <w:br w:type="page"/>
      </w:r>
    </w:p>
    <w:p>
      <w:pPr>
        <w:pStyle w:val="Heading1"/>
        <w:spacing w:before="0" w:after="120"/>
        <w:rPr>
          <w:lang w:val="en-IN"/>
        </w:rPr>
      </w:pPr>
      <w:bookmarkStart w:id="0" w:name="_Toc237516684"/>
      <w:r>
        <w:rPr>
          <w:lang w:val="en-IN"/>
        </w:rPr>
        <w:t xml:space="preserve">SECTION 1: </w:t>
      </w:r>
      <w:r>
        <w:rPr/>
        <w:t>International Market Entry Strategy and Comparative Marketing Mix of Pizza Hut in the UK and India</w:t>
      </w:r>
      <w:bookmarkEnd w:id="0"/>
    </w:p>
    <w:p>
      <w:pPr>
        <w:pStyle w:val="Heading2"/>
        <w:rPr>
          <w:lang w:val="en-IN"/>
        </w:rPr>
      </w:pPr>
      <w:bookmarkStart w:id="1" w:name="_Toc237516685"/>
      <w:r>
        <w:rPr>
          <w:lang w:val="en-IN"/>
        </w:rPr>
        <w:t>1.1 Introduction</w:t>
      </w:r>
      <w:bookmarkEnd w:id="1"/>
    </w:p>
    <w:p>
      <w:pPr>
        <w:pStyle w:val="Normal"/>
        <w:rPr>
          <w:lang w:val="en-IN"/>
        </w:rPr>
      </w:pPr>
      <w:r>
        <w:rPr>
          <w:lang w:val="en-IN"/>
        </w:rPr>
        <w:t>International marketing is increasingly important for food-service brands because differences in culture, purchasing power, consumer preferences and market conditions can influence marketing performance. Pizza Hut provides a case because it operates internationally while adapting its products and customer experience to local markets. Pizza Hut originated in the United States and has developed an international presence, with its Indian operations beginning in 1996 (</w:t>
      </w:r>
      <w:r>
        <w:rPr/>
        <w:t>Pizza Hut, 2026</w:t>
      </w:r>
      <w:r>
        <w:rPr>
          <w:lang w:val="en-IN"/>
        </w:rPr>
        <w:t>). Its Indian offering demonstrates localisation through products such as Tandoori Paneer, Schezwan and Makhni Paneer pizzas, alongside delivery, collection and promotional deals.</w:t>
      </w:r>
    </w:p>
    <w:p>
      <w:pPr>
        <w:pStyle w:val="Normal"/>
        <w:rPr>
          <w:lang w:val="en-IN"/>
        </w:rPr>
      </w:pPr>
      <w:r>
        <w:rPr/>
        <w:drawing>
          <wp:inline distT="0" distB="0" distL="0" distR="0">
            <wp:extent cx="5731510" cy="3008630"/>
            <wp:effectExtent l="0" t="0" r="0" b="0"/>
            <wp:docPr id="2" name="Image2" descr="Pizza Hut makes a play for the late-night cro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Pizza Hut makes a play for the late-night crowd"/>
                    <pic:cNvPicPr>
                      <a:picLocks noChangeAspect="1" noChangeArrowheads="1"/>
                    </pic:cNvPicPr>
                  </pic:nvPicPr>
                  <pic:blipFill>
                    <a:blip r:embed="rId3"/>
                    <a:stretch>
                      <a:fillRect/>
                    </a:stretch>
                  </pic:blipFill>
                  <pic:spPr bwMode="auto">
                    <a:xfrm>
                      <a:off x="0" y="0"/>
                      <a:ext cx="5731510" cy="3008630"/>
                    </a:xfrm>
                    <a:prstGeom prst="rect">
                      <a:avLst/>
                    </a:prstGeom>
                    <a:noFill/>
                  </pic:spPr>
                </pic:pic>
              </a:graphicData>
            </a:graphic>
          </wp:inline>
        </w:drawing>
      </w:r>
    </w:p>
    <w:p>
      <w:pPr>
        <w:pStyle w:val="Normal"/>
        <w:rPr>
          <w:lang w:val="en-IN"/>
        </w:rPr>
      </w:pPr>
      <w:r>
        <w:rPr>
          <w:lang w:val="en-IN"/>
        </w:rPr>
        <w:t>This report compares Pizza Hut’s international marketing strategies in the United Kingdom and India. These markets provide a useful comparison because their economic environments, cultural characteristics, consumer expectations and food preferences differ, requiring a balance between global brand consistency and local adaptation. The analysis examines the macro-environmental conditions of both countries through PESTEL and evaluates cultural differences using Hofstede’s framework. It then compares Pizza Hut’s segmentation, targeting and positioning (STP) and its international marketing mix through the seven Ps: product, price, place, promotion, people, process and physical evidence. The report subsequently evaluates Pizza Hut’s market entry strategy in India, considers ethical issues within its marketing activities and proposes evidence-based recommendations for strengthening its international marketing performance.</w:t>
      </w:r>
    </w:p>
    <w:p>
      <w:pPr>
        <w:pStyle w:val="Heading2"/>
        <w:rPr>
          <w:lang w:val="en-IN"/>
        </w:rPr>
      </w:pPr>
      <w:bookmarkStart w:id="2" w:name="_Toc237516686"/>
      <w:r>
        <w:rPr>
          <w:lang w:val="en-IN"/>
        </w:rPr>
        <w:t>1.2 Pizza Hut and Market Context</w:t>
      </w:r>
      <w:bookmarkEnd w:id="2"/>
    </w:p>
    <w:p>
      <w:pPr>
        <w:pStyle w:val="Normal"/>
        <w:rPr>
          <w:lang w:val="en-IN"/>
        </w:rPr>
      </w:pPr>
      <w:r>
        <w:rPr>
          <w:lang w:val="en-IN"/>
        </w:rPr>
        <w:t>Pizza Hut is a quick-service restaurant brand operating across a network (</w:t>
      </w:r>
      <w:r>
        <w:rPr/>
        <w:t xml:space="preserve">Manhas </w:t>
      </w:r>
      <w:r>
        <w:rPr>
          <w:i/>
          <w:iCs/>
        </w:rPr>
        <w:t>et al.,</w:t>
      </w:r>
      <w:r>
        <w:rPr/>
        <w:t xml:space="preserve"> 2024</w:t>
      </w:r>
      <w:r>
        <w:rPr>
          <w:lang w:val="en-IN"/>
        </w:rPr>
        <w:t>). The brand forms part of Yum! Brands’ international portfolio and maintains operations in numerous countries, demonstrating the importance of standardisation alongside local market adaptation. Pizza Hut’s international model combines restaurants with delivery and digital ordering channels, enabling the company to reach customers through dine-in, collection and home-delivery occasions.</w:t>
      </w:r>
    </w:p>
    <w:p>
      <w:pPr>
        <w:pStyle w:val="Normal"/>
        <w:rPr>
          <w:lang w:val="en-IN"/>
        </w:rPr>
      </w:pPr>
      <w:r>
        <w:rPr>
          <w:lang w:val="en-IN"/>
        </w:rPr>
        <w:t>India represents an international market for Pizza Hut. The brand entered India in June 1996 with its first restaurant in Bangalore and developed an offering that combines its international pizza concept with relevant products and services (Pizza Hut, 2026). Its Indian menu includes pizzas, sides, desserts, drinks and promotional deals, while customers can order for delivery or collect from stores. This illustrates adaptation of product and distribution strategies to local consumer expectations.</w:t>
      </w:r>
    </w:p>
    <w:p>
      <w:pPr>
        <w:pStyle w:val="Normal"/>
        <w:rPr>
          <w:lang w:val="en-IN"/>
        </w:rPr>
      </w:pPr>
      <w:r>
        <w:rPr>
          <w:lang w:val="en-IN"/>
        </w:rPr>
        <w:t>The UK provides a contrasting developed context, where Pizza Hut operates restaurant and delivery formats and uses digital ordering and delivery partners to extend customer reach. Comparing the UK and India provides a basis for examining how Pizza Hut manages differences in consumer preferences, purchasing conditions, service expectations and cultural influences. The comparison is particularly relevant to assessing whether its international strategy achieves a balance between global consistency and local responsiveness.</w:t>
      </w:r>
    </w:p>
    <w:p>
      <w:pPr>
        <w:pStyle w:val="Heading2"/>
        <w:rPr>
          <w:lang w:val="en-IN"/>
        </w:rPr>
      </w:pPr>
      <w:bookmarkStart w:id="3" w:name="_Toc237516687"/>
      <w:r>
        <w:rPr>
          <w:lang w:val="en-IN"/>
        </w:rPr>
        <w:t>1.3 Comparative PESTEL Analysis</w:t>
      </w:r>
      <w:bookmarkEnd w:id="3"/>
    </w:p>
    <w:p>
      <w:pPr>
        <w:pStyle w:val="Normal"/>
        <w:rPr>
          <w:lang w:val="en-IN"/>
        </w:rPr>
      </w:pPr>
      <w:r>
        <w:rPr>
          <w:lang w:val="en-IN"/>
        </w:rPr>
        <w:t>A PESTEL analysis provides a systematic basis for evaluating the external factors influencing Pizza Hut’s marketing activities in the United Kingdom and India. The comparison demonstrates that although Pizza Hut operates under one global brand identity, differences in political, economic, social, technological, environmental and legal conditions require country-specific marketing responses. This is consistent with the assessment requirement to compare the macro-environments of both countries rather than analyse them independently.</w:t>
      </w:r>
    </w:p>
    <w:p>
      <w:pPr>
        <w:pStyle w:val="Normal"/>
        <w:rPr>
          <w:b/>
          <w:bCs/>
          <w:lang w:val="en-IN"/>
        </w:rPr>
      </w:pPr>
      <w:r>
        <w:rPr>
          <w:b/>
          <w:bCs/>
          <w:lang w:val="en-IN"/>
        </w:rPr>
        <w:t>Political Factors</w:t>
      </w:r>
    </w:p>
    <w:p>
      <w:pPr>
        <w:pStyle w:val="Normal"/>
        <w:rPr>
          <w:lang w:val="en-IN"/>
        </w:rPr>
      </w:pPr>
      <w:r>
        <w:rPr>
          <w:lang w:val="en-IN"/>
        </w:rPr>
        <w:t>The UK provides a relatively mature and established regulatory environment for food-service businesses, with clear requirements relating to food safety, consumer information and food labelling (</w:t>
      </w:r>
      <w:r>
        <w:rPr/>
        <w:t>Rizzuti, 2022</w:t>
      </w:r>
      <w:r>
        <w:rPr>
          <w:lang w:val="en-IN"/>
        </w:rPr>
        <w:t>). Government guidance requires food businesses to provide clear, understandable and non-misleading food information, while allergen information must also be provided to consumers. India also operates within a formal food-safety and regulatory framework, although its large geographical size and diversity create a more complex operating environment for a multinational restaurant brand. For Pizza Hut, this means that compliance must be combined with effective local management of franchise operations and suppliers. Consequently, the UK environment supports greater regulatory predictability, whereas India requires stronger local adaptation and monitoring.</w:t>
      </w:r>
    </w:p>
    <w:p>
      <w:pPr>
        <w:pStyle w:val="Normal"/>
        <w:rPr>
          <w:b/>
          <w:bCs/>
          <w:lang w:val="en-IN"/>
        </w:rPr>
      </w:pPr>
      <w:r>
        <w:rPr>
          <w:b/>
          <w:bCs/>
          <w:lang w:val="en-IN"/>
        </w:rPr>
        <w:t>Economic Factors</w:t>
      </w:r>
    </w:p>
    <w:p>
      <w:pPr>
        <w:pStyle w:val="Normal"/>
        <w:rPr>
          <w:lang w:val="en-IN"/>
        </w:rPr>
      </w:pPr>
      <w:r>
        <w:rPr>
          <w:lang w:val="en-IN"/>
        </w:rPr>
        <w:t>Economic conditions have significant implications for Pizza Hut because pizza is generally a discretionary food purchase rather than an essential product. The difference in purchasing power between the two markets is particularly important. World Bank data indicate that UK GDP per capita was approximately US$57,602 in 2025, compared with approximately US$2,703 in India (</w:t>
      </w:r>
      <w:r>
        <w:rPr/>
        <w:t>World Bank, 2026</w:t>
      </w:r>
      <w:r>
        <w:rPr>
          <w:lang w:val="en-IN"/>
        </w:rPr>
        <w:t>). However, India recorded substantially stronger economic growth, with GDP growth of around 7.6% in 2025, compared with 1.4% in the UK (</w:t>
      </w:r>
      <w:r>
        <w:rPr/>
        <w:t>IBEF, 2026</w:t>
      </w:r>
      <w:r>
        <w:rPr>
          <w:lang w:val="en-IN"/>
        </w:rPr>
        <w:t>).</w:t>
      </w:r>
    </w:p>
    <w:p>
      <w:pPr>
        <w:pStyle w:val="Normal"/>
        <w:rPr>
          <w:lang w:val="en-IN"/>
        </w:rPr>
      </w:pPr>
      <w:r>
        <w:rPr>
          <w:lang w:val="en-IN"/>
        </w:rPr>
        <w:t>This contrast creates different opportunities. The UK’s higher purchasing power can support relatively greater spending on convenience, restaurant experiences and delivery, although inflation and household cost pressures can increase price sensitivity. India’s lower average income makes affordability more important, increasing the relevance of value meals, discounts, smaller portions and promotional bundles. At the same time, India’s faster economic expansion provides Pizza Hut with considerable long-term demand potential. Therefore, a standardised pricing strategy across both countries would be inappropriate because consumers have different levels of purchasing power and price sensitivity.</w:t>
      </w:r>
    </w:p>
    <w:p>
      <w:pPr>
        <w:pStyle w:val="Normal"/>
        <w:rPr>
          <w:b/>
          <w:bCs/>
          <w:lang w:val="en-IN"/>
        </w:rPr>
      </w:pPr>
      <w:r>
        <w:rPr>
          <w:b/>
          <w:bCs/>
          <w:lang w:val="en-IN"/>
        </w:rPr>
        <w:t>Social Factors</w:t>
      </w:r>
    </w:p>
    <w:p>
      <w:pPr>
        <w:pStyle w:val="Normal"/>
        <w:rPr>
          <w:lang w:val="en-IN"/>
        </w:rPr>
      </w:pPr>
      <w:r>
        <w:rPr>
          <w:lang w:val="en-IN"/>
        </w:rPr>
        <w:t>Social and cultural differences are particularly important for Pizza Hut because food preferences are closely connected with local traditions and lifestyles (</w:t>
      </w:r>
      <w:r>
        <w:rPr/>
        <w:t xml:space="preserve">Teoh </w:t>
      </w:r>
      <w:r>
        <w:rPr>
          <w:i/>
          <w:iCs/>
        </w:rPr>
        <w:t>et al.,</w:t>
      </w:r>
      <w:r>
        <w:rPr/>
        <w:t xml:space="preserve"> 2021</w:t>
      </w:r>
      <w:r>
        <w:rPr>
          <w:lang w:val="en-IN"/>
        </w:rPr>
        <w:t>). UK consumers increasingly value convenience, delivery, digital ordering and choice, while concerns about nutrition and healthier eating can influence purchasing decisions. India presents a substantially more diverse food culture, with strong vegetarian demand and significant regional variation in taste preferences. Pizza Hut therefore needs to adapt its product range and communication to local preferences rather than simply transferring the UK offering into India.</w:t>
      </w:r>
    </w:p>
    <w:p>
      <w:pPr>
        <w:pStyle w:val="Normal"/>
        <w:rPr>
          <w:lang w:val="en-IN"/>
        </w:rPr>
      </w:pPr>
      <w:r>
        <w:rPr>
          <w:lang w:val="en-IN"/>
        </w:rPr>
        <w:t>This creates an important strategic tension between global consistency and local responsiveness. Maintaining the recognisable Pizza Hut brand can provide international credibility, but excessive standardisation may reduce relevance in culturally diverse markets. Localised flavours, vegetarian options and culturally appropriate promotional communication can therefore improve consumer acceptance in India while allowing the core Pizza Hut identity to remain consistent (</w:t>
      </w:r>
      <w:r>
        <w:rPr/>
        <w:t>Hamad, 2024</w:t>
      </w:r>
      <w:r>
        <w:rPr>
          <w:lang w:val="en-IN"/>
        </w:rPr>
        <w:t>).</w:t>
      </w:r>
    </w:p>
    <w:p>
      <w:pPr>
        <w:pStyle w:val="Normal"/>
        <w:rPr>
          <w:b/>
          <w:bCs/>
          <w:lang w:val="en-IN"/>
        </w:rPr>
      </w:pPr>
      <w:r>
        <w:rPr>
          <w:b/>
          <w:bCs/>
          <w:lang w:val="en-IN"/>
        </w:rPr>
        <w:t>Technological Factors</w:t>
      </w:r>
    </w:p>
    <w:p>
      <w:pPr>
        <w:pStyle w:val="Normal"/>
        <w:rPr>
          <w:lang w:val="en-IN"/>
        </w:rPr>
      </w:pPr>
      <w:r>
        <w:rPr>
          <w:lang w:val="en-IN"/>
        </w:rPr>
        <w:t>Technology is important in both markets because digital ordering has transformed the customer journey within food-service industries. In the UK, very high internet penetration provides a strong foundation for mobile ordering, online promotions, delivery tracking and personalised digital communication. World Bank data report internet use of approximately 95% of the UK population in 2024 (</w:t>
      </w:r>
      <w:r>
        <w:rPr/>
        <w:t>World bank, 2026a</w:t>
      </w:r>
      <w:r>
        <w:rPr>
          <w:lang w:val="en-IN"/>
        </w:rPr>
        <w:t>). India also has a rapidly expanding digital consumer market, with internet use reaching approximately 70% of the population in 2025.</w:t>
      </w:r>
    </w:p>
    <w:p>
      <w:pPr>
        <w:pStyle w:val="Normal"/>
        <w:rPr>
          <w:lang w:val="en-IN"/>
        </w:rPr>
      </w:pPr>
      <w:r>
        <w:rPr/>
        <w:drawing>
          <wp:inline distT="0" distB="0" distL="0" distR="0">
            <wp:extent cx="5731510" cy="3902075"/>
            <wp:effectExtent l="0" t="0" r="0" b="0"/>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4"/>
                    <a:stretch>
                      <a:fillRect/>
                    </a:stretch>
                  </pic:blipFill>
                  <pic:spPr bwMode="auto">
                    <a:xfrm>
                      <a:off x="0" y="0"/>
                      <a:ext cx="5731510" cy="3902075"/>
                    </a:xfrm>
                    <a:prstGeom prst="rect">
                      <a:avLst/>
                    </a:prstGeom>
                    <a:noFill/>
                  </pic:spPr>
                </pic:pic>
              </a:graphicData>
            </a:graphic>
          </wp:inline>
        </w:drawing>
      </w:r>
    </w:p>
    <w:p>
      <w:pPr>
        <w:pStyle w:val="Normal"/>
        <w:rPr>
          <w:lang w:val="en-IN"/>
        </w:rPr>
      </w:pPr>
      <w:r>
        <w:rPr>
          <w:lang w:val="en-IN"/>
        </w:rPr>
        <w:t>For Pizza Hut, this creates opportunities to integrate websites, mobile applications, online payment, social media and delivery platforms. However, India’s larger and more diverse market means that digital strategies need to account for differences in consumer access and behaviour across locations. Consequently, digital marketing can be highly scalable in both markets, but the channels, promotional messages and customer incentives should be adapted to local conditions.</w:t>
      </w:r>
    </w:p>
    <w:p>
      <w:pPr>
        <w:pStyle w:val="Normal"/>
        <w:rPr>
          <w:b/>
          <w:bCs/>
          <w:lang w:val="en-IN"/>
        </w:rPr>
      </w:pPr>
      <w:r>
        <w:rPr>
          <w:b/>
          <w:bCs/>
          <w:lang w:val="en-IN"/>
        </w:rPr>
        <w:t>Environmental Factors</w:t>
      </w:r>
    </w:p>
    <w:p>
      <w:pPr>
        <w:pStyle w:val="Normal"/>
        <w:rPr>
          <w:lang w:val="en-IN"/>
        </w:rPr>
      </w:pPr>
      <w:r>
        <w:rPr>
          <w:lang w:val="en-IN"/>
        </w:rPr>
        <w:t>Environmental pressures are increasingly relevant to Pizza Hut because the restaurant sector generates packaging waste, food waste and emissions associated with delivery. In the UK, stronger consumer and regulatory attention towards sustainability increases pressure on Pizza Hut to reduce unnecessary packaging and improve recycling practices (</w:t>
      </w:r>
      <w:r>
        <w:rPr/>
        <w:t xml:space="preserve">Hirth </w:t>
      </w:r>
      <w:r>
        <w:rPr>
          <w:i/>
          <w:iCs/>
        </w:rPr>
        <w:t>et al.,</w:t>
      </w:r>
      <w:r>
        <w:rPr/>
        <w:t xml:space="preserve"> 2021</w:t>
      </w:r>
      <w:r>
        <w:rPr>
          <w:lang w:val="en-IN"/>
        </w:rPr>
        <w:t>). Environmental expectations are also becoming increasingly relevant in India, particularly as urban consumption and food-delivery activity expand.</w:t>
      </w:r>
    </w:p>
    <w:p>
      <w:pPr>
        <w:pStyle w:val="Normal"/>
        <w:rPr>
          <w:lang w:val="en-IN"/>
        </w:rPr>
      </w:pPr>
      <w:r>
        <w:rPr>
          <w:lang w:val="en-IN"/>
        </w:rPr>
        <w:t>Pizza Hut can respond through recyclable or reduced packaging, improved waste management and more efficient delivery operations. However, environmental initiatives must also remain commercially viable. Sustainable packaging may increase short-term costs, meaning the company needs to balance environmental responsibility with affordability (</w:t>
      </w:r>
      <w:r>
        <w:rPr/>
        <w:t>Alamandi, 2025</w:t>
      </w:r>
      <w:r>
        <w:rPr>
          <w:lang w:val="en-IN"/>
        </w:rPr>
        <w:t>). This illustrates why environmental strategy should be integrated into the marketing mix rather than treated solely as a corporate responsibility issue.</w:t>
      </w:r>
    </w:p>
    <w:p>
      <w:pPr>
        <w:pStyle w:val="Normal"/>
        <w:rPr>
          <w:b/>
          <w:bCs/>
          <w:lang w:val="en-IN"/>
        </w:rPr>
      </w:pPr>
      <w:r>
        <w:rPr>
          <w:b/>
          <w:bCs/>
          <w:lang w:val="en-IN"/>
        </w:rPr>
        <w:t>Legal Factors</w:t>
      </w:r>
    </w:p>
    <w:p>
      <w:pPr>
        <w:pStyle w:val="Normal"/>
        <w:rPr>
          <w:lang w:val="en-IN"/>
        </w:rPr>
      </w:pPr>
      <w:r>
        <w:rPr>
          <w:lang w:val="en-IN"/>
        </w:rPr>
        <w:t>Legal requirements directly influence Pizza Hut’s product communication and marketing activities (</w:t>
      </w:r>
      <w:r>
        <w:rPr/>
        <w:t>Kassim, 2023</w:t>
      </w:r>
      <w:r>
        <w:rPr>
          <w:lang w:val="en-IN"/>
        </w:rPr>
        <w:t>). In the UK, food businesses must comply with rules covering ingredients, allergens and the presentation of food information, and businesses can face prosecution where food is falsely described or misleadingly presented. These requirements influence menu design, advertising and online product information. India similarly requires Pizza Hut to comply with national food-safety and consumer-protection requirements. The key challenge is ensuring consistent compliance across a large franchise network while maintaining local responsiveness. For Pizza Hut, legal compliance is therefore both a risk-management requirement and a component of brand trust.</w:t>
      </w:r>
    </w:p>
    <w:p>
      <w:pPr>
        <w:pStyle w:val="Normal"/>
        <w:rPr>
          <w:lang w:val="en-IN"/>
        </w:rPr>
      </w:pPr>
      <w:r>
        <w:rPr>
          <w:lang w:val="en-IN"/>
        </w:rPr>
        <w:t xml:space="preserve">It has been critically analysed that the PESTEL comparison indicates that Pizza Hut should pursue a </w:t>
      </w:r>
      <w:r>
        <w:rPr>
          <w:b/>
          <w:bCs/>
          <w:lang w:val="en-IN"/>
        </w:rPr>
        <w:t>globally consistent brand identity combined with locally responsive marketing execution</w:t>
      </w:r>
      <w:r>
        <w:rPr>
          <w:lang w:val="en-IN"/>
        </w:rPr>
        <w:t>. The UK offers a mature, higher-income and highly digital environment in which convenience, service quality, transparency and value remain important. India provides stronger growth potential but requires greater attention to affordability, cultural diversity, vegetarian preferences, localisation and operational consistency. Therefore, Pizza Hut’s international success depends not on applying an identical marketing strategy, but on adapting its products, pricing, communication and service processes to the specific external conditions of each market.</w:t>
      </w:r>
    </w:p>
    <w:p>
      <w:pPr>
        <w:pStyle w:val="Heading2"/>
        <w:rPr>
          <w:lang w:val="en-IN"/>
        </w:rPr>
      </w:pPr>
      <w:bookmarkStart w:id="4" w:name="_Toc237516688"/>
      <w:r>
        <w:rPr>
          <w:lang w:val="en-IN"/>
        </w:rPr>
        <w:t>1.4 Hofstede Cultural Comparison</w:t>
      </w:r>
      <w:bookmarkEnd w:id="4"/>
    </w:p>
    <w:p>
      <w:pPr>
        <w:pStyle w:val="Normal"/>
        <w:rPr>
          <w:lang w:val="en-IN"/>
        </w:rPr>
      </w:pPr>
      <w:r>
        <w:rPr>
          <w:lang w:val="en-IN"/>
        </w:rPr>
        <w:t xml:space="preserve">Hofstede’s cultural dimensions provide a useful framework for evaluating how national cultural differences may influence Pizza Hut’s international marketing strategy in the UK and India. The comparison is particularly relevant because the assessment requires cultural factors in both markets to be evaluated rather than simply described. </w:t>
      </w:r>
    </w:p>
    <w:p>
      <w:pPr>
        <w:pStyle w:val="Normal"/>
        <w:rPr>
          <w:lang w:val="en-IN"/>
        </w:rPr>
      </w:pPr>
      <w:r>
        <w:rPr>
          <w:lang w:val="en-IN"/>
        </w:rPr>
        <w:t xml:space="preserve">The most significant difference is </w:t>
      </w:r>
      <w:r>
        <w:rPr>
          <w:b/>
          <w:bCs/>
          <w:lang w:val="en-IN"/>
        </w:rPr>
        <w:t>Power Distance</w:t>
      </w:r>
      <w:r>
        <w:rPr>
          <w:lang w:val="en-IN"/>
        </w:rPr>
        <w:t xml:space="preserve">, where India scores </w:t>
      </w:r>
      <w:r>
        <w:rPr>
          <w:b/>
          <w:bCs/>
          <w:lang w:val="en-IN"/>
        </w:rPr>
        <w:t>77</w:t>
      </w:r>
      <w:r>
        <w:rPr>
          <w:lang w:val="en-IN"/>
        </w:rPr>
        <w:t xml:space="preserve"> compared with </w:t>
      </w:r>
      <w:r>
        <w:rPr>
          <w:b/>
          <w:bCs/>
          <w:lang w:val="en-IN"/>
        </w:rPr>
        <w:t>35</w:t>
      </w:r>
      <w:r>
        <w:rPr>
          <w:lang w:val="en-IN"/>
        </w:rPr>
        <w:t xml:space="preserve"> for the UK. This indicates that Indian culture is relatively more accepting of hierarchy and unequal distribution of authority, whereas the UK has a lower power-distance orientation. India’s higher score can have implications for family and social decision-making, while Pizza Hut may need to recognise the importance of established social relationships and group influences in its communication and customer experience (</w:t>
      </w:r>
      <w:r>
        <w:rPr/>
        <w:t>Ashmore, 2020</w:t>
      </w:r>
      <w:r>
        <w:rPr>
          <w:lang w:val="en-IN"/>
        </w:rPr>
        <w:t xml:space="preserve">). </w:t>
      </w:r>
    </w:p>
    <w:p>
      <w:pPr>
        <w:pStyle w:val="Normal"/>
        <w:rPr>
          <w:lang w:val="en-IN"/>
        </w:rPr>
      </w:pPr>
      <w:r>
        <w:rPr>
          <w:lang w:val="en-IN"/>
        </w:rPr>
        <w:t xml:space="preserve">A major contrast also exists in </w:t>
      </w:r>
      <w:r>
        <w:rPr>
          <w:b/>
          <w:bCs/>
          <w:lang w:val="en-IN"/>
        </w:rPr>
        <w:t>Individualism</w:t>
      </w:r>
      <w:r>
        <w:rPr>
          <w:lang w:val="en-IN"/>
        </w:rPr>
        <w:t xml:space="preserve">. The UK scores </w:t>
      </w:r>
      <w:r>
        <w:rPr>
          <w:b/>
          <w:bCs/>
          <w:lang w:val="en-IN"/>
        </w:rPr>
        <w:t>89</w:t>
      </w:r>
      <w:r>
        <w:rPr>
          <w:lang w:val="en-IN"/>
        </w:rPr>
        <w:t xml:space="preserve">, whereas India scores </w:t>
      </w:r>
      <w:r>
        <w:rPr>
          <w:b/>
          <w:bCs/>
          <w:lang w:val="en-IN"/>
        </w:rPr>
        <w:t>48</w:t>
      </w:r>
      <w:r>
        <w:rPr>
          <w:lang w:val="en-IN"/>
        </w:rPr>
        <w:t>, indicating that the UK is considerably more individualistic while India demonstrates stronger collectivist tendencies. For Pizza Hut, this distinction can influence promotional appeals. UK campaigns can place greater emphasis on individual choice, convenience and personalised consumption, whereas Indian marketing can more strongly communicate sharing, family occasions and group consumption (</w:t>
      </w:r>
      <w:r>
        <w:rPr/>
        <w:t>Ashmore, 2020</w:t>
      </w:r>
      <w:r>
        <w:rPr>
          <w:lang w:val="en-IN"/>
        </w:rPr>
        <w:t xml:space="preserve">). Pizza Hut’s Indian menu, which includes multiple vegetarian products and culturally adapted flavours such as Paneer Makhni, Tandoori Paneer and Schezwan, provides practical evidence of local responsiveness. </w:t>
      </w:r>
    </w:p>
    <w:p>
      <w:pPr>
        <w:pStyle w:val="Normal"/>
        <w:rPr>
          <w:lang w:val="en-IN"/>
        </w:rPr>
      </w:pPr>
      <w:r>
        <w:rPr>
          <w:b/>
          <w:bCs/>
          <w:lang w:val="en-IN"/>
        </w:rPr>
        <w:t>Masculinity</w:t>
      </w:r>
      <w:r>
        <w:rPr>
          <w:lang w:val="en-IN"/>
        </w:rPr>
        <w:t xml:space="preserve"> is moderately high in both countries, although the UK records a higher score of </w:t>
      </w:r>
      <w:r>
        <w:rPr>
          <w:b/>
          <w:bCs/>
          <w:lang w:val="en-IN"/>
        </w:rPr>
        <w:t>66</w:t>
      </w:r>
      <w:r>
        <w:rPr>
          <w:lang w:val="en-IN"/>
        </w:rPr>
        <w:t xml:space="preserve"> compared with </w:t>
      </w:r>
      <w:r>
        <w:rPr>
          <w:b/>
          <w:bCs/>
          <w:lang w:val="en-IN"/>
        </w:rPr>
        <w:t>56</w:t>
      </w:r>
      <w:r>
        <w:rPr>
          <w:lang w:val="en-IN"/>
        </w:rPr>
        <w:t xml:space="preserve"> for India (</w:t>
      </w:r>
      <w:r>
        <w:rPr/>
        <w:t>Ashmore, 2020</w:t>
      </w:r>
      <w:r>
        <w:rPr>
          <w:lang w:val="en-IN"/>
        </w:rPr>
        <w:t xml:space="preserve">). This suggests that achievement, performance and success can be relevant in both markets, although the difference is not as substantial as the individualism or power-distance gap. Pizza Hut can therefore maintain competitive and achievement-oriented brand communication while adapting the emotional emphasis to each market. </w:t>
      </w:r>
    </w:p>
    <w:p>
      <w:pPr>
        <w:pStyle w:val="Normal"/>
        <w:rPr>
          <w:lang w:val="en-IN"/>
        </w:rPr>
      </w:pPr>
      <w:r>
        <w:rPr>
          <w:lang w:val="en-IN"/>
        </w:rPr>
        <w:t xml:space="preserve">For </w:t>
      </w:r>
      <w:r>
        <w:rPr>
          <w:b/>
          <w:bCs/>
          <w:lang w:val="en-IN"/>
        </w:rPr>
        <w:t>Uncertainty Avoidance</w:t>
      </w:r>
      <w:r>
        <w:rPr>
          <w:lang w:val="en-IN"/>
        </w:rPr>
        <w:t xml:space="preserve">, India scores </w:t>
      </w:r>
      <w:r>
        <w:rPr>
          <w:b/>
          <w:bCs/>
          <w:lang w:val="en-IN"/>
        </w:rPr>
        <w:t>40</w:t>
      </w:r>
      <w:r>
        <w:rPr>
          <w:lang w:val="en-IN"/>
        </w:rPr>
        <w:t xml:space="preserve"> and the UK approximately </w:t>
      </w:r>
      <w:r>
        <w:rPr>
          <w:b/>
          <w:bCs/>
          <w:lang w:val="en-IN"/>
        </w:rPr>
        <w:t>35</w:t>
      </w:r>
      <w:r>
        <w:rPr>
          <w:lang w:val="en-IN"/>
        </w:rPr>
        <w:t>, indicating relatively low levels in both countries. This suggests that consumers in both markets can demonstrate openness towards new products and experiences. Pizza Hut can therefore introduce limited-edition flavours and innovative menu options, provided that these remain relevant to local tastes (</w:t>
      </w:r>
      <w:r>
        <w:rPr/>
        <w:t>Ashmore, 2020</w:t>
      </w:r>
      <w:r>
        <w:rPr>
          <w:lang w:val="en-IN"/>
        </w:rPr>
        <w:t xml:space="preserve">). </w:t>
      </w:r>
      <w:r>
        <w:rPr>
          <w:b/>
          <w:bCs/>
          <w:lang w:val="en-IN"/>
        </w:rPr>
        <w:t>Long-Term Orientation</w:t>
      </w:r>
      <w:r>
        <w:rPr>
          <w:lang w:val="en-IN"/>
        </w:rPr>
        <w:t xml:space="preserve"> is also relevant, with India scoring </w:t>
      </w:r>
      <w:r>
        <w:rPr>
          <w:b/>
          <w:bCs/>
          <w:lang w:val="en-IN"/>
        </w:rPr>
        <w:t>61</w:t>
      </w:r>
      <w:r>
        <w:rPr>
          <w:lang w:val="en-IN"/>
        </w:rPr>
        <w:t xml:space="preserve"> compared with approximately </w:t>
      </w:r>
      <w:r>
        <w:rPr>
          <w:b/>
          <w:bCs/>
          <w:lang w:val="en-IN"/>
        </w:rPr>
        <w:t>51</w:t>
      </w:r>
      <w:r>
        <w:rPr>
          <w:lang w:val="en-IN"/>
        </w:rPr>
        <w:t xml:space="preserve"> for the UK. India’s relatively stronger long-term orientation suggests that Pizza Hut may benefit from building sustained customer relationships, local credibility and consistent value rather than relying exclusively on short-term promotional activity. </w:t>
      </w:r>
    </w:p>
    <w:p>
      <w:pPr>
        <w:pStyle w:val="Normal"/>
        <w:rPr>
          <w:lang w:val="en-IN"/>
        </w:rPr>
      </w:pPr>
      <w:r>
        <w:rPr>
          <w:lang w:val="en-IN"/>
        </w:rPr>
        <w:t xml:space="preserve">Overall, Hofstede indicates that </w:t>
      </w:r>
      <w:r>
        <w:rPr>
          <w:b/>
          <w:bCs/>
          <w:lang w:val="en-IN"/>
        </w:rPr>
        <w:t>India requires greater cultural adaptation than the UK</w:t>
      </w:r>
      <w:r>
        <w:rPr>
          <w:lang w:val="en-IN"/>
        </w:rPr>
        <w:t xml:space="preserve">, particularly regarding collectivism, hierarchy and food-related preferences. However, Hofstede should not be treated as a prediction of individual behaviour because national-level cultural scores can oversimplify differences within diverse populations. The framework should therefore complement, rather than replace, actual consumer and market evidence. This supports a </w:t>
      </w:r>
      <w:r>
        <w:rPr>
          <w:b/>
          <w:bCs/>
          <w:lang w:val="en-IN"/>
        </w:rPr>
        <w:t>glocalisation approach</w:t>
      </w:r>
      <w:r>
        <w:rPr>
          <w:lang w:val="en-IN"/>
        </w:rPr>
        <w:t>, whereby Pizza Hut retains its recognisable global identity while adapting products, communication and customer experiences to local cultural expectations.</w:t>
      </w:r>
    </w:p>
    <w:p>
      <w:pPr>
        <w:pStyle w:val="Heading2"/>
        <w:rPr>
          <w:lang w:val="en-IN"/>
        </w:rPr>
      </w:pPr>
      <w:bookmarkStart w:id="5" w:name="_Toc237516689"/>
      <w:r>
        <w:rPr>
          <w:lang w:val="en-IN"/>
        </w:rPr>
        <w:t>1.5 Comparative STP Analysis</w:t>
      </w:r>
      <w:bookmarkEnd w:id="5"/>
    </w:p>
    <w:p>
      <w:pPr>
        <w:pStyle w:val="Normal"/>
        <w:rPr>
          <w:lang w:val="en-IN"/>
        </w:rPr>
      </w:pPr>
      <w:r>
        <w:rPr>
          <w:lang w:val="en-IN"/>
        </w:rPr>
        <w:t xml:space="preserve">Segmentation, Targeting and Positioning (STP) provides a structured approach for understanding how Pizza Hut identifies attractive customer groups, selects priority segments and develops a distinctive market position. The assessment brief specifically requires a comparative analysis of Pizza Hut’s STP strategies in the two selected countries, considering cultural and economic differences. </w:t>
      </w:r>
    </w:p>
    <w:p>
      <w:pPr>
        <w:pStyle w:val="Normal"/>
        <w:rPr>
          <w:b/>
          <w:bCs/>
          <w:lang w:val="en-IN"/>
        </w:rPr>
      </w:pPr>
      <w:r>
        <w:rPr>
          <w:b/>
          <w:bCs/>
          <w:lang w:val="en-IN"/>
        </w:rPr>
        <w:t>Segmentation</w:t>
      </w:r>
    </w:p>
    <w:p>
      <w:pPr>
        <w:pStyle w:val="Normal"/>
        <w:rPr>
          <w:lang w:val="en-IN"/>
        </w:rPr>
      </w:pPr>
      <w:r>
        <w:rPr>
          <w:lang w:val="en-IN"/>
        </w:rPr>
        <w:t>Pizza Hut can segment consumers in the UK and India using geographic, demographic, psychographic and behavioural variables. Geographically, the UK market is concentrated around urban and suburban areas where consumers have strong access to restaurants, delivery services and digital ordering (</w:t>
      </w:r>
      <w:r>
        <w:rPr/>
        <w:t xml:space="preserve">Garcia del Toro </w:t>
      </w:r>
      <w:r>
        <w:rPr>
          <w:i/>
          <w:iCs/>
        </w:rPr>
        <w:t>et al.,</w:t>
      </w:r>
      <w:r>
        <w:rPr/>
        <w:t xml:space="preserve"> 2023</w:t>
      </w:r>
      <w:r>
        <w:rPr>
          <w:lang w:val="en-IN"/>
        </w:rPr>
        <w:t>). In India, geographic segmentation is more complex because consumer purchasing power, food preferences and lifestyles differ substantially between metropolitan, tier-two and smaller cities. Therefore, Pizza Hut can prioritise locations with higher population density, stronger disposable income and established digital infrastructure.</w:t>
      </w:r>
    </w:p>
    <w:p>
      <w:pPr>
        <w:pStyle w:val="Normal"/>
        <w:rPr>
          <w:lang w:val="en-IN"/>
        </w:rPr>
      </w:pPr>
      <w:r>
        <w:rPr>
          <w:lang w:val="en-IN"/>
        </w:rPr>
        <w:t>Demographically, younger consumers, working professionals and families represent important customer groups in both markets, although their motivations can differ. In the UK, relatively higher purchasing power allows Pizza Hut to appeal to consumers seeking convenience, restaurant experiences and delivery. In India, income differences make affordability and promotional value particularly important. Family households also represent an important segment because pizza can be purchased as a shared meal (</w:t>
      </w:r>
      <w:r>
        <w:rPr/>
        <w:t>George, 2024</w:t>
      </w:r>
      <w:r>
        <w:rPr>
          <w:lang w:val="en-IN"/>
        </w:rPr>
        <w:t>).</w:t>
      </w:r>
    </w:p>
    <w:p>
      <w:pPr>
        <w:pStyle w:val="Normal"/>
        <w:rPr>
          <w:lang w:val="en-IN"/>
        </w:rPr>
      </w:pPr>
      <w:r>
        <w:rPr>
          <w:lang w:val="en-IN"/>
        </w:rPr>
        <w:t>Psychographically, Pizza Hut can target convenience-oriented consumers, experience seekers, value-conscious customers and consumers interested in trying new flavours. Cultural differences are particularly important in India because vegetarian consumption and regional taste preferences require stronger product adaptation. Pizza Hut India, for example, offers locally relevant products including Paneer Makhni, Tandoori Paneer and Schezwan options, demonstrating adaptation to local preferences. Behavioural segmentation can consider frequency of ordering, dine-in versus delivery, online ordering, response to promotions and preference for individual or group meals (</w:t>
      </w:r>
      <w:r>
        <w:rPr/>
        <w:t>Tariq and Khan, 2025</w:t>
      </w:r>
      <w:r>
        <w:rPr>
          <w:lang w:val="en-IN"/>
        </w:rPr>
        <w:t>). Digital ordering makes it possible to use behavioural data to personalise offers and encourage repeat purchases.</w:t>
      </w:r>
    </w:p>
    <w:p>
      <w:pPr>
        <w:pStyle w:val="Normal"/>
        <w:rPr>
          <w:b/>
          <w:bCs/>
          <w:lang w:val="en-IN"/>
        </w:rPr>
      </w:pPr>
      <w:r>
        <w:rPr>
          <w:b/>
          <w:bCs/>
          <w:lang w:val="en-IN"/>
        </w:rPr>
        <w:t>Targeting</w:t>
      </w:r>
    </w:p>
    <w:p>
      <w:pPr>
        <w:pStyle w:val="Normal"/>
        <w:rPr>
          <w:lang w:val="en-IN"/>
        </w:rPr>
      </w:pPr>
      <w:r>
        <w:rPr>
          <w:lang w:val="en-IN"/>
        </w:rPr>
        <w:t>Pizza Hut should adopt a differentiated targeting strategy rather than treating the UK and India as identical markets. In the UK, priority customers can include young adults, working professionals and families who value convenience, delivery and reliable service. Promotional targeting can emphasise meal deals, digital ordering, convenience and occasional dining experiences (</w:t>
      </w:r>
      <w:r>
        <w:rPr/>
        <w:t xml:space="preserve">Gupta </w:t>
      </w:r>
      <w:r>
        <w:rPr>
          <w:i/>
          <w:iCs/>
        </w:rPr>
        <w:t>et al.,</w:t>
      </w:r>
      <w:r>
        <w:rPr/>
        <w:t xml:space="preserve"> 2025</w:t>
      </w:r>
      <w:r>
        <w:rPr>
          <w:lang w:val="en-IN"/>
        </w:rPr>
        <w:t>). In India, the strongest opportunities are likely to involve urban young consumers, families and price-conscious customers with growing participation in organised food-service consumption. Value meals, discounts, sharing offers and localised products can increase accessibility. India's greater cultural and economic diversity means that targeting should also vary geographically rather than applying exactly the same proposition nationwide.</w:t>
      </w:r>
    </w:p>
    <w:p>
      <w:pPr>
        <w:pStyle w:val="Normal"/>
        <w:rPr>
          <w:b/>
          <w:bCs/>
          <w:lang w:val="en-IN"/>
        </w:rPr>
      </w:pPr>
      <w:r>
        <w:rPr>
          <w:b/>
          <w:bCs/>
          <w:lang w:val="en-IN"/>
        </w:rPr>
        <w:t>Positioning</w:t>
      </w:r>
    </w:p>
    <w:p>
      <w:pPr>
        <w:pStyle w:val="Normal"/>
        <w:rPr>
          <w:lang w:val="en-IN"/>
        </w:rPr>
      </w:pPr>
      <w:r>
        <w:rPr>
          <w:lang w:val="en-IN"/>
        </w:rPr>
        <w:t>Pizza Hut can maintain a consistent global identity while positioning itself differently according to local expectations (</w:t>
      </w:r>
      <w:r>
        <w:rPr/>
        <w:t>Xu, 2022</w:t>
      </w:r>
      <w:r>
        <w:rPr>
          <w:lang w:val="en-IN"/>
        </w:rPr>
        <w:t>). In the UK, positioning can emphasise convenience, choice, quality and an established international restaurant brand, supported by delivery and digital ordering. In India, positioning can place greater emphasis on affordability, family sharing, local taste adaptation and variety, while retaining Pizza Hut’s recognisable international identity.</w:t>
      </w:r>
    </w:p>
    <w:p>
      <w:pPr>
        <w:pStyle w:val="Normal"/>
        <w:rPr>
          <w:lang w:val="en-IN"/>
        </w:rPr>
      </w:pPr>
      <w:r>
        <w:rPr>
          <w:lang w:val="en-IN"/>
        </w:rPr>
        <w:t xml:space="preserve">It has been critically analysed that this comparison demonstrates the importance of balancing standardisation and adaptation. Excessive standardisation could make the brand less culturally relevant in India, whereas excessive adaptation could weaken global brand consistency. Pizza Hut’s most appropriate approach is therefore glocalised positioning: maintaining its core brand identity while adapting products, pricing, promotional appeals and customer experiences to each market. This approach aligns with the brief’s requirement to consider cultural and economic factors when evaluating international marketing strategy. </w:t>
      </w:r>
    </w:p>
    <w:p>
      <w:pPr>
        <w:pStyle w:val="Heading2"/>
        <w:rPr>
          <w:lang w:val="en-IN"/>
        </w:rPr>
      </w:pPr>
      <w:bookmarkStart w:id="6" w:name="_Toc237516690"/>
      <w:r>
        <w:rPr>
          <w:lang w:val="en-IN"/>
        </w:rPr>
        <w:t>1.6 Comparative International Marketing Mix (7Ps)</w:t>
      </w:r>
      <w:bookmarkEnd w:id="6"/>
    </w:p>
    <w:p>
      <w:pPr>
        <w:pStyle w:val="Normal"/>
        <w:rPr>
          <w:lang w:val="en-IN"/>
        </w:rPr>
      </w:pPr>
      <w:r>
        <w:rPr>
          <w:lang w:val="en-IN"/>
        </w:rPr>
        <w:t xml:space="preserve">Pizza Hut’s international marketing mix demonstrates the need to balance global brand consistency with adaptation to local economic, cultural and consumer conditions. The assessment requires comparison of </w:t>
      </w:r>
      <w:r>
        <w:rPr>
          <w:b/>
          <w:bCs/>
          <w:lang w:val="en-IN"/>
        </w:rPr>
        <w:t>Product, Price, Place, Promotion, People, Process and Physical Evidence</w:t>
      </w:r>
      <w:r>
        <w:rPr>
          <w:lang w:val="en-IN"/>
        </w:rPr>
        <w:t xml:space="preserve"> across the two selected countries, while considering cultural and economic factors. The comparison between the UK and India indicates that Pizza Hut retains its core international identity but adapts important elements of the marketing mix to improve local relevance.</w:t>
      </w:r>
    </w:p>
    <w:p>
      <w:pPr>
        <w:pStyle w:val="Normal"/>
        <w:rPr>
          <w:b/>
          <w:bCs/>
          <w:lang w:val="en-IN"/>
        </w:rPr>
      </w:pPr>
      <w:r>
        <w:rPr>
          <w:b/>
          <w:bCs/>
          <w:lang w:val="en-IN"/>
        </w:rPr>
        <w:t>Product</w:t>
      </w:r>
    </w:p>
    <w:p>
      <w:pPr>
        <w:pStyle w:val="Normal"/>
        <w:rPr>
          <w:lang w:val="en-IN"/>
        </w:rPr>
      </w:pPr>
      <w:r>
        <w:rPr>
          <w:lang w:val="en-IN"/>
        </w:rPr>
        <w:t>Product adaptation is particularly significant because food preferences are strongly influenced by culture. Pizza Hut maintains its core pizza proposition in both markets but offers different menu combinations and flavours (</w:t>
      </w:r>
      <w:r>
        <w:rPr/>
        <w:t>Bhalla, Agastine, and Chotai, 2026</w:t>
      </w:r>
      <w:r>
        <w:rPr>
          <w:lang w:val="en-IN"/>
        </w:rPr>
        <w:t>). In India, the menu includes products such as Ultimate Tandoori Veggie, Veggie Supreme and other vegetarian options, alongside internationally inspired flavours such as Mexican, Japanese and Korean pizzas. This indicates that Pizza Hut uses localisation to accommodate Indian consumers’ preferences for vegetarian food and stronger regional flavour profiles.</w:t>
      </w:r>
    </w:p>
    <w:p>
      <w:pPr>
        <w:pStyle w:val="Normal"/>
        <w:rPr>
          <w:lang w:val="en-IN"/>
        </w:rPr>
      </w:pPr>
      <w:r>
        <w:rPr>
          <w:lang w:val="en-IN"/>
        </w:rPr>
        <w:t>The UK proposition can be positioned around familiar pizza varieties, meat-based products, vegetarian choices, sides and desserts, while also offering promotional and meal combinations (</w:t>
      </w:r>
      <w:r>
        <w:rPr/>
        <w:t xml:space="preserve">Ciobotaru </w:t>
      </w:r>
      <w:r>
        <w:rPr>
          <w:i/>
          <w:iCs/>
        </w:rPr>
        <w:t>et al.,</w:t>
      </w:r>
      <w:r>
        <w:rPr/>
        <w:t xml:space="preserve"> 2024</w:t>
      </w:r>
      <w:r>
        <w:rPr>
          <w:lang w:val="en-IN"/>
        </w:rPr>
        <w:t xml:space="preserve">). This creates greater alignment with established UK consumption patterns. The strategic difference is therefore not simply the availability of pizza but the extent to which the product portfolio reflects local preferences. India requires stronger adaptation because food choices can be more closely connected with religious, cultural and regional considerations. Pizza Hut’s ability to maintain its recognisable brand while adapting flavours provides a form of </w:t>
      </w:r>
      <w:r>
        <w:rPr>
          <w:b/>
          <w:bCs/>
          <w:lang w:val="en-IN"/>
        </w:rPr>
        <w:t>glocalisation</w:t>
      </w:r>
      <w:r>
        <w:rPr>
          <w:lang w:val="en-IN"/>
        </w:rPr>
        <w:t>, reducing the risk that global standardisation makes the product culturally irrelevant.</w:t>
      </w:r>
    </w:p>
    <w:p>
      <w:pPr>
        <w:pStyle w:val="Normal"/>
        <w:rPr>
          <w:b/>
          <w:bCs/>
          <w:lang w:val="en-IN"/>
        </w:rPr>
      </w:pPr>
      <w:r>
        <w:rPr>
          <w:b/>
          <w:bCs/>
          <w:lang w:val="en-IN"/>
        </w:rPr>
        <w:t>Price</w:t>
      </w:r>
    </w:p>
    <w:p>
      <w:pPr>
        <w:pStyle w:val="Normal"/>
        <w:rPr>
          <w:lang w:val="en-IN"/>
        </w:rPr>
      </w:pPr>
      <w:r>
        <w:rPr>
          <w:lang w:val="en-IN"/>
        </w:rPr>
        <w:t>Price is influenced by substantial differences in purchasing power and consumer price sensitivity between the two markets. In the UK, Pizza Hut can use meal deals, limited-time offers and delivery promotions to attract consumers who have greater average purchasing power but remain sensitive to household costs (</w:t>
      </w:r>
      <w:r>
        <w:rPr/>
        <w:t xml:space="preserve">Isaacs </w:t>
      </w:r>
      <w:r>
        <w:rPr>
          <w:i/>
          <w:iCs/>
        </w:rPr>
        <w:t>et al.,</w:t>
      </w:r>
      <w:r>
        <w:rPr/>
        <w:t xml:space="preserve"> 2020</w:t>
      </w:r>
      <w:r>
        <w:rPr>
          <w:lang w:val="en-IN"/>
        </w:rPr>
        <w:t>). The objective is to communicate value without positioning the brand solely as a low-cost provider.</w:t>
      </w:r>
    </w:p>
    <w:p>
      <w:pPr>
        <w:pStyle w:val="Normal"/>
        <w:rPr>
          <w:lang w:val="en-IN"/>
        </w:rPr>
      </w:pPr>
      <w:r>
        <w:rPr>
          <w:lang w:val="en-IN"/>
        </w:rPr>
        <w:t>In India, affordability is more strategically important because average purchasing power is considerably lower (</w:t>
      </w:r>
      <w:r>
        <w:rPr/>
        <w:t xml:space="preserve">Raghunathan </w:t>
      </w:r>
      <w:r>
        <w:rPr>
          <w:i/>
          <w:iCs/>
        </w:rPr>
        <w:t>et al.,</w:t>
      </w:r>
      <w:r>
        <w:rPr/>
        <w:t xml:space="preserve"> 2021</w:t>
      </w:r>
      <w:r>
        <w:rPr>
          <w:lang w:val="en-IN"/>
        </w:rPr>
        <w:t>). Pizza Hut consequently makes extensive use of bundles, coupons and value-oriented promotions. Its current Indian website, for example, promotes a “Buy 1, Get 3 Free” deal involving a medium or thin n Crispy pizza with complimentary sides and a drink. The company also offers an app-download promotion providing a discount on qualifying orders. These strategies encourage trial and increase perceived value. However, excessive discounting could weaken premium perceptions and reduce margins. Pizza Hut therefore needs to balance affordability with sustainable pricing and brand value.</w:t>
      </w:r>
    </w:p>
    <w:p>
      <w:pPr>
        <w:pStyle w:val="Normal"/>
        <w:rPr>
          <w:b/>
          <w:bCs/>
          <w:lang w:val="en-IN"/>
        </w:rPr>
      </w:pPr>
      <w:r>
        <w:rPr>
          <w:b/>
          <w:bCs/>
          <w:lang w:val="en-IN"/>
        </w:rPr>
        <w:t>Place</w:t>
      </w:r>
    </w:p>
    <w:p>
      <w:pPr>
        <w:pStyle w:val="Normal"/>
        <w:rPr>
          <w:lang w:val="en-IN"/>
        </w:rPr>
      </w:pPr>
      <w:r>
        <w:rPr>
          <w:lang w:val="en-IN"/>
        </w:rPr>
        <w:t>Pizza Hut uses multiple distribution channels in both countries, particularly restaurants, takeaway and delivery (</w:t>
      </w:r>
      <w:r>
        <w:rPr/>
        <w:t xml:space="preserve">Bhalla </w:t>
      </w:r>
      <w:r>
        <w:rPr>
          <w:i/>
          <w:iCs/>
        </w:rPr>
        <w:t>et al.,</w:t>
      </w:r>
      <w:r>
        <w:rPr/>
        <w:t xml:space="preserve"> 2026</w:t>
      </w:r>
      <w:r>
        <w:rPr>
          <w:lang w:val="en-IN"/>
        </w:rPr>
        <w:t xml:space="preserve">). However, the importance of digital and delivery channels varies according to market structure and consumer behaviour. In India, Pizza Hut provides delivery and collection through its website and digital ordering channels and operates a store-locator system to connect customers with nearby restaurants. Its large geographical market also requires location-specific availability, as the menu and delivery service can vary between restaurants. </w:t>
      </w:r>
    </w:p>
    <w:p>
      <w:pPr>
        <w:pStyle w:val="Normal"/>
        <w:rPr>
          <w:lang w:val="en-IN"/>
        </w:rPr>
      </w:pPr>
      <w:r>
        <w:rPr>
          <w:lang w:val="en-IN"/>
        </w:rPr>
        <w:t>The UK market similarly supports restaurant, takeaway and delivery occasions, enabling Pizza Hut to reach customers seeking convenience. The strategic implication is that Pizza Hut should maintain an omnichannel model rather than depend exclusively on physical restaurants (</w:t>
      </w:r>
      <w:r>
        <w:rPr/>
        <w:t>Singh and Rani, 2025</w:t>
      </w:r>
      <w:r>
        <w:rPr>
          <w:lang w:val="en-IN"/>
        </w:rPr>
        <w:t>). In India, however, location and delivery coverage are particularly important because the geographical scale of the market creates substantial differences between urban areas. Consequently, local store density and digital delivery capability can influence market accessibility.</w:t>
      </w:r>
    </w:p>
    <w:p>
      <w:pPr>
        <w:pStyle w:val="Normal"/>
        <w:rPr>
          <w:b/>
          <w:bCs/>
          <w:lang w:val="en-IN"/>
        </w:rPr>
      </w:pPr>
      <w:r>
        <w:rPr>
          <w:b/>
          <w:bCs/>
          <w:lang w:val="en-IN"/>
        </w:rPr>
        <w:t>Promotion</w:t>
      </w:r>
    </w:p>
    <w:p>
      <w:pPr>
        <w:pStyle w:val="Normal"/>
        <w:rPr>
          <w:lang w:val="en-IN"/>
        </w:rPr>
      </w:pPr>
      <w:r>
        <w:rPr>
          <w:lang w:val="en-IN"/>
        </w:rPr>
        <w:t>Promotion represents another area where Pizza Hut combines global branding with local adaptation (</w:t>
      </w:r>
      <w:r>
        <w:rPr/>
        <w:t xml:space="preserve">Chirig </w:t>
      </w:r>
      <w:r>
        <w:rPr>
          <w:i/>
          <w:iCs/>
        </w:rPr>
        <w:t>et al.,</w:t>
      </w:r>
      <w:r>
        <w:rPr/>
        <w:t xml:space="preserve"> 2023</w:t>
      </w:r>
      <w:r>
        <w:rPr>
          <w:lang w:val="en-IN"/>
        </w:rPr>
        <w:t xml:space="preserve">). In both countries, digital marketing, promotional offers and online ordering can be used to generate traffic and encourage repeat purchases. However, promotional messages need to reflect different consumer motivations. In the UK, Pizza Hut can emphasise convenience, product choice, dining occasions and promotional value. Promotions can target working professionals, younger consumers and families through digital channels. In India, promotional communication can place greater emphasis on affordability, sharing and family consumption. Current Indian promotions include bundled offers and app-based discounts, demonstrating how sales promotion is integrated with digital customer acquisition. </w:t>
      </w:r>
    </w:p>
    <w:p>
      <w:pPr>
        <w:pStyle w:val="Normal"/>
        <w:rPr>
          <w:lang w:val="en-IN"/>
        </w:rPr>
      </w:pPr>
      <w:r>
        <w:rPr>
          <w:lang w:val="en-IN"/>
        </w:rPr>
        <w:t>The key advantage of localisation is greater cultural relevance. Excessive dependence on discounts could train consumers to purchase only during promotional periods. Pizza Hut should therefore combine short-term sales promotions with longer-term brand-building communication focused on taste, quality, convenience and customer experience.</w:t>
      </w:r>
    </w:p>
    <w:p>
      <w:pPr>
        <w:pStyle w:val="Normal"/>
        <w:rPr>
          <w:b/>
          <w:bCs/>
          <w:lang w:val="en-IN"/>
        </w:rPr>
      </w:pPr>
      <w:r>
        <w:rPr>
          <w:b/>
          <w:bCs/>
          <w:lang w:val="en-IN"/>
        </w:rPr>
        <w:t>People</w:t>
      </w:r>
    </w:p>
    <w:p>
      <w:pPr>
        <w:pStyle w:val="Normal"/>
        <w:rPr>
          <w:lang w:val="en-IN"/>
        </w:rPr>
      </w:pPr>
      <w:r>
        <w:rPr>
          <w:lang w:val="en-IN"/>
        </w:rPr>
        <w:t>Employees and delivery personnel are particularly important because restaurant services involve direct customer interaction (</w:t>
      </w:r>
      <w:r>
        <w:rPr/>
        <w:t xml:space="preserve">Chen </w:t>
      </w:r>
      <w:r>
        <w:rPr>
          <w:i/>
          <w:iCs/>
        </w:rPr>
        <w:t>et al.,</w:t>
      </w:r>
      <w:r>
        <w:rPr/>
        <w:t xml:space="preserve"> 2022</w:t>
      </w:r>
      <w:r>
        <w:rPr>
          <w:lang w:val="en-IN"/>
        </w:rPr>
        <w:t>). In both markets, staff behaviour, service speed, product knowledge and responsiveness influence customer satisfaction. However, expectations can vary according to cultural and service environments. In India, employees need to manage a diverse customer base with different dietary preferences and expectations. Staff knowledge regarding vegetarian products, ingredients and allergen-related information can therefore support trust. In the UK, consistent service quality and clear communication remain important in both restaurant and delivery settings.</w:t>
      </w:r>
    </w:p>
    <w:p>
      <w:pPr>
        <w:pStyle w:val="Normal"/>
        <w:rPr>
          <w:lang w:val="en-IN"/>
        </w:rPr>
      </w:pPr>
      <w:r>
        <w:rPr>
          <w:lang w:val="en-IN"/>
        </w:rPr>
        <w:t>Pizza Hut should therefore invest in employee training that combines global service standards with country-specific knowledge. This would allow the brand to maintain consistency while ensuring employees can respond appropriately to local customer needs.</w:t>
      </w:r>
    </w:p>
    <w:p>
      <w:pPr>
        <w:pStyle w:val="Normal"/>
        <w:rPr>
          <w:b/>
          <w:bCs/>
          <w:lang w:val="en-IN"/>
        </w:rPr>
      </w:pPr>
      <w:r>
        <w:rPr>
          <w:b/>
          <w:bCs/>
          <w:lang w:val="en-IN"/>
        </w:rPr>
        <w:t>Process</w:t>
      </w:r>
    </w:p>
    <w:p>
      <w:pPr>
        <w:pStyle w:val="Normal"/>
        <w:rPr>
          <w:lang w:val="en-IN"/>
        </w:rPr>
      </w:pPr>
      <w:r>
        <w:rPr>
          <w:lang w:val="en-IN"/>
        </w:rPr>
        <w:t>Process refers to how customers order, pay, receive and experience the service. Pizza Hut’s digital systems make this increasingly important (</w:t>
      </w:r>
      <w:r>
        <w:rPr/>
        <w:t>Haninda and Grandis, 2025</w:t>
      </w:r>
      <w:r>
        <w:rPr>
          <w:lang w:val="en-IN"/>
        </w:rPr>
        <w:t>). In India, customers can order through the website, mobile site and application, track orders and use delivery or collection options. The company also provides contactless delivery through its digital ordering channels.  Such processes improve convenience and reduce friction during purchasing. However, Pizza Hut needs to manage operational consistency across franchise-operated locations. The Indian terms and conditions indicate that delivery is dependent on the customer’s location, restaurant availability and delivery coverage. Therefore, technology alone cannot guarantee service quality; it must be supported by reliable restaurant operations, delivery capacity and accurate customer communication.</w:t>
      </w:r>
    </w:p>
    <w:p>
      <w:pPr>
        <w:pStyle w:val="Normal"/>
        <w:rPr>
          <w:lang w:val="en-IN"/>
        </w:rPr>
      </w:pPr>
      <w:r>
        <w:rPr>
          <w:lang w:val="en-IN"/>
        </w:rPr>
        <w:t>In the UK, similar digital processes can support convenience, ordering efficiency and delivery tracking. Across both markets, Pizza Hut should continue integrating digital ordering with customer relationship management and personalised offers.</w:t>
      </w:r>
    </w:p>
    <w:p>
      <w:pPr>
        <w:pStyle w:val="Normal"/>
        <w:rPr>
          <w:b/>
          <w:bCs/>
          <w:lang w:val="en-IN"/>
        </w:rPr>
      </w:pPr>
      <w:r>
        <w:rPr>
          <w:b/>
          <w:bCs/>
          <w:lang w:val="en-IN"/>
        </w:rPr>
        <w:t>Physical Evidence</w:t>
      </w:r>
    </w:p>
    <w:p>
      <w:pPr>
        <w:pStyle w:val="Normal"/>
        <w:rPr>
          <w:lang w:val="en-IN"/>
        </w:rPr>
      </w:pPr>
      <w:r>
        <w:rPr>
          <w:lang w:val="en-IN"/>
        </w:rPr>
        <w:t>Physical evidence includes restaurant appearance, branding, packaging, menus, employee presentation and digital interfaces (</w:t>
      </w:r>
      <w:r>
        <w:rPr/>
        <w:t xml:space="preserve">Ahmed </w:t>
      </w:r>
      <w:r>
        <w:rPr>
          <w:i/>
          <w:iCs/>
        </w:rPr>
        <w:t>et al.,</w:t>
      </w:r>
      <w:r>
        <w:rPr/>
        <w:t xml:space="preserve"> 2024</w:t>
      </w:r>
      <w:r>
        <w:rPr>
          <w:lang w:val="en-IN"/>
        </w:rPr>
        <w:t>). These elements help customers evaluate an essentially intangible service before and during consumption. Pizza Hut benefits from maintaining consistent international visual identity through its logo, restaurant branding, packaging and digital presence. However, physical environments can be adapted to local expectations. In India, restaurant locations within shopping centres and high-traffic urban areas can support family and social dining occasions, while takeaway and delivery packaging reinforces brand visibility beyond the restaurant.</w:t>
      </w:r>
    </w:p>
    <w:p>
      <w:pPr>
        <w:pStyle w:val="Normal"/>
        <w:rPr>
          <w:lang w:val="en-IN"/>
        </w:rPr>
      </w:pPr>
      <w:r>
        <w:rPr>
          <w:lang w:val="en-IN"/>
        </w:rPr>
        <w:t xml:space="preserve">The digital interface has also become important physical evidence because customers frequently encounter the brand through websites and mobile applications before visiting a restaurant. Pizza Hut India’s online platform integrates menus, deals, ordering and restaurant-location information, demonstrating how digital physical evidence supports the wider service experience. </w:t>
      </w:r>
    </w:p>
    <w:p>
      <w:pPr>
        <w:pStyle w:val="Normal"/>
        <w:rPr>
          <w:lang w:val="en-IN"/>
        </w:rPr>
      </w:pPr>
      <w:r>
        <w:rPr>
          <w:lang w:val="en-IN"/>
        </w:rPr>
        <w:t xml:space="preserve">It has been critically analysed that the comparison demonstrates that Pizza Hut should avoid a completely standardised 7Ps strategy. </w:t>
      </w:r>
      <w:r>
        <w:rPr>
          <w:b/>
          <w:bCs/>
          <w:lang w:val="en-IN"/>
        </w:rPr>
        <w:t>Product and promotion require strong cultural adaptation in India</w:t>
      </w:r>
      <w:r>
        <w:rPr>
          <w:lang w:val="en-IN"/>
        </w:rPr>
        <w:t xml:space="preserve">, while </w:t>
      </w:r>
      <w:r>
        <w:rPr>
          <w:b/>
          <w:bCs/>
          <w:lang w:val="en-IN"/>
        </w:rPr>
        <w:t>price requires greater emphasis on affordability and value</w:t>
      </w:r>
      <w:r>
        <w:rPr>
          <w:lang w:val="en-IN"/>
        </w:rPr>
        <w:t>. Place and process increasingly depend on digital ordering and delivery in both countries, although local operational conditions influence implementation. People and physical evidence should maintain consistent international brand standards while incorporating appropriate local service expectations.</w:t>
      </w:r>
    </w:p>
    <w:p>
      <w:pPr>
        <w:pStyle w:val="Heading2"/>
        <w:rPr>
          <w:lang w:val="en-IN"/>
        </w:rPr>
      </w:pPr>
      <w:bookmarkStart w:id="7" w:name="_Toc237516691"/>
      <w:r>
        <w:rPr>
          <w:lang w:val="en-IN"/>
        </w:rPr>
        <w:t>1.7 Market Entry Strategy in India</w:t>
      </w:r>
      <w:bookmarkEnd w:id="7"/>
    </w:p>
    <w:p>
      <w:pPr>
        <w:pStyle w:val="Normal"/>
        <w:rPr>
          <w:lang w:val="en-IN"/>
        </w:rPr>
      </w:pPr>
      <w:r>
        <w:rPr>
          <w:lang w:val="en-IN"/>
        </w:rPr>
        <w:t>Pizza Hut’s entry into India provides a useful example of franchising as an international market-entry strategy (Pizza Hut, 2026). Pizza Hut entered the Indian market in 1996, opening its first restaurant in Bangalore. Academic case evidence reports that its Indian operations were 100% franchise-based, allowing the company to expand through local franchise partners rather than establishing every restaurant through wholly owned investment. This approach was particularly appropriate for India because the market presented substantial geographical, cultural and operational complexity.</w:t>
      </w:r>
    </w:p>
    <w:p>
      <w:pPr>
        <w:pStyle w:val="Normal"/>
        <w:rPr>
          <w:lang w:val="en-IN"/>
        </w:rPr>
      </w:pPr>
      <w:r>
        <w:rPr>
          <w:lang w:val="en-IN"/>
        </w:rPr>
        <w:t>A major advantage of franchising was the ability to combine Pizza Hut’s established international brand with local market knowledge and investment. Franchise partners could contribute knowledge of local consumers, locations, suppliers and operating conditions, while Pizza Hut could provide its established brand, operating systems, training and marketing expertise (</w:t>
      </w:r>
      <w:r>
        <w:rPr/>
        <w:t>Chvojka, 2026</w:t>
      </w:r>
      <w:r>
        <w:rPr>
          <w:lang w:val="en-IN"/>
        </w:rPr>
        <w:t xml:space="preserve">). Historical evidence also indicates that Pizza Hut invested in developing a local supply chain, with the majority of ingredients sourced domestically, supporting both cost efficiency and menu localisation. </w:t>
      </w:r>
    </w:p>
    <w:p>
      <w:pPr>
        <w:pStyle w:val="Normal"/>
        <w:rPr>
          <w:lang w:val="en-IN"/>
        </w:rPr>
      </w:pPr>
      <w:r>
        <w:rPr>
          <w:lang w:val="en-IN"/>
        </w:rPr>
        <w:t>Franchising also reduced the financial burden and direct operational risk associated with rapid international expansion (</w:t>
      </w:r>
      <w:r>
        <w:rPr/>
        <w:t>Wahyudi and Cervantes, 2024</w:t>
      </w:r>
      <w:r>
        <w:rPr>
          <w:lang w:val="en-IN"/>
        </w:rPr>
        <w:t xml:space="preserve">). Instead of financing and managing every restaurant itself, Pizza Hut could use franchise investment to increase geographical coverage. This was valuable in a market as large and diverse as India. The strategy also supported localisation: Pizza Hut developed vegetarian and culturally relevant menu options, demonstrating that the entry strategy was connected with wider adaptation rather than simply transferring its US proposition unchanged. </w:t>
      </w:r>
    </w:p>
    <w:p>
      <w:pPr>
        <w:pStyle w:val="Normal"/>
        <w:rPr>
          <w:lang w:val="en-IN"/>
        </w:rPr>
      </w:pPr>
      <w:r>
        <w:rPr>
          <w:lang w:val="en-IN"/>
        </w:rPr>
        <w:t xml:space="preserve">However, franchising creates limitations. Pizza Hut has less direct operational control than under wholly owned subsidiaries, creating potential risks relating to </w:t>
      </w:r>
      <w:r>
        <w:rPr>
          <w:b/>
          <w:bCs/>
          <w:lang w:val="en-IN"/>
        </w:rPr>
        <w:t>service quality, brand consistency, employee standards and customer experience</w:t>
      </w:r>
      <w:r>
        <w:rPr>
          <w:lang w:val="en-IN"/>
        </w:rPr>
        <w:t>. Maintaining consistent standards across franchisees therefore requires effective monitoring, training and contractual controls. These challenges become more significant as the network expands geographically.</w:t>
      </w:r>
    </w:p>
    <w:p>
      <w:pPr>
        <w:pStyle w:val="Normal"/>
        <w:rPr>
          <w:lang w:val="en-IN"/>
        </w:rPr>
      </w:pPr>
      <w:r>
        <w:rPr>
          <w:lang w:val="en-IN"/>
        </w:rPr>
        <w:t xml:space="preserve">It has been critically analysed that  franchising was a </w:t>
      </w:r>
      <w:r>
        <w:rPr>
          <w:b/>
          <w:bCs/>
          <w:lang w:val="en-IN"/>
        </w:rPr>
        <w:t>strategically appropriate entry mode for India</w:t>
      </w:r>
      <w:r>
        <w:rPr>
          <w:lang w:val="en-IN"/>
        </w:rPr>
        <w:t xml:space="preserve"> because it reduced investment exposure while providing access to local knowledge and facilitating rapid expansion. However, its long-term effectiveness depends on Pizza Hut maintaining strong governance over franchise partners while continuing to adapt its </w:t>
      </w:r>
    </w:p>
    <w:p>
      <w:pPr>
        <w:pStyle w:val="Heading2"/>
        <w:rPr>
          <w:lang w:val="en-IN"/>
        </w:rPr>
      </w:pPr>
      <w:bookmarkStart w:id="8" w:name="_Toc237516692"/>
      <w:r>
        <w:rPr>
          <w:lang w:val="en-IN"/>
        </w:rPr>
        <w:t>1.8 Ethical Issues in Pizza Hut’s Marketing Mix in India</w:t>
      </w:r>
      <w:bookmarkEnd w:id="8"/>
    </w:p>
    <w:p>
      <w:pPr>
        <w:pStyle w:val="Normal"/>
        <w:rPr>
          <w:lang w:val="en-IN"/>
        </w:rPr>
      </w:pPr>
      <w:r>
        <w:rPr>
          <w:lang w:val="en-IN"/>
        </w:rPr>
        <w:t>Pizza Hut’s marketing activities in India raise ethical considerations concerning nutritional transparency, responsible promotion and consumer welfare. Food Safety and Standards Authority of India (FSSAI) regulations require food advertising claims to be truthful, unambiguous, meaningful and non-misleading (</w:t>
      </w:r>
      <w:r>
        <w:rPr/>
        <w:t xml:space="preserve">Bera </w:t>
      </w:r>
      <w:r>
        <w:rPr>
          <w:i/>
          <w:iCs/>
        </w:rPr>
        <w:t>et al.,</w:t>
      </w:r>
      <w:r>
        <w:rPr/>
        <w:t xml:space="preserve"> 2023</w:t>
      </w:r>
      <w:r>
        <w:rPr>
          <w:lang w:val="en-IN"/>
        </w:rPr>
        <w:t>). They also prohibit advertising that encourages excessive consumption or undermines the importance of healthy lifestyles. These requirements are relevant to Pizza Hut because promotional campaigns frequently emphasise taste, convenience and attractive value offer.</w:t>
      </w:r>
    </w:p>
    <w:p>
      <w:pPr>
        <w:pStyle w:val="Normal"/>
        <w:rPr>
          <w:lang w:val="en-IN"/>
        </w:rPr>
      </w:pPr>
      <w:r>
        <w:rPr>
          <w:lang w:val="en-IN"/>
        </w:rPr>
        <w:t>Nutritional transparency is therefore particularly important. Pizza Hut India provides nutritional and allergen information covering energy, fat, saturated fat, carbohydrates, protein, sodium and allergens. Its information also identifies potential allergens including gluten, soya and milk products. This represents positive evidence of responsible communication. Nevertheless, Pizza Hut should ensure that nutritional information remains easily accessible alongside digital menus and promotional offers rather than being available only through separate documents. Furthermore, promotions involving multiple products should avoid encouraging excessive consumption. Ethical marketing should therefore balance commercial objectives with consumers’ ability to make informed choices.</w:t>
      </w:r>
    </w:p>
    <w:p>
      <w:pPr>
        <w:pStyle w:val="Heading2"/>
        <w:rPr>
          <w:lang w:val="en-IN"/>
        </w:rPr>
      </w:pPr>
      <w:bookmarkStart w:id="9" w:name="_Toc237516693"/>
      <w:r>
        <w:rPr>
          <w:lang w:val="en-IN"/>
        </w:rPr>
        <w:t>1.9 Recommendations for Future International Marketing Strategy</w:t>
      </w:r>
      <w:bookmarkEnd w:id="9"/>
    </w:p>
    <w:p>
      <w:pPr>
        <w:pStyle w:val="Normal"/>
        <w:rPr>
          <w:lang w:val="en-IN"/>
        </w:rPr>
      </w:pPr>
      <w:r>
        <w:rPr>
          <w:lang w:val="en-IN"/>
        </w:rPr>
        <w:t xml:space="preserve">Pizza Hut should adopt a stronger </w:t>
      </w:r>
      <w:r>
        <w:rPr>
          <w:b/>
          <w:bCs/>
          <w:lang w:val="en-IN"/>
        </w:rPr>
        <w:t>localised and responsible marketing strategy</w:t>
      </w:r>
      <w:r>
        <w:rPr>
          <w:lang w:val="en-IN"/>
        </w:rPr>
        <w:t xml:space="preserve"> while maintaining its global brand identity. First, the company should make nutritional and allergen information more prominent across its website, application and promotional communications. This would strengthen transparency and support informed consumer decision-making.</w:t>
      </w:r>
    </w:p>
    <w:p>
      <w:pPr>
        <w:pStyle w:val="Normal"/>
        <w:rPr>
          <w:lang w:val="en-IN"/>
        </w:rPr>
      </w:pPr>
      <w:r>
        <w:rPr>
          <w:lang w:val="en-IN"/>
        </w:rPr>
        <w:t>Second, Pizza Hut should continue developing products suited to Indian preferences, particularly vegetarian and locally inspired options, while periodically reviewing regional consumer trends. Third, promotional strategies should combine affordability with responsible communication rather than relying excessively on discount-led purchasing. Finally, Pizza Hut should strengthen digital personalisation by using customer data responsibly to provide relevant offers while maintaining transparency about data use. These actions would help Pizza Hut strengthen consumer trust, improve local relevance and achieve more sustainable long-term growth in India.</w:t>
      </w:r>
    </w:p>
    <w:p>
      <w:pPr>
        <w:pStyle w:val="Normal"/>
        <w:spacing w:lineRule="auto" w:line="259" w:before="0" w:after="160"/>
        <w:jc w:val="start"/>
        <w:rPr/>
      </w:pPr>
      <w:r>
        <w:rPr/>
      </w:r>
      <w:r>
        <w:br w:type="page"/>
      </w:r>
    </w:p>
    <w:p>
      <w:pPr>
        <w:pStyle w:val="Heading1"/>
        <w:spacing w:before="0" w:after="120"/>
        <w:rPr>
          <w:rFonts w:eastAsia="Aptos" w:eastAsiaTheme="minorHAnsi"/>
          <w:lang w:val="en-IN"/>
        </w:rPr>
      </w:pPr>
      <w:bookmarkStart w:id="10" w:name="_Toc237516694"/>
      <w:r>
        <w:rPr/>
        <w:t xml:space="preserve">SECTION 2: </w:t>
      </w:r>
      <w:r>
        <w:rPr>
          <w:rFonts w:eastAsia="Aptos" w:eastAsiaTheme="minorHAnsi"/>
          <w:lang w:val="en-IN"/>
        </w:rPr>
        <w:t>Reflective Account of the Research and Analysis Process</w:t>
      </w:r>
      <w:bookmarkEnd w:id="10"/>
    </w:p>
    <w:p>
      <w:pPr>
        <w:pStyle w:val="Normal"/>
        <w:rPr>
          <w:lang w:val="en-IN"/>
        </w:rPr>
      </w:pPr>
      <w:r>
        <w:rPr>
          <w:lang w:val="en-IN"/>
        </w:rPr>
        <w:t xml:space="preserve">This reflection evaluates my experience of researching, analysing and preparing the international marketing report on Pizza Hut in the United Kingdom and India. I have used </w:t>
      </w:r>
      <w:r>
        <w:rPr>
          <w:b/>
          <w:bCs/>
          <w:lang w:val="en-IN"/>
        </w:rPr>
        <w:t>Gibbs’ Reflective Cycle</w:t>
      </w:r>
      <w:r>
        <w:rPr>
          <w:lang w:val="en-IN"/>
        </w:rPr>
        <w:t xml:space="preserve"> because it provides a structured approach to considering what I did, how I felt, what worked well, what I learned and how I can improve my future practice. The assessment specifically requires reflection on the process used to research, analyse and prepare the first section, using either Gibbs or Kolb. I have therefore focused this reflection on my own research decisions, analytical challenges, learning and future development rather than repeating the findings from the main report.</w:t>
      </w:r>
    </w:p>
    <w:p>
      <w:pPr>
        <w:pStyle w:val="Normal"/>
        <w:rPr>
          <w:lang w:val="en-IN"/>
        </w:rPr>
      </w:pPr>
      <w:r>
        <w:rPr/>
        <mc:AlternateContent>
          <mc:Choice Requires="wps">
            <w:drawing>
              <wp:inline distT="0" distB="0" distL="0" distR="0" wp14:anchorId="4280C3C3">
                <wp:extent cx="5731510" cy="3815715"/>
                <wp:effectExtent l="0" t="0" r="2540" b="0"/>
                <wp:docPr id="4" name="Picture 2" descr="Gibbs Reflective Cycle Explained: A Framework for Structured Self-Reflection  | Dr Krishna Athal"/>
                <a:graphic xmlns:a="http://schemas.openxmlformats.org/drawingml/2006/main">
                  <a:graphicData uri="http://schemas.microsoft.com/office/word/2010/wordprocessingShape">
                    <wps:wsp>
                      <wps:cNvSpPr/>
                      <wps:spPr>
                        <a:xfrm>
                          <a:off x="0" y="0"/>
                          <a:ext cx="5731560" cy="3815640"/>
                        </a:xfrm>
                        <a:prstGeom prst="ellipse">
                          <a:avLst/>
                        </a:prstGeom>
                        <a:blipFill rotWithShape="0">
                          <a:blip r:embed="rId5">
                            <a:extLst>
                              <a:ext uri="{BEBA8EAE-BF5A-486C-A8C5-ECC9F3942E4B}">
                                <a14:imgProps xmlns:a14="http://schemas.microsoft.com/office/drawing/2010/main">
                                  <a14:imgLayer r:embed="rId6">
                                    <a14:imgEffect>
                                      <a14:colorTemperature colorTemp="4700"/>
                                    </a14:imgEffect>
                                  </a14:imgLayer>
                                </a14:imgProps>
                              </a:ext>
                            </a:extLst>
                          </a:blip>
                          <a:stretch>
                            <a:fillRect/>
                          </a:stretch>
                        </a:blipFill>
                        <a:ln w="0">
                          <a:noFill/>
                        </a:ln>
                        <a:effectLst>
                          <a:softEdge rad="112320"/>
                        </a:effectLst>
                      </wps:spPr>
                      <wps:style>
                        <a:lnRef idx="0"/>
                        <a:fillRef idx="0"/>
                        <a:effectRef idx="0"/>
                        <a:fontRef idx="minor"/>
                      </wps:style>
                      <wps:bodyPr/>
                    </wps:wsp>
                  </a:graphicData>
                </a:graphic>
              </wp:inline>
            </w:drawing>
          </mc:Choice>
          <mc:Fallback>
            <w:pict>
              <v:oval id="shape_0" stroked="f" o:allowincell="f" style="position:absolute;margin-left:0pt;margin-top:-300.5pt;width:451.25pt;height:300.4pt;mso-wrap-style:none;v-text-anchor:middle;mso-position-vertical:top" wp14:anchorId="4280C3C3">
                <v:fill r:id="rId7" o:detectmouseclick="t" type="frame" color2="black"/>
                <v:stroke color="#3465a4" joinstyle="round" endcap="flat"/>
                <w10:wrap type="square"/>
              </v:oval>
            </w:pict>
          </mc:Fallback>
        </mc:AlternateContent>
      </w:r>
    </w:p>
    <w:p>
      <w:pPr>
        <w:pStyle w:val="Heading2"/>
        <w:rPr>
          <w:lang w:val="en-IN"/>
        </w:rPr>
      </w:pPr>
      <w:bookmarkStart w:id="11" w:name="_Toc237516695"/>
      <w:r>
        <w:rPr>
          <w:lang w:val="en-IN"/>
        </w:rPr>
        <w:t>2.1 Description</w:t>
      </w:r>
      <w:bookmarkEnd w:id="11"/>
    </w:p>
    <w:p>
      <w:pPr>
        <w:pStyle w:val="Normal"/>
        <w:rPr>
          <w:lang w:val="en-IN"/>
        </w:rPr>
      </w:pPr>
      <w:r>
        <w:rPr>
          <w:lang w:val="en-IN"/>
        </w:rPr>
        <w:t>At the beginning of the assessment, I selected Pizza Hut and compared its international marketing activities in the UK and India. I initially approached the task by collecting information about Pizza Hut, the two markets and its products, pricing, promotions and delivery channels. I then organised the information around the frameworks required by the brief, particularly PESTEL, Hofstede, STP and the 7Ps. I also researched Pizza Hut’s market-entry approach in India and considered ethical issues associated with its marketing activities.</w:t>
      </w:r>
    </w:p>
    <w:p>
      <w:pPr>
        <w:pStyle w:val="Normal"/>
        <w:rPr>
          <w:lang w:val="en-IN"/>
        </w:rPr>
      </w:pPr>
      <w:r>
        <w:rPr>
          <w:lang w:val="en-IN"/>
        </w:rPr>
        <w:t xml:space="preserve">As I progressed, I realised that the assessment required more than collecting information. The brief expected me to </w:t>
      </w:r>
      <w:r>
        <w:rPr>
          <w:b/>
          <w:bCs/>
          <w:lang w:val="en-IN"/>
        </w:rPr>
        <w:t>compare and contrast</w:t>
      </w:r>
      <w:r>
        <w:rPr>
          <w:lang w:val="en-IN"/>
        </w:rPr>
        <w:t xml:space="preserve"> the two countries and develop critical arguments supported by evidence. I therefore started connecting external market conditions with actual marketing decisions rather than presenting UK and Indian information as two separate descriptions. Finally, I used Gibbs’ cycle to review the strengths and weaknesses of my research and identify specific actions for improving my future academic work.</w:t>
      </w:r>
    </w:p>
    <w:p>
      <w:pPr>
        <w:pStyle w:val="Heading2"/>
        <w:rPr>
          <w:lang w:val="en-IN"/>
        </w:rPr>
      </w:pPr>
      <w:bookmarkStart w:id="12" w:name="_Toc237516696"/>
      <w:r>
        <w:rPr>
          <w:lang w:val="en-IN"/>
        </w:rPr>
        <w:t>2.2 Feelings</w:t>
      </w:r>
      <w:bookmarkEnd w:id="12"/>
    </w:p>
    <w:p>
      <w:pPr>
        <w:pStyle w:val="Normal"/>
        <w:rPr>
          <w:lang w:val="en-IN"/>
        </w:rPr>
      </w:pPr>
      <w:r>
        <w:rPr>
          <w:lang w:val="en-IN"/>
        </w:rPr>
        <w:t>Initially, I felt relatively confident because Pizza Hut is a familiar international brand and I expected sufficient information to be available. However, I became less confident when I started comparing the UK and India because the same marketing decision could have different implications in each market. I found it particularly challenging to understand whether a difference represented genuine cultural adaptation or simply a difference in product availability or promotional activity.</w:t>
      </w:r>
    </w:p>
    <w:p>
      <w:pPr>
        <w:pStyle w:val="Normal"/>
        <w:rPr>
          <w:lang w:val="en-IN"/>
        </w:rPr>
      </w:pPr>
      <w:r>
        <w:rPr>
          <w:lang w:val="en-IN"/>
        </w:rPr>
        <w:t xml:space="preserve">I also felt that my first approach was becoming too descriptive. I was collecting information efficiently, but I was not always asking </w:t>
      </w:r>
      <w:r>
        <w:rPr>
          <w:b/>
          <w:bCs/>
          <w:lang w:val="en-IN"/>
        </w:rPr>
        <w:t>why the difference existed, what impact it had on Pizza Hut and whether the strategy was effective</w:t>
      </w:r>
      <w:r>
        <w:rPr>
          <w:lang w:val="en-IN"/>
        </w:rPr>
        <w:t>. Recognising this made me slightly frustrated because I realised that simply having a large amount of information would not automatically produce a strong Level 7 analysis.</w:t>
      </w:r>
    </w:p>
    <w:p>
      <w:pPr>
        <w:pStyle w:val="Normal"/>
        <w:rPr>
          <w:lang w:val="en-IN"/>
        </w:rPr>
      </w:pPr>
      <w:r>
        <w:rPr>
          <w:lang w:val="en-IN"/>
        </w:rPr>
        <w:t>As I continued, I became more comfortable using evidence to challenge my initial assumptions. I felt more confident when I could connect PESTEL findings with pricing or distribution decisions and Hofstede’s cultural differences with consumer expectations. I also found the reflective process useful because it made me recognise that critical analysis is a skill that requires deliberate questioning rather than something that automatically develops through reading.</w:t>
      </w:r>
    </w:p>
    <w:p>
      <w:pPr>
        <w:pStyle w:val="Heading2"/>
        <w:rPr>
          <w:lang w:val="en-IN"/>
        </w:rPr>
      </w:pPr>
      <w:bookmarkStart w:id="13" w:name="_Toc237516697"/>
      <w:r>
        <w:rPr>
          <w:lang w:val="en-IN"/>
        </w:rPr>
        <w:t>2.3 Evaluation</w:t>
      </w:r>
      <w:bookmarkEnd w:id="13"/>
    </w:p>
    <w:p>
      <w:pPr>
        <w:pStyle w:val="Normal"/>
        <w:rPr>
          <w:lang w:val="en-IN"/>
        </w:rPr>
      </w:pPr>
      <w:r>
        <w:rPr>
          <w:lang w:val="en-IN"/>
        </w:rPr>
        <w:t>One positive aspect of my approach was that I used several complementary frameworks rather than relying on one analytical model. PESTEL helped me understand the external differences between the UK and India, while Hofstede provided a structured way of considering cultural differences. STP and the 7Ps then allowed me to connect those differences with Pizza Hut’s marketing decisions. This helped me move from external analysis towards practical marketing implications.</w:t>
      </w:r>
    </w:p>
    <w:p>
      <w:pPr>
        <w:pStyle w:val="Normal"/>
        <w:rPr>
          <w:lang w:val="en-IN"/>
        </w:rPr>
      </w:pPr>
      <w:r>
        <w:rPr>
          <w:lang w:val="en-IN"/>
        </w:rPr>
        <w:t>Another strength was my use of different types of sources. The assessment guidance encourages engagement with academic, governmental and industry sources and recommends a minimum of 10–15 credible references. This encouraged me to avoid relying entirely on general websites.</w:t>
      </w:r>
    </w:p>
    <w:p>
      <w:pPr>
        <w:pStyle w:val="Normal"/>
        <w:rPr>
          <w:lang w:val="en-IN"/>
        </w:rPr>
      </w:pPr>
      <w:r>
        <w:rPr>
          <w:lang w:val="en-IN"/>
        </w:rPr>
        <w:t>However, I identified weaknesses in my initial process. At first, I sometimes accepted information without sufficiently questioning its reliability or relevance. I also noticed that some paragraphs contained evidence followed by explanation but lacked a clear judgement. Furthermore, I initially treated the frameworks as separate sections rather than interconnected analytical tools. This could have resulted in a fragmented report.</w:t>
      </w:r>
    </w:p>
    <w:p>
      <w:pPr>
        <w:pStyle w:val="Normal"/>
        <w:rPr>
          <w:lang w:val="en-IN"/>
        </w:rPr>
      </w:pPr>
      <w:r>
        <w:rPr>
          <w:lang w:val="en-IN"/>
        </w:rPr>
        <w:t>The marking criteria helped me recognise why this was a weakness. At Level 7, the assessment expects critical evaluation, synthesis, evidence-based judgement and the ability to deal with complex issues systematically. Therefore, I needed to use theories as analytical tools rather than simply defining them.</w:t>
      </w:r>
    </w:p>
    <w:p>
      <w:pPr>
        <w:pStyle w:val="Heading2"/>
        <w:rPr>
          <w:lang w:val="en-IN"/>
        </w:rPr>
      </w:pPr>
      <w:bookmarkStart w:id="14" w:name="_Toc237516698"/>
      <w:r>
        <w:rPr>
          <w:lang w:val="en-IN"/>
        </w:rPr>
        <w:t>2.4 Analysis</w:t>
      </w:r>
      <w:bookmarkEnd w:id="14"/>
    </w:p>
    <w:p>
      <w:pPr>
        <w:pStyle w:val="Normal"/>
        <w:rPr>
          <w:lang w:val="en-IN"/>
        </w:rPr>
      </w:pPr>
      <w:r>
        <w:rPr>
          <w:lang w:val="en-IN"/>
        </w:rPr>
        <w:t xml:space="preserve">The most important lesson I gained was that </w:t>
      </w:r>
      <w:r>
        <w:rPr>
          <w:b/>
          <w:bCs/>
          <w:lang w:val="en-IN"/>
        </w:rPr>
        <w:t>critical analysis requires questioning evidence rather than merely presenting it</w:t>
      </w:r>
      <w:r>
        <w:rPr>
          <w:lang w:val="en-IN"/>
        </w:rPr>
        <w:t>. For example, when examining Pizza Hut’s Indian marketing strategy, I initially viewed menu localisation simply as a product adaptation. Through further analysis, I understood that localisation could also be connected to cultural preferences, segmentation, positioning and competitive differentiation. This helped me recognise relationships between the different frameworks.</w:t>
      </w:r>
    </w:p>
    <w:p>
      <w:pPr>
        <w:pStyle w:val="Normal"/>
        <w:rPr>
          <w:lang w:val="en-IN"/>
        </w:rPr>
      </w:pPr>
      <w:r>
        <w:rPr>
          <w:lang w:val="en-IN"/>
        </w:rPr>
        <w:t xml:space="preserve">I also learned that comparison should be integrated throughout the discussion. Instead of describing the UK and India separately, I started asking questions such as: </w:t>
      </w:r>
      <w:r>
        <w:rPr>
          <w:i/>
          <w:iCs/>
          <w:lang w:val="en-IN"/>
        </w:rPr>
        <w:t>Why might Pizza Hut use different promotional approaches? How do differences in purchasing power affect pricing? How could cultural differences influence product adaptation?</w:t>
      </w:r>
      <w:r>
        <w:rPr>
          <w:lang w:val="en-IN"/>
        </w:rPr>
        <w:t xml:space="preserve"> This approach made my arguments more analytical.</w:t>
      </w:r>
    </w:p>
    <w:p>
      <w:pPr>
        <w:pStyle w:val="Normal"/>
        <w:rPr>
          <w:lang w:val="en-IN"/>
        </w:rPr>
      </w:pPr>
      <w:r>
        <w:rPr>
          <w:lang w:val="en-IN"/>
        </w:rPr>
        <w:t>Another important learning point concerned the limitations of theoretical frameworks. Hofstede was useful for identifying broad national cultural tendencies, but I recognised that national scores should not be treated as evidence that every individual consumer behaves in the same way. This encouraged me to combine theoretical insights with actual market evidence.</w:t>
      </w:r>
    </w:p>
    <w:p>
      <w:pPr>
        <w:pStyle w:val="Normal"/>
        <w:rPr>
          <w:lang w:val="en-IN"/>
        </w:rPr>
      </w:pPr>
      <w:r>
        <w:rPr>
          <w:lang w:val="en-IN"/>
        </w:rPr>
        <w:t>The process also improved my understanding of evidence selection. I became more careful about distinguishing between primary company information, government information, industry evidence and academic interpretation. I learned that credible evidence should support the argument rather than simply be inserted to increase the number of citations.</w:t>
      </w:r>
    </w:p>
    <w:p>
      <w:pPr>
        <w:pStyle w:val="Normal"/>
        <w:rPr>
          <w:lang w:val="en-IN"/>
        </w:rPr>
      </w:pPr>
      <w:r>
        <w:rPr>
          <w:lang w:val="en-IN"/>
        </w:rPr>
        <w:t xml:space="preserve">Most importantly, I realised that strong postgraduate work requires a clear relationship between </w:t>
      </w:r>
      <w:r>
        <w:rPr>
          <w:b/>
          <w:bCs/>
          <w:lang w:val="en-IN"/>
        </w:rPr>
        <w:t>evidence, theory, interpretation and judgement</w:t>
      </w:r>
      <w:r>
        <w:rPr>
          <w:lang w:val="en-IN"/>
        </w:rPr>
        <w:t xml:space="preserve">. This directly supports the assessment criteria, which emphasise persuasive arguments and sophisticated judgements rather than unsupported assertions. </w:t>
      </w:r>
    </w:p>
    <w:p>
      <w:pPr>
        <w:pStyle w:val="Heading2"/>
        <w:rPr>
          <w:lang w:val="en-IN"/>
        </w:rPr>
      </w:pPr>
      <w:bookmarkStart w:id="15" w:name="_Toc237516699"/>
      <w:r>
        <w:rPr>
          <w:lang w:val="en-IN"/>
        </w:rPr>
        <w:t>2.5 Conclusion</w:t>
      </w:r>
      <w:bookmarkEnd w:id="15"/>
    </w:p>
    <w:p>
      <w:pPr>
        <w:pStyle w:val="Normal"/>
        <w:rPr>
          <w:lang w:val="en-IN"/>
        </w:rPr>
      </w:pPr>
      <w:r>
        <w:rPr>
          <w:lang w:val="en-IN"/>
        </w:rPr>
        <w:t>Overall, the research process was challenging but valuable. I began with confidence in my ability to find information but gradually recognised that finding information was only the first stage of effective academic research. My main weakness was initially being too descriptive and not sufficiently connecting evidence with theory and strategic implications.</w:t>
      </w:r>
    </w:p>
    <w:p>
      <w:pPr>
        <w:pStyle w:val="Normal"/>
        <w:rPr>
          <w:lang w:val="en-IN"/>
        </w:rPr>
      </w:pPr>
      <w:r>
        <w:rPr>
          <w:lang w:val="en-IN"/>
        </w:rPr>
        <w:t>I now feel more confident about critically comparing international markets. I have learned to question why marketing strategies differ, evaluate the quality of evidence and consider the limitations of theoretical models. I also recognise that reflection is useful because it enables me to identify specific improvements rather than simply stating that my research skills need development.</w:t>
      </w:r>
    </w:p>
    <w:p>
      <w:pPr>
        <w:pStyle w:val="Normal"/>
        <w:rPr>
          <w:lang w:val="en-IN"/>
        </w:rPr>
      </w:pPr>
      <w:r>
        <w:rPr>
          <w:lang w:val="en-IN"/>
        </w:rPr>
        <w:t>The experience has therefore improved both my academic and professional thinking. In future international marketing tasks, I will begin with analytical questions and an evidence plan rather than collecting large amounts of information first.</w:t>
      </w:r>
    </w:p>
    <w:p>
      <w:pPr>
        <w:pStyle w:val="Heading2"/>
        <w:rPr>
          <w:lang w:val="en-IN"/>
        </w:rPr>
      </w:pPr>
      <w:bookmarkStart w:id="16" w:name="_Toc237516700"/>
      <w:r>
        <w:rPr>
          <w:lang w:val="en-IN"/>
        </w:rPr>
        <w:t>2.6 Action Plan</w:t>
      </w:r>
      <w:bookmarkEnd w:id="16"/>
    </w:p>
    <w:tbl>
      <w:tblPr>
        <w:tblStyle w:val="ListTable4-Accent6"/>
        <w:tblW w:w="9016" w:type="dxa"/>
        <w:jc w:val="start"/>
        <w:tblInd w:w="0" w:type="dxa"/>
        <w:tblLayout w:type="fixed"/>
        <w:tblCellMar>
          <w:top w:w="0" w:type="dxa"/>
          <w:start w:w="108" w:type="dxa"/>
          <w:bottom w:w="0" w:type="dxa"/>
          <w:end w:w="108" w:type="dxa"/>
        </w:tblCellMar>
        <w:tblLook w:firstRow="1" w:noVBand="1" w:lastRow="0" w:firstColumn="1" w:lastColumn="0" w:noHBand="0" w:val="04a0"/>
      </w:tblPr>
      <w:tblGrid>
        <w:gridCol w:w="1560"/>
        <w:gridCol w:w="2079"/>
        <w:gridCol w:w="2017"/>
        <w:gridCol w:w="1744"/>
        <w:gridCol w:w="1616"/>
      </w:tblGrid>
      <w:tr>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4EA72E"/>
              <w:start w:val="single" w:sz="4" w:space="0" w:color="4EA72E"/>
              <w:bottom w:val="single" w:sz="4" w:space="0" w:color="4EA72E"/>
              <w:end w:val="single" w:sz="4" w:space="0" w:color="4EA72E"/>
            </w:tcBorders>
            <w:shd w:color="auto" w:fill="4EA72E" w:themeFill="accent6" w:val="clear"/>
          </w:tcPr>
          <w:p>
            <w:pPr>
              <w:pStyle w:val="NoSpacing"/>
              <w:widowControl/>
              <w:spacing w:before="0" w:after="0"/>
              <w:rPr>
                <w:lang w:val="en-IN"/>
              </w:rPr>
            </w:pPr>
            <w:r>
              <w:rPr>
                <w:rFonts w:eastAsia="Aptos" w:cs=""/>
                <w:b/>
                <w:bCs/>
                <w:color w:themeColor="background1" w:val="FFFFFF"/>
                <w:kern w:val="0"/>
                <w:szCs w:val="22"/>
                <w:lang w:val="en-IN" w:eastAsia="en-US" w:bidi="ar-SA"/>
              </w:rPr>
              <w:t>SMART objective</w:t>
            </w:r>
          </w:p>
        </w:tc>
        <w:tc>
          <w:tcPr>
            <w:tcW w:w="2079" w:type="dxa"/>
            <w:tcBorders>
              <w:top w:val="single" w:sz="4" w:space="0" w:color="4EA72E"/>
              <w:start w:val="single" w:sz="4" w:space="0" w:color="4EA72E"/>
              <w:bottom w:val="single" w:sz="4" w:space="0" w:color="4EA72E"/>
              <w:end w:val="single" w:sz="4" w:space="0" w:color="4EA72E"/>
            </w:tcBorders>
            <w:shd w:color="auto" w:fill="4EA72E" w:themeFill="accent6" w:val="clear"/>
          </w:tcPr>
          <w:p>
            <w:pPr>
              <w:pStyle w:val="NoSpacing"/>
              <w:widowControl/>
              <w:spacing w:before="0" w:after="0"/>
              <w:cnfStyle w:val="100000000000" w:firstRow="1" w:lastRow="0" w:firstColumn="0" w:lastColumn="0" w:oddVBand="0" w:evenVBand="0" w:oddHBand="0" w:evenHBand="0" w:firstRowFirstColumn="0" w:firstRowLastColumn="0" w:lastRowFirstColumn="0" w:lastRowLastColumn="0"/>
              <w:rPr>
                <w:lang w:val="en-IN"/>
              </w:rPr>
            </w:pPr>
            <w:r>
              <w:rPr>
                <w:rFonts w:eastAsia="Aptos" w:cs=""/>
                <w:b/>
                <w:bCs/>
                <w:color w:themeColor="background1" w:val="FFFFFF"/>
                <w:kern w:val="0"/>
                <w:szCs w:val="22"/>
                <w:lang w:val="en-IN" w:eastAsia="en-US" w:bidi="ar-SA"/>
              </w:rPr>
              <w:t>Specific action</w:t>
            </w:r>
          </w:p>
        </w:tc>
        <w:tc>
          <w:tcPr>
            <w:tcW w:w="2017" w:type="dxa"/>
            <w:tcBorders>
              <w:top w:val="single" w:sz="4" w:space="0" w:color="4EA72E"/>
              <w:start w:val="single" w:sz="4" w:space="0" w:color="4EA72E"/>
              <w:bottom w:val="single" w:sz="4" w:space="0" w:color="4EA72E"/>
              <w:end w:val="single" w:sz="4" w:space="0" w:color="4EA72E"/>
            </w:tcBorders>
            <w:shd w:color="auto" w:fill="4EA72E" w:themeFill="accent6" w:val="clear"/>
          </w:tcPr>
          <w:p>
            <w:pPr>
              <w:pStyle w:val="NoSpacing"/>
              <w:widowControl/>
              <w:spacing w:before="0" w:after="0"/>
              <w:cnfStyle w:val="100000000000" w:firstRow="1" w:lastRow="0" w:firstColumn="0" w:lastColumn="0" w:oddVBand="0" w:evenVBand="0" w:oddHBand="0" w:evenHBand="0" w:firstRowFirstColumn="0" w:firstRowLastColumn="0" w:lastRowFirstColumn="0" w:lastRowLastColumn="0"/>
              <w:rPr>
                <w:lang w:val="en-IN"/>
              </w:rPr>
            </w:pPr>
            <w:r>
              <w:rPr>
                <w:rFonts w:eastAsia="Aptos" w:cs=""/>
                <w:b/>
                <w:bCs/>
                <w:color w:themeColor="background1" w:val="FFFFFF"/>
                <w:kern w:val="0"/>
                <w:szCs w:val="22"/>
                <w:lang w:val="en-IN" w:eastAsia="en-US" w:bidi="ar-SA"/>
              </w:rPr>
              <w:t>Measurement</w:t>
            </w:r>
          </w:p>
        </w:tc>
        <w:tc>
          <w:tcPr>
            <w:tcW w:w="1744" w:type="dxa"/>
            <w:tcBorders>
              <w:top w:val="single" w:sz="4" w:space="0" w:color="4EA72E"/>
              <w:start w:val="single" w:sz="4" w:space="0" w:color="4EA72E"/>
              <w:bottom w:val="single" w:sz="4" w:space="0" w:color="4EA72E"/>
              <w:end w:val="single" w:sz="4" w:space="0" w:color="4EA72E"/>
            </w:tcBorders>
            <w:shd w:color="auto" w:fill="4EA72E" w:themeFill="accent6" w:val="clear"/>
          </w:tcPr>
          <w:p>
            <w:pPr>
              <w:pStyle w:val="NoSpacing"/>
              <w:widowControl/>
              <w:spacing w:before="0" w:after="0"/>
              <w:cnfStyle w:val="100000000000" w:firstRow="1" w:lastRow="0" w:firstColumn="0" w:lastColumn="0" w:oddVBand="0" w:evenVBand="0" w:oddHBand="0" w:evenHBand="0" w:firstRowFirstColumn="0" w:firstRowLastColumn="0" w:lastRowFirstColumn="0" w:lastRowLastColumn="0"/>
              <w:rPr>
                <w:lang w:val="en-IN"/>
              </w:rPr>
            </w:pPr>
            <w:r>
              <w:rPr>
                <w:rFonts w:eastAsia="Aptos" w:cs=""/>
                <w:b/>
                <w:bCs/>
                <w:color w:themeColor="background1" w:val="FFFFFF"/>
                <w:kern w:val="0"/>
                <w:szCs w:val="22"/>
                <w:lang w:val="en-IN" w:eastAsia="en-US" w:bidi="ar-SA"/>
              </w:rPr>
              <w:t>Achievable target</w:t>
            </w:r>
          </w:p>
        </w:tc>
        <w:tc>
          <w:tcPr>
            <w:tcW w:w="1616" w:type="dxa"/>
            <w:tcBorders>
              <w:top w:val="single" w:sz="4" w:space="0" w:color="4EA72E"/>
              <w:start w:val="single" w:sz="4" w:space="0" w:color="4EA72E"/>
              <w:bottom w:val="single" w:sz="4" w:space="0" w:color="4EA72E"/>
              <w:end w:val="single" w:sz="4" w:space="0" w:color="4EA72E"/>
            </w:tcBorders>
            <w:shd w:color="auto" w:fill="4EA72E" w:themeFill="accent6" w:val="clear"/>
          </w:tcPr>
          <w:p>
            <w:pPr>
              <w:pStyle w:val="NoSpacing"/>
              <w:widowControl/>
              <w:spacing w:before="0" w:after="0"/>
              <w:cnfStyle w:val="100000000000" w:firstRow="1" w:lastRow="0" w:firstColumn="0" w:lastColumn="0" w:oddVBand="0" w:evenVBand="0" w:oddHBand="0" w:evenHBand="0" w:firstRowFirstColumn="0" w:firstRowLastColumn="0" w:lastRowFirstColumn="0" w:lastRowLastColumn="0"/>
              <w:rPr>
                <w:lang w:val="en-IN"/>
              </w:rPr>
            </w:pPr>
            <w:r>
              <w:rPr>
                <w:rFonts w:eastAsia="Aptos" w:cs=""/>
                <w:b/>
                <w:bCs/>
                <w:color w:themeColor="background1" w:val="FFFFFF"/>
                <w:kern w:val="0"/>
                <w:szCs w:val="22"/>
                <w:lang w:val="en-IN" w:eastAsia="en-US" w:bidi="ar-SA"/>
              </w:rPr>
              <w:t>Time-bound</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Borders>
              <w:end w:val="nil"/>
            </w:tcBorders>
            <w:shd w:color="auto" w:fill="D9F2D0" w:themeFill="accent6" w:themeFillTint="33" w:val="clear"/>
          </w:tcPr>
          <w:p>
            <w:pPr>
              <w:pStyle w:val="NoSpacing"/>
              <w:widowControl/>
              <w:spacing w:before="0" w:after="0"/>
              <w:rPr>
                <w:lang w:val="en-IN"/>
              </w:rPr>
            </w:pPr>
            <w:r>
              <w:rPr>
                <w:rFonts w:eastAsia="Aptos" w:cs=""/>
                <w:b/>
                <w:bCs/>
                <w:kern w:val="0"/>
                <w:szCs w:val="22"/>
                <w:lang w:val="en-IN" w:eastAsia="en-US" w:bidi="ar-SA"/>
              </w:rPr>
              <w:t>Improve critical analysis</w:t>
            </w:r>
          </w:p>
        </w:tc>
        <w:tc>
          <w:tcPr>
            <w:tcW w:w="2079" w:type="dxa"/>
            <w:tcBorders>
              <w:start w:val="nil"/>
              <w:end w:val="nil"/>
            </w:tcBorders>
            <w:shd w:color="auto" w:fill="D9F2D0" w:themeFill="accent6" w:themeFillTint="33" w:val="clear"/>
          </w:tcPr>
          <w:p>
            <w:pPr>
              <w:pStyle w:val="NoSpacing"/>
              <w:widowControl/>
              <w:spacing w:before="0" w:after="0"/>
              <w:cnfStyle w:val="000000100000" w:firstRow="0" w:lastRow="0" w:firstColumn="0" w:lastColumn="0" w:oddVBand="0" w:evenVBand="0" w:oddHBand="1" w:evenHBand="0" w:firstRowFirstColumn="0" w:firstRowLastColumn="0" w:lastRowFirstColumn="0" w:lastRowLastColumn="0"/>
              <w:rPr>
                <w:lang w:val="en-IN"/>
              </w:rPr>
            </w:pPr>
            <w:r>
              <w:rPr>
                <w:rFonts w:eastAsia="Aptos" w:cs=""/>
                <w:kern w:val="0"/>
                <w:szCs w:val="22"/>
                <w:lang w:val="en-IN" w:eastAsia="en-US" w:bidi="ar-SA"/>
              </w:rPr>
              <w:t>For every major argument, use evidence, theory, interpretation and judgement rather than description alone.</w:t>
            </w:r>
          </w:p>
        </w:tc>
        <w:tc>
          <w:tcPr>
            <w:tcW w:w="2017" w:type="dxa"/>
            <w:tcBorders>
              <w:start w:val="nil"/>
              <w:end w:val="nil"/>
            </w:tcBorders>
            <w:shd w:color="auto" w:fill="D9F2D0" w:themeFill="accent6" w:themeFillTint="33" w:val="clear"/>
          </w:tcPr>
          <w:p>
            <w:pPr>
              <w:pStyle w:val="NoSpacing"/>
              <w:widowControl/>
              <w:spacing w:before="0" w:after="0"/>
              <w:cnfStyle w:val="000000100000" w:firstRow="0" w:lastRow="0" w:firstColumn="0" w:lastColumn="0" w:oddVBand="0" w:evenVBand="0" w:oddHBand="1" w:evenHBand="0" w:firstRowFirstColumn="0" w:firstRowLastColumn="0" w:lastRowFirstColumn="0" w:lastRowLastColumn="0"/>
              <w:rPr>
                <w:lang w:val="en-IN"/>
              </w:rPr>
            </w:pPr>
            <w:r>
              <w:rPr>
                <w:rFonts w:eastAsia="Aptos" w:cs=""/>
                <w:kern w:val="0"/>
                <w:szCs w:val="22"/>
                <w:lang w:val="en-IN" w:eastAsia="en-US" w:bidi="ar-SA"/>
              </w:rPr>
              <w:t>Review each analytical paragraph against the four elements.</w:t>
            </w:r>
          </w:p>
        </w:tc>
        <w:tc>
          <w:tcPr>
            <w:tcW w:w="1744" w:type="dxa"/>
            <w:tcBorders>
              <w:start w:val="nil"/>
              <w:end w:val="nil"/>
            </w:tcBorders>
            <w:shd w:color="auto" w:fill="D9F2D0" w:themeFill="accent6" w:themeFillTint="33" w:val="clear"/>
          </w:tcPr>
          <w:p>
            <w:pPr>
              <w:pStyle w:val="NoSpacing"/>
              <w:widowControl/>
              <w:spacing w:before="0" w:after="0"/>
              <w:cnfStyle w:val="000000100000" w:firstRow="0" w:lastRow="0" w:firstColumn="0" w:lastColumn="0" w:oddVBand="0" w:evenVBand="0" w:oddHBand="1" w:evenHBand="0" w:firstRowFirstColumn="0" w:firstRowLastColumn="0" w:lastRowFirstColumn="0" w:lastRowLastColumn="0"/>
              <w:rPr>
                <w:lang w:val="en-IN"/>
              </w:rPr>
            </w:pPr>
            <w:r>
              <w:rPr>
                <w:rFonts w:eastAsia="Aptos" w:cs=""/>
                <w:kern w:val="0"/>
                <w:szCs w:val="22"/>
                <w:lang w:val="en-IN" w:eastAsia="en-US" w:bidi="ar-SA"/>
              </w:rPr>
              <w:t>At least 90% of analytical paragraphs should demonstrate this structure.</w:t>
            </w:r>
          </w:p>
        </w:tc>
        <w:tc>
          <w:tcPr>
            <w:tcW w:w="1616" w:type="dxa"/>
            <w:tcBorders>
              <w:start w:val="nil"/>
            </w:tcBorders>
            <w:shd w:color="auto" w:fill="D9F2D0" w:themeFill="accent6" w:themeFillTint="33" w:val="clear"/>
          </w:tcPr>
          <w:p>
            <w:pPr>
              <w:pStyle w:val="NoSpacing"/>
              <w:widowControl/>
              <w:spacing w:before="0" w:after="0"/>
              <w:cnfStyle w:val="000000100000" w:firstRow="0" w:lastRow="0" w:firstColumn="0" w:lastColumn="0" w:oddVBand="0" w:evenVBand="0" w:oddHBand="1" w:evenHBand="0" w:firstRowFirstColumn="0" w:firstRowLastColumn="0" w:lastRowFirstColumn="0" w:lastRowLastColumn="0"/>
              <w:rPr>
                <w:lang w:val="en-IN"/>
              </w:rPr>
            </w:pPr>
            <w:r>
              <w:rPr>
                <w:rFonts w:eastAsia="Aptos" w:cs=""/>
                <w:kern w:val="0"/>
                <w:szCs w:val="22"/>
                <w:lang w:val="en-IN" w:eastAsia="en-US" w:bidi="ar-SA"/>
              </w:rPr>
              <w:t>By the next major written assessment</w:t>
            </w:r>
          </w:p>
        </w:tc>
      </w:tr>
      <w:tr>
        <w:trPr/>
        <w:tc>
          <w:tcPr>
            <w:cnfStyle w:val="001000000000" w:firstRow="0" w:lastRow="0" w:firstColumn="1" w:lastColumn="0" w:oddVBand="0" w:evenVBand="0" w:oddHBand="0" w:evenHBand="0" w:firstRowFirstColumn="0" w:firstRowLastColumn="0" w:lastRowFirstColumn="0" w:lastRowLastColumn="0"/>
            <w:tcW w:w="1560" w:type="dxa"/>
            <w:tcBorders>
              <w:end w:val="nil"/>
            </w:tcBorders>
          </w:tcPr>
          <w:p>
            <w:pPr>
              <w:pStyle w:val="NoSpacing"/>
              <w:widowControl/>
              <w:spacing w:before="0" w:after="0"/>
              <w:rPr>
                <w:lang w:val="en-IN"/>
              </w:rPr>
            </w:pPr>
            <w:r>
              <w:rPr>
                <w:rFonts w:eastAsia="Aptos" w:cs=""/>
                <w:b/>
                <w:bCs/>
                <w:kern w:val="0"/>
                <w:szCs w:val="22"/>
                <w:lang w:val="en-IN" w:eastAsia="en-US" w:bidi="ar-SA"/>
              </w:rPr>
              <w:t>Improve source evaluation</w:t>
            </w:r>
          </w:p>
        </w:tc>
        <w:tc>
          <w:tcPr>
            <w:tcW w:w="2079" w:type="dxa"/>
            <w:tcBorders>
              <w:start w:val="nil"/>
              <w:end w:val="nil"/>
            </w:tcBorders>
          </w:tcPr>
          <w:p>
            <w:pPr>
              <w:pStyle w:val="NoSpacing"/>
              <w:widowControl/>
              <w:spacing w:before="0" w:after="0"/>
              <w:cnfStyle w:val="000000000000" w:firstRow="0" w:lastRow="0" w:firstColumn="0" w:lastColumn="0" w:oddVBand="0" w:evenVBand="0" w:oddHBand="0" w:evenHBand="0" w:firstRowFirstColumn="0" w:firstRowLastColumn="0" w:lastRowFirstColumn="0" w:lastRowLastColumn="0"/>
              <w:rPr>
                <w:lang w:val="en-IN"/>
              </w:rPr>
            </w:pPr>
            <w:r>
              <w:rPr>
                <w:rFonts w:eastAsia="Aptos" w:cs=""/>
                <w:kern w:val="0"/>
                <w:szCs w:val="22"/>
                <w:lang w:val="en-IN" w:eastAsia="en-US" w:bidi="ar-SA"/>
              </w:rPr>
              <w:t>Evaluate academic, government, company and industry sources before using them.</w:t>
            </w:r>
          </w:p>
        </w:tc>
        <w:tc>
          <w:tcPr>
            <w:tcW w:w="2017" w:type="dxa"/>
            <w:tcBorders>
              <w:start w:val="nil"/>
              <w:end w:val="nil"/>
            </w:tcBorders>
          </w:tcPr>
          <w:p>
            <w:pPr>
              <w:pStyle w:val="NoSpacing"/>
              <w:widowControl/>
              <w:spacing w:before="0" w:after="0"/>
              <w:cnfStyle w:val="000000000000" w:firstRow="0" w:lastRow="0" w:firstColumn="0" w:lastColumn="0" w:oddVBand="0" w:evenVBand="0" w:oddHBand="0" w:evenHBand="0" w:firstRowFirstColumn="0" w:firstRowLastColumn="0" w:lastRowFirstColumn="0" w:lastRowLastColumn="0"/>
              <w:rPr>
                <w:lang w:val="en-IN"/>
              </w:rPr>
            </w:pPr>
            <w:r>
              <w:rPr>
                <w:rFonts w:eastAsia="Aptos" w:cs=""/>
                <w:kern w:val="0"/>
                <w:szCs w:val="22"/>
                <w:lang w:val="en-IN" w:eastAsia="en-US" w:bidi="ar-SA"/>
              </w:rPr>
              <w:t>Maintain a source-evaluation record covering credibility, relevance and currency.</w:t>
            </w:r>
          </w:p>
        </w:tc>
        <w:tc>
          <w:tcPr>
            <w:tcW w:w="1744" w:type="dxa"/>
            <w:tcBorders>
              <w:start w:val="nil"/>
              <w:end w:val="nil"/>
            </w:tcBorders>
          </w:tcPr>
          <w:p>
            <w:pPr>
              <w:pStyle w:val="NoSpacing"/>
              <w:widowControl/>
              <w:spacing w:before="0" w:after="0"/>
              <w:cnfStyle w:val="000000000000" w:firstRow="0" w:lastRow="0" w:firstColumn="0" w:lastColumn="0" w:oddVBand="0" w:evenVBand="0" w:oddHBand="0" w:evenHBand="0" w:firstRowFirstColumn="0" w:firstRowLastColumn="0" w:lastRowFirstColumn="0" w:lastRowLastColumn="0"/>
              <w:rPr>
                <w:lang w:val="en-IN"/>
              </w:rPr>
            </w:pPr>
            <w:r>
              <w:rPr>
                <w:rFonts w:eastAsia="Aptos" w:cs=""/>
                <w:kern w:val="0"/>
                <w:szCs w:val="22"/>
                <w:lang w:val="en-IN" w:eastAsia="en-US" w:bidi="ar-SA"/>
              </w:rPr>
              <w:t>Evaluate at least 15 sources before finalising an assignment.</w:t>
            </w:r>
          </w:p>
        </w:tc>
        <w:tc>
          <w:tcPr>
            <w:tcW w:w="1616" w:type="dxa"/>
            <w:tcBorders>
              <w:start w:val="nil"/>
            </w:tcBorders>
          </w:tcPr>
          <w:p>
            <w:pPr>
              <w:pStyle w:val="NoSpacing"/>
              <w:widowControl/>
              <w:spacing w:before="0" w:after="0"/>
              <w:cnfStyle w:val="000000000000" w:firstRow="0" w:lastRow="0" w:firstColumn="0" w:lastColumn="0" w:oddVBand="0" w:evenVBand="0" w:oddHBand="0" w:evenHBand="0" w:firstRowFirstColumn="0" w:firstRowLastColumn="0" w:lastRowFirstColumn="0" w:lastRowLastColumn="0"/>
              <w:rPr>
                <w:lang w:val="en-IN"/>
              </w:rPr>
            </w:pPr>
            <w:r>
              <w:rPr>
                <w:rFonts w:eastAsia="Aptos" w:cs=""/>
                <w:kern w:val="0"/>
                <w:szCs w:val="22"/>
                <w:lang w:val="en-IN" w:eastAsia="en-US" w:bidi="ar-SA"/>
              </w:rPr>
              <w:t>Within the first two weeks of the next assignment</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Borders>
              <w:end w:val="nil"/>
            </w:tcBorders>
            <w:shd w:color="auto" w:fill="D9F2D0" w:themeFill="accent6" w:themeFillTint="33" w:val="clear"/>
          </w:tcPr>
          <w:p>
            <w:pPr>
              <w:pStyle w:val="NoSpacing"/>
              <w:widowControl/>
              <w:spacing w:before="0" w:after="0"/>
              <w:rPr>
                <w:lang w:val="en-IN"/>
              </w:rPr>
            </w:pPr>
            <w:r>
              <w:rPr>
                <w:rFonts w:eastAsia="Aptos" w:cs=""/>
                <w:b/>
                <w:bCs/>
                <w:kern w:val="0"/>
                <w:szCs w:val="22"/>
                <w:lang w:val="en-IN" w:eastAsia="en-US" w:bidi="ar-SA"/>
              </w:rPr>
              <w:t>Strengthen framework integration</w:t>
            </w:r>
          </w:p>
        </w:tc>
        <w:tc>
          <w:tcPr>
            <w:tcW w:w="2079" w:type="dxa"/>
            <w:tcBorders>
              <w:start w:val="nil"/>
              <w:end w:val="nil"/>
            </w:tcBorders>
            <w:shd w:color="auto" w:fill="D9F2D0" w:themeFill="accent6" w:themeFillTint="33" w:val="clear"/>
          </w:tcPr>
          <w:p>
            <w:pPr>
              <w:pStyle w:val="NoSpacing"/>
              <w:widowControl/>
              <w:spacing w:before="0" w:after="0"/>
              <w:cnfStyle w:val="000000100000" w:firstRow="0" w:lastRow="0" w:firstColumn="0" w:lastColumn="0" w:oddVBand="0" w:evenVBand="0" w:oddHBand="1" w:evenHBand="0" w:firstRowFirstColumn="0" w:firstRowLastColumn="0" w:lastRowFirstColumn="0" w:lastRowLastColumn="0"/>
              <w:rPr>
                <w:lang w:val="en-IN"/>
              </w:rPr>
            </w:pPr>
            <w:r>
              <w:rPr>
                <w:rFonts w:eastAsia="Aptos" w:cs=""/>
                <w:kern w:val="0"/>
                <w:szCs w:val="22"/>
                <w:lang w:val="en-IN" w:eastAsia="en-US" w:bidi="ar-SA"/>
              </w:rPr>
              <w:t>Connect frameworks rather than analysing each model independently.</w:t>
            </w:r>
          </w:p>
        </w:tc>
        <w:tc>
          <w:tcPr>
            <w:tcW w:w="2017" w:type="dxa"/>
            <w:tcBorders>
              <w:start w:val="nil"/>
              <w:end w:val="nil"/>
            </w:tcBorders>
            <w:shd w:color="auto" w:fill="D9F2D0" w:themeFill="accent6" w:themeFillTint="33" w:val="clear"/>
          </w:tcPr>
          <w:p>
            <w:pPr>
              <w:pStyle w:val="NoSpacing"/>
              <w:widowControl/>
              <w:spacing w:before="0" w:after="0"/>
              <w:cnfStyle w:val="000000100000" w:firstRow="0" w:lastRow="0" w:firstColumn="0" w:lastColumn="0" w:oddVBand="0" w:evenVBand="0" w:oddHBand="1" w:evenHBand="0" w:firstRowFirstColumn="0" w:firstRowLastColumn="0" w:lastRowFirstColumn="0" w:lastRowLastColumn="0"/>
              <w:rPr>
                <w:lang w:val="en-IN"/>
              </w:rPr>
            </w:pPr>
            <w:r>
              <w:rPr>
                <w:rFonts w:eastAsia="Aptos" w:cs=""/>
                <w:kern w:val="0"/>
                <w:szCs w:val="22"/>
                <w:lang w:val="en-IN" w:eastAsia="en-US" w:bidi="ar-SA"/>
              </w:rPr>
              <w:t>Check whether each major framework produces an implication for the next analytical section.</w:t>
            </w:r>
          </w:p>
        </w:tc>
        <w:tc>
          <w:tcPr>
            <w:tcW w:w="1744" w:type="dxa"/>
            <w:tcBorders>
              <w:start w:val="nil"/>
              <w:end w:val="nil"/>
            </w:tcBorders>
            <w:shd w:color="auto" w:fill="D9F2D0" w:themeFill="accent6" w:themeFillTint="33" w:val="clear"/>
          </w:tcPr>
          <w:p>
            <w:pPr>
              <w:pStyle w:val="NoSpacing"/>
              <w:widowControl/>
              <w:spacing w:before="0" w:after="0"/>
              <w:cnfStyle w:val="000000100000" w:firstRow="0" w:lastRow="0" w:firstColumn="0" w:lastColumn="0" w:oddVBand="0" w:evenVBand="0" w:oddHBand="1" w:evenHBand="0" w:firstRowFirstColumn="0" w:firstRowLastColumn="0" w:lastRowFirstColumn="0" w:lastRowLastColumn="0"/>
              <w:rPr>
                <w:lang w:val="en-IN"/>
              </w:rPr>
            </w:pPr>
            <w:r>
              <w:rPr>
                <w:rFonts w:eastAsia="Aptos" w:cs=""/>
                <w:kern w:val="0"/>
                <w:szCs w:val="22"/>
                <w:lang w:val="en-IN" w:eastAsia="en-US" w:bidi="ar-SA"/>
              </w:rPr>
              <w:t>Establish at least one clear connection between each major framework.</w:t>
            </w:r>
          </w:p>
        </w:tc>
        <w:tc>
          <w:tcPr>
            <w:tcW w:w="1616" w:type="dxa"/>
            <w:tcBorders>
              <w:start w:val="nil"/>
            </w:tcBorders>
            <w:shd w:color="auto" w:fill="D9F2D0" w:themeFill="accent6" w:themeFillTint="33" w:val="clear"/>
          </w:tcPr>
          <w:p>
            <w:pPr>
              <w:pStyle w:val="NoSpacing"/>
              <w:widowControl/>
              <w:spacing w:before="0" w:after="0"/>
              <w:cnfStyle w:val="000000100000" w:firstRow="0" w:lastRow="0" w:firstColumn="0" w:lastColumn="0" w:oddVBand="0" w:evenVBand="0" w:oddHBand="1" w:evenHBand="0" w:firstRowFirstColumn="0" w:firstRowLastColumn="0" w:lastRowFirstColumn="0" w:lastRowLastColumn="0"/>
              <w:rPr>
                <w:lang w:val="en-IN"/>
              </w:rPr>
            </w:pPr>
            <w:r>
              <w:rPr>
                <w:rFonts w:eastAsia="Aptos" w:cs=""/>
                <w:kern w:val="0"/>
                <w:szCs w:val="22"/>
                <w:lang w:val="en-IN" w:eastAsia="en-US" w:bidi="ar-SA"/>
              </w:rPr>
              <w:t>Before submitting the next report</w:t>
            </w:r>
          </w:p>
        </w:tc>
      </w:tr>
      <w:tr>
        <w:trPr/>
        <w:tc>
          <w:tcPr>
            <w:cnfStyle w:val="001000000000" w:firstRow="0" w:lastRow="0" w:firstColumn="1" w:lastColumn="0" w:oddVBand="0" w:evenVBand="0" w:oddHBand="0" w:evenHBand="0" w:firstRowFirstColumn="0" w:firstRowLastColumn="0" w:lastRowFirstColumn="0" w:lastRowLastColumn="0"/>
            <w:tcW w:w="1560" w:type="dxa"/>
            <w:tcBorders>
              <w:end w:val="nil"/>
            </w:tcBorders>
          </w:tcPr>
          <w:p>
            <w:pPr>
              <w:pStyle w:val="NoSpacing"/>
              <w:widowControl/>
              <w:spacing w:before="0" w:after="0"/>
              <w:rPr>
                <w:lang w:val="en-IN"/>
              </w:rPr>
            </w:pPr>
            <w:r>
              <w:rPr>
                <w:rFonts w:eastAsia="Aptos" w:cs=""/>
                <w:b/>
                <w:bCs/>
                <w:kern w:val="0"/>
                <w:szCs w:val="22"/>
                <w:lang w:val="en-IN" w:eastAsia="en-US" w:bidi="ar-SA"/>
              </w:rPr>
              <w:t>Improve reflective practice</w:t>
            </w:r>
          </w:p>
        </w:tc>
        <w:tc>
          <w:tcPr>
            <w:tcW w:w="2079" w:type="dxa"/>
            <w:tcBorders>
              <w:start w:val="nil"/>
              <w:end w:val="nil"/>
            </w:tcBorders>
          </w:tcPr>
          <w:p>
            <w:pPr>
              <w:pStyle w:val="NoSpacing"/>
              <w:widowControl/>
              <w:spacing w:before="0" w:after="0"/>
              <w:cnfStyle w:val="000000000000" w:firstRow="0" w:lastRow="0" w:firstColumn="0" w:lastColumn="0" w:oddVBand="0" w:evenVBand="0" w:oddHBand="0" w:evenHBand="0" w:firstRowFirstColumn="0" w:firstRowLastColumn="0" w:lastRowFirstColumn="0" w:lastRowLastColumn="0"/>
              <w:rPr>
                <w:lang w:val="en-IN"/>
              </w:rPr>
            </w:pPr>
            <w:r>
              <w:rPr>
                <w:rFonts w:eastAsia="Aptos" w:cs=""/>
                <w:kern w:val="0"/>
                <w:szCs w:val="22"/>
                <w:lang w:val="en-IN" w:eastAsia="en-US" w:bidi="ar-SA"/>
              </w:rPr>
              <w:t>Record difficulties, decisions and learning during the research process instead of reflecting only at the end.</w:t>
            </w:r>
          </w:p>
        </w:tc>
        <w:tc>
          <w:tcPr>
            <w:tcW w:w="2017" w:type="dxa"/>
            <w:tcBorders>
              <w:start w:val="nil"/>
              <w:end w:val="nil"/>
            </w:tcBorders>
          </w:tcPr>
          <w:p>
            <w:pPr>
              <w:pStyle w:val="NoSpacing"/>
              <w:widowControl/>
              <w:spacing w:before="0" w:after="0"/>
              <w:cnfStyle w:val="000000000000" w:firstRow="0" w:lastRow="0" w:firstColumn="0" w:lastColumn="0" w:oddVBand="0" w:evenVBand="0" w:oddHBand="0" w:evenHBand="0" w:firstRowFirstColumn="0" w:firstRowLastColumn="0" w:lastRowFirstColumn="0" w:lastRowLastColumn="0"/>
              <w:rPr>
                <w:lang w:val="en-IN"/>
              </w:rPr>
            </w:pPr>
            <w:r>
              <w:rPr>
                <w:rFonts w:eastAsia="Aptos" w:cs=""/>
                <w:kern w:val="0"/>
                <w:szCs w:val="22"/>
                <w:lang w:val="en-IN" w:eastAsia="en-US" w:bidi="ar-SA"/>
              </w:rPr>
              <w:t>Maintain a short weekly research reflection.</w:t>
            </w:r>
          </w:p>
        </w:tc>
        <w:tc>
          <w:tcPr>
            <w:tcW w:w="1744" w:type="dxa"/>
            <w:tcBorders>
              <w:start w:val="nil"/>
              <w:end w:val="nil"/>
            </w:tcBorders>
          </w:tcPr>
          <w:p>
            <w:pPr>
              <w:pStyle w:val="NoSpacing"/>
              <w:widowControl/>
              <w:spacing w:before="0" w:after="0"/>
              <w:cnfStyle w:val="000000000000" w:firstRow="0" w:lastRow="0" w:firstColumn="0" w:lastColumn="0" w:oddVBand="0" w:evenVBand="0" w:oddHBand="0" w:evenHBand="0" w:firstRowFirstColumn="0" w:firstRowLastColumn="0" w:lastRowFirstColumn="0" w:lastRowLastColumn="0"/>
              <w:rPr>
                <w:lang w:val="en-IN"/>
              </w:rPr>
            </w:pPr>
            <w:r>
              <w:rPr>
                <w:rFonts w:eastAsia="Aptos" w:cs=""/>
                <w:kern w:val="0"/>
                <w:szCs w:val="22"/>
                <w:lang w:val="en-IN" w:eastAsia="en-US" w:bidi="ar-SA"/>
              </w:rPr>
              <w:t>Complete one reflection each week during the next assignment.</w:t>
            </w:r>
          </w:p>
        </w:tc>
        <w:tc>
          <w:tcPr>
            <w:tcW w:w="1616" w:type="dxa"/>
            <w:tcBorders>
              <w:start w:val="nil"/>
            </w:tcBorders>
          </w:tcPr>
          <w:p>
            <w:pPr>
              <w:pStyle w:val="NoSpacing"/>
              <w:widowControl/>
              <w:spacing w:before="0" w:after="0"/>
              <w:cnfStyle w:val="000000000000" w:firstRow="0" w:lastRow="0" w:firstColumn="0" w:lastColumn="0" w:oddVBand="0" w:evenVBand="0" w:oddHBand="0" w:evenHBand="0" w:firstRowFirstColumn="0" w:firstRowLastColumn="0" w:lastRowFirstColumn="0" w:lastRowLastColumn="0"/>
              <w:rPr>
                <w:lang w:val="en-IN"/>
              </w:rPr>
            </w:pPr>
            <w:r>
              <w:rPr>
                <w:rFonts w:eastAsia="Aptos" w:cs=""/>
                <w:kern w:val="0"/>
                <w:szCs w:val="22"/>
                <w:lang w:val="en-IN" w:eastAsia="en-US" w:bidi="ar-SA"/>
              </w:rPr>
              <w:t>Throughout the next assignment</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Borders>
              <w:end w:val="nil"/>
            </w:tcBorders>
            <w:shd w:color="auto" w:fill="D9F2D0" w:themeFill="accent6" w:themeFillTint="33" w:val="clear"/>
          </w:tcPr>
          <w:p>
            <w:pPr>
              <w:pStyle w:val="NoSpacing"/>
              <w:widowControl/>
              <w:spacing w:before="0" w:after="0"/>
              <w:rPr>
                <w:lang w:val="en-IN"/>
              </w:rPr>
            </w:pPr>
            <w:r>
              <w:rPr>
                <w:rFonts w:eastAsia="Aptos" w:cs=""/>
                <w:b/>
                <w:bCs/>
                <w:kern w:val="0"/>
                <w:szCs w:val="22"/>
                <w:lang w:val="en-IN" w:eastAsia="en-US" w:bidi="ar-SA"/>
              </w:rPr>
              <w:t>Develop research confidence</w:t>
            </w:r>
          </w:p>
        </w:tc>
        <w:tc>
          <w:tcPr>
            <w:tcW w:w="2079" w:type="dxa"/>
            <w:tcBorders>
              <w:start w:val="nil"/>
              <w:end w:val="nil"/>
            </w:tcBorders>
            <w:shd w:color="auto" w:fill="D9F2D0" w:themeFill="accent6" w:themeFillTint="33" w:val="clear"/>
          </w:tcPr>
          <w:p>
            <w:pPr>
              <w:pStyle w:val="NoSpacing"/>
              <w:widowControl/>
              <w:spacing w:before="0" w:after="0"/>
              <w:cnfStyle w:val="000000100000" w:firstRow="0" w:lastRow="0" w:firstColumn="0" w:lastColumn="0" w:oddVBand="0" w:evenVBand="0" w:oddHBand="1" w:evenHBand="0" w:firstRowFirstColumn="0" w:firstRowLastColumn="0" w:lastRowFirstColumn="0" w:lastRowLastColumn="0"/>
              <w:rPr>
                <w:lang w:val="en-IN"/>
              </w:rPr>
            </w:pPr>
            <w:r>
              <w:rPr>
                <w:rFonts w:eastAsia="Aptos" w:cs=""/>
                <w:kern w:val="0"/>
                <w:szCs w:val="22"/>
                <w:lang w:val="en-IN" w:eastAsia="en-US" w:bidi="ar-SA"/>
              </w:rPr>
              <w:t>Use academic databases and credible institutional sources more systematically.</w:t>
            </w:r>
          </w:p>
        </w:tc>
        <w:tc>
          <w:tcPr>
            <w:tcW w:w="2017" w:type="dxa"/>
            <w:tcBorders>
              <w:start w:val="nil"/>
              <w:end w:val="nil"/>
            </w:tcBorders>
            <w:shd w:color="auto" w:fill="D9F2D0" w:themeFill="accent6" w:themeFillTint="33" w:val="clear"/>
          </w:tcPr>
          <w:p>
            <w:pPr>
              <w:pStyle w:val="NoSpacing"/>
              <w:widowControl/>
              <w:spacing w:before="0" w:after="0"/>
              <w:cnfStyle w:val="000000100000" w:firstRow="0" w:lastRow="0" w:firstColumn="0" w:lastColumn="0" w:oddVBand="0" w:evenVBand="0" w:oddHBand="1" w:evenHBand="0" w:firstRowFirstColumn="0" w:firstRowLastColumn="0" w:lastRowFirstColumn="0" w:lastRowLastColumn="0"/>
              <w:rPr>
                <w:lang w:val="en-IN"/>
              </w:rPr>
            </w:pPr>
            <w:r>
              <w:rPr>
                <w:rFonts w:eastAsia="Aptos" w:cs=""/>
                <w:kern w:val="0"/>
                <w:szCs w:val="22"/>
                <w:lang w:val="en-IN" w:eastAsia="en-US" w:bidi="ar-SA"/>
              </w:rPr>
              <w:t>Record the databases and source types used.</w:t>
            </w:r>
          </w:p>
        </w:tc>
        <w:tc>
          <w:tcPr>
            <w:tcW w:w="1744" w:type="dxa"/>
            <w:tcBorders>
              <w:start w:val="nil"/>
              <w:end w:val="nil"/>
            </w:tcBorders>
            <w:shd w:color="auto" w:fill="D9F2D0" w:themeFill="accent6" w:themeFillTint="33" w:val="clear"/>
          </w:tcPr>
          <w:p>
            <w:pPr>
              <w:pStyle w:val="NoSpacing"/>
              <w:widowControl/>
              <w:spacing w:before="0" w:after="0"/>
              <w:cnfStyle w:val="000000100000" w:firstRow="0" w:lastRow="0" w:firstColumn="0" w:lastColumn="0" w:oddVBand="0" w:evenVBand="0" w:oddHBand="1" w:evenHBand="0" w:firstRowFirstColumn="0" w:firstRowLastColumn="0" w:lastRowFirstColumn="0" w:lastRowLastColumn="0"/>
              <w:rPr>
                <w:lang w:val="en-IN"/>
              </w:rPr>
            </w:pPr>
            <w:r>
              <w:rPr>
                <w:rFonts w:eastAsia="Aptos" w:cs=""/>
                <w:kern w:val="0"/>
                <w:szCs w:val="22"/>
                <w:lang w:val="en-IN" w:eastAsia="en-US" w:bidi="ar-SA"/>
              </w:rPr>
              <w:t>Use at least three different credible source categories in the next report.</w:t>
            </w:r>
          </w:p>
        </w:tc>
        <w:tc>
          <w:tcPr>
            <w:tcW w:w="1616" w:type="dxa"/>
            <w:tcBorders>
              <w:start w:val="nil"/>
            </w:tcBorders>
            <w:shd w:color="auto" w:fill="D9F2D0" w:themeFill="accent6" w:themeFillTint="33" w:val="clear"/>
          </w:tcPr>
          <w:p>
            <w:pPr>
              <w:pStyle w:val="NoSpacing"/>
              <w:widowControl/>
              <w:spacing w:before="0" w:after="0"/>
              <w:cnfStyle w:val="000000100000" w:firstRow="0" w:lastRow="0" w:firstColumn="0" w:lastColumn="0" w:oddVBand="0" w:evenVBand="0" w:oddHBand="1" w:evenHBand="0" w:firstRowFirstColumn="0" w:firstRowLastColumn="0" w:lastRowFirstColumn="0" w:lastRowLastColumn="0"/>
              <w:rPr>
                <w:lang w:val="en-IN"/>
              </w:rPr>
            </w:pPr>
            <w:r>
              <w:rPr>
                <w:rFonts w:eastAsia="Aptos" w:cs=""/>
                <w:kern w:val="0"/>
                <w:szCs w:val="22"/>
                <w:lang w:val="en-IN" w:eastAsia="en-US" w:bidi="ar-SA"/>
              </w:rPr>
              <w:t>By the final research stage</w:t>
            </w:r>
          </w:p>
        </w:tc>
      </w:tr>
    </w:tbl>
    <w:p>
      <w:pPr>
        <w:pStyle w:val="Normal"/>
        <w:rPr/>
      </w:pPr>
      <w:r>
        <w:rPr/>
      </w:r>
    </w:p>
    <w:p>
      <w:pPr>
        <w:pStyle w:val="Normal"/>
        <w:spacing w:lineRule="auto" w:line="259" w:before="0" w:after="160"/>
        <w:jc w:val="start"/>
        <w:rPr/>
      </w:pPr>
      <w:r>
        <w:rPr/>
      </w:r>
      <w:r>
        <w:br w:type="page"/>
      </w:r>
    </w:p>
    <w:p>
      <w:pPr>
        <w:pStyle w:val="Heading1"/>
        <w:spacing w:before="0" w:after="120"/>
        <w:rPr/>
      </w:pPr>
      <w:bookmarkStart w:id="17" w:name="_Toc237516701"/>
      <w:r>
        <w:rPr/>
        <w:t>References</w:t>
      </w:r>
      <w:bookmarkEnd w:id="17"/>
    </w:p>
    <w:p>
      <w:pPr>
        <w:pStyle w:val="Normal"/>
        <w:rPr/>
      </w:pPr>
      <w:r>
        <w:rPr/>
        <w:t>Ahmed, S., Saad, A.T., Chowdhury, S.R., Sobhani, F.A., Hassan, M.S. and Islam, M.A., 2024. Impact of marketing mix elements on the brand equity of online food delivery services: an emerging economy perspective. </w:t>
      </w:r>
      <w:r>
        <w:rPr>
          <w:i/>
          <w:iCs/>
        </w:rPr>
        <w:t>Cogent Business &amp; Management</w:t>
      </w:r>
      <w:r>
        <w:rPr/>
        <w:t>, </w:t>
      </w:r>
      <w:r>
        <w:rPr>
          <w:i/>
          <w:iCs/>
        </w:rPr>
        <w:t>11</w:t>
      </w:r>
      <w:r>
        <w:rPr/>
        <w:t>(1), p.2380018.</w:t>
      </w:r>
    </w:p>
    <w:p>
      <w:pPr>
        <w:pStyle w:val="Normal"/>
        <w:rPr/>
      </w:pPr>
      <w:r>
        <w:rPr/>
        <w:t>Alamandi, M., 2025. Sustainable innovation management: Balancing economic growth and environmental responsibility. </w:t>
      </w:r>
      <w:r>
        <w:rPr>
          <w:i/>
          <w:iCs/>
        </w:rPr>
        <w:t>Sustainability</w:t>
      </w:r>
      <w:r>
        <w:rPr/>
        <w:t>, </w:t>
      </w:r>
      <w:r>
        <w:rPr>
          <w:i/>
          <w:iCs/>
        </w:rPr>
        <w:t>17</w:t>
      </w:r>
      <w:r>
        <w:rPr/>
        <w:t>(10), p.4362.</w:t>
      </w:r>
    </w:p>
    <w:p>
      <w:pPr>
        <w:pStyle w:val="Normal"/>
        <w:rPr/>
      </w:pPr>
      <w:r>
        <w:rPr/>
        <w:t xml:space="preserve">Ashmore, D. (2020). The role of symbolism in transport choice across differing national cultures: implications for policy formulation and transfer. [online] available at </w:t>
      </w:r>
      <w:hyperlink r:id="rId8">
        <w:r>
          <w:rPr>
            <w:rStyle w:val="Hyperlink"/>
          </w:rPr>
          <w:t>https://discovery.ucl.ac.uk/10097645/1/Ashmore_10097645_thesis.pdf</w:t>
        </w:r>
      </w:hyperlink>
    </w:p>
    <w:p>
      <w:pPr>
        <w:pStyle w:val="Normal"/>
        <w:rPr/>
      </w:pPr>
      <w:r>
        <w:rPr/>
        <w:t>Bera, O.P., Singh, R. and Bhattacharya, S., 2023. Food literacy &amp; food labeling laws—a legal analysis of India’s food policy. </w:t>
      </w:r>
      <w:r>
        <w:rPr>
          <w:i/>
          <w:iCs/>
        </w:rPr>
        <w:t>Journal of Family Medicine and Primary Care</w:t>
      </w:r>
      <w:r>
        <w:rPr/>
        <w:t>, </w:t>
      </w:r>
      <w:r>
        <w:rPr>
          <w:i/>
          <w:iCs/>
        </w:rPr>
        <w:t>12</w:t>
      </w:r>
      <w:r>
        <w:rPr/>
        <w:t>(4), p.606.</w:t>
      </w:r>
    </w:p>
    <w:p>
      <w:pPr>
        <w:pStyle w:val="Normal"/>
        <w:rPr/>
      </w:pPr>
      <w:r>
        <w:rPr/>
        <w:t>Bhalla, R., Agastine, A. and Chotai, N.A., 2026. Dine-In or Deliver? Pizza Hut’s Strategic Dilemma in a Delivery-Driven Market. </w:t>
      </w:r>
      <w:r>
        <w:rPr>
          <w:i/>
          <w:iCs/>
        </w:rPr>
        <w:t>International Journal of Economic Practices and Theories</w:t>
      </w:r>
      <w:r>
        <w:rPr/>
        <w:t>, </w:t>
      </w:r>
      <w:r>
        <w:rPr>
          <w:i/>
          <w:iCs/>
        </w:rPr>
        <w:t>2026</w:t>
      </w:r>
      <w:r>
        <w:rPr/>
        <w:t>, pp.2650-2663.</w:t>
      </w:r>
    </w:p>
    <w:p>
      <w:pPr>
        <w:pStyle w:val="Normal"/>
        <w:rPr/>
      </w:pPr>
      <w:r>
        <w:rPr/>
        <w:t>Chen, M., Hu, M. and Wang, J., 2022. Food delivery service and restaurant: Friend or foe?. </w:t>
      </w:r>
      <w:r>
        <w:rPr>
          <w:i/>
          <w:iCs/>
        </w:rPr>
        <w:t>Management Science</w:t>
      </w:r>
      <w:r>
        <w:rPr/>
        <w:t>, </w:t>
      </w:r>
      <w:r>
        <w:rPr>
          <w:i/>
          <w:iCs/>
        </w:rPr>
        <w:t>68</w:t>
      </w:r>
      <w:r>
        <w:rPr/>
        <w:t>(9), pp.6539-6551.</w:t>
      </w:r>
    </w:p>
    <w:p>
      <w:pPr>
        <w:pStyle w:val="Normal"/>
        <w:rPr/>
      </w:pPr>
      <w:r>
        <w:rPr/>
        <w:t>Chirig, A., Bouziane, K. and Zakhir, M., 2023. Navigating cultural transitions: A comparative analysis of translated advertisements through localization. </w:t>
      </w:r>
      <w:r>
        <w:rPr>
          <w:i/>
          <w:iCs/>
        </w:rPr>
        <w:t>POLISSEMA–Revista de Letras do ISCAP</w:t>
      </w:r>
      <w:r>
        <w:rPr/>
        <w:t>, (23), pp.115-134.</w:t>
      </w:r>
    </w:p>
    <w:p>
      <w:pPr>
        <w:pStyle w:val="Normal"/>
        <w:rPr/>
      </w:pPr>
      <w:r>
        <w:rPr/>
        <w:t>Chvojka, J., 2026. </w:t>
      </w:r>
      <w:r>
        <w:rPr>
          <w:i/>
          <w:iCs/>
        </w:rPr>
        <w:t>Management of Franchising in an International Environment</w:t>
      </w:r>
      <w:r>
        <w:rPr/>
        <w:t> (Master's thesis, Technická univerzita v Liberci, Ekonomická fakulta).</w:t>
      </w:r>
    </w:p>
    <w:p>
      <w:pPr>
        <w:pStyle w:val="Normal"/>
        <w:rPr/>
      </w:pPr>
      <w:r>
        <w:rPr/>
        <w:t>Ciobotaru, R., Tas, A.A. and Khan, T.A., 2024. Healthiness of meat-based products in comparison to their plant-based alternatives in the UK market: a packaging evaluation. </w:t>
      </w:r>
      <w:r>
        <w:rPr>
          <w:i/>
          <w:iCs/>
        </w:rPr>
        <w:t>Foods</w:t>
      </w:r>
      <w:r>
        <w:rPr/>
        <w:t>, </w:t>
      </w:r>
      <w:r>
        <w:rPr>
          <w:i/>
          <w:iCs/>
        </w:rPr>
        <w:t>13</w:t>
      </w:r>
      <w:r>
        <w:rPr/>
        <w:t>(21), p.3346.</w:t>
      </w:r>
    </w:p>
    <w:p>
      <w:pPr>
        <w:pStyle w:val="Normal"/>
        <w:rPr/>
      </w:pPr>
      <w:r>
        <w:rPr/>
        <w:t>Garcia del Toro, T., Pontin, F., Oldroyd, R., Clark, S. and Lomax, N., 2023. Customer trends in take-away purchasing: Geospatial patterns of online food delivery platform usage in UK output areas. </w:t>
      </w:r>
      <w:r>
        <w:rPr>
          <w:i/>
          <w:iCs/>
        </w:rPr>
        <w:t>International Journal of Population Data Science</w:t>
      </w:r>
      <w:r>
        <w:rPr/>
        <w:t>, </w:t>
      </w:r>
      <w:r>
        <w:rPr>
          <w:i/>
          <w:iCs/>
        </w:rPr>
        <w:t>8</w:t>
      </w:r>
      <w:r>
        <w:rPr/>
        <w:t>(3), p.10.</w:t>
      </w:r>
    </w:p>
    <w:p>
      <w:pPr>
        <w:pStyle w:val="Normal"/>
        <w:rPr/>
      </w:pPr>
      <w:r>
        <w:rPr/>
        <w:t>George, J.S., 2024. Food city: ahmedabad as a globalised vegetarian space. </w:t>
      </w:r>
      <w:r>
        <w:rPr>
          <w:i/>
          <w:iCs/>
        </w:rPr>
        <w:t>South Asia Research</w:t>
      </w:r>
      <w:r>
        <w:rPr/>
        <w:t>, </w:t>
      </w:r>
      <w:r>
        <w:rPr>
          <w:i/>
          <w:iCs/>
        </w:rPr>
        <w:t>44</w:t>
      </w:r>
      <w:r>
        <w:rPr/>
        <w:t>(2), pp.194-211.</w:t>
      </w:r>
    </w:p>
    <w:p>
      <w:pPr>
        <w:pStyle w:val="Normal"/>
        <w:rPr/>
      </w:pPr>
      <w:r>
        <w:rPr/>
        <w:t>Gupta, A., Huggins, C.E., Salahshoornezhad, S., Bennett, R., Backholer, K. and Peeters, A., 2025. Digital marketing techniques within online food retail platforms: a scoping review. </w:t>
      </w:r>
      <w:r>
        <w:rPr>
          <w:i/>
          <w:iCs/>
        </w:rPr>
        <w:t>BMC medicine</w:t>
      </w:r>
      <w:r>
        <w:rPr/>
        <w:t>, </w:t>
      </w:r>
      <w:r>
        <w:rPr>
          <w:i/>
          <w:iCs/>
        </w:rPr>
        <w:t>24</w:t>
      </w:r>
      <w:r>
        <w:rPr/>
        <w:t>(1), p.30.</w:t>
      </w:r>
    </w:p>
    <w:p>
      <w:pPr>
        <w:pStyle w:val="Normal"/>
        <w:rPr/>
      </w:pPr>
      <w:r>
        <w:rPr/>
        <w:t>Hamad, H.K., 2024. Balancing Consistency And Personalization In Hospitality.</w:t>
      </w:r>
    </w:p>
    <w:p>
      <w:pPr>
        <w:pStyle w:val="Normal"/>
        <w:rPr/>
      </w:pPr>
      <w:r>
        <w:rPr/>
        <w:t>Haninda, R.N. and Grandis, D.T., 2025. ANALYSIS OF THE 7P MARKETING MIX STRATEGY TO ATTRACT CONSUMER INTEREST (CASE STUDY: PIZZA HUT DARMO SURABAYA). </w:t>
      </w:r>
      <w:r>
        <w:rPr>
          <w:i/>
          <w:iCs/>
        </w:rPr>
        <w:t>Jurnal Baruna Horizon</w:t>
      </w:r>
      <w:r>
        <w:rPr/>
        <w:t>, </w:t>
      </w:r>
      <w:r>
        <w:rPr>
          <w:i/>
          <w:iCs/>
        </w:rPr>
        <w:t>8</w:t>
      </w:r>
      <w:r>
        <w:rPr/>
        <w:t>(1), pp.65-74.</w:t>
      </w:r>
    </w:p>
    <w:p>
      <w:pPr>
        <w:pStyle w:val="Normal"/>
        <w:rPr/>
      </w:pPr>
      <w:r>
        <w:rPr/>
        <w:t>Hirth, S., Boons, F. and Doherty, B., 2021. Unpacking food to go: Packaging and food waste of on the go provisioning practices in the UK. </w:t>
      </w:r>
      <w:r>
        <w:rPr>
          <w:i/>
          <w:iCs/>
        </w:rPr>
        <w:t>Geoforum</w:t>
      </w:r>
      <w:r>
        <w:rPr/>
        <w:t>, </w:t>
      </w:r>
      <w:r>
        <w:rPr>
          <w:i/>
          <w:iCs/>
        </w:rPr>
        <w:t>126</w:t>
      </w:r>
      <w:r>
        <w:rPr/>
        <w:t>, pp.115-125.</w:t>
      </w:r>
    </w:p>
    <w:p>
      <w:pPr>
        <w:pStyle w:val="Normal"/>
        <w:rPr/>
      </w:pPr>
      <w:r>
        <w:rPr/>
        <w:t xml:space="preserve">IBEF, 2026. </w:t>
      </w:r>
      <w:r>
        <w:rPr>
          <w:i/>
          <w:iCs/>
        </w:rPr>
        <w:t>Indian Economy Growth Rate, GDP &amp; Economic Structure.</w:t>
      </w:r>
      <w:r>
        <w:rPr/>
        <w:t xml:space="preserve"> [online] available at </w:t>
      </w:r>
      <w:hyperlink r:id="rId9">
        <w:r>
          <w:rPr>
            <w:rStyle w:val="Hyperlink"/>
          </w:rPr>
          <w:t>https://www.ibef.org/economy/indian-economy-overview</w:t>
        </w:r>
      </w:hyperlink>
    </w:p>
    <w:p>
      <w:pPr>
        <w:pStyle w:val="Normal"/>
        <w:rPr/>
      </w:pPr>
      <w:r>
        <w:rPr/>
        <w:t>Isaacs, A., Neve, K., Halligan, J. and Hawkes, C., 2020. How do families living in low-income areas engage with the food environment, and what does this mean for effective obesity prevention policies?.</w:t>
      </w:r>
    </w:p>
    <w:p>
      <w:pPr>
        <w:pStyle w:val="Normal"/>
        <w:rPr/>
      </w:pPr>
      <w:r>
        <w:rPr/>
        <w:t>Kassim, M.A.Z., 2023. Pizza Hut Restaurants Sdn Bhd.</w:t>
      </w:r>
    </w:p>
    <w:p>
      <w:pPr>
        <w:pStyle w:val="Normal"/>
        <w:rPr/>
      </w:pPr>
      <w:r>
        <w:rPr/>
        <w:t>Manhas, P.S., Sharma, P. and Quintela, J.A., 2024. Product innovation and customer experience: Catalysts for enhancing satisfaction in quick service restaurants. </w:t>
      </w:r>
      <w:r>
        <w:rPr>
          <w:i/>
          <w:iCs/>
        </w:rPr>
        <w:t>Tourism and Hospitality</w:t>
      </w:r>
      <w:r>
        <w:rPr/>
        <w:t>, </w:t>
      </w:r>
      <w:r>
        <w:rPr>
          <w:i/>
          <w:iCs/>
        </w:rPr>
        <w:t>5</w:t>
      </w:r>
      <w:r>
        <w:rPr/>
        <w:t>(3), pp.559-576.</w:t>
      </w:r>
    </w:p>
    <w:p>
      <w:pPr>
        <w:pStyle w:val="Normal"/>
        <w:rPr/>
      </w:pPr>
      <w:r>
        <w:rPr/>
        <w:t xml:space="preserve">Pizza Hut, 2026. </w:t>
      </w:r>
      <w:r>
        <w:rPr>
          <w:i/>
          <w:iCs/>
        </w:rPr>
        <w:t>ABOUT PIZZA HUT.</w:t>
      </w:r>
      <w:r>
        <w:rPr/>
        <w:t xml:space="preserve"> [online] available at </w:t>
      </w:r>
      <w:hyperlink r:id="rId10">
        <w:r>
          <w:rPr>
            <w:rStyle w:val="Hyperlink"/>
          </w:rPr>
          <w:t>https://www.pizzahut.co.in/aboutus</w:t>
        </w:r>
      </w:hyperlink>
    </w:p>
    <w:p>
      <w:pPr>
        <w:pStyle w:val="Normal"/>
        <w:rPr/>
      </w:pPr>
      <w:r>
        <w:rPr/>
        <w:t>Raghunathan, K., Headey, D. and Herforth, A., 2021. Affordability of nutritious diets in rural India. </w:t>
      </w:r>
      <w:r>
        <w:rPr>
          <w:i/>
          <w:iCs/>
        </w:rPr>
        <w:t>Food policy</w:t>
      </w:r>
      <w:r>
        <w:rPr/>
        <w:t>, </w:t>
      </w:r>
      <w:r>
        <w:rPr>
          <w:i/>
          <w:iCs/>
        </w:rPr>
        <w:t>99</w:t>
      </w:r>
      <w:r>
        <w:rPr/>
        <w:t>, p.101982.</w:t>
      </w:r>
    </w:p>
    <w:p>
      <w:pPr>
        <w:pStyle w:val="Normal"/>
        <w:rPr/>
      </w:pPr>
      <w:r>
        <w:rPr/>
        <w:t>Rizzuti, A., 2022. Organised food crime: an analysis of the involvements of organised crime groups in the food sector in England and Italy. </w:t>
      </w:r>
      <w:r>
        <w:rPr>
          <w:i/>
          <w:iCs/>
        </w:rPr>
        <w:t>Crime, Law and Social Change</w:t>
      </w:r>
      <w:r>
        <w:rPr/>
        <w:t>, </w:t>
      </w:r>
      <w:r>
        <w:rPr>
          <w:i/>
          <w:iCs/>
        </w:rPr>
        <w:t>78</w:t>
      </w:r>
      <w:r>
        <w:rPr/>
        <w:t>(5), pp.463-482.</w:t>
      </w:r>
    </w:p>
    <w:p>
      <w:pPr>
        <w:pStyle w:val="Normal"/>
        <w:rPr/>
      </w:pPr>
      <w:r>
        <w:rPr/>
        <w:t>Singh, N. and Rani, J., 2025. Experimental retail: Conceptualizing immersive and memorable shopping journeys. In </w:t>
      </w:r>
      <w:r>
        <w:rPr>
          <w:i/>
          <w:iCs/>
        </w:rPr>
        <w:t>Retail Innovations in Business Models</w:t>
      </w:r>
      <w:r>
        <w:rPr/>
        <w:t> (pp. 31-50). IGI Global Scientific Publishing.</w:t>
      </w:r>
    </w:p>
    <w:p>
      <w:pPr>
        <w:pStyle w:val="Normal"/>
        <w:rPr/>
      </w:pPr>
      <w:r>
        <w:rPr/>
        <w:t>Tariq, M. and Khan, N., 2025. Launching an online restaurant startup: a study of consumer behaviour and demand assessment in food delivery service.</w:t>
      </w:r>
    </w:p>
    <w:p>
      <w:pPr>
        <w:pStyle w:val="Normal"/>
        <w:rPr/>
      </w:pPr>
      <w:r>
        <w:rPr/>
        <w:t>Teoh, K.B., Cordova, M., Hasanah, N.N., Utama, A.G.S., Syazana, A., Kee, D.M.H., Azrul, A., Raziq, A. and Ang, B.L., 2021. Factors Influencing Customers’ Purchasing Behavior and Satisfaction in Pizza Hut. </w:t>
      </w:r>
      <w:r>
        <w:rPr>
          <w:i/>
          <w:iCs/>
        </w:rPr>
        <w:t>Advances in Global Economics and Business Journal</w:t>
      </w:r>
      <w:r>
        <w:rPr/>
        <w:t>, </w:t>
      </w:r>
      <w:r>
        <w:rPr>
          <w:i/>
          <w:iCs/>
        </w:rPr>
        <w:t>2</w:t>
      </w:r>
      <w:r>
        <w:rPr/>
        <w:t>(1), pp.39-56.</w:t>
      </w:r>
    </w:p>
    <w:p>
      <w:pPr>
        <w:pStyle w:val="Normal"/>
        <w:rPr/>
      </w:pPr>
      <w:r>
        <w:rPr/>
        <w:t>Wahyudi, A.Y. and Cervantes, M., 2024. Financial Risk Management in Global Expansion: Which Market Entry Strategy is the Most Effective in Financial Risk Management?. In </w:t>
      </w:r>
      <w:r>
        <w:rPr>
          <w:i/>
          <w:iCs/>
        </w:rPr>
        <w:t>The Proceedings of the ASEAN School of Business Network International Conference</w:t>
      </w:r>
      <w:r>
        <w:rPr/>
        <w:t> (Vol. 1, pp. 345-368).</w:t>
      </w:r>
    </w:p>
    <w:p>
      <w:pPr>
        <w:pStyle w:val="Normal"/>
        <w:rPr/>
      </w:pPr>
      <w:r>
        <w:rPr/>
        <w:t xml:space="preserve">World Bank, 2026. </w:t>
      </w:r>
      <w:r>
        <w:rPr>
          <w:i/>
          <w:iCs/>
        </w:rPr>
        <w:t>UK.</w:t>
      </w:r>
      <w:r>
        <w:rPr/>
        <w:t xml:space="preserve"> [online] available at </w:t>
      </w:r>
      <w:hyperlink r:id="rId11">
        <w:r>
          <w:rPr>
            <w:rStyle w:val="Hyperlink"/>
          </w:rPr>
          <w:t>https://data.worldbank.org/country/united-kingdom</w:t>
        </w:r>
      </w:hyperlink>
    </w:p>
    <w:p>
      <w:pPr>
        <w:pStyle w:val="Normal"/>
        <w:rPr/>
      </w:pPr>
      <w:r>
        <w:rPr/>
        <w:t xml:space="preserve">World bank, 2026a. </w:t>
      </w:r>
      <w:r>
        <w:rPr>
          <w:i/>
          <w:iCs/>
        </w:rPr>
        <w:t>Individuals using the Internet (% of population) - United Kingdom.</w:t>
      </w:r>
      <w:r>
        <w:rPr/>
        <w:t xml:space="preserve"> [online] available at </w:t>
      </w:r>
      <w:hyperlink r:id="rId12">
        <w:r>
          <w:rPr>
            <w:rStyle w:val="Hyperlink"/>
          </w:rPr>
          <w:t>https://data.worldbank.org/indicator/IT.NET.USER.ZS?locations=GB</w:t>
        </w:r>
      </w:hyperlink>
    </w:p>
    <w:p>
      <w:pPr>
        <w:pStyle w:val="Normal"/>
        <w:rPr/>
      </w:pPr>
      <w:r>
        <w:rPr/>
        <w:t>Xu, J.H., 2022. Constructing the consumer in the digital culture: American brands and China’s Generation Z. In </w:t>
      </w:r>
      <w:r>
        <w:rPr>
          <w:i/>
          <w:iCs/>
        </w:rPr>
        <w:t>Dismantling Cultural Borders Through Social Media and Digital Communications: How Networked Communities Compromise Identity</w:t>
      </w:r>
      <w:r>
        <w:rPr/>
        <w:t> (pp. 307-329). Cham: Springer International Publishing.</w:t>
      </w:r>
    </w:p>
    <w:p>
      <w:pPr>
        <w:pStyle w:val="Normal"/>
        <w:rPr/>
      </w:pPr>
      <w:r>
        <w:rPr/>
      </w:r>
    </w:p>
    <w:p>
      <w:pPr>
        <w:pStyle w:val="Normal"/>
        <w:widowControl/>
        <w:bidi w:val="0"/>
        <w:spacing w:lineRule="auto" w:line="360" w:before="120" w:after="120"/>
        <w:jc w:val="both"/>
        <w:rPr/>
      </w:pPr>
      <w:r>
        <w:rPr/>
      </w:r>
    </w:p>
    <w:sectPr>
      <w:footerReference w:type="even" r:id="rId13"/>
      <w:footerReference w:type="default" r:id="rId14"/>
      <w:footerReference w:type="first" r:id="rId15"/>
      <w:type w:val="nextPage"/>
      <w:pgSz w:w="11906" w:h="16838"/>
      <w:pgMar w:left="1440" w:right="1440" w:gutter="0" w:header="0" w:top="1440" w:footer="708" w:bottom="1440"/>
      <w:pgBorders w:display="allPages" w:offsetFrom="page">
        <w:top w:val="thinThickSmallGap" w:sz="24" w:space="24" w:color="000000"/>
        <w:left w:val="thinThickSmallGap" w:sz="24" w:space="24" w:color="000000"/>
        <w:bottom w:val="thickThinSmallGap" w:sz="24" w:space="24" w:color="000000"/>
        <w:right w:val="thickThinSmallGap" w:sz="24" w:space="24" w:color="000000"/>
      </w:pgBorders>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ptos">
    <w:charset w:val="00" w:characterSet="windows-1252"/>
    <w:family w:val="roman"/>
    <w:pitch w:val="variable"/>
  </w:font>
  <w:font w:name="Aptos">
    <w:charset w:val="00" w:characterSet="windows-1252"/>
    <w:family w:val="swiss"/>
    <w:pitch w:val="variable"/>
  </w:font>
  <w:font w:name="Aptos Display">
    <w:charset w:val="00" w:characterSet="windows-1252"/>
    <w:family w:val="roman"/>
    <w:pitch w:val="variable"/>
  </w:font>
  <w:font w:name="Liberation Sans">
    <w:altName w:val="Arial"/>
    <w:charset w:val="00" w:characterSet="windows-1252"/>
    <w:family w:val="swiss"/>
    <w:pitch w:val="variable"/>
  </w:font>
  <w:font w:name="Aptos Display">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967569704"/>
      <w:docPartObj>
        <w:docPartGallery w:val="Page Numbers (Bottom of Page)"/>
        <w:docPartUnique w:val="true"/>
      </w:docPartObj>
    </w:sdtPr>
    <w:sdtContent>
      <w:p>
        <w:pPr>
          <w:pStyle w:val="Footer"/>
          <w:rPr/>
        </w:pPr>
        <w:r>
          <w:rPr/>
          <w:fldChar w:fldCharType="begin"/>
        </w:r>
        <w:r>
          <w:rPr/>
          <w:instrText xml:space="preserve"> PAGE </w:instrText>
        </w:r>
        <w:r>
          <w:rPr/>
          <w:fldChar w:fldCharType="separate"/>
        </w:r>
        <w:r>
          <w:rPr/>
          <w:t>26</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967569704"/>
      <w:docPartObj>
        <w:docPartGallery w:val="Page Numbers (Bottom of Page)"/>
        <w:docPartUnique w:val="true"/>
      </w:docPartObj>
    </w:sdtPr>
    <w:sdtContent>
      <w:p>
        <w:pPr>
          <w:pStyle w:val="Footer"/>
          <w:rPr/>
        </w:pPr>
        <w:r>
          <w:rPr/>
          <w:fldChar w:fldCharType="begin"/>
        </w:r>
        <w:r>
          <w:rPr/>
          <w:instrText xml:space="preserve"> PAGE </w:instrText>
        </w:r>
        <w:r>
          <w:rPr/>
          <w:fldChar w:fldCharType="separate"/>
        </w:r>
        <w:r>
          <w:rPr/>
          <w:t>26</w:t>
        </w:r>
        <w:r>
          <w:rPr/>
          <w:fldChar w:fldCharType="end"/>
        </w:r>
      </w:p>
    </w:sdtContent>
  </w:sdt>
  <w:p>
    <w:pPr>
      <w:pStyle w:val="Footer"/>
      <w:rPr/>
    </w:pPr>
    <w:r>
      <w:rPr/>
    </w:r>
  </w:p>
</w:ftr>
</file>

<file path=word/settings.xml><?xml version="1.0" encoding="utf-8"?>
<w:settings xmlns:w="http://schemas.openxmlformats.org/wordprocessingml/2006/main">
  <w:zoom w:percent="8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QwNzAxszS3NDY3N7JU0lEKTi0uzszPAykwrAUAgz7+1ywAAAA="/>
  </w:docVars>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sz w:val="22"/>
        <w:szCs w:val="22"/>
        <w:lang w:val="en-IN"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70193"/>
    <w:pPr>
      <w:widowControl/>
      <w:bidi w:val="0"/>
      <w:spacing w:lineRule="auto" w:line="360" w:before="120" w:after="120"/>
      <w:jc w:val="both"/>
    </w:pPr>
    <w:rPr>
      <w:rFonts w:ascii="Arial" w:hAnsi="Arial" w:eastAsia="Aptos" w:cs="" w:cstheme="minorBidi" w:eastAsiaTheme="minorHAnsi"/>
      <w:color w:val="auto"/>
      <w:kern w:val="0"/>
      <w:sz w:val="24"/>
      <w:szCs w:val="22"/>
      <w:lang w:val="en-GB" w:eastAsia="en-US" w:bidi="ar-SA"/>
    </w:rPr>
  </w:style>
  <w:style w:type="paragraph" w:styleId="Heading1">
    <w:name w:val="heading 1"/>
    <w:basedOn w:val="Normal"/>
    <w:next w:val="Normal"/>
    <w:link w:val="Heading1Char"/>
    <w:autoRedefine/>
    <w:uiPriority w:val="9"/>
    <w:qFormat/>
    <w:rsid w:val="00d93aa0"/>
    <w:pPr>
      <w:keepNext w:val="true"/>
      <w:keepLines/>
      <w:outlineLvl w:val="0"/>
    </w:pPr>
    <w:rPr>
      <w:rFonts w:eastAsia="" w:eastAsiaTheme="majorEastAsia"/>
      <w:b/>
      <w:bCs/>
      <w:color w:themeColor="text1" w:val="000000"/>
      <w:kern w:val="2"/>
      <w:szCs w:val="48"/>
      <w:lang w:eastAsia="en-IN"/>
    </w:rPr>
  </w:style>
  <w:style w:type="paragraph" w:styleId="Heading2">
    <w:name w:val="heading 2"/>
    <w:basedOn w:val="Normal"/>
    <w:next w:val="Normal"/>
    <w:link w:val="Heading2Char"/>
    <w:autoRedefine/>
    <w:uiPriority w:val="9"/>
    <w:unhideWhenUsed/>
    <w:qFormat/>
    <w:rsid w:val="00d93aa0"/>
    <w:pPr>
      <w:keepNext w:val="true"/>
      <w:keepLines/>
      <w:outlineLvl w:val="1"/>
    </w:pPr>
    <w:rPr>
      <w:rFonts w:eastAsia="" w:cs="" w:cstheme="majorBidi" w:eastAsiaTheme="majorEastAsia"/>
      <w:b/>
      <w:i/>
      <w:szCs w:val="32"/>
      <w:u w:val="single"/>
    </w:rPr>
  </w:style>
  <w:style w:type="paragraph" w:styleId="Heading3">
    <w:name w:val="heading 3"/>
    <w:basedOn w:val="Normal"/>
    <w:next w:val="Normal"/>
    <w:link w:val="Heading3Char"/>
    <w:uiPriority w:val="9"/>
    <w:unhideWhenUsed/>
    <w:qFormat/>
    <w:rsid w:val="00600139"/>
    <w:pPr>
      <w:keepNext w:val="true"/>
      <w:keepLines/>
      <w:outlineLvl w:val="2"/>
    </w:pPr>
    <w:rPr>
      <w:rFonts w:eastAsia="" w:cs="" w:cstheme="majorBidi" w:eastAsiaTheme="majorEastAsia"/>
      <w:b/>
      <w:i/>
      <w:color w:themeColor="text1" w:val="000000"/>
      <w:szCs w:val="28"/>
    </w:rPr>
  </w:style>
  <w:style w:type="paragraph" w:styleId="Heading4">
    <w:name w:val="heading 4"/>
    <w:basedOn w:val="Normal"/>
    <w:next w:val="Normal"/>
    <w:link w:val="Heading4Char"/>
    <w:uiPriority w:val="9"/>
    <w:semiHidden/>
    <w:unhideWhenUsed/>
    <w:qFormat/>
    <w:rsid w:val="00f965a9"/>
    <w:pPr>
      <w:keepNext w:val="true"/>
      <w:keepLines/>
      <w:spacing w:before="80" w:after="40"/>
      <w:outlineLvl w:val="3"/>
    </w:pPr>
    <w:rPr>
      <w:rFonts w:ascii="Aptos" w:hAnsi="Aptos" w:eastAsia="" w:cs="" w:asciiTheme="minorHAnsi" w:cstheme="majorBidi" w:eastAsiaTheme="majorEastAsia" w:hAnsiTheme="minorHAnsi"/>
      <w:i/>
      <w:iCs/>
      <w:color w:themeColor="accent1" w:themeShade="bf" w:val="0F4761"/>
    </w:rPr>
  </w:style>
  <w:style w:type="paragraph" w:styleId="Heading5">
    <w:name w:val="heading 5"/>
    <w:basedOn w:val="Normal"/>
    <w:next w:val="Normal"/>
    <w:link w:val="Heading5Char"/>
    <w:uiPriority w:val="9"/>
    <w:semiHidden/>
    <w:unhideWhenUsed/>
    <w:qFormat/>
    <w:rsid w:val="00f965a9"/>
    <w:pPr>
      <w:keepNext w:val="true"/>
      <w:keepLines/>
      <w:spacing w:before="80" w:after="40"/>
      <w:outlineLvl w:val="4"/>
    </w:pPr>
    <w:rPr>
      <w:rFonts w:ascii="Aptos" w:hAnsi="Aptos" w:eastAsia="" w:cs="" w:asciiTheme="minorHAnsi" w:cstheme="majorBidi" w:eastAsiaTheme="majorEastAsia" w:hAnsiTheme="minorHAnsi"/>
      <w:color w:themeColor="accent1" w:themeShade="bf" w:val="0F4761"/>
    </w:rPr>
  </w:style>
  <w:style w:type="paragraph" w:styleId="Heading6">
    <w:name w:val="heading 6"/>
    <w:basedOn w:val="Normal"/>
    <w:next w:val="Normal"/>
    <w:link w:val="Heading6Char"/>
    <w:uiPriority w:val="9"/>
    <w:semiHidden/>
    <w:unhideWhenUsed/>
    <w:qFormat/>
    <w:rsid w:val="00f965a9"/>
    <w:pPr>
      <w:keepNext w:val="true"/>
      <w:keepLines/>
      <w:spacing w:before="40" w:after="0"/>
      <w:outlineLvl w:val="5"/>
    </w:pPr>
    <w:rPr>
      <w:rFonts w:ascii="Aptos" w:hAnsi="Aptos" w:eastAsia="" w:cs="" w:asciiTheme="minorHAnsi" w:cstheme="majorBidi" w:eastAsiaTheme="majorEastAsia" w:hAnsiTheme="minorHAnsi"/>
      <w:i/>
      <w:iCs/>
      <w:color w:themeColor="text1" w:themeTint="a6" w:val="595959"/>
    </w:rPr>
  </w:style>
  <w:style w:type="paragraph" w:styleId="Heading7">
    <w:name w:val="heading 7"/>
    <w:basedOn w:val="Normal"/>
    <w:next w:val="Normal"/>
    <w:link w:val="Heading7Char"/>
    <w:uiPriority w:val="9"/>
    <w:semiHidden/>
    <w:unhideWhenUsed/>
    <w:qFormat/>
    <w:rsid w:val="00f965a9"/>
    <w:pPr>
      <w:keepNext w:val="true"/>
      <w:keepLines/>
      <w:spacing w:before="40" w:after="0"/>
      <w:outlineLvl w:val="6"/>
    </w:pPr>
    <w:rPr>
      <w:rFonts w:ascii="Aptos" w:hAnsi="Aptos" w:eastAsia="" w:cs="" w:asciiTheme="minorHAnsi" w:cstheme="majorBidi" w:eastAsiaTheme="majorEastAsia" w:hAnsiTheme="minorHAnsi"/>
      <w:color w:themeColor="text1" w:themeTint="a6" w:val="595959"/>
    </w:rPr>
  </w:style>
  <w:style w:type="paragraph" w:styleId="Heading8">
    <w:name w:val="heading 8"/>
    <w:basedOn w:val="Normal"/>
    <w:next w:val="Normal"/>
    <w:link w:val="Heading8Char"/>
    <w:uiPriority w:val="9"/>
    <w:semiHidden/>
    <w:unhideWhenUsed/>
    <w:qFormat/>
    <w:rsid w:val="00f965a9"/>
    <w:pPr>
      <w:keepNext w:val="true"/>
      <w:keepLines/>
      <w:spacing w:before="0" w:after="0"/>
      <w:outlineLvl w:val="7"/>
    </w:pPr>
    <w:rPr>
      <w:rFonts w:ascii="Aptos" w:hAnsi="Aptos" w:eastAsia="" w:cs="" w:asciiTheme="minorHAnsi" w:cstheme="majorBidi" w:eastAsiaTheme="majorEastAsia" w:hAnsiTheme="minorHAnsi"/>
      <w:i/>
      <w:iCs/>
      <w:color w:themeColor="text1" w:themeTint="d8" w:val="272727"/>
    </w:rPr>
  </w:style>
  <w:style w:type="paragraph" w:styleId="Heading9">
    <w:name w:val="heading 9"/>
    <w:basedOn w:val="Normal"/>
    <w:next w:val="Normal"/>
    <w:link w:val="Heading9Char"/>
    <w:uiPriority w:val="9"/>
    <w:semiHidden/>
    <w:unhideWhenUsed/>
    <w:qFormat/>
    <w:rsid w:val="00f965a9"/>
    <w:pPr>
      <w:keepNext w:val="true"/>
      <w:keepLines/>
      <w:spacing w:before="0" w:after="0"/>
      <w:outlineLvl w:val="8"/>
    </w:pPr>
    <w:rPr>
      <w:rFonts w:ascii="Aptos" w:hAnsi="Aptos" w:eastAsia="" w:cs="" w:asciiTheme="minorHAnsi" w:cstheme="majorBidi" w:eastAsiaTheme="majorEastAsia" w:hAnsiTheme="minorHAnsi"/>
      <w:color w:themeColor="text1" w:themeTint="d8" w:val="272727"/>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d93aa0"/>
    <w:rPr>
      <w:rFonts w:ascii="Times New Roman" w:hAnsi="Times New Roman" w:eastAsia="" w:eastAsiaTheme="majorEastAsia"/>
      <w:b/>
      <w:bCs/>
      <w:color w:themeColor="text1" w:val="000000"/>
      <w:kern w:val="2"/>
      <w:sz w:val="24"/>
      <w:szCs w:val="48"/>
      <w:lang w:eastAsia="en-IN"/>
    </w:rPr>
  </w:style>
  <w:style w:type="character" w:styleId="Heading2Char" w:customStyle="1">
    <w:name w:val="Heading 2 Char"/>
    <w:basedOn w:val="DefaultParagraphFont"/>
    <w:link w:val="Heading2"/>
    <w:uiPriority w:val="9"/>
    <w:qFormat/>
    <w:rsid w:val="00d93aa0"/>
    <w:rPr>
      <w:rFonts w:ascii="Times New Roman" w:hAnsi="Times New Roman" w:eastAsia="" w:cs="" w:cstheme="majorBidi" w:eastAsiaTheme="majorEastAsia"/>
      <w:b/>
      <w:i/>
      <w:sz w:val="24"/>
      <w:szCs w:val="32"/>
      <w:u w:val="single"/>
    </w:rPr>
  </w:style>
  <w:style w:type="character" w:styleId="BodyTextChar" w:customStyle="1">
    <w:name w:val="Body Text Char"/>
    <w:basedOn w:val="DefaultParagraphFont"/>
    <w:uiPriority w:val="1"/>
    <w:qFormat/>
    <w:rsid w:val="00c77653"/>
    <w:rPr>
      <w:rFonts w:ascii="Times New Roman" w:hAnsi="Times New Roman" w:eastAsia="Times New Roman" w:cs="Times New Roman"/>
      <w:lang w:val="en-US"/>
    </w:rPr>
  </w:style>
  <w:style w:type="character" w:styleId="Heading3Char" w:customStyle="1">
    <w:name w:val="Heading 3 Char"/>
    <w:basedOn w:val="DefaultParagraphFont"/>
    <w:link w:val="Heading3"/>
    <w:uiPriority w:val="9"/>
    <w:qFormat/>
    <w:rsid w:val="00600139"/>
    <w:rPr>
      <w:rFonts w:ascii="Times New Roman" w:hAnsi="Times New Roman" w:eastAsia="" w:cs="" w:cstheme="majorBidi" w:eastAsiaTheme="majorEastAsia"/>
      <w:b/>
      <w:i/>
      <w:color w:themeColor="text1" w:val="000000"/>
      <w:kern w:val="2"/>
      <w:sz w:val="24"/>
      <w:szCs w:val="28"/>
      <w14:ligatures w14:val="standardContextual"/>
    </w:rPr>
  </w:style>
  <w:style w:type="character" w:styleId="Heading4Char" w:customStyle="1">
    <w:name w:val="Heading 4 Char"/>
    <w:basedOn w:val="DefaultParagraphFont"/>
    <w:link w:val="Heading4"/>
    <w:uiPriority w:val="9"/>
    <w:semiHidden/>
    <w:qFormat/>
    <w:rsid w:val="00f965a9"/>
    <w:rPr>
      <w:rFonts w:eastAsia="" w:cs="" w:cstheme="majorBidi" w:eastAsiaTheme="majorEastAsia"/>
      <w:i/>
      <w:iCs/>
      <w:color w:themeColor="accent1" w:themeShade="bf" w:val="0F4761"/>
      <w:sz w:val="24"/>
      <w:lang w:val="en-GB"/>
    </w:rPr>
  </w:style>
  <w:style w:type="character" w:styleId="Heading5Char" w:customStyle="1">
    <w:name w:val="Heading 5 Char"/>
    <w:basedOn w:val="DefaultParagraphFont"/>
    <w:link w:val="Heading5"/>
    <w:uiPriority w:val="9"/>
    <w:semiHidden/>
    <w:qFormat/>
    <w:rsid w:val="00f965a9"/>
    <w:rPr>
      <w:rFonts w:eastAsia="" w:cs="" w:cstheme="majorBidi" w:eastAsiaTheme="majorEastAsia"/>
      <w:color w:themeColor="accent1" w:themeShade="bf" w:val="0F4761"/>
      <w:sz w:val="24"/>
      <w:lang w:val="en-GB"/>
    </w:rPr>
  </w:style>
  <w:style w:type="character" w:styleId="Heading6Char" w:customStyle="1">
    <w:name w:val="Heading 6 Char"/>
    <w:basedOn w:val="DefaultParagraphFont"/>
    <w:link w:val="Heading6"/>
    <w:uiPriority w:val="9"/>
    <w:semiHidden/>
    <w:qFormat/>
    <w:rsid w:val="00f965a9"/>
    <w:rPr>
      <w:rFonts w:eastAsia="" w:cs="" w:cstheme="majorBidi" w:eastAsiaTheme="majorEastAsia"/>
      <w:i/>
      <w:iCs/>
      <w:color w:themeColor="text1" w:themeTint="a6" w:val="595959"/>
      <w:sz w:val="24"/>
      <w:lang w:val="en-GB"/>
    </w:rPr>
  </w:style>
  <w:style w:type="character" w:styleId="Heading7Char" w:customStyle="1">
    <w:name w:val="Heading 7 Char"/>
    <w:basedOn w:val="DefaultParagraphFont"/>
    <w:link w:val="Heading7"/>
    <w:uiPriority w:val="9"/>
    <w:semiHidden/>
    <w:qFormat/>
    <w:rsid w:val="00f965a9"/>
    <w:rPr>
      <w:rFonts w:eastAsia="" w:cs="" w:cstheme="majorBidi" w:eastAsiaTheme="majorEastAsia"/>
      <w:color w:themeColor="text1" w:themeTint="a6" w:val="595959"/>
      <w:sz w:val="24"/>
      <w:lang w:val="en-GB"/>
    </w:rPr>
  </w:style>
  <w:style w:type="character" w:styleId="Heading8Char" w:customStyle="1">
    <w:name w:val="Heading 8 Char"/>
    <w:basedOn w:val="DefaultParagraphFont"/>
    <w:link w:val="Heading8"/>
    <w:uiPriority w:val="9"/>
    <w:semiHidden/>
    <w:qFormat/>
    <w:rsid w:val="00f965a9"/>
    <w:rPr>
      <w:rFonts w:eastAsia="" w:cs="" w:cstheme="majorBidi" w:eastAsiaTheme="majorEastAsia"/>
      <w:i/>
      <w:iCs/>
      <w:color w:themeColor="text1" w:themeTint="d8" w:val="272727"/>
      <w:sz w:val="24"/>
      <w:lang w:val="en-GB"/>
    </w:rPr>
  </w:style>
  <w:style w:type="character" w:styleId="Heading9Char" w:customStyle="1">
    <w:name w:val="Heading 9 Char"/>
    <w:basedOn w:val="DefaultParagraphFont"/>
    <w:link w:val="Heading9"/>
    <w:uiPriority w:val="9"/>
    <w:semiHidden/>
    <w:qFormat/>
    <w:rsid w:val="00f965a9"/>
    <w:rPr>
      <w:rFonts w:eastAsia="" w:cs="" w:cstheme="majorBidi" w:eastAsiaTheme="majorEastAsia"/>
      <w:color w:themeColor="text1" w:themeTint="d8" w:val="272727"/>
      <w:sz w:val="24"/>
      <w:lang w:val="en-GB"/>
    </w:rPr>
  </w:style>
  <w:style w:type="character" w:styleId="TitleChar" w:customStyle="1">
    <w:name w:val="Title Char"/>
    <w:basedOn w:val="DefaultParagraphFont"/>
    <w:link w:val="Title"/>
    <w:uiPriority w:val="10"/>
    <w:qFormat/>
    <w:rsid w:val="00f965a9"/>
    <w:rPr>
      <w:rFonts w:ascii="Aptos Display" w:hAnsi="Aptos Display" w:eastAsia="" w:cs="" w:asciiTheme="majorHAnsi" w:cstheme="majorBidi" w:eastAsiaTheme="majorEastAsia" w:hAnsiTheme="majorHAnsi"/>
      <w:spacing w:val="-10"/>
      <w:kern w:val="2"/>
      <w:sz w:val="56"/>
      <w:szCs w:val="56"/>
      <w:lang w:val="en-GB"/>
    </w:rPr>
  </w:style>
  <w:style w:type="character" w:styleId="SubtitleChar" w:customStyle="1">
    <w:name w:val="Subtitle Char"/>
    <w:basedOn w:val="DefaultParagraphFont"/>
    <w:link w:val="Subtitle"/>
    <w:uiPriority w:val="11"/>
    <w:qFormat/>
    <w:rsid w:val="00f965a9"/>
    <w:rPr>
      <w:rFonts w:eastAsia="" w:cs="" w:cstheme="majorBidi" w:eastAsiaTheme="majorEastAsia"/>
      <w:color w:themeColor="text1" w:themeTint="a6" w:val="595959"/>
      <w:spacing w:val="15"/>
      <w:sz w:val="28"/>
      <w:szCs w:val="28"/>
      <w:lang w:val="en-GB"/>
    </w:rPr>
  </w:style>
  <w:style w:type="character" w:styleId="QuoteChar" w:customStyle="1">
    <w:name w:val="Quote Char"/>
    <w:basedOn w:val="DefaultParagraphFont"/>
    <w:link w:val="Quote"/>
    <w:uiPriority w:val="29"/>
    <w:qFormat/>
    <w:rsid w:val="00f965a9"/>
    <w:rPr>
      <w:rFonts w:ascii="Times New Roman" w:hAnsi="Times New Roman"/>
      <w:i/>
      <w:iCs/>
      <w:color w:themeColor="text1" w:themeTint="bf" w:val="404040"/>
      <w:sz w:val="24"/>
      <w:lang w:val="en-GB"/>
    </w:rPr>
  </w:style>
  <w:style w:type="character" w:styleId="IntenseEmphasis">
    <w:name w:val="Intense Emphasis"/>
    <w:basedOn w:val="DefaultParagraphFont"/>
    <w:uiPriority w:val="21"/>
    <w:qFormat/>
    <w:rsid w:val="00f965a9"/>
    <w:rPr>
      <w:i/>
      <w:iCs/>
      <w:color w:themeColor="accent1" w:themeShade="bf" w:val="0F4761"/>
    </w:rPr>
  </w:style>
  <w:style w:type="character" w:styleId="IntenseQuoteChar" w:customStyle="1">
    <w:name w:val="Intense Quote Char"/>
    <w:basedOn w:val="DefaultParagraphFont"/>
    <w:link w:val="IntenseQuote"/>
    <w:uiPriority w:val="30"/>
    <w:qFormat/>
    <w:rsid w:val="00f965a9"/>
    <w:rPr>
      <w:rFonts w:ascii="Times New Roman" w:hAnsi="Times New Roman"/>
      <w:i/>
      <w:iCs/>
      <w:color w:themeColor="accent1" w:themeShade="bf" w:val="0F4761"/>
      <w:sz w:val="24"/>
      <w:lang w:val="en-GB"/>
    </w:rPr>
  </w:style>
  <w:style w:type="character" w:styleId="IntenseReference">
    <w:name w:val="Intense Reference"/>
    <w:basedOn w:val="DefaultParagraphFont"/>
    <w:uiPriority w:val="32"/>
    <w:qFormat/>
    <w:rsid w:val="00f965a9"/>
    <w:rPr>
      <w:b/>
      <w:bCs/>
      <w:smallCaps/>
      <w:color w:themeColor="accent1" w:themeShade="bf" w:val="0F4761"/>
      <w:spacing w:val="5"/>
    </w:rPr>
  </w:style>
  <w:style w:type="character" w:styleId="HeaderChar" w:customStyle="1">
    <w:name w:val="Header Char"/>
    <w:basedOn w:val="DefaultParagraphFont"/>
    <w:link w:val="Header"/>
    <w:uiPriority w:val="99"/>
    <w:qFormat/>
    <w:rsid w:val="00420889"/>
    <w:rPr>
      <w:rFonts w:ascii="Times New Roman" w:hAnsi="Times New Roman"/>
      <w:sz w:val="24"/>
      <w:lang w:val="en-GB"/>
    </w:rPr>
  </w:style>
  <w:style w:type="character" w:styleId="FooterChar" w:customStyle="1">
    <w:name w:val="Footer Char"/>
    <w:basedOn w:val="DefaultParagraphFont"/>
    <w:link w:val="Footer"/>
    <w:uiPriority w:val="99"/>
    <w:qFormat/>
    <w:rsid w:val="00420889"/>
    <w:rPr>
      <w:rFonts w:ascii="Times New Roman" w:hAnsi="Times New Roman"/>
      <w:sz w:val="24"/>
      <w:lang w:val="en-GB"/>
    </w:rPr>
  </w:style>
  <w:style w:type="character" w:styleId="Hyperlink">
    <w:name w:val="Hyperlink"/>
    <w:basedOn w:val="DefaultParagraphFont"/>
    <w:uiPriority w:val="99"/>
    <w:unhideWhenUsed/>
    <w:rsid w:val="007f02d3"/>
    <w:rPr>
      <w:color w:themeColor="hyperlink" w:val="467886"/>
      <w:u w:val="single"/>
    </w:rPr>
  </w:style>
  <w:style w:type="character" w:styleId="UnresolvedMention">
    <w:name w:val="Unresolved Mention"/>
    <w:basedOn w:val="DefaultParagraphFont"/>
    <w:uiPriority w:val="99"/>
    <w:semiHidden/>
    <w:unhideWhenUsed/>
    <w:qFormat/>
    <w:rsid w:val="007f02d3"/>
    <w:rPr>
      <w:color w:val="605E5C"/>
      <w:shd w:fill="E1DFDD" w:val="clear"/>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BodyTextChar"/>
    <w:uiPriority w:val="1"/>
    <w:qFormat/>
    <w:rsid w:val="00c77653"/>
    <w:pPr>
      <w:widowControl w:val="false"/>
    </w:pPr>
    <w:rPr>
      <w:sz w:val="22"/>
      <w:lang w:val="en-US"/>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e">
    <w:name w:val="Title"/>
    <w:basedOn w:val="Normal"/>
    <w:next w:val="Normal"/>
    <w:link w:val="TitleChar"/>
    <w:uiPriority w:val="10"/>
    <w:qFormat/>
    <w:rsid w:val="00f965a9"/>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f965a9"/>
    <w:pPr>
      <w:spacing w:before="120" w:after="160"/>
    </w:pPr>
    <w:rPr>
      <w:rFonts w:ascii="Aptos" w:hAnsi="Aptos" w:eastAsia="" w:cs="" w:asciiTheme="minorHAnsi" w:cstheme="majorBidi" w:eastAsiaTheme="majorEastAsia" w:hAnsiTheme="minorHAnsi"/>
      <w:color w:themeColor="text1" w:themeTint="a6" w:val="595959"/>
      <w:spacing w:val="15"/>
      <w:sz w:val="28"/>
      <w:szCs w:val="28"/>
    </w:rPr>
  </w:style>
  <w:style w:type="paragraph" w:styleId="Quote">
    <w:name w:val="Quote"/>
    <w:basedOn w:val="Normal"/>
    <w:next w:val="Normal"/>
    <w:link w:val="QuoteChar"/>
    <w:uiPriority w:val="29"/>
    <w:qFormat/>
    <w:rsid w:val="00f965a9"/>
    <w:pPr>
      <w:spacing w:before="160" w:after="160"/>
      <w:jc w:val="center"/>
    </w:pPr>
    <w:rPr>
      <w:i/>
      <w:iCs/>
      <w:color w:themeColor="text1" w:themeTint="bf" w:val="404040"/>
    </w:rPr>
  </w:style>
  <w:style w:type="paragraph" w:styleId="ListParagraph">
    <w:name w:val="List Paragraph"/>
    <w:basedOn w:val="Normal"/>
    <w:uiPriority w:val="34"/>
    <w:qFormat/>
    <w:rsid w:val="00f965a9"/>
    <w:pPr>
      <w:spacing w:before="120" w:after="120"/>
      <w:ind w:start="720"/>
      <w:contextualSpacing/>
    </w:pPr>
    <w:rPr/>
  </w:style>
  <w:style w:type="paragraph" w:styleId="IntenseQuote">
    <w:name w:val="Intense Quote"/>
    <w:basedOn w:val="Normal"/>
    <w:next w:val="Normal"/>
    <w:link w:val="IntenseQuoteChar"/>
    <w:uiPriority w:val="30"/>
    <w:qFormat/>
    <w:rsid w:val="00f965a9"/>
    <w:pPr>
      <w:pBdr>
        <w:top w:val="single" w:sz="4" w:space="10" w:color="0F4761" w:themeColor="accent1" w:themeShade="bf"/>
        <w:bottom w:val="single" w:sz="4" w:space="10" w:color="0F4761" w:themeColor="accent1" w:themeShade="bf"/>
      </w:pBdr>
      <w:spacing w:before="360" w:after="360"/>
      <w:ind w:start="864" w:end="864"/>
      <w:jc w:val="center"/>
    </w:pPr>
    <w:rPr>
      <w:i/>
      <w:iCs/>
      <w:color w:themeColor="accent1" w:themeShade="bf" w:val="0F4761"/>
    </w:rPr>
  </w:style>
  <w:style w:type="paragraph" w:styleId="HeaderandFooter">
    <w:name w:val="Header and Footer"/>
    <w:basedOn w:val="Normal"/>
    <w:qFormat/>
    <w:pPr/>
    <w:rPr/>
  </w:style>
  <w:style w:type="paragraph" w:styleId="Header">
    <w:name w:val="header"/>
    <w:basedOn w:val="Normal"/>
    <w:link w:val="HeaderChar"/>
    <w:uiPriority w:val="99"/>
    <w:unhideWhenUsed/>
    <w:rsid w:val="00420889"/>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420889"/>
    <w:pPr>
      <w:tabs>
        <w:tab w:val="clear" w:pos="720"/>
        <w:tab w:val="center" w:pos="4513" w:leader="none"/>
        <w:tab w:val="right" w:pos="9026" w:leader="none"/>
      </w:tabs>
      <w:spacing w:lineRule="auto" w:line="240" w:before="0" w:after="0"/>
    </w:pPr>
    <w:rPr/>
  </w:style>
  <w:style w:type="paragraph" w:styleId="IndexHeading">
    <w:name w:val="index heading"/>
    <w:basedOn w:val="Heading"/>
    <w:pPr/>
    <w:rPr/>
  </w:style>
  <w:style w:type="paragraph" w:styleId="TOCHeading">
    <w:name w:val="TOC Heading"/>
    <w:basedOn w:val="Heading1"/>
    <w:next w:val="Normal"/>
    <w:uiPriority w:val="39"/>
    <w:unhideWhenUsed/>
    <w:qFormat/>
    <w:rsid w:val="00d5395f"/>
    <w:pPr>
      <w:spacing w:lineRule="auto" w:line="259" w:before="240" w:after="0"/>
      <w:jc w:val="start"/>
      <w:outlineLvl w:val="9"/>
    </w:pPr>
    <w:rPr>
      <w:rFonts w:ascii="Aptos Display" w:hAnsi="Aptos Display" w:cs="" w:asciiTheme="majorHAnsi" w:cstheme="majorBidi" w:hAnsiTheme="majorHAnsi"/>
      <w:b w:val="false"/>
      <w:bCs w:val="false"/>
      <w:color w:themeColor="accent1" w:themeShade="bf" w:val="0F4761"/>
      <w:kern w:val="0"/>
      <w:sz w:val="32"/>
      <w:szCs w:val="32"/>
      <w:lang w:val="en-US" w:eastAsia="en-US"/>
    </w:rPr>
  </w:style>
  <w:style w:type="paragraph" w:styleId="TOC2">
    <w:name w:val="toc 2"/>
    <w:basedOn w:val="Normal"/>
    <w:next w:val="Normal"/>
    <w:autoRedefine/>
    <w:uiPriority w:val="39"/>
    <w:unhideWhenUsed/>
    <w:rsid w:val="00d5395f"/>
    <w:pPr>
      <w:spacing w:before="120" w:after="100"/>
      <w:ind w:start="240"/>
    </w:pPr>
    <w:rPr/>
  </w:style>
  <w:style w:type="paragraph" w:styleId="NoSpacing">
    <w:name w:val="No Spacing"/>
    <w:uiPriority w:val="1"/>
    <w:qFormat/>
    <w:rsid w:val="00bd6fca"/>
    <w:pPr>
      <w:widowControl/>
      <w:bidi w:val="0"/>
      <w:spacing w:lineRule="auto" w:line="240" w:before="0" w:after="0"/>
      <w:jc w:val="both"/>
    </w:pPr>
    <w:rPr>
      <w:rFonts w:ascii="Arial" w:hAnsi="Arial" w:eastAsia="Aptos" w:cs="" w:cstheme="minorBidi" w:eastAsiaTheme="minorHAnsi"/>
      <w:color w:val="auto"/>
      <w:kern w:val="0"/>
      <w:sz w:val="24"/>
      <w:szCs w:val="22"/>
      <w:lang w:val="en-GB" w:eastAsia="en-US" w:bidi="ar-SA"/>
    </w:rPr>
  </w:style>
  <w:style w:type="paragraph" w:styleId="TOC1">
    <w:name w:val="toc 1"/>
    <w:basedOn w:val="Normal"/>
    <w:next w:val="Normal"/>
    <w:autoRedefine/>
    <w:uiPriority w:val="39"/>
    <w:unhideWhenUsed/>
    <w:rsid w:val="00bd6fca"/>
    <w:pPr>
      <w:spacing w:before="120" w:after="10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ListTable4-Accent6">
    <w:name w:val="List Table 4 Accent 6"/>
    <w:basedOn w:val="TableNormal"/>
    <w:uiPriority w:val="49"/>
    <w:rsid w:val="00bd6fca"/>
    <w:pPr>
      <w:spacing w:after="0" w:line="240" w:lineRule="auto"/>
    </w:pPr>
    <w:tblPr>
      <w:tblStyleRowBandSize w:val="1"/>
      <w:tblStyleColBandSize w:val="1"/>
      <w:tblBorders>
        <w:top w:val="single" w:color="8DD873" w:themeColor="accent6" w:themeTint="99" w:sz="4" w:space="0"/>
        <w:left w:val="single" w:color="8DD873" w:themeColor="accent6" w:themeTint="99" w:sz="4" w:space="0"/>
        <w:bottom w:val="single" w:color="8DD873" w:themeColor="accent6" w:themeTint="99" w:sz="4" w:space="0"/>
        <w:right w:val="single" w:color="8DD873" w:themeColor="accent6" w:themeTint="99" w:sz="4" w:space="0"/>
        <w:insideH w:val="single" w:color="8DD873" w:themeColor="accent6" w:themeTint="99" w:sz="4" w:space="0"/>
      </w:tblBorders>
    </w:tblPr>
    <w:tblStylePr w:type="firstRow">
      <w:rPr>
        <w:b/>
        <w:bCs/>
        <w:color w:val="ffffff" w:themeColor="background1"/>
      </w:rPr>
      <w:tblPr/>
      <w:tcPr>
        <w:tcBorders>
          <w:top w:val="single" w:color="4EA72E" w:themeColor="accent6" w:sz="4" w:space="0"/>
          <w:left w:val="single" w:color="4EA72E" w:themeColor="accent6" w:sz="4" w:space="0"/>
          <w:bottom w:val="single" w:color="4EA72E" w:themeColor="accent6" w:sz="4" w:space="0"/>
          <w:right w:val="single" w:color="4EA72E" w:themeColor="accent6" w:sz="4" w:space="0"/>
          <w:insideH w:val="nil"/>
        </w:tcBorders>
        <w:shd w:val="clear" w:color="auto" w:fill="4EA72E" w:themeFill="accent6"/>
      </w:tcPr>
    </w:tblStylePr>
    <w:tblStylePr w:type="lastRow">
      <w:rPr>
        <w:b/>
        <w:bCs/>
      </w:rPr>
      <w:tblPr/>
      <w:tcPr>
        <w:tcBorders>
          <w:top w:val="double" w:color="8DD873" w:themeColor="accent6" w:sz="4" w:space="0"/>
        </w:tcBorders>
      </w:tcPr>
    </w:tblStylePr>
    <w:tblStylePr w:type="firstCol">
      <w:rPr>
        <w:b/>
        <w:bCs/>
      </w:rPr>
      <w:tblPr/>
    </w:tblStylePr>
    <w:tblStylePr w:type="lastCol">
      <w:rPr>
        <w:b/>
        <w:bCs/>
      </w:rPr>
      <w:tbl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4.png"/><Relationship Id="rId6" Type="http://schemas.microsoft.com/office/2007/relationships/hdphoto" Target="media/hdphoto1.wdp"/><Relationship Id="rId7" Type="http://schemas.openxmlformats.org/officeDocument/2006/relationships/image" Target="media/image4.png"/><Relationship Id="rId8" Type="http://schemas.openxmlformats.org/officeDocument/2006/relationships/hyperlink" Target="https://discovery.ucl.ac.uk/10097645/1/Ashmore_10097645_thesis.pdf" TargetMode="External"/><Relationship Id="rId9" Type="http://schemas.openxmlformats.org/officeDocument/2006/relationships/hyperlink" Target="https://www.ibef.org/economy/indian-economy-overview" TargetMode="External"/><Relationship Id="rId10" Type="http://schemas.openxmlformats.org/officeDocument/2006/relationships/hyperlink" Target="https://www.pizzahut.co.in/aboutus" TargetMode="External"/><Relationship Id="rId11" Type="http://schemas.openxmlformats.org/officeDocument/2006/relationships/hyperlink" Target="https://data.worldbank.org/country/united-kingdom" TargetMode="External"/><Relationship Id="rId12" Type="http://schemas.openxmlformats.org/officeDocument/2006/relationships/hyperlink" Target="https://data.worldbank.org/indicator/IT.NET.USER.ZS?locations=GB"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31A09-4796-4742-8B7B-6DF11F518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Application>LibreOffice/26.2.1.2$Windows_X86_64 LibreOffice_project/620$Build-2</Application>
  <AppVersion>15.0000</AppVersion>
  <Pages>26</Pages>
  <Words>6472</Words>
  <Characters>41804</Characters>
  <CharactersWithSpaces>48095</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2026-08-13T04:54:00Z</dcterms:created>
  <dc:creator/>
  <dc:description/>
  <dc:language>en-IN</dc:language>
  <cp:lastModifiedBy/>
  <dcterms:modified xsi:type="dcterms:W3CDTF">2026-08-12T06:28:37Z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