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65BB1" w14:textId="4C68D4B2" w:rsidR="00F96ABE" w:rsidRDefault="41F645D0" w:rsidP="615DBECE">
      <w:pPr>
        <w:spacing w:line="360" w:lineRule="auto"/>
        <w:rPr>
          <w:rFonts w:ascii="Times New Roman" w:eastAsia="Times New Roman" w:hAnsi="Times New Roman" w:cs="Times New Roman"/>
          <w:sz w:val="24"/>
          <w:szCs w:val="24"/>
        </w:rPr>
      </w:pPr>
      <w:r w:rsidRPr="41F645D0">
        <w:rPr>
          <w:rFonts w:ascii="Times New Roman" w:eastAsia="Times New Roman" w:hAnsi="Times New Roman" w:cs="Times New Roman"/>
          <w:sz w:val="24"/>
          <w:szCs w:val="24"/>
        </w:rPr>
        <w:t xml:space="preserve">First of all, Whitehead et al. 2012 </w:t>
      </w:r>
      <w:r w:rsidRPr="41F645D0">
        <w:rPr>
          <w:rFonts w:ascii="Times New Roman" w:eastAsia="Times New Roman" w:hAnsi="Times New Roman" w:cs="Times New Roman"/>
          <w:color w:val="000000" w:themeColor="text1"/>
          <w:sz w:val="24"/>
          <w:szCs w:val="24"/>
        </w:rPr>
        <w:t>described</w:t>
      </w:r>
      <w:r w:rsidRPr="41F645D0">
        <w:rPr>
          <w:rFonts w:ascii="Times New Roman" w:eastAsia="Times New Roman" w:hAnsi="Times New Roman" w:cs="Times New Roman"/>
          <w:sz w:val="24"/>
          <w:szCs w:val="24"/>
        </w:rPr>
        <w:t xml:space="preserve"> play as a </w:t>
      </w:r>
      <w:r w:rsidRPr="41F645D0">
        <w:rPr>
          <w:rFonts w:ascii="Times New Roman" w:eastAsia="Times New Roman" w:hAnsi="Times New Roman" w:cs="Times New Roman"/>
          <w:color w:val="000000" w:themeColor="text1"/>
          <w:sz w:val="24"/>
          <w:szCs w:val="24"/>
        </w:rPr>
        <w:t>type of</w:t>
      </w:r>
      <w:r w:rsidRPr="41F645D0">
        <w:rPr>
          <w:rFonts w:ascii="Times New Roman" w:eastAsia="Times New Roman" w:hAnsi="Times New Roman" w:cs="Times New Roman"/>
          <w:sz w:val="24"/>
          <w:szCs w:val="24"/>
        </w:rPr>
        <w:t xml:space="preserve"> </w:t>
      </w:r>
      <w:r w:rsidRPr="41F645D0">
        <w:rPr>
          <w:rFonts w:ascii="Times New Roman" w:eastAsia="Times New Roman" w:hAnsi="Times New Roman" w:cs="Times New Roman"/>
          <w:color w:val="000000" w:themeColor="text1"/>
          <w:sz w:val="24"/>
          <w:szCs w:val="24"/>
        </w:rPr>
        <w:t>motion</w:t>
      </w:r>
      <w:r w:rsidRPr="41F645D0">
        <w:rPr>
          <w:rFonts w:ascii="Times New Roman" w:eastAsia="Times New Roman" w:hAnsi="Times New Roman" w:cs="Times New Roman"/>
          <w:sz w:val="24"/>
          <w:szCs w:val="24"/>
        </w:rPr>
        <w:t xml:space="preserve"> </w:t>
      </w:r>
      <w:r w:rsidRPr="41F645D0">
        <w:rPr>
          <w:rFonts w:ascii="Times New Roman" w:eastAsia="Times New Roman" w:hAnsi="Times New Roman" w:cs="Times New Roman"/>
          <w:color w:val="000000" w:themeColor="text1"/>
          <w:sz w:val="24"/>
          <w:szCs w:val="24"/>
        </w:rPr>
        <w:t>this may be essentially</w:t>
      </w:r>
      <w:r w:rsidRPr="41F645D0">
        <w:rPr>
          <w:rFonts w:ascii="Times New Roman" w:eastAsia="Times New Roman" w:hAnsi="Times New Roman" w:cs="Times New Roman"/>
          <w:sz w:val="24"/>
          <w:szCs w:val="24"/>
        </w:rPr>
        <w:t xml:space="preserve"> insignificant and unrelated to any </w:t>
      </w:r>
      <w:r w:rsidRPr="41F645D0">
        <w:rPr>
          <w:rFonts w:ascii="Times New Roman" w:eastAsia="Times New Roman" w:hAnsi="Times New Roman" w:cs="Times New Roman"/>
          <w:color w:val="000000" w:themeColor="text1"/>
          <w:sz w:val="24"/>
          <w:szCs w:val="24"/>
        </w:rPr>
        <w:t>extreme</w:t>
      </w:r>
      <w:r w:rsidRPr="41F645D0">
        <w:rPr>
          <w:rFonts w:ascii="Times New Roman" w:eastAsia="Times New Roman" w:hAnsi="Times New Roman" w:cs="Times New Roman"/>
          <w:sz w:val="24"/>
          <w:szCs w:val="24"/>
        </w:rPr>
        <w:t xml:space="preserve"> goal. That is to say, children's natural desire to play should be used to encourage learning and help them reach their full educational potential (Brock </w:t>
      </w:r>
      <w:r w:rsidRPr="41F645D0">
        <w:rPr>
          <w:rFonts w:ascii="Times New Roman" w:eastAsia="Times New Roman" w:hAnsi="Times New Roman" w:cs="Times New Roman"/>
          <w:i/>
          <w:iCs/>
          <w:sz w:val="24"/>
          <w:szCs w:val="24"/>
        </w:rPr>
        <w:t>et al</w:t>
      </w:r>
      <w:r w:rsidRPr="41F645D0">
        <w:rPr>
          <w:rFonts w:ascii="Times New Roman" w:eastAsia="Times New Roman" w:hAnsi="Times New Roman" w:cs="Times New Roman"/>
          <w:sz w:val="24"/>
          <w:szCs w:val="24"/>
        </w:rPr>
        <w:t xml:space="preserve">. 2013). Isaacs (1920 cited in Brock </w:t>
      </w:r>
      <w:r w:rsidRPr="41F645D0">
        <w:rPr>
          <w:rFonts w:ascii="Times New Roman" w:eastAsia="Times New Roman" w:hAnsi="Times New Roman" w:cs="Times New Roman"/>
          <w:i/>
          <w:iCs/>
          <w:sz w:val="24"/>
          <w:szCs w:val="24"/>
        </w:rPr>
        <w:t xml:space="preserve">et al. </w:t>
      </w:r>
      <w:r w:rsidRPr="41F645D0">
        <w:rPr>
          <w:rFonts w:ascii="Times New Roman" w:eastAsia="Times New Roman" w:hAnsi="Times New Roman" w:cs="Times New Roman"/>
          <w:sz w:val="24"/>
          <w:szCs w:val="24"/>
        </w:rPr>
        <w:t xml:space="preserve">2013) children are both pre-programmed and encouraged to play also it is fundamental to their development.  According to Early Years Matters (2018), play and learning are closely interrelated throughout the early years because children learn what objects do and what they can do while also mastering and regulating their bodies. Play has been regarded so important and basic to children that it has been incorporated in the United Nations Convention on the Rights of the Child (Herrington and </w:t>
      </w:r>
      <w:proofErr w:type="spellStart"/>
      <w:r w:rsidRPr="41F645D0">
        <w:rPr>
          <w:rFonts w:ascii="Times New Roman" w:eastAsia="Times New Roman" w:hAnsi="Times New Roman" w:cs="Times New Roman"/>
          <w:sz w:val="24"/>
          <w:szCs w:val="24"/>
        </w:rPr>
        <w:t>Brussoni</w:t>
      </w:r>
      <w:proofErr w:type="spellEnd"/>
      <w:r w:rsidRPr="41F645D0">
        <w:rPr>
          <w:rFonts w:ascii="Times New Roman" w:eastAsia="Times New Roman" w:hAnsi="Times New Roman" w:cs="Times New Roman"/>
          <w:sz w:val="24"/>
          <w:szCs w:val="24"/>
        </w:rPr>
        <w:t>, 2015). Additionally, children’s play is developed over time as they engage with adults (Moyles,2010).</w:t>
      </w:r>
    </w:p>
    <w:p w14:paraId="2C078E63" w14:textId="481576E4" w:rsidR="00F96ABE" w:rsidRDefault="00F96ABE" w:rsidP="615DBECE">
      <w:pPr>
        <w:spacing w:line="360" w:lineRule="auto"/>
        <w:rPr>
          <w:rFonts w:ascii="Times New Roman" w:eastAsia="Times New Roman" w:hAnsi="Times New Roman" w:cs="Times New Roman"/>
          <w:sz w:val="24"/>
          <w:szCs w:val="24"/>
        </w:rPr>
      </w:pPr>
    </w:p>
    <w:p w14:paraId="64E521E1" w14:textId="39157EFF" w:rsidR="615DBECE" w:rsidRDefault="615DBECE" w:rsidP="615DBECE">
      <w:pPr>
        <w:spacing w:line="360" w:lineRule="auto"/>
        <w:rPr>
          <w:rFonts w:ascii="Times New Roman" w:eastAsia="Times New Roman" w:hAnsi="Times New Roman" w:cs="Times New Roman"/>
          <w:sz w:val="24"/>
          <w:szCs w:val="24"/>
        </w:rPr>
      </w:pPr>
    </w:p>
    <w:p w14:paraId="0DF40933" w14:textId="25044155" w:rsidR="615DBECE" w:rsidRDefault="615DBECE" w:rsidP="615DBECE">
      <w:pPr>
        <w:spacing w:line="360" w:lineRule="auto"/>
        <w:rPr>
          <w:rFonts w:ascii="Times New Roman" w:eastAsia="Times New Roman" w:hAnsi="Times New Roman" w:cs="Times New Roman"/>
          <w:sz w:val="24"/>
          <w:szCs w:val="24"/>
        </w:rPr>
      </w:pPr>
    </w:p>
    <w:p w14:paraId="242F1BA7" w14:textId="57AA9A2F" w:rsidR="615DBECE" w:rsidRDefault="615DBECE" w:rsidP="615DBECE">
      <w:pPr>
        <w:spacing w:line="360" w:lineRule="auto"/>
        <w:rPr>
          <w:rFonts w:ascii="Times New Roman" w:eastAsia="Times New Roman" w:hAnsi="Times New Roman" w:cs="Times New Roman"/>
          <w:sz w:val="24"/>
          <w:szCs w:val="24"/>
        </w:rPr>
      </w:pPr>
    </w:p>
    <w:p w14:paraId="23F51F78" w14:textId="16489645" w:rsidR="615DBECE" w:rsidRDefault="615DBECE" w:rsidP="615DBECE">
      <w:pPr>
        <w:spacing w:line="360" w:lineRule="auto"/>
        <w:rPr>
          <w:rFonts w:ascii="Times New Roman" w:eastAsia="Times New Roman" w:hAnsi="Times New Roman" w:cs="Times New Roman"/>
          <w:sz w:val="24"/>
          <w:szCs w:val="24"/>
        </w:rPr>
      </w:pPr>
    </w:p>
    <w:p w14:paraId="0F136FBF" w14:textId="4EA2576B" w:rsidR="615DBECE" w:rsidRDefault="615DBECE" w:rsidP="615DBECE">
      <w:pPr>
        <w:spacing w:line="360" w:lineRule="auto"/>
        <w:rPr>
          <w:rFonts w:ascii="Times New Roman" w:eastAsia="Times New Roman" w:hAnsi="Times New Roman" w:cs="Times New Roman"/>
          <w:sz w:val="24"/>
          <w:szCs w:val="24"/>
        </w:rPr>
      </w:pPr>
    </w:p>
    <w:p w14:paraId="0D58DCA5" w14:textId="21106A9C" w:rsidR="615DBECE" w:rsidRDefault="615DBECE" w:rsidP="615DBECE">
      <w:pPr>
        <w:spacing w:line="360" w:lineRule="auto"/>
        <w:rPr>
          <w:rFonts w:ascii="Times New Roman" w:eastAsia="Times New Roman" w:hAnsi="Times New Roman" w:cs="Times New Roman"/>
          <w:sz w:val="24"/>
          <w:szCs w:val="24"/>
        </w:rPr>
      </w:pPr>
    </w:p>
    <w:p w14:paraId="4BCA02D2" w14:textId="3B88D8A1" w:rsidR="615DBECE" w:rsidRDefault="615DBECE" w:rsidP="615DBECE">
      <w:pPr>
        <w:spacing w:line="360" w:lineRule="auto"/>
        <w:rPr>
          <w:rFonts w:ascii="Times New Roman" w:eastAsia="Times New Roman" w:hAnsi="Times New Roman" w:cs="Times New Roman"/>
          <w:sz w:val="24"/>
          <w:szCs w:val="24"/>
        </w:rPr>
      </w:pPr>
    </w:p>
    <w:p w14:paraId="6C87B41E" w14:textId="6EB80066" w:rsidR="615DBECE" w:rsidRDefault="615DBECE" w:rsidP="615DBECE">
      <w:pPr>
        <w:spacing w:line="360" w:lineRule="auto"/>
        <w:rPr>
          <w:rFonts w:ascii="Times New Roman" w:eastAsia="Times New Roman" w:hAnsi="Times New Roman" w:cs="Times New Roman"/>
          <w:sz w:val="24"/>
          <w:szCs w:val="24"/>
        </w:rPr>
      </w:pPr>
    </w:p>
    <w:p w14:paraId="3DC2C98F" w14:textId="67809A3B" w:rsidR="615DBECE" w:rsidRDefault="615DBECE" w:rsidP="615DBECE">
      <w:pPr>
        <w:spacing w:line="360" w:lineRule="auto"/>
        <w:rPr>
          <w:rFonts w:ascii="Times New Roman" w:eastAsia="Times New Roman" w:hAnsi="Times New Roman" w:cs="Times New Roman"/>
          <w:sz w:val="24"/>
          <w:szCs w:val="24"/>
        </w:rPr>
      </w:pPr>
    </w:p>
    <w:p w14:paraId="2B80A3DB" w14:textId="30B4841E" w:rsidR="615DBECE" w:rsidRDefault="615DBECE" w:rsidP="615DBECE">
      <w:pPr>
        <w:spacing w:line="360" w:lineRule="auto"/>
        <w:rPr>
          <w:rFonts w:ascii="Times New Roman" w:eastAsia="Times New Roman" w:hAnsi="Times New Roman" w:cs="Times New Roman"/>
          <w:sz w:val="24"/>
          <w:szCs w:val="24"/>
        </w:rPr>
      </w:pPr>
    </w:p>
    <w:p w14:paraId="224AC717" w14:textId="22BE3472" w:rsidR="615DBECE" w:rsidRDefault="615DBECE" w:rsidP="615DBECE">
      <w:pPr>
        <w:spacing w:line="360" w:lineRule="auto"/>
        <w:rPr>
          <w:rFonts w:ascii="Times New Roman" w:eastAsia="Times New Roman" w:hAnsi="Times New Roman" w:cs="Times New Roman"/>
          <w:sz w:val="24"/>
          <w:szCs w:val="24"/>
        </w:rPr>
      </w:pPr>
    </w:p>
    <w:p w14:paraId="1792E31C" w14:textId="0E3A4A47" w:rsidR="615DBECE" w:rsidRDefault="615DBECE" w:rsidP="615DBECE">
      <w:pPr>
        <w:spacing w:line="360" w:lineRule="auto"/>
        <w:rPr>
          <w:rFonts w:ascii="Times New Roman" w:eastAsia="Times New Roman" w:hAnsi="Times New Roman" w:cs="Times New Roman"/>
          <w:sz w:val="24"/>
          <w:szCs w:val="24"/>
        </w:rPr>
      </w:pPr>
    </w:p>
    <w:p w14:paraId="6733645C" w14:textId="15AB636C" w:rsidR="615DBECE" w:rsidRDefault="615DBECE" w:rsidP="6477D83C">
      <w:pPr>
        <w:spacing w:line="360" w:lineRule="auto"/>
        <w:rPr>
          <w:rFonts w:ascii="Times New Roman" w:eastAsia="Times New Roman" w:hAnsi="Times New Roman" w:cs="Times New Roman"/>
          <w:sz w:val="24"/>
          <w:szCs w:val="24"/>
        </w:rPr>
      </w:pPr>
    </w:p>
    <w:p w14:paraId="773F8A8B" w14:textId="7213451A" w:rsidR="6477D83C" w:rsidRDefault="6477D83C" w:rsidP="6477D83C">
      <w:pPr>
        <w:spacing w:line="360" w:lineRule="auto"/>
        <w:rPr>
          <w:rFonts w:ascii="Times New Roman" w:eastAsia="Times New Roman" w:hAnsi="Times New Roman" w:cs="Times New Roman"/>
          <w:sz w:val="24"/>
          <w:szCs w:val="24"/>
        </w:rPr>
      </w:pPr>
    </w:p>
    <w:p w14:paraId="26E0C5DD" w14:textId="2277616F" w:rsidR="6477D83C" w:rsidRDefault="6477D83C" w:rsidP="6477D83C">
      <w:pPr>
        <w:spacing w:line="360" w:lineRule="auto"/>
        <w:rPr>
          <w:rFonts w:ascii="Times New Roman" w:eastAsia="Times New Roman" w:hAnsi="Times New Roman" w:cs="Times New Roman"/>
          <w:sz w:val="24"/>
          <w:szCs w:val="24"/>
        </w:rPr>
      </w:pPr>
    </w:p>
    <w:p w14:paraId="514BB12B" w14:textId="4BBE2FB3" w:rsidR="615DBECE" w:rsidRDefault="615DBECE" w:rsidP="615DBECE">
      <w:pPr>
        <w:spacing w:line="360" w:lineRule="auto"/>
        <w:rPr>
          <w:rFonts w:ascii="Times New Roman" w:eastAsia="Times New Roman" w:hAnsi="Times New Roman" w:cs="Times New Roman"/>
          <w:sz w:val="24"/>
          <w:szCs w:val="24"/>
        </w:rPr>
      </w:pPr>
      <w:r w:rsidRPr="615DBECE">
        <w:rPr>
          <w:rFonts w:ascii="Times New Roman" w:eastAsia="Times New Roman" w:hAnsi="Times New Roman" w:cs="Times New Roman"/>
          <w:sz w:val="24"/>
          <w:szCs w:val="24"/>
        </w:rPr>
        <w:lastRenderedPageBreak/>
        <w:t xml:space="preserve">Reference List </w:t>
      </w:r>
    </w:p>
    <w:p w14:paraId="15CF1360" w14:textId="17EADED0" w:rsidR="615DBECE" w:rsidRDefault="615DBECE" w:rsidP="615DBECE">
      <w:pPr>
        <w:spacing w:line="360" w:lineRule="auto"/>
        <w:rPr>
          <w:rFonts w:ascii="Times New Roman" w:eastAsia="Times New Roman" w:hAnsi="Times New Roman" w:cs="Times New Roman"/>
          <w:sz w:val="24"/>
          <w:szCs w:val="24"/>
        </w:rPr>
      </w:pPr>
      <w:r w:rsidRPr="615DBECE">
        <w:rPr>
          <w:rFonts w:ascii="Times New Roman" w:eastAsia="Times New Roman" w:hAnsi="Times New Roman" w:cs="Times New Roman"/>
          <w:sz w:val="24"/>
          <w:szCs w:val="24"/>
        </w:rPr>
        <w:t xml:space="preserve">Brock, S.D. </w:t>
      </w:r>
      <w:r w:rsidRPr="615DBECE">
        <w:rPr>
          <w:rFonts w:ascii="Times New Roman" w:eastAsia="Times New Roman" w:hAnsi="Times New Roman" w:cs="Times New Roman"/>
          <w:i/>
          <w:iCs/>
          <w:sz w:val="24"/>
          <w:szCs w:val="24"/>
        </w:rPr>
        <w:t>et al</w:t>
      </w:r>
      <w:r w:rsidRPr="615DBECE">
        <w:rPr>
          <w:rFonts w:ascii="Times New Roman" w:eastAsia="Times New Roman" w:hAnsi="Times New Roman" w:cs="Times New Roman"/>
          <w:sz w:val="24"/>
          <w:szCs w:val="24"/>
        </w:rPr>
        <w:t xml:space="preserve">. (2013) </w:t>
      </w:r>
      <w:r w:rsidRPr="615DBECE">
        <w:rPr>
          <w:rFonts w:ascii="Times New Roman" w:eastAsia="Times New Roman" w:hAnsi="Times New Roman" w:cs="Times New Roman"/>
          <w:i/>
          <w:iCs/>
          <w:sz w:val="24"/>
          <w:szCs w:val="24"/>
        </w:rPr>
        <w:t>Perspectives on Play: Learning for life</w:t>
      </w:r>
      <w:r w:rsidRPr="615DBECE">
        <w:rPr>
          <w:rFonts w:ascii="Times New Roman" w:eastAsia="Times New Roman" w:hAnsi="Times New Roman" w:cs="Times New Roman"/>
          <w:sz w:val="24"/>
          <w:szCs w:val="24"/>
        </w:rPr>
        <w:t>. Oxon: Routledge.</w:t>
      </w:r>
    </w:p>
    <w:p w14:paraId="090C4ABB" w14:textId="3B445FDA" w:rsidR="615DBECE" w:rsidRDefault="615DBECE" w:rsidP="615DBECE">
      <w:pPr>
        <w:spacing w:line="360" w:lineRule="auto"/>
        <w:rPr>
          <w:rFonts w:ascii="Times New Roman" w:eastAsia="Times New Roman" w:hAnsi="Times New Roman" w:cs="Times New Roman"/>
          <w:sz w:val="24"/>
          <w:szCs w:val="24"/>
        </w:rPr>
      </w:pPr>
      <w:r w:rsidRPr="615DBECE">
        <w:rPr>
          <w:rFonts w:ascii="Times New Roman" w:eastAsia="Times New Roman" w:hAnsi="Times New Roman" w:cs="Times New Roman"/>
          <w:sz w:val="24"/>
          <w:szCs w:val="24"/>
        </w:rPr>
        <w:t xml:space="preserve">Early Years Matters (2018) </w:t>
      </w:r>
      <w:r w:rsidRPr="615DBECE">
        <w:rPr>
          <w:rFonts w:ascii="Times New Roman" w:eastAsia="Times New Roman" w:hAnsi="Times New Roman" w:cs="Times New Roman"/>
          <w:i/>
          <w:iCs/>
          <w:sz w:val="24"/>
          <w:szCs w:val="24"/>
        </w:rPr>
        <w:t xml:space="preserve">The importance of play. </w:t>
      </w:r>
      <w:r w:rsidRPr="615DBECE">
        <w:rPr>
          <w:rFonts w:ascii="Times New Roman" w:eastAsia="Times New Roman" w:hAnsi="Times New Roman" w:cs="Times New Roman"/>
          <w:sz w:val="24"/>
          <w:szCs w:val="24"/>
        </w:rPr>
        <w:t xml:space="preserve">Available at: </w:t>
      </w:r>
      <w:hyperlink r:id="rId6">
        <w:r w:rsidRPr="615DBECE">
          <w:rPr>
            <w:rStyle w:val="Hyperlink"/>
            <w:rFonts w:ascii="Times New Roman" w:eastAsia="Times New Roman" w:hAnsi="Times New Roman" w:cs="Times New Roman"/>
            <w:sz w:val="24"/>
            <w:szCs w:val="24"/>
          </w:rPr>
          <w:t>http://www.earlyyearsmatters.co.uk/eyfs/a-unique-child/play-learning/</w:t>
        </w:r>
      </w:hyperlink>
      <w:r w:rsidRPr="615DBECE">
        <w:rPr>
          <w:rFonts w:ascii="Times New Roman" w:eastAsia="Times New Roman" w:hAnsi="Times New Roman" w:cs="Times New Roman"/>
          <w:sz w:val="24"/>
          <w:szCs w:val="24"/>
        </w:rPr>
        <w:t xml:space="preserve"> (Assessed: 11 December 2021).</w:t>
      </w:r>
    </w:p>
    <w:p w14:paraId="26028D8C" w14:textId="7ACC7FF9" w:rsidR="615DBECE" w:rsidRDefault="615DBECE" w:rsidP="615DBECE">
      <w:pPr>
        <w:spacing w:line="360" w:lineRule="auto"/>
        <w:rPr>
          <w:rFonts w:ascii="Times New Roman" w:eastAsia="Times New Roman" w:hAnsi="Times New Roman" w:cs="Times New Roman"/>
          <w:sz w:val="24"/>
          <w:szCs w:val="24"/>
        </w:rPr>
      </w:pPr>
      <w:r w:rsidRPr="615DBECE">
        <w:rPr>
          <w:rFonts w:ascii="Times New Roman" w:eastAsia="Times New Roman" w:hAnsi="Times New Roman" w:cs="Times New Roman"/>
          <w:sz w:val="24"/>
          <w:szCs w:val="24"/>
        </w:rPr>
        <w:t xml:space="preserve">Herrington and </w:t>
      </w:r>
      <w:proofErr w:type="spellStart"/>
      <w:r w:rsidRPr="615DBECE">
        <w:rPr>
          <w:rFonts w:ascii="Times New Roman" w:eastAsia="Times New Roman" w:hAnsi="Times New Roman" w:cs="Times New Roman"/>
          <w:sz w:val="24"/>
          <w:szCs w:val="24"/>
        </w:rPr>
        <w:t>Brussoni</w:t>
      </w:r>
      <w:proofErr w:type="spellEnd"/>
      <w:r w:rsidRPr="615DBECE">
        <w:rPr>
          <w:rFonts w:ascii="Times New Roman" w:eastAsia="Times New Roman" w:hAnsi="Times New Roman" w:cs="Times New Roman"/>
          <w:sz w:val="24"/>
          <w:szCs w:val="24"/>
        </w:rPr>
        <w:t xml:space="preserve"> (2015) ‘</w:t>
      </w:r>
      <w:r w:rsidRPr="615DBECE">
        <w:rPr>
          <w:rFonts w:ascii="Times New Roman" w:eastAsia="Times New Roman" w:hAnsi="Times New Roman" w:cs="Times New Roman"/>
          <w:i/>
          <w:iCs/>
          <w:sz w:val="24"/>
          <w:szCs w:val="24"/>
        </w:rPr>
        <w:t>Beyond Physical Activity: The Importance of Play and Nature-Based Play Spaces for Children’s Health and Development’, 4(4), pp 477-483. DOI</w:t>
      </w:r>
      <w:r w:rsidRPr="615DBECE">
        <w:rPr>
          <w:rFonts w:ascii="Times New Roman" w:eastAsia="Times New Roman" w:hAnsi="Times New Roman" w:cs="Times New Roman"/>
          <w:sz w:val="24"/>
          <w:szCs w:val="24"/>
        </w:rPr>
        <w:t>:10.1007/s13679-015-0179-2.</w:t>
      </w:r>
    </w:p>
    <w:p w14:paraId="14258DC5" w14:textId="0CB18FB8" w:rsidR="615DBECE" w:rsidRDefault="615DBECE" w:rsidP="615DBECE">
      <w:pPr>
        <w:spacing w:line="360" w:lineRule="auto"/>
        <w:rPr>
          <w:rFonts w:ascii="Times New Roman" w:eastAsia="Times New Roman" w:hAnsi="Times New Roman" w:cs="Times New Roman"/>
          <w:sz w:val="24"/>
          <w:szCs w:val="24"/>
        </w:rPr>
      </w:pPr>
      <w:proofErr w:type="spellStart"/>
      <w:r w:rsidRPr="615DBECE">
        <w:rPr>
          <w:rFonts w:ascii="Times New Roman" w:eastAsia="Times New Roman" w:hAnsi="Times New Roman" w:cs="Times New Roman"/>
          <w:sz w:val="24"/>
          <w:szCs w:val="24"/>
        </w:rPr>
        <w:t>Moyles</w:t>
      </w:r>
      <w:proofErr w:type="spellEnd"/>
      <w:r w:rsidRPr="615DBECE">
        <w:rPr>
          <w:rFonts w:ascii="Times New Roman" w:eastAsia="Times New Roman" w:hAnsi="Times New Roman" w:cs="Times New Roman"/>
          <w:sz w:val="24"/>
          <w:szCs w:val="24"/>
        </w:rPr>
        <w:t xml:space="preserve">, J (2010) </w:t>
      </w:r>
      <w:r w:rsidRPr="615DBECE">
        <w:rPr>
          <w:rFonts w:ascii="Times New Roman" w:eastAsia="Times New Roman" w:hAnsi="Times New Roman" w:cs="Times New Roman"/>
          <w:i/>
          <w:iCs/>
          <w:sz w:val="24"/>
          <w:szCs w:val="24"/>
        </w:rPr>
        <w:t>The Excellent of Play. 2</w:t>
      </w:r>
      <w:r w:rsidRPr="615DBECE">
        <w:rPr>
          <w:rFonts w:ascii="Times New Roman" w:eastAsia="Times New Roman" w:hAnsi="Times New Roman" w:cs="Times New Roman"/>
          <w:i/>
          <w:iCs/>
          <w:sz w:val="24"/>
          <w:szCs w:val="24"/>
          <w:vertAlign w:val="superscript"/>
        </w:rPr>
        <w:t>nd</w:t>
      </w:r>
      <w:r w:rsidRPr="615DBECE">
        <w:rPr>
          <w:rFonts w:ascii="Times New Roman" w:eastAsia="Times New Roman" w:hAnsi="Times New Roman" w:cs="Times New Roman"/>
          <w:i/>
          <w:iCs/>
          <w:sz w:val="24"/>
          <w:szCs w:val="24"/>
        </w:rPr>
        <w:t xml:space="preserve"> </w:t>
      </w:r>
      <w:proofErr w:type="spellStart"/>
      <w:r w:rsidRPr="615DBECE">
        <w:rPr>
          <w:rFonts w:ascii="Times New Roman" w:eastAsia="Times New Roman" w:hAnsi="Times New Roman" w:cs="Times New Roman"/>
          <w:i/>
          <w:iCs/>
          <w:sz w:val="24"/>
          <w:szCs w:val="24"/>
        </w:rPr>
        <w:t>edn</w:t>
      </w:r>
      <w:proofErr w:type="spellEnd"/>
      <w:r w:rsidRPr="615DBECE">
        <w:rPr>
          <w:rFonts w:ascii="Times New Roman" w:eastAsia="Times New Roman" w:hAnsi="Times New Roman" w:cs="Times New Roman"/>
          <w:i/>
          <w:iCs/>
          <w:sz w:val="24"/>
          <w:szCs w:val="24"/>
        </w:rPr>
        <w:t xml:space="preserve">. </w:t>
      </w:r>
      <w:r w:rsidRPr="615DBECE">
        <w:rPr>
          <w:rFonts w:ascii="Times New Roman" w:eastAsia="Times New Roman" w:hAnsi="Times New Roman" w:cs="Times New Roman"/>
          <w:sz w:val="24"/>
          <w:szCs w:val="24"/>
        </w:rPr>
        <w:t>Berkshire: Open University Press</w:t>
      </w:r>
    </w:p>
    <w:p w14:paraId="7895D60B" w14:textId="3577C683" w:rsidR="615DBECE" w:rsidRDefault="615DBECE" w:rsidP="615DBECE">
      <w:pPr>
        <w:spacing w:line="360" w:lineRule="auto"/>
        <w:rPr>
          <w:rFonts w:ascii="Times New Roman" w:eastAsia="Times New Roman" w:hAnsi="Times New Roman" w:cs="Times New Roman"/>
          <w:sz w:val="24"/>
          <w:szCs w:val="24"/>
        </w:rPr>
      </w:pPr>
      <w:r w:rsidRPr="615DBECE">
        <w:rPr>
          <w:rFonts w:ascii="Times New Roman" w:eastAsia="Times New Roman" w:hAnsi="Times New Roman" w:cs="Times New Roman"/>
          <w:sz w:val="24"/>
          <w:szCs w:val="24"/>
        </w:rPr>
        <w:t xml:space="preserve">Whitehead, M.B. </w:t>
      </w:r>
      <w:r w:rsidRPr="615DBECE">
        <w:rPr>
          <w:rFonts w:ascii="Times New Roman" w:eastAsia="Times New Roman" w:hAnsi="Times New Roman" w:cs="Times New Roman"/>
          <w:i/>
          <w:iCs/>
          <w:sz w:val="24"/>
          <w:szCs w:val="24"/>
        </w:rPr>
        <w:t>et al.</w:t>
      </w:r>
      <w:r w:rsidRPr="615DBECE">
        <w:rPr>
          <w:rFonts w:ascii="Times New Roman" w:eastAsia="Times New Roman" w:hAnsi="Times New Roman" w:cs="Times New Roman"/>
          <w:sz w:val="24"/>
          <w:szCs w:val="24"/>
        </w:rPr>
        <w:t xml:space="preserve"> (2012) </w:t>
      </w:r>
      <w:r w:rsidRPr="615DBECE">
        <w:rPr>
          <w:rFonts w:ascii="Times New Roman" w:eastAsia="Times New Roman" w:hAnsi="Times New Roman" w:cs="Times New Roman"/>
          <w:i/>
          <w:iCs/>
          <w:sz w:val="24"/>
          <w:szCs w:val="24"/>
        </w:rPr>
        <w:t>The importance of play</w:t>
      </w:r>
      <w:r w:rsidRPr="615DBECE">
        <w:rPr>
          <w:rFonts w:ascii="Times New Roman" w:eastAsia="Times New Roman" w:hAnsi="Times New Roman" w:cs="Times New Roman"/>
          <w:sz w:val="24"/>
          <w:szCs w:val="24"/>
        </w:rPr>
        <w:t xml:space="preserve">. Available at:  http://www.importanceofplay.eu/IMG/pdf/dr_david_whitebread_-_the_importance_of_play.pdf (Assessed: 11 December 2021) </w:t>
      </w:r>
    </w:p>
    <w:p w14:paraId="7B372A13" w14:textId="29607683" w:rsidR="615DBECE" w:rsidRDefault="615DBECE" w:rsidP="615DBECE">
      <w:pPr>
        <w:spacing w:line="360" w:lineRule="auto"/>
        <w:rPr>
          <w:rFonts w:ascii="Times New Roman" w:eastAsia="Times New Roman" w:hAnsi="Times New Roman" w:cs="Times New Roman"/>
          <w:sz w:val="24"/>
          <w:szCs w:val="24"/>
        </w:rPr>
      </w:pPr>
    </w:p>
    <w:p w14:paraId="11E517E6" w14:textId="1F3A7A58" w:rsidR="615DBECE" w:rsidRDefault="615DBECE" w:rsidP="615DBECE">
      <w:pPr>
        <w:spacing w:line="360" w:lineRule="auto"/>
        <w:rPr>
          <w:rFonts w:ascii="Times New Roman" w:eastAsia="Times New Roman" w:hAnsi="Times New Roman" w:cs="Times New Roman"/>
          <w:sz w:val="24"/>
          <w:szCs w:val="24"/>
        </w:rPr>
      </w:pPr>
    </w:p>
    <w:p w14:paraId="00A1A59F" w14:textId="38A46C7B" w:rsidR="615DBECE" w:rsidRDefault="615DBECE" w:rsidP="615DBECE">
      <w:pPr>
        <w:spacing w:line="360" w:lineRule="auto"/>
        <w:rPr>
          <w:rFonts w:ascii="Times New Roman" w:eastAsia="Times New Roman" w:hAnsi="Times New Roman" w:cs="Times New Roman"/>
          <w:sz w:val="24"/>
          <w:szCs w:val="24"/>
        </w:rPr>
      </w:pPr>
      <w:r w:rsidRPr="615DBECE">
        <w:rPr>
          <w:rFonts w:ascii="Times New Roman" w:eastAsia="Times New Roman" w:hAnsi="Times New Roman" w:cs="Times New Roman"/>
          <w:sz w:val="24"/>
          <w:szCs w:val="24"/>
        </w:rPr>
        <w:t xml:space="preserve"> </w:t>
      </w:r>
    </w:p>
    <w:p w14:paraId="515B17EA" w14:textId="504E2711" w:rsidR="615DBECE" w:rsidRDefault="615DBECE" w:rsidP="615DBECE">
      <w:pPr>
        <w:spacing w:line="360" w:lineRule="auto"/>
        <w:rPr>
          <w:rFonts w:ascii="Times New Roman" w:eastAsia="Times New Roman" w:hAnsi="Times New Roman" w:cs="Times New Roman"/>
          <w:sz w:val="24"/>
          <w:szCs w:val="24"/>
        </w:rPr>
      </w:pPr>
    </w:p>
    <w:p w14:paraId="10CC0F2D" w14:textId="207C9247" w:rsidR="615DBECE" w:rsidRDefault="615DBECE" w:rsidP="615DBECE">
      <w:pPr>
        <w:spacing w:line="360" w:lineRule="auto"/>
        <w:rPr>
          <w:rFonts w:ascii="Times New Roman" w:eastAsia="Times New Roman" w:hAnsi="Times New Roman" w:cs="Times New Roman"/>
          <w:sz w:val="24"/>
          <w:szCs w:val="24"/>
        </w:rPr>
      </w:pPr>
    </w:p>
    <w:p w14:paraId="6F7DB50D" w14:textId="78F31937" w:rsidR="615DBECE" w:rsidRDefault="615DBECE" w:rsidP="615DBECE">
      <w:pPr>
        <w:spacing w:line="360" w:lineRule="auto"/>
        <w:rPr>
          <w:rFonts w:ascii="Times New Roman" w:eastAsia="Times New Roman" w:hAnsi="Times New Roman" w:cs="Times New Roman"/>
          <w:sz w:val="24"/>
          <w:szCs w:val="24"/>
        </w:rPr>
      </w:pPr>
    </w:p>
    <w:p w14:paraId="728CB57A" w14:textId="6513EB38" w:rsidR="615DBECE" w:rsidRDefault="615DBECE" w:rsidP="615DBECE">
      <w:pPr>
        <w:spacing w:line="360" w:lineRule="auto"/>
        <w:rPr>
          <w:rFonts w:ascii="Times New Roman" w:eastAsia="Times New Roman" w:hAnsi="Times New Roman" w:cs="Times New Roman"/>
          <w:sz w:val="24"/>
          <w:szCs w:val="24"/>
        </w:rPr>
      </w:pPr>
    </w:p>
    <w:sectPr w:rsidR="615DBECE">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779F4" w14:textId="77777777" w:rsidR="00EF6574" w:rsidRDefault="00EF6574">
      <w:pPr>
        <w:spacing w:after="0" w:line="240" w:lineRule="auto"/>
      </w:pPr>
      <w:r>
        <w:separator/>
      </w:r>
    </w:p>
  </w:endnote>
  <w:endnote w:type="continuationSeparator" w:id="0">
    <w:p w14:paraId="5E81F31E" w14:textId="77777777" w:rsidR="00EF6574" w:rsidRDefault="00EF6574">
      <w:pPr>
        <w:spacing w:after="0" w:line="240" w:lineRule="auto"/>
      </w:pPr>
      <w:r>
        <w:continuationSeparator/>
      </w:r>
    </w:p>
  </w:endnote>
  <w:endnote w:type="continuationNotice" w:id="1">
    <w:p w14:paraId="55F5518A" w14:textId="77777777" w:rsidR="00EF1377" w:rsidRDefault="00EF13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016C0" w14:textId="77777777" w:rsidR="005D5218" w:rsidRDefault="005D52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15DBECE" w14:paraId="4AD754AF" w14:textId="77777777" w:rsidTr="615DBECE">
      <w:tc>
        <w:tcPr>
          <w:tcW w:w="3120" w:type="dxa"/>
        </w:tcPr>
        <w:p w14:paraId="167F9497" w14:textId="218E29D2" w:rsidR="615DBECE" w:rsidRDefault="615DBECE" w:rsidP="615DBECE">
          <w:pPr>
            <w:pStyle w:val="Header"/>
            <w:ind w:left="-115"/>
          </w:pPr>
        </w:p>
      </w:tc>
      <w:tc>
        <w:tcPr>
          <w:tcW w:w="3120" w:type="dxa"/>
        </w:tcPr>
        <w:p w14:paraId="3AA8B1DA" w14:textId="0E654A1E" w:rsidR="615DBECE" w:rsidRDefault="615DBECE" w:rsidP="615DBECE">
          <w:pPr>
            <w:pStyle w:val="Header"/>
            <w:jc w:val="center"/>
          </w:pPr>
        </w:p>
      </w:tc>
      <w:tc>
        <w:tcPr>
          <w:tcW w:w="3120" w:type="dxa"/>
        </w:tcPr>
        <w:p w14:paraId="1D5FC044" w14:textId="0FE5D594" w:rsidR="615DBECE" w:rsidRDefault="615DBECE" w:rsidP="615DBECE">
          <w:pPr>
            <w:pStyle w:val="Header"/>
            <w:ind w:right="-115"/>
            <w:jc w:val="right"/>
          </w:pPr>
          <w:r>
            <w:fldChar w:fldCharType="begin"/>
          </w:r>
          <w:r>
            <w:instrText>PAGE</w:instrText>
          </w:r>
          <w:r>
            <w:fldChar w:fldCharType="separate"/>
          </w:r>
          <w:r w:rsidR="00870059">
            <w:rPr>
              <w:noProof/>
            </w:rPr>
            <w:t>1</w:t>
          </w:r>
          <w:r>
            <w:fldChar w:fldCharType="end"/>
          </w:r>
        </w:p>
      </w:tc>
    </w:tr>
  </w:tbl>
  <w:p w14:paraId="170B04C0" w14:textId="3F4D9F08" w:rsidR="615DBECE" w:rsidRDefault="615DBECE" w:rsidP="615DBE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DC830" w14:textId="77777777" w:rsidR="005D5218" w:rsidRDefault="005D52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875ED" w14:textId="77777777" w:rsidR="00EF6574" w:rsidRDefault="00EF6574">
      <w:pPr>
        <w:spacing w:after="0" w:line="240" w:lineRule="auto"/>
      </w:pPr>
      <w:r>
        <w:separator/>
      </w:r>
    </w:p>
  </w:footnote>
  <w:footnote w:type="continuationSeparator" w:id="0">
    <w:p w14:paraId="384C4251" w14:textId="77777777" w:rsidR="00EF6574" w:rsidRDefault="00EF6574">
      <w:pPr>
        <w:spacing w:after="0" w:line="240" w:lineRule="auto"/>
      </w:pPr>
      <w:r>
        <w:continuationSeparator/>
      </w:r>
    </w:p>
  </w:footnote>
  <w:footnote w:type="continuationNotice" w:id="1">
    <w:p w14:paraId="6053E572" w14:textId="77777777" w:rsidR="00EF1377" w:rsidRDefault="00EF13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E2882" w14:textId="77777777" w:rsidR="005D5218" w:rsidRDefault="005D52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15DBECE" w14:paraId="5E603D43" w14:textId="77777777" w:rsidTr="1BE7077B">
      <w:tc>
        <w:tcPr>
          <w:tcW w:w="3120" w:type="dxa"/>
        </w:tcPr>
        <w:p w14:paraId="4079B4A9" w14:textId="50EC3EB1" w:rsidR="615DBECE" w:rsidRDefault="615DBECE" w:rsidP="615DBECE">
          <w:pPr>
            <w:pStyle w:val="Header"/>
            <w:ind w:left="-115"/>
          </w:pPr>
          <w:r>
            <w:t>2110731</w:t>
          </w:r>
        </w:p>
      </w:tc>
      <w:tc>
        <w:tcPr>
          <w:tcW w:w="3120" w:type="dxa"/>
        </w:tcPr>
        <w:p w14:paraId="19F6A1CC" w14:textId="660B192D" w:rsidR="615DBECE" w:rsidRDefault="615DBECE" w:rsidP="615DBECE">
          <w:pPr>
            <w:pStyle w:val="Header"/>
            <w:jc w:val="center"/>
          </w:pPr>
          <w:r>
            <w:t>ECGE4003P/C</w:t>
          </w:r>
        </w:p>
        <w:p w14:paraId="78C4F384" w14:textId="40F1F7A2" w:rsidR="615DBECE" w:rsidRDefault="615DBECE" w:rsidP="615DBECE">
          <w:pPr>
            <w:pStyle w:val="Header"/>
            <w:jc w:val="center"/>
          </w:pPr>
        </w:p>
      </w:tc>
      <w:tc>
        <w:tcPr>
          <w:tcW w:w="3120" w:type="dxa"/>
        </w:tcPr>
        <w:p w14:paraId="478371C6" w14:textId="2E881684" w:rsidR="615DBECE" w:rsidRDefault="1BE7077B" w:rsidP="615DBECE">
          <w:pPr>
            <w:pStyle w:val="Header"/>
            <w:ind w:right="-115"/>
            <w:jc w:val="right"/>
          </w:pPr>
          <w:r>
            <w:t>235</w:t>
          </w:r>
        </w:p>
      </w:tc>
    </w:tr>
  </w:tbl>
  <w:p w14:paraId="7CF8B5A1" w14:textId="77C4FBC7" w:rsidR="615DBECE" w:rsidRDefault="615DBECE" w:rsidP="615DBE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34C24" w14:textId="77777777" w:rsidR="005D5218" w:rsidRDefault="005D5218">
    <w:pPr>
      <w:pStyle w:val="Header"/>
    </w:pPr>
  </w:p>
</w:hdr>
</file>

<file path=word/intelligence2.xml><?xml version="1.0" encoding="utf-8"?>
<int2:intelligence xmlns:int2="http://schemas.microsoft.com/office/intelligence/2020/intelligence" xmlns:oel="http://schemas.microsoft.com/office/2019/extlst">
  <int2:observations>
    <int2:textHash int2:hashCode="acMIXMu63AzV1c" int2:id="LTNpoq55">
      <int2:state int2:value="Rejected" int2:type="LegacyProofing"/>
    </int2:textHash>
    <int2:textHash int2:hashCode="Y7rxyEYEGk+h8X" int2:id="zpcf5N4h">
      <int2:state int2:value="Rejected" int2:type="LegacyProofing"/>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C655004"/>
    <w:rsid w:val="002C4448"/>
    <w:rsid w:val="003D1BE3"/>
    <w:rsid w:val="005D5218"/>
    <w:rsid w:val="006326C7"/>
    <w:rsid w:val="00726A63"/>
    <w:rsid w:val="00870059"/>
    <w:rsid w:val="00B44B71"/>
    <w:rsid w:val="00EF1377"/>
    <w:rsid w:val="00EF6574"/>
    <w:rsid w:val="00F15E64"/>
    <w:rsid w:val="00F52945"/>
    <w:rsid w:val="00F96ABE"/>
    <w:rsid w:val="1BE7077B"/>
    <w:rsid w:val="1C655004"/>
    <w:rsid w:val="3C3CAA91"/>
    <w:rsid w:val="41F645D0"/>
    <w:rsid w:val="5F0C32AA"/>
    <w:rsid w:val="615DBECE"/>
    <w:rsid w:val="6477D83C"/>
    <w:rsid w:val="713FCECF"/>
    <w:rsid w:val="787ACCF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CAA91"/>
  <w15:chartTrackingRefBased/>
  <w15:docId w15:val="{B7FEEA9A-B783-4919-82CA-56FEF0943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www.earlyyearsmatters.co.uk/eyfs/a-unique-child/play-learning/" TargetMode="External" /><Relationship Id="rId11" Type="http://schemas.openxmlformats.org/officeDocument/2006/relationships/header" Target="header3.xml" /><Relationship Id="rId5" Type="http://schemas.openxmlformats.org/officeDocument/2006/relationships/endnotes" Target="endnotes.xml" /><Relationship Id="rId15" Type="http://schemas.microsoft.com/office/2020/10/relationships/intelligence" Target="intelligence2.xml" /><Relationship Id="rId10" Type="http://schemas.openxmlformats.org/officeDocument/2006/relationships/footer" Target="footer2.xml" /><Relationship Id="rId4" Type="http://schemas.openxmlformats.org/officeDocument/2006/relationships/footnotes" Target="footnote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267</Words>
  <Characters>1524</Characters>
  <Application>Microsoft Office Word</Application>
  <DocSecurity>0</DocSecurity>
  <Lines>12</Lines>
  <Paragraphs>3</Paragraphs>
  <ScaleCrop>false</ScaleCrop>
  <Company/>
  <LinksUpToDate>false</LinksUpToDate>
  <CharactersWithSpaces>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Temara Glynn</dc:creator>
  <cp:keywords/>
  <dc:description/>
  <cp:lastModifiedBy>Temara Glynn</cp:lastModifiedBy>
  <cp:revision>2</cp:revision>
  <dcterms:created xsi:type="dcterms:W3CDTF">2021-12-30T10:54:00Z</dcterms:created>
  <dcterms:modified xsi:type="dcterms:W3CDTF">2021-12-30T10:54:00Z</dcterms:modified>
</cp:coreProperties>
</file>