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7AC4F8" w14:textId="77777777" w:rsidR="00D84377" w:rsidRDefault="00D84377" w:rsidP="00D84377">
      <w:pPr>
        <w:jc w:val="center"/>
        <w:rPr>
          <w:b/>
          <w:sz w:val="28"/>
          <w:szCs w:val="28"/>
        </w:rPr>
      </w:pPr>
    </w:p>
    <w:p w14:paraId="518F8CE3" w14:textId="77777777" w:rsidR="00D84377" w:rsidRDefault="00D84377" w:rsidP="00D84377">
      <w:pPr>
        <w:jc w:val="center"/>
        <w:rPr>
          <w:b/>
          <w:sz w:val="28"/>
          <w:szCs w:val="28"/>
        </w:rPr>
      </w:pPr>
    </w:p>
    <w:p w14:paraId="66D3C323" w14:textId="77777777" w:rsidR="00D84377" w:rsidRDefault="00D84377" w:rsidP="00D84377">
      <w:pPr>
        <w:jc w:val="center"/>
        <w:rPr>
          <w:b/>
          <w:sz w:val="28"/>
          <w:szCs w:val="28"/>
        </w:rPr>
      </w:pPr>
    </w:p>
    <w:p w14:paraId="33B32767" w14:textId="77777777" w:rsidR="00D84377" w:rsidRDefault="00D84377" w:rsidP="00D84377">
      <w:pPr>
        <w:jc w:val="center"/>
        <w:rPr>
          <w:b/>
          <w:sz w:val="28"/>
          <w:szCs w:val="28"/>
        </w:rPr>
      </w:pPr>
    </w:p>
    <w:p w14:paraId="180D232A" w14:textId="77777777" w:rsidR="00D84377" w:rsidRDefault="00D84377" w:rsidP="00D84377">
      <w:pPr>
        <w:jc w:val="center"/>
        <w:rPr>
          <w:b/>
          <w:sz w:val="28"/>
          <w:szCs w:val="28"/>
        </w:rPr>
      </w:pPr>
    </w:p>
    <w:p w14:paraId="77A25FAB" w14:textId="77777777" w:rsidR="00D84377" w:rsidRDefault="00D84377" w:rsidP="00D84377">
      <w:pPr>
        <w:jc w:val="center"/>
        <w:rPr>
          <w:b/>
          <w:sz w:val="28"/>
          <w:szCs w:val="28"/>
        </w:rPr>
      </w:pPr>
    </w:p>
    <w:p w14:paraId="6375796A" w14:textId="77777777" w:rsidR="00D84377" w:rsidRDefault="00D84377" w:rsidP="00D84377">
      <w:pPr>
        <w:jc w:val="center"/>
        <w:rPr>
          <w:b/>
          <w:sz w:val="28"/>
          <w:szCs w:val="28"/>
        </w:rPr>
      </w:pPr>
    </w:p>
    <w:p w14:paraId="5475ED4D" w14:textId="77777777" w:rsidR="00D84377" w:rsidRDefault="00D84377" w:rsidP="00D84377">
      <w:pPr>
        <w:jc w:val="center"/>
        <w:rPr>
          <w:b/>
          <w:sz w:val="28"/>
          <w:szCs w:val="28"/>
        </w:rPr>
      </w:pPr>
    </w:p>
    <w:p w14:paraId="45586896" w14:textId="77777777" w:rsidR="00D84377" w:rsidRDefault="00D84377" w:rsidP="00D84377">
      <w:pPr>
        <w:jc w:val="center"/>
        <w:rPr>
          <w:b/>
          <w:sz w:val="28"/>
          <w:szCs w:val="28"/>
        </w:rPr>
      </w:pPr>
    </w:p>
    <w:p w14:paraId="0730BCAE" w14:textId="77777777" w:rsidR="00D84377" w:rsidRDefault="00D84377" w:rsidP="00D84377">
      <w:pPr>
        <w:jc w:val="center"/>
        <w:rPr>
          <w:b/>
          <w:sz w:val="28"/>
          <w:szCs w:val="28"/>
        </w:rPr>
      </w:pPr>
    </w:p>
    <w:p w14:paraId="22410786" w14:textId="77777777" w:rsidR="00D84377" w:rsidRDefault="00D84377" w:rsidP="00D84377">
      <w:pPr>
        <w:rPr>
          <w:b/>
          <w:sz w:val="28"/>
          <w:szCs w:val="28"/>
        </w:rPr>
      </w:pPr>
    </w:p>
    <w:p w14:paraId="7F983F32" w14:textId="21A71799" w:rsidR="00D84377" w:rsidRPr="00222160" w:rsidRDefault="00D84377" w:rsidP="00D84377">
      <w:pPr>
        <w:jc w:val="center"/>
        <w:rPr>
          <w:b/>
          <w:sz w:val="40"/>
          <w:szCs w:val="40"/>
        </w:rPr>
      </w:pPr>
      <w:r w:rsidRPr="00222160">
        <w:rPr>
          <w:b/>
          <w:sz w:val="40"/>
          <w:szCs w:val="40"/>
        </w:rPr>
        <w:t>M</w:t>
      </w:r>
      <w:r w:rsidRPr="00222160">
        <w:rPr>
          <w:b/>
          <w:sz w:val="40"/>
          <w:szCs w:val="40"/>
        </w:rPr>
        <w:t>argaret Thatcher’s Vision of Europe</w:t>
      </w:r>
    </w:p>
    <w:p w14:paraId="7737D0EB" w14:textId="77777777" w:rsidR="00D84377" w:rsidRDefault="00D84377" w:rsidP="00D84377">
      <w:pPr>
        <w:jc w:val="center"/>
        <w:rPr>
          <w:b/>
          <w:sz w:val="22"/>
          <w:szCs w:val="22"/>
        </w:rPr>
      </w:pPr>
      <w:r>
        <w:rPr>
          <w:b/>
          <w:sz w:val="22"/>
          <w:szCs w:val="22"/>
        </w:rPr>
        <w:t>Steven Goodwin</w:t>
      </w:r>
    </w:p>
    <w:p w14:paraId="244CD77A" w14:textId="77777777" w:rsidR="00D84377" w:rsidRDefault="00D84377" w:rsidP="00D84377">
      <w:pPr>
        <w:jc w:val="center"/>
        <w:rPr>
          <w:b/>
          <w:sz w:val="24"/>
          <w:szCs w:val="24"/>
        </w:rPr>
      </w:pPr>
    </w:p>
    <w:p w14:paraId="3670173C" w14:textId="77777777" w:rsidR="00D84377" w:rsidRDefault="00D84377" w:rsidP="00D84377">
      <w:pPr>
        <w:jc w:val="center"/>
        <w:rPr>
          <w:b/>
          <w:sz w:val="24"/>
          <w:szCs w:val="24"/>
        </w:rPr>
      </w:pPr>
    </w:p>
    <w:p w14:paraId="55F3204B" w14:textId="77777777" w:rsidR="00D84377" w:rsidRDefault="00D84377" w:rsidP="00D84377">
      <w:pPr>
        <w:jc w:val="center"/>
        <w:rPr>
          <w:b/>
          <w:sz w:val="24"/>
          <w:szCs w:val="24"/>
        </w:rPr>
      </w:pPr>
    </w:p>
    <w:p w14:paraId="6339DC15" w14:textId="77777777" w:rsidR="00D84377" w:rsidRDefault="00D84377" w:rsidP="00D84377">
      <w:pPr>
        <w:jc w:val="center"/>
        <w:rPr>
          <w:b/>
          <w:sz w:val="24"/>
          <w:szCs w:val="24"/>
        </w:rPr>
      </w:pPr>
    </w:p>
    <w:p w14:paraId="15121BB7" w14:textId="77777777" w:rsidR="00D84377" w:rsidRDefault="00D84377" w:rsidP="00D84377">
      <w:pPr>
        <w:jc w:val="center"/>
        <w:rPr>
          <w:b/>
          <w:sz w:val="24"/>
          <w:szCs w:val="24"/>
        </w:rPr>
      </w:pPr>
    </w:p>
    <w:p w14:paraId="7CE3AEE5" w14:textId="79484B00" w:rsidR="00D84377" w:rsidRDefault="00D84377" w:rsidP="00D84377">
      <w:pPr>
        <w:jc w:val="center"/>
        <w:rPr>
          <w:b/>
          <w:sz w:val="24"/>
          <w:szCs w:val="24"/>
        </w:rPr>
      </w:pPr>
    </w:p>
    <w:p w14:paraId="657240D9" w14:textId="77777777" w:rsidR="00D84377" w:rsidRDefault="00D84377" w:rsidP="00D84377">
      <w:pPr>
        <w:jc w:val="center"/>
        <w:rPr>
          <w:b/>
          <w:sz w:val="24"/>
          <w:szCs w:val="24"/>
        </w:rPr>
      </w:pPr>
    </w:p>
    <w:p w14:paraId="6332F993" w14:textId="77777777" w:rsidR="00D84377" w:rsidRDefault="00D84377" w:rsidP="00D84377">
      <w:pPr>
        <w:jc w:val="center"/>
        <w:rPr>
          <w:b/>
          <w:sz w:val="24"/>
          <w:szCs w:val="24"/>
        </w:rPr>
      </w:pPr>
      <w:r>
        <w:rPr>
          <w:b/>
          <w:sz w:val="24"/>
          <w:szCs w:val="24"/>
        </w:rPr>
        <w:t>AHSK6003</w:t>
      </w:r>
    </w:p>
    <w:p w14:paraId="6C88FBDB" w14:textId="11F4D97D" w:rsidR="00D84377" w:rsidRPr="00D84377" w:rsidRDefault="00D84377" w:rsidP="00D84377">
      <w:pPr>
        <w:jc w:val="center"/>
        <w:rPr>
          <w:b/>
          <w:sz w:val="24"/>
          <w:szCs w:val="24"/>
        </w:rPr>
      </w:pPr>
      <w:r>
        <w:rPr>
          <w:b/>
          <w:sz w:val="24"/>
          <w:szCs w:val="24"/>
        </w:rPr>
        <w:t>Independent Project</w:t>
      </w:r>
      <w:r w:rsidRPr="00D84377">
        <w:rPr>
          <w:b/>
          <w:sz w:val="24"/>
          <w:szCs w:val="24"/>
        </w:rPr>
        <w:br w:type="page"/>
      </w:r>
    </w:p>
    <w:p w14:paraId="41915396" w14:textId="10980119" w:rsidR="005F5346" w:rsidRDefault="005F5346" w:rsidP="00125B20">
      <w:pPr>
        <w:spacing w:line="360" w:lineRule="auto"/>
        <w:jc w:val="both"/>
        <w:rPr>
          <w:sz w:val="24"/>
          <w:szCs w:val="24"/>
        </w:rPr>
      </w:pPr>
      <w:r>
        <w:rPr>
          <w:sz w:val="24"/>
          <w:szCs w:val="24"/>
        </w:rPr>
        <w:lastRenderedPageBreak/>
        <w:t xml:space="preserve">Thatcher’s approach to Europe during her time at the front line of politics can be divided into several different periods: the period before her premiership, in which she campaigned for a ‘Yes’ vote in the 1975 referendum; the first half of her premiership, from the Dublin European Conference in 1979 in which she was occupied by the Community’s budget problem; </w:t>
      </w:r>
      <w:r w:rsidR="009049BB">
        <w:rPr>
          <w:sz w:val="24"/>
          <w:szCs w:val="24"/>
        </w:rPr>
        <w:t>her push for the swift creation of the Single Market after the budget problem had been resolved; and then her push back against integration within Europe from the time of her Bruges speech in 1998.</w:t>
      </w:r>
      <w:r w:rsidR="007871E3">
        <w:rPr>
          <w:sz w:val="24"/>
          <w:szCs w:val="24"/>
        </w:rPr>
        <w:t xml:space="preserve"> By looking at each of these periods through the lens of her public statements at the time, I will attempt to reveal any consistencies between them to determine whether they hold a consistent vision of Europe and European co-operation.</w:t>
      </w:r>
    </w:p>
    <w:p w14:paraId="071191AD" w14:textId="77777777" w:rsidR="009049BB" w:rsidRPr="005F5346" w:rsidRDefault="009049BB" w:rsidP="00125B20">
      <w:pPr>
        <w:spacing w:line="360" w:lineRule="auto"/>
        <w:jc w:val="both"/>
        <w:rPr>
          <w:sz w:val="24"/>
          <w:szCs w:val="24"/>
        </w:rPr>
      </w:pPr>
    </w:p>
    <w:p w14:paraId="199C0BEF" w14:textId="0E71DF54" w:rsidR="005B0315" w:rsidRPr="005B0315" w:rsidRDefault="005B0315" w:rsidP="00125B20">
      <w:pPr>
        <w:spacing w:line="360" w:lineRule="auto"/>
        <w:jc w:val="both"/>
        <w:rPr>
          <w:b/>
          <w:sz w:val="24"/>
          <w:szCs w:val="24"/>
        </w:rPr>
      </w:pPr>
      <w:r>
        <w:rPr>
          <w:b/>
          <w:sz w:val="24"/>
          <w:szCs w:val="24"/>
        </w:rPr>
        <w:t>The Referendum Campaign</w:t>
      </w:r>
    </w:p>
    <w:p w14:paraId="64A1E0BC" w14:textId="08814111" w:rsidR="005B4087" w:rsidRDefault="005B4087" w:rsidP="00125B20">
      <w:pPr>
        <w:spacing w:line="360" w:lineRule="auto"/>
        <w:jc w:val="both"/>
        <w:rPr>
          <w:sz w:val="24"/>
          <w:szCs w:val="24"/>
        </w:rPr>
      </w:pPr>
      <w:r>
        <w:rPr>
          <w:sz w:val="24"/>
          <w:szCs w:val="24"/>
        </w:rPr>
        <w:t xml:space="preserve">Speaking to the Conservative Group for Europe in 1975, at the beginning of the referendum campaign, Thatcher </w:t>
      </w:r>
      <w:r w:rsidR="00C41C90">
        <w:rPr>
          <w:sz w:val="24"/>
          <w:szCs w:val="24"/>
        </w:rPr>
        <w:t xml:space="preserve">twice </w:t>
      </w:r>
      <w:r>
        <w:rPr>
          <w:sz w:val="24"/>
          <w:szCs w:val="24"/>
        </w:rPr>
        <w:t xml:space="preserve">described it as a ‘campaign to keep Britain in Europe’, placing the institutions of the European Communities at the heart of </w:t>
      </w:r>
      <w:r w:rsidR="00C41C90">
        <w:rPr>
          <w:sz w:val="24"/>
          <w:szCs w:val="24"/>
        </w:rPr>
        <w:t>a conception of Europe.</w:t>
      </w:r>
      <w:r w:rsidR="007B3259">
        <w:rPr>
          <w:rStyle w:val="FootnoteReference"/>
          <w:sz w:val="24"/>
          <w:szCs w:val="24"/>
        </w:rPr>
        <w:footnoteReference w:id="1"/>
      </w:r>
      <w:r w:rsidR="00C41C90">
        <w:rPr>
          <w:sz w:val="24"/>
          <w:szCs w:val="24"/>
        </w:rPr>
        <w:t xml:space="preserve"> While she note</w:t>
      </w:r>
      <w:r w:rsidR="0091642A">
        <w:rPr>
          <w:sz w:val="24"/>
          <w:szCs w:val="24"/>
        </w:rPr>
        <w:t>d</w:t>
      </w:r>
      <w:r w:rsidR="00C41C90">
        <w:rPr>
          <w:sz w:val="24"/>
          <w:szCs w:val="24"/>
        </w:rPr>
        <w:t xml:space="preserve"> that Europe has geographical, historical and cultural dimensions to it</w:t>
      </w:r>
      <w:r w:rsidR="00EC3E3F" w:rsidRPr="002C7411">
        <w:rPr>
          <w:sz w:val="24"/>
          <w:szCs w:val="24"/>
        </w:rPr>
        <w:t>—</w:t>
      </w:r>
      <w:r w:rsidR="00C41C90">
        <w:rPr>
          <w:sz w:val="24"/>
          <w:szCs w:val="24"/>
        </w:rPr>
        <w:t xml:space="preserve">and that </w:t>
      </w:r>
      <w:r w:rsidR="00EC3E3F">
        <w:rPr>
          <w:sz w:val="24"/>
          <w:szCs w:val="24"/>
        </w:rPr>
        <w:t>Britain is ‘inextricably part of Europe’ whatever the outcome of the referendum</w:t>
      </w:r>
      <w:r w:rsidR="00EC3E3F" w:rsidRPr="002C7411">
        <w:rPr>
          <w:sz w:val="24"/>
          <w:szCs w:val="24"/>
        </w:rPr>
        <w:t>—</w:t>
      </w:r>
      <w:r w:rsidR="00EC3E3F">
        <w:rPr>
          <w:sz w:val="24"/>
          <w:szCs w:val="24"/>
        </w:rPr>
        <w:t>she suggest</w:t>
      </w:r>
      <w:r w:rsidR="0091642A">
        <w:rPr>
          <w:sz w:val="24"/>
          <w:szCs w:val="24"/>
        </w:rPr>
        <w:t>ed</w:t>
      </w:r>
      <w:r w:rsidR="00EC3E3F">
        <w:rPr>
          <w:sz w:val="24"/>
          <w:szCs w:val="24"/>
        </w:rPr>
        <w:t xml:space="preserve"> that this was given form by Britain’s joining of the Community: it was on joining the Community in 1972 that ‘[t]hat vision of Europe took a leap into reality’.</w:t>
      </w:r>
      <w:r w:rsidR="00705C93">
        <w:rPr>
          <w:sz w:val="24"/>
          <w:szCs w:val="24"/>
        </w:rPr>
        <w:t xml:space="preserve"> However</w:t>
      </w:r>
      <w:r w:rsidR="00F959AF">
        <w:rPr>
          <w:sz w:val="24"/>
          <w:szCs w:val="24"/>
        </w:rPr>
        <w:t>, she went on</w:t>
      </w:r>
      <w:r w:rsidR="00705C93">
        <w:rPr>
          <w:sz w:val="24"/>
          <w:szCs w:val="24"/>
        </w:rPr>
        <w:t xml:space="preserve"> </w:t>
      </w:r>
      <w:r w:rsidR="00CF16D4">
        <w:rPr>
          <w:sz w:val="24"/>
          <w:szCs w:val="24"/>
        </w:rPr>
        <w:t xml:space="preserve">to speak of </w:t>
      </w:r>
      <w:r w:rsidR="00705C93">
        <w:rPr>
          <w:sz w:val="24"/>
          <w:szCs w:val="24"/>
        </w:rPr>
        <w:t>certain ‘myths’ people held about the Community</w:t>
      </w:r>
      <w:r w:rsidR="00DA2218">
        <w:rPr>
          <w:sz w:val="24"/>
          <w:szCs w:val="24"/>
        </w:rPr>
        <w:t xml:space="preserve"> among which</w:t>
      </w:r>
      <w:r w:rsidR="00DA2218" w:rsidRPr="002C7411">
        <w:rPr>
          <w:sz w:val="24"/>
          <w:szCs w:val="24"/>
        </w:rPr>
        <w:t>—</w:t>
      </w:r>
      <w:r w:rsidR="00DA2218">
        <w:rPr>
          <w:sz w:val="24"/>
          <w:szCs w:val="24"/>
        </w:rPr>
        <w:t>in complete opposition to the ‘myths’ that she would list in her 1988 Bruges speech</w:t>
      </w:r>
      <w:r w:rsidR="00DA2218" w:rsidRPr="002C7411">
        <w:rPr>
          <w:sz w:val="24"/>
          <w:szCs w:val="24"/>
        </w:rPr>
        <w:t>—</w:t>
      </w:r>
      <w:r w:rsidR="00705C93">
        <w:rPr>
          <w:sz w:val="24"/>
          <w:szCs w:val="24"/>
        </w:rPr>
        <w:t>was the notion that British membership might ‘suffocate the national tradition and culture’.</w:t>
      </w:r>
      <w:r w:rsidR="00660E81">
        <w:rPr>
          <w:rStyle w:val="FootnoteReference"/>
          <w:sz w:val="24"/>
          <w:szCs w:val="24"/>
        </w:rPr>
        <w:footnoteReference w:id="2"/>
      </w:r>
      <w:r w:rsidR="00DA2218">
        <w:rPr>
          <w:sz w:val="24"/>
          <w:szCs w:val="24"/>
        </w:rPr>
        <w:t xml:space="preserve"> As such, the issue of sovereignty does rear</w:t>
      </w:r>
      <w:r w:rsidR="00F959AF">
        <w:rPr>
          <w:sz w:val="24"/>
          <w:szCs w:val="24"/>
        </w:rPr>
        <w:t xml:space="preserve"> its head at this stage, though the idea that joining the Community might put it under threat is discarded</w:t>
      </w:r>
      <w:r w:rsidR="00F02EEE">
        <w:rPr>
          <w:sz w:val="24"/>
          <w:szCs w:val="24"/>
        </w:rPr>
        <w:t xml:space="preserve">; the ‘vision’ she put forward here was certainly not of a federalised Europe, though it does rest upon shared </w:t>
      </w:r>
      <w:r w:rsidR="00A569FA">
        <w:rPr>
          <w:sz w:val="24"/>
          <w:szCs w:val="24"/>
        </w:rPr>
        <w:t xml:space="preserve">European </w:t>
      </w:r>
      <w:r w:rsidR="00F02EEE">
        <w:rPr>
          <w:sz w:val="24"/>
          <w:szCs w:val="24"/>
        </w:rPr>
        <w:t>institution</w:t>
      </w:r>
      <w:r w:rsidR="00A569FA">
        <w:rPr>
          <w:sz w:val="24"/>
          <w:szCs w:val="24"/>
        </w:rPr>
        <w:t>s</w:t>
      </w:r>
      <w:r w:rsidR="00F02EEE">
        <w:rPr>
          <w:sz w:val="24"/>
          <w:szCs w:val="24"/>
        </w:rPr>
        <w:t>.</w:t>
      </w:r>
    </w:p>
    <w:p w14:paraId="604487F5" w14:textId="293DFB8C" w:rsidR="0091642A" w:rsidRDefault="00FE5572" w:rsidP="00125B20">
      <w:pPr>
        <w:spacing w:line="360" w:lineRule="auto"/>
        <w:ind w:firstLine="720"/>
        <w:jc w:val="both"/>
        <w:rPr>
          <w:sz w:val="24"/>
          <w:szCs w:val="24"/>
        </w:rPr>
      </w:pPr>
      <w:r>
        <w:rPr>
          <w:sz w:val="24"/>
          <w:szCs w:val="24"/>
        </w:rPr>
        <w:t xml:space="preserve">In her memoir, </w:t>
      </w:r>
      <w:r w:rsidR="00062955">
        <w:rPr>
          <w:i/>
          <w:sz w:val="24"/>
          <w:szCs w:val="24"/>
        </w:rPr>
        <w:t xml:space="preserve">The </w:t>
      </w:r>
      <w:r>
        <w:rPr>
          <w:i/>
          <w:sz w:val="24"/>
          <w:szCs w:val="24"/>
        </w:rPr>
        <w:t>Path to Power</w:t>
      </w:r>
      <w:r>
        <w:rPr>
          <w:sz w:val="24"/>
          <w:szCs w:val="24"/>
        </w:rPr>
        <w:t xml:space="preserve">, Thatcher would characterise such language </w:t>
      </w:r>
      <w:r w:rsidR="00F959AF">
        <w:rPr>
          <w:sz w:val="24"/>
          <w:szCs w:val="24"/>
        </w:rPr>
        <w:t xml:space="preserve">as she uses here </w:t>
      </w:r>
      <w:r>
        <w:rPr>
          <w:sz w:val="24"/>
          <w:szCs w:val="24"/>
        </w:rPr>
        <w:t>as rhetorical flourish</w:t>
      </w:r>
      <w:r w:rsidR="0091642A">
        <w:rPr>
          <w:sz w:val="24"/>
          <w:szCs w:val="24"/>
        </w:rPr>
        <w:t>,</w:t>
      </w:r>
      <w:r>
        <w:rPr>
          <w:sz w:val="24"/>
          <w:szCs w:val="24"/>
        </w:rPr>
        <w:t xml:space="preserve"> suggest</w:t>
      </w:r>
      <w:r w:rsidR="0091642A">
        <w:rPr>
          <w:sz w:val="24"/>
          <w:szCs w:val="24"/>
        </w:rPr>
        <w:t>ing</w:t>
      </w:r>
      <w:r>
        <w:rPr>
          <w:sz w:val="24"/>
          <w:szCs w:val="24"/>
        </w:rPr>
        <w:t xml:space="preserve"> that she herself ‘neither shared nor took very </w:t>
      </w:r>
      <w:r>
        <w:rPr>
          <w:sz w:val="24"/>
          <w:szCs w:val="24"/>
        </w:rPr>
        <w:lastRenderedPageBreak/>
        <w:t>seriously the idealistic rhetoric with which ‘Europe’ was being dressed in some quarters’.</w:t>
      </w:r>
      <w:r>
        <w:rPr>
          <w:rStyle w:val="FootnoteReference"/>
          <w:sz w:val="24"/>
          <w:szCs w:val="24"/>
        </w:rPr>
        <w:footnoteReference w:id="3"/>
      </w:r>
      <w:r>
        <w:rPr>
          <w:sz w:val="24"/>
          <w:szCs w:val="24"/>
        </w:rPr>
        <w:t xml:space="preserve"> </w:t>
      </w:r>
      <w:r w:rsidR="0091642A">
        <w:rPr>
          <w:sz w:val="24"/>
          <w:szCs w:val="24"/>
        </w:rPr>
        <w:t>Only</w:t>
      </w:r>
      <w:r>
        <w:rPr>
          <w:sz w:val="24"/>
          <w:szCs w:val="24"/>
        </w:rPr>
        <w:t xml:space="preserve"> later in the book</w:t>
      </w:r>
      <w:r w:rsidR="0091642A">
        <w:rPr>
          <w:sz w:val="24"/>
          <w:szCs w:val="24"/>
        </w:rPr>
        <w:t xml:space="preserve"> does she</w:t>
      </w:r>
      <w:r>
        <w:rPr>
          <w:sz w:val="24"/>
          <w:szCs w:val="24"/>
        </w:rPr>
        <w:t xml:space="preserve"> </w:t>
      </w:r>
      <w:r w:rsidR="00734B52">
        <w:rPr>
          <w:sz w:val="24"/>
          <w:szCs w:val="24"/>
        </w:rPr>
        <w:t>accept</w:t>
      </w:r>
      <w:r>
        <w:rPr>
          <w:sz w:val="24"/>
          <w:szCs w:val="24"/>
        </w:rPr>
        <w:t xml:space="preserve"> that she herself had done </w:t>
      </w:r>
      <w:r w:rsidR="00734B52">
        <w:rPr>
          <w:sz w:val="24"/>
          <w:szCs w:val="24"/>
        </w:rPr>
        <w:t>the same</w:t>
      </w:r>
      <w:r>
        <w:rPr>
          <w:sz w:val="24"/>
          <w:szCs w:val="24"/>
        </w:rPr>
        <w:t>, suggesting that such ‘high flown rhetoric about Britain’s European destiny’ and ‘European identity’ was something she ‘had on occasion to employ a little on public platforms’.</w:t>
      </w:r>
      <w:r>
        <w:rPr>
          <w:rStyle w:val="FootnoteReference"/>
          <w:sz w:val="24"/>
          <w:szCs w:val="24"/>
        </w:rPr>
        <w:footnoteReference w:id="4"/>
      </w:r>
      <w:r>
        <w:rPr>
          <w:sz w:val="24"/>
          <w:szCs w:val="24"/>
        </w:rPr>
        <w:t xml:space="preserve"> </w:t>
      </w:r>
      <w:r w:rsidR="00F959AF">
        <w:rPr>
          <w:sz w:val="24"/>
          <w:szCs w:val="24"/>
        </w:rPr>
        <w:t xml:space="preserve">She therefore retrospectively </w:t>
      </w:r>
      <w:r w:rsidR="00F02EEE">
        <w:rPr>
          <w:sz w:val="24"/>
          <w:szCs w:val="24"/>
        </w:rPr>
        <w:t>dismissed</w:t>
      </w:r>
      <w:r w:rsidR="00F959AF">
        <w:rPr>
          <w:sz w:val="24"/>
          <w:szCs w:val="24"/>
        </w:rPr>
        <w:t xml:space="preserve"> the ‘vision of Europe’ she spoke of in 1975</w:t>
      </w:r>
      <w:r w:rsidR="00325238" w:rsidRPr="002C7411">
        <w:rPr>
          <w:sz w:val="24"/>
          <w:szCs w:val="24"/>
        </w:rPr>
        <w:t>—</w:t>
      </w:r>
      <w:r w:rsidR="00F959AF">
        <w:rPr>
          <w:sz w:val="24"/>
          <w:szCs w:val="24"/>
        </w:rPr>
        <w:t>in which the Community project formed a key role</w:t>
      </w:r>
      <w:r w:rsidR="00325238" w:rsidRPr="002C7411">
        <w:rPr>
          <w:sz w:val="24"/>
          <w:szCs w:val="24"/>
        </w:rPr>
        <w:t>—</w:t>
      </w:r>
      <w:r w:rsidR="00F959AF">
        <w:rPr>
          <w:sz w:val="24"/>
          <w:szCs w:val="24"/>
        </w:rPr>
        <w:t xml:space="preserve">as </w:t>
      </w:r>
      <w:r w:rsidR="00F02EEE">
        <w:rPr>
          <w:sz w:val="24"/>
          <w:szCs w:val="24"/>
        </w:rPr>
        <w:t xml:space="preserve">something forced on her as </w:t>
      </w:r>
      <w:r w:rsidR="00CF16D4">
        <w:rPr>
          <w:sz w:val="24"/>
          <w:szCs w:val="24"/>
        </w:rPr>
        <w:t>P</w:t>
      </w:r>
      <w:r w:rsidR="00F02EEE">
        <w:rPr>
          <w:sz w:val="24"/>
          <w:szCs w:val="24"/>
        </w:rPr>
        <w:t xml:space="preserve">arty </w:t>
      </w:r>
      <w:r w:rsidR="00CF16D4">
        <w:rPr>
          <w:sz w:val="24"/>
          <w:szCs w:val="24"/>
        </w:rPr>
        <w:t>L</w:t>
      </w:r>
      <w:r w:rsidR="00F02EEE">
        <w:rPr>
          <w:sz w:val="24"/>
          <w:szCs w:val="24"/>
        </w:rPr>
        <w:t>eader.</w:t>
      </w:r>
    </w:p>
    <w:p w14:paraId="5D9317B0" w14:textId="2F3DD1A8" w:rsidR="00FE5572" w:rsidRDefault="00FE5572" w:rsidP="00125B20">
      <w:pPr>
        <w:spacing w:line="360" w:lineRule="auto"/>
        <w:ind w:firstLine="720"/>
        <w:jc w:val="both"/>
        <w:rPr>
          <w:sz w:val="24"/>
          <w:szCs w:val="24"/>
        </w:rPr>
      </w:pPr>
      <w:r>
        <w:rPr>
          <w:sz w:val="24"/>
          <w:szCs w:val="24"/>
        </w:rPr>
        <w:t xml:space="preserve">She </w:t>
      </w:r>
      <w:r w:rsidR="00F959AF">
        <w:rPr>
          <w:sz w:val="24"/>
          <w:szCs w:val="24"/>
        </w:rPr>
        <w:t>further suggested</w:t>
      </w:r>
      <w:r>
        <w:rPr>
          <w:sz w:val="24"/>
          <w:szCs w:val="24"/>
        </w:rPr>
        <w:t xml:space="preserve"> that</w:t>
      </w:r>
      <w:r w:rsidR="0091642A">
        <w:rPr>
          <w:sz w:val="24"/>
          <w:szCs w:val="24"/>
        </w:rPr>
        <w:t>, during the campaign,</w:t>
      </w:r>
      <w:r>
        <w:rPr>
          <w:sz w:val="24"/>
          <w:szCs w:val="24"/>
        </w:rPr>
        <w:t xml:space="preserve"> she ‘saw the EEC as essentially a trading framework</w:t>
      </w:r>
      <w:r w:rsidRPr="002C7411">
        <w:rPr>
          <w:sz w:val="24"/>
          <w:szCs w:val="24"/>
        </w:rPr>
        <w:t>—</w:t>
      </w:r>
      <w:r>
        <w:rPr>
          <w:sz w:val="24"/>
          <w:szCs w:val="24"/>
        </w:rPr>
        <w:t>a common market’</w:t>
      </w:r>
      <w:r w:rsidR="0091642A">
        <w:rPr>
          <w:sz w:val="24"/>
          <w:szCs w:val="24"/>
        </w:rPr>
        <w:t>;</w:t>
      </w:r>
      <w:r>
        <w:rPr>
          <w:rStyle w:val="FootnoteReference"/>
          <w:sz w:val="24"/>
          <w:szCs w:val="24"/>
        </w:rPr>
        <w:footnoteReference w:id="5"/>
      </w:r>
      <w:r w:rsidR="00DC1EF9">
        <w:rPr>
          <w:sz w:val="24"/>
          <w:szCs w:val="24"/>
        </w:rPr>
        <w:t xml:space="preserve"> </w:t>
      </w:r>
      <w:r w:rsidR="0091642A">
        <w:rPr>
          <w:sz w:val="24"/>
          <w:szCs w:val="24"/>
        </w:rPr>
        <w:t xml:space="preserve">because of this she </w:t>
      </w:r>
      <w:r w:rsidR="00DC1EF9">
        <w:rPr>
          <w:sz w:val="24"/>
          <w:szCs w:val="24"/>
        </w:rPr>
        <w:t>‘was wholeheartedly in favour of British entry into the EEC’</w:t>
      </w:r>
      <w:r w:rsidR="00AB71DB">
        <w:rPr>
          <w:sz w:val="24"/>
          <w:szCs w:val="24"/>
        </w:rPr>
        <w:t xml:space="preserve"> and </w:t>
      </w:r>
      <w:r w:rsidR="0091642A">
        <w:rPr>
          <w:sz w:val="24"/>
          <w:szCs w:val="24"/>
        </w:rPr>
        <w:t xml:space="preserve">believed </w:t>
      </w:r>
      <w:r w:rsidR="00AB71DB">
        <w:rPr>
          <w:sz w:val="24"/>
          <w:szCs w:val="24"/>
        </w:rPr>
        <w:t>that it would be ‘foolish to leave the Community’.</w:t>
      </w:r>
      <w:r w:rsidR="001E2873">
        <w:rPr>
          <w:rStyle w:val="FootnoteReference"/>
          <w:sz w:val="24"/>
          <w:szCs w:val="24"/>
        </w:rPr>
        <w:footnoteReference w:id="6"/>
      </w:r>
      <w:r w:rsidR="00EA1718">
        <w:rPr>
          <w:sz w:val="24"/>
          <w:szCs w:val="24"/>
        </w:rPr>
        <w:t xml:space="preserve"> </w:t>
      </w:r>
      <w:r w:rsidR="0091642A">
        <w:rPr>
          <w:sz w:val="24"/>
          <w:szCs w:val="24"/>
        </w:rPr>
        <w:t>She went on to describe</w:t>
      </w:r>
      <w:r w:rsidR="00EA1718">
        <w:rPr>
          <w:sz w:val="24"/>
          <w:szCs w:val="24"/>
        </w:rPr>
        <w:t xml:space="preserve"> the sovereignty issue as ‘the dog that barked’</w:t>
      </w:r>
      <w:r w:rsidR="008E72E3">
        <w:rPr>
          <w:sz w:val="24"/>
          <w:szCs w:val="24"/>
        </w:rPr>
        <w:t xml:space="preserve"> during Britain’s first accession negotiations in the early 1970s</w:t>
      </w:r>
      <w:r w:rsidR="00EA1718">
        <w:rPr>
          <w:sz w:val="24"/>
          <w:szCs w:val="24"/>
        </w:rPr>
        <w:t xml:space="preserve">, a warning </w:t>
      </w:r>
      <w:r w:rsidR="0091642A">
        <w:rPr>
          <w:sz w:val="24"/>
          <w:szCs w:val="24"/>
        </w:rPr>
        <w:t>that the issue</w:t>
      </w:r>
      <w:r w:rsidR="00EA1718">
        <w:rPr>
          <w:sz w:val="24"/>
          <w:szCs w:val="24"/>
        </w:rPr>
        <w:t xml:space="preserve"> would assume only greater importance over the following years.</w:t>
      </w:r>
      <w:r w:rsidR="00EA1718">
        <w:rPr>
          <w:rStyle w:val="FootnoteReference"/>
          <w:sz w:val="24"/>
          <w:szCs w:val="24"/>
        </w:rPr>
        <w:footnoteReference w:id="7"/>
      </w:r>
      <w:r w:rsidR="00A94A16">
        <w:rPr>
          <w:sz w:val="24"/>
          <w:szCs w:val="24"/>
        </w:rPr>
        <w:t xml:space="preserve"> </w:t>
      </w:r>
      <w:r w:rsidR="0091642A">
        <w:rPr>
          <w:sz w:val="24"/>
          <w:szCs w:val="24"/>
        </w:rPr>
        <w:t xml:space="preserve">Continuing this retrospective, she claimed that the issue of sovereignty </w:t>
      </w:r>
      <w:r w:rsidR="00A94A16">
        <w:rPr>
          <w:sz w:val="24"/>
          <w:szCs w:val="24"/>
        </w:rPr>
        <w:t xml:space="preserve">was something that she, along with everyone else, </w:t>
      </w:r>
      <w:r w:rsidR="0091642A">
        <w:rPr>
          <w:sz w:val="24"/>
          <w:szCs w:val="24"/>
        </w:rPr>
        <w:t xml:space="preserve">had simply </w:t>
      </w:r>
      <w:r w:rsidR="00A94A16">
        <w:rPr>
          <w:sz w:val="24"/>
          <w:szCs w:val="24"/>
        </w:rPr>
        <w:t xml:space="preserve">paid little attention to </w:t>
      </w:r>
      <w:r w:rsidR="0091642A">
        <w:rPr>
          <w:sz w:val="24"/>
          <w:szCs w:val="24"/>
        </w:rPr>
        <w:t>at the time</w:t>
      </w:r>
      <w:r w:rsidR="00F959AF">
        <w:rPr>
          <w:sz w:val="24"/>
          <w:szCs w:val="24"/>
        </w:rPr>
        <w:t>.</w:t>
      </w:r>
      <w:r w:rsidR="00A94A16">
        <w:rPr>
          <w:rStyle w:val="FootnoteReference"/>
          <w:sz w:val="24"/>
          <w:szCs w:val="24"/>
        </w:rPr>
        <w:footnoteReference w:id="8"/>
      </w:r>
      <w:r w:rsidR="00F959AF">
        <w:rPr>
          <w:sz w:val="24"/>
          <w:szCs w:val="24"/>
        </w:rPr>
        <w:t xml:space="preserve"> Certainly, while she recognised the issue of sovereignty in 1975, it was not something she was showing any concern</w:t>
      </w:r>
      <w:r w:rsidR="00F02EEE">
        <w:rPr>
          <w:sz w:val="24"/>
          <w:szCs w:val="24"/>
        </w:rPr>
        <w:t xml:space="preserve"> for</w:t>
      </w:r>
      <w:r w:rsidR="00F959AF" w:rsidRPr="002C7411">
        <w:rPr>
          <w:sz w:val="24"/>
          <w:szCs w:val="24"/>
        </w:rPr>
        <w:t>—</w:t>
      </w:r>
      <w:r w:rsidR="00F959AF">
        <w:rPr>
          <w:sz w:val="24"/>
          <w:szCs w:val="24"/>
        </w:rPr>
        <w:t>in fact, it was quite the opposite.</w:t>
      </w:r>
    </w:p>
    <w:p w14:paraId="759F21E5" w14:textId="4808EFBB" w:rsidR="00C30ACB" w:rsidRPr="001F51B4" w:rsidRDefault="00F02EEE" w:rsidP="00125B20">
      <w:pPr>
        <w:spacing w:line="360" w:lineRule="auto"/>
        <w:ind w:firstLine="720"/>
        <w:jc w:val="both"/>
        <w:rPr>
          <w:sz w:val="24"/>
          <w:szCs w:val="24"/>
        </w:rPr>
      </w:pPr>
      <w:r>
        <w:rPr>
          <w:sz w:val="24"/>
          <w:szCs w:val="24"/>
        </w:rPr>
        <w:t>There was a suggestion at the time of the campaign that Thatcher had appeared detached</w:t>
      </w:r>
      <w:r w:rsidR="00CF16D4">
        <w:rPr>
          <w:sz w:val="24"/>
          <w:szCs w:val="24"/>
        </w:rPr>
        <w:t xml:space="preserve"> and reluctant</w:t>
      </w:r>
      <w:r>
        <w:rPr>
          <w:sz w:val="24"/>
          <w:szCs w:val="24"/>
        </w:rPr>
        <w:t xml:space="preserve"> in her support. A week before the referendum, </w:t>
      </w:r>
      <w:r>
        <w:rPr>
          <w:i/>
          <w:sz w:val="24"/>
          <w:szCs w:val="24"/>
        </w:rPr>
        <w:t xml:space="preserve">The Sun </w:t>
      </w:r>
      <w:r>
        <w:rPr>
          <w:sz w:val="24"/>
          <w:szCs w:val="24"/>
        </w:rPr>
        <w:t>printed on its front page: ‘Missing: one Tory Leader. Answers to the name of Margaret Thatcher</w:t>
      </w:r>
      <w:r w:rsidR="00CF16D4">
        <w:rPr>
          <w:sz w:val="24"/>
          <w:szCs w:val="24"/>
        </w:rPr>
        <w:t>…</w:t>
      </w:r>
      <w:r>
        <w:rPr>
          <w:sz w:val="24"/>
          <w:szCs w:val="24"/>
        </w:rPr>
        <w:t xml:space="preserve"> Mysteriously disappeared from the Market Referendum Campaign eleven days ago’.</w:t>
      </w:r>
      <w:r>
        <w:rPr>
          <w:rStyle w:val="FootnoteReference"/>
          <w:sz w:val="24"/>
          <w:szCs w:val="24"/>
        </w:rPr>
        <w:footnoteReference w:id="9"/>
      </w:r>
      <w:r>
        <w:rPr>
          <w:sz w:val="24"/>
          <w:szCs w:val="24"/>
        </w:rPr>
        <w:t xml:space="preserve"> </w:t>
      </w:r>
      <w:r w:rsidR="001F51B4">
        <w:rPr>
          <w:sz w:val="24"/>
          <w:szCs w:val="24"/>
        </w:rPr>
        <w:t xml:space="preserve">In </w:t>
      </w:r>
      <w:r w:rsidR="001F51B4">
        <w:rPr>
          <w:i/>
          <w:sz w:val="24"/>
          <w:szCs w:val="24"/>
        </w:rPr>
        <w:t>The Path to Power</w:t>
      </w:r>
      <w:r w:rsidR="001F51B4">
        <w:rPr>
          <w:sz w:val="24"/>
          <w:szCs w:val="24"/>
        </w:rPr>
        <w:t>, Thatcher claimed that</w:t>
      </w:r>
      <w:r w:rsidR="00CF16D4">
        <w:rPr>
          <w:sz w:val="24"/>
          <w:szCs w:val="24"/>
        </w:rPr>
        <w:t>, though some people thought that she had not pulled her weight,</w:t>
      </w:r>
      <w:r w:rsidR="00CF16D4">
        <w:rPr>
          <w:sz w:val="24"/>
          <w:szCs w:val="24"/>
        </w:rPr>
        <w:t xml:space="preserve"> </w:t>
      </w:r>
      <w:r w:rsidR="001F51B4">
        <w:rPr>
          <w:sz w:val="24"/>
          <w:szCs w:val="24"/>
        </w:rPr>
        <w:t xml:space="preserve">she felt she had done her </w:t>
      </w:r>
      <w:r w:rsidR="00CF16D4">
        <w:rPr>
          <w:sz w:val="24"/>
          <w:szCs w:val="24"/>
        </w:rPr>
        <w:t xml:space="preserve">fair </w:t>
      </w:r>
      <w:r w:rsidR="001F51B4">
        <w:rPr>
          <w:sz w:val="24"/>
          <w:szCs w:val="24"/>
        </w:rPr>
        <w:t>share of campaigning</w:t>
      </w:r>
      <w:r w:rsidR="00CF16D4">
        <w:rPr>
          <w:sz w:val="24"/>
          <w:szCs w:val="24"/>
        </w:rPr>
        <w:t>.</w:t>
      </w:r>
      <w:r w:rsidR="00CF16D4" w:rsidRPr="00CF16D4">
        <w:rPr>
          <w:rStyle w:val="FootnoteReference"/>
          <w:sz w:val="24"/>
          <w:szCs w:val="24"/>
        </w:rPr>
        <w:t xml:space="preserve"> </w:t>
      </w:r>
      <w:r w:rsidR="00CF16D4">
        <w:rPr>
          <w:rStyle w:val="FootnoteReference"/>
          <w:sz w:val="24"/>
          <w:szCs w:val="24"/>
        </w:rPr>
        <w:footnoteReference w:id="10"/>
      </w:r>
      <w:r w:rsidR="001F51B4">
        <w:rPr>
          <w:sz w:val="24"/>
          <w:szCs w:val="24"/>
        </w:rPr>
        <w:t xml:space="preserve"> </w:t>
      </w:r>
      <w:r w:rsidR="00B02F88">
        <w:rPr>
          <w:sz w:val="24"/>
          <w:szCs w:val="24"/>
        </w:rPr>
        <w:t xml:space="preserve">Robert Saunders has </w:t>
      </w:r>
      <w:r>
        <w:rPr>
          <w:sz w:val="24"/>
          <w:szCs w:val="24"/>
        </w:rPr>
        <w:t xml:space="preserve">also </w:t>
      </w:r>
      <w:r w:rsidR="00B02F88">
        <w:rPr>
          <w:sz w:val="24"/>
          <w:szCs w:val="24"/>
        </w:rPr>
        <w:t>suggested that this was a somewhat unfair criticism: she was reasonably active on the campaign, even at one point appearing in a jumper embroidered with the flags of other Community members.</w:t>
      </w:r>
      <w:r w:rsidR="00B02F88">
        <w:rPr>
          <w:rStyle w:val="FootnoteReference"/>
          <w:sz w:val="24"/>
          <w:szCs w:val="24"/>
        </w:rPr>
        <w:footnoteReference w:id="11"/>
      </w:r>
      <w:r w:rsidR="00707ED3">
        <w:rPr>
          <w:sz w:val="24"/>
          <w:szCs w:val="24"/>
        </w:rPr>
        <w:t xml:space="preserve"> Saunders </w:t>
      </w:r>
      <w:r>
        <w:rPr>
          <w:sz w:val="24"/>
          <w:szCs w:val="24"/>
        </w:rPr>
        <w:t xml:space="preserve">does, however, </w:t>
      </w:r>
      <w:r w:rsidR="00707ED3">
        <w:rPr>
          <w:sz w:val="24"/>
          <w:szCs w:val="24"/>
        </w:rPr>
        <w:t xml:space="preserve">see </w:t>
      </w:r>
      <w:r>
        <w:rPr>
          <w:sz w:val="24"/>
          <w:szCs w:val="24"/>
        </w:rPr>
        <w:t xml:space="preserve">a </w:t>
      </w:r>
      <w:r w:rsidR="00707ED3">
        <w:rPr>
          <w:sz w:val="24"/>
          <w:szCs w:val="24"/>
        </w:rPr>
        <w:t xml:space="preserve">degree of ambivalence towards the </w:t>
      </w:r>
      <w:r w:rsidR="00707ED3">
        <w:rPr>
          <w:sz w:val="24"/>
          <w:szCs w:val="24"/>
        </w:rPr>
        <w:lastRenderedPageBreak/>
        <w:t>campaign</w:t>
      </w:r>
      <w:r w:rsidR="00325238">
        <w:rPr>
          <w:sz w:val="24"/>
          <w:szCs w:val="24"/>
        </w:rPr>
        <w:t xml:space="preserve">, though he suggests that it arose not from a lack of genuine support for the campaign, but instead </w:t>
      </w:r>
      <w:r w:rsidR="00707ED3">
        <w:rPr>
          <w:sz w:val="24"/>
          <w:szCs w:val="24"/>
        </w:rPr>
        <w:t>from its cross-party nature</w:t>
      </w:r>
      <w:r w:rsidR="00325238">
        <w:rPr>
          <w:sz w:val="24"/>
          <w:szCs w:val="24"/>
        </w:rPr>
        <w:t>;</w:t>
      </w:r>
      <w:r w:rsidR="00CE7A3A">
        <w:rPr>
          <w:sz w:val="24"/>
          <w:szCs w:val="24"/>
        </w:rPr>
        <w:t xml:space="preserve"> Thatcher </w:t>
      </w:r>
      <w:r w:rsidR="00325238">
        <w:rPr>
          <w:sz w:val="24"/>
          <w:szCs w:val="24"/>
        </w:rPr>
        <w:t xml:space="preserve">was simply </w:t>
      </w:r>
      <w:r w:rsidR="00707ED3">
        <w:rPr>
          <w:sz w:val="24"/>
          <w:szCs w:val="24"/>
        </w:rPr>
        <w:t>uncomfortable sharing a campaign with Communists and anti-Marketeers.</w:t>
      </w:r>
      <w:r w:rsidR="00707ED3">
        <w:rPr>
          <w:rStyle w:val="FootnoteReference"/>
          <w:sz w:val="24"/>
          <w:szCs w:val="24"/>
        </w:rPr>
        <w:footnoteReference w:id="12"/>
      </w:r>
    </w:p>
    <w:p w14:paraId="762EB723" w14:textId="272BB579" w:rsidR="00EC3E3F" w:rsidRDefault="00EC3E3F" w:rsidP="00125B20">
      <w:pPr>
        <w:spacing w:line="360" w:lineRule="auto"/>
        <w:jc w:val="both"/>
        <w:rPr>
          <w:sz w:val="24"/>
          <w:szCs w:val="24"/>
        </w:rPr>
      </w:pPr>
    </w:p>
    <w:p w14:paraId="52DDB30E" w14:textId="33265039" w:rsidR="005B0315" w:rsidRPr="005B0315" w:rsidRDefault="005B0315" w:rsidP="00125B20">
      <w:pPr>
        <w:spacing w:line="360" w:lineRule="auto"/>
        <w:jc w:val="both"/>
        <w:rPr>
          <w:b/>
          <w:sz w:val="24"/>
          <w:szCs w:val="24"/>
        </w:rPr>
      </w:pPr>
      <w:r>
        <w:rPr>
          <w:b/>
          <w:sz w:val="24"/>
          <w:szCs w:val="24"/>
        </w:rPr>
        <w:t>Budget Negotiations, 1979-1984</w:t>
      </w:r>
    </w:p>
    <w:p w14:paraId="77E7B95F" w14:textId="1613AC20" w:rsidR="00856114" w:rsidRDefault="00062955" w:rsidP="00125B20">
      <w:pPr>
        <w:spacing w:line="360" w:lineRule="auto"/>
        <w:jc w:val="both"/>
        <w:rPr>
          <w:sz w:val="24"/>
          <w:szCs w:val="24"/>
        </w:rPr>
      </w:pPr>
      <w:r>
        <w:rPr>
          <w:sz w:val="24"/>
          <w:szCs w:val="24"/>
        </w:rPr>
        <w:t xml:space="preserve">In 1979, </w:t>
      </w:r>
      <w:r w:rsidR="00CF16D4">
        <w:rPr>
          <w:sz w:val="24"/>
          <w:szCs w:val="24"/>
        </w:rPr>
        <w:t xml:space="preserve">when Thatcher first became Prime Minister, </w:t>
      </w:r>
      <w:r>
        <w:rPr>
          <w:sz w:val="24"/>
          <w:szCs w:val="24"/>
        </w:rPr>
        <w:t>Britain had the seventh highest GDP per capita of Community members</w:t>
      </w:r>
      <w:r w:rsidRPr="002C7411">
        <w:rPr>
          <w:sz w:val="24"/>
          <w:szCs w:val="24"/>
        </w:rPr>
        <w:t>—</w:t>
      </w:r>
      <w:r>
        <w:rPr>
          <w:sz w:val="24"/>
          <w:szCs w:val="24"/>
        </w:rPr>
        <w:t>making it at the time one of the weaker members</w:t>
      </w:r>
      <w:r w:rsidRPr="002C7411">
        <w:rPr>
          <w:sz w:val="24"/>
          <w:szCs w:val="24"/>
        </w:rPr>
        <w:t>—</w:t>
      </w:r>
      <w:r>
        <w:rPr>
          <w:sz w:val="24"/>
          <w:szCs w:val="24"/>
        </w:rPr>
        <w:t>but was becoming one of the largest net contributors.</w:t>
      </w:r>
      <w:r>
        <w:rPr>
          <w:rStyle w:val="FootnoteReference"/>
          <w:sz w:val="24"/>
          <w:szCs w:val="24"/>
        </w:rPr>
        <w:footnoteReference w:id="13"/>
      </w:r>
      <w:r>
        <w:rPr>
          <w:sz w:val="24"/>
          <w:szCs w:val="24"/>
        </w:rPr>
        <w:t xml:space="preserve"> </w:t>
      </w:r>
      <w:r w:rsidR="003B23D8">
        <w:rPr>
          <w:sz w:val="24"/>
          <w:szCs w:val="24"/>
        </w:rPr>
        <w:t>A large part of the reason for this was t</w:t>
      </w:r>
      <w:r>
        <w:rPr>
          <w:sz w:val="24"/>
          <w:szCs w:val="24"/>
        </w:rPr>
        <w:t>he Common Agricultural Policy</w:t>
      </w:r>
      <w:r w:rsidR="00706A4A">
        <w:rPr>
          <w:sz w:val="24"/>
          <w:szCs w:val="24"/>
        </w:rPr>
        <w:t xml:space="preserve">, which </w:t>
      </w:r>
      <w:r>
        <w:rPr>
          <w:sz w:val="24"/>
          <w:szCs w:val="24"/>
        </w:rPr>
        <w:t>accounted for more than seventy per cent of the Community budget</w:t>
      </w:r>
      <w:r w:rsidR="00706A4A">
        <w:rPr>
          <w:sz w:val="24"/>
          <w:szCs w:val="24"/>
        </w:rPr>
        <w:t xml:space="preserve"> but provided little benefit to Britain, with its smaller farming sector relative to countries such as France.</w:t>
      </w:r>
      <w:r>
        <w:rPr>
          <w:rStyle w:val="FootnoteReference"/>
          <w:sz w:val="24"/>
          <w:szCs w:val="24"/>
        </w:rPr>
        <w:footnoteReference w:id="14"/>
      </w:r>
      <w:r>
        <w:rPr>
          <w:sz w:val="24"/>
          <w:szCs w:val="24"/>
        </w:rPr>
        <w:t xml:space="preserve"> </w:t>
      </w:r>
      <w:r w:rsidR="00706A4A">
        <w:rPr>
          <w:sz w:val="24"/>
          <w:szCs w:val="24"/>
        </w:rPr>
        <w:t>As a result, by 1979 any British government would have had to attempt</w:t>
      </w:r>
      <w:r w:rsidR="00724D2B">
        <w:rPr>
          <w:sz w:val="24"/>
          <w:szCs w:val="24"/>
        </w:rPr>
        <w:t xml:space="preserve"> to reform the Community budget.</w:t>
      </w:r>
      <w:r w:rsidR="00706A4A">
        <w:rPr>
          <w:sz w:val="24"/>
          <w:szCs w:val="24"/>
        </w:rPr>
        <w:t xml:space="preserve"> </w:t>
      </w:r>
      <w:r w:rsidR="00724D2B">
        <w:rPr>
          <w:sz w:val="24"/>
          <w:szCs w:val="24"/>
        </w:rPr>
        <w:t xml:space="preserve"> Indeed</w:t>
      </w:r>
      <w:r w:rsidR="00CF16D4">
        <w:rPr>
          <w:sz w:val="24"/>
          <w:szCs w:val="24"/>
        </w:rPr>
        <w:t xml:space="preserve">, in </w:t>
      </w:r>
      <w:r>
        <w:rPr>
          <w:i/>
          <w:sz w:val="24"/>
          <w:szCs w:val="24"/>
        </w:rPr>
        <w:t>The Downing Street Years</w:t>
      </w:r>
      <w:r>
        <w:rPr>
          <w:sz w:val="24"/>
          <w:szCs w:val="24"/>
        </w:rPr>
        <w:t xml:space="preserve"> Thatcher suggested that her </w:t>
      </w:r>
      <w:proofErr w:type="gramStart"/>
      <w:r>
        <w:rPr>
          <w:sz w:val="24"/>
          <w:szCs w:val="24"/>
        </w:rPr>
        <w:t>first priority</w:t>
      </w:r>
      <w:proofErr w:type="gramEnd"/>
      <w:r>
        <w:rPr>
          <w:sz w:val="24"/>
          <w:szCs w:val="24"/>
        </w:rPr>
        <w:t xml:space="preserve"> with regard to Europe was to ‘limit the damage and distortions caused by the CAP and to bring financial realities to bear on Community spending’.</w:t>
      </w:r>
      <w:r>
        <w:rPr>
          <w:rStyle w:val="FootnoteReference"/>
          <w:sz w:val="24"/>
          <w:szCs w:val="24"/>
        </w:rPr>
        <w:footnoteReference w:id="15"/>
      </w:r>
      <w:r>
        <w:rPr>
          <w:sz w:val="24"/>
          <w:szCs w:val="24"/>
        </w:rPr>
        <w:t xml:space="preserve"> </w:t>
      </w:r>
      <w:r w:rsidR="007D7BB9">
        <w:rPr>
          <w:sz w:val="24"/>
          <w:szCs w:val="24"/>
        </w:rPr>
        <w:t>She began to attempt just that at the Dublin European Council of that year.</w:t>
      </w:r>
    </w:p>
    <w:p w14:paraId="3F29A344" w14:textId="7D5D15E4" w:rsidR="00856114" w:rsidRDefault="00130ADA" w:rsidP="00125B20">
      <w:pPr>
        <w:spacing w:line="360" w:lineRule="auto"/>
        <w:ind w:firstLine="720"/>
        <w:jc w:val="both"/>
        <w:rPr>
          <w:sz w:val="24"/>
          <w:szCs w:val="24"/>
        </w:rPr>
      </w:pPr>
      <w:r>
        <w:rPr>
          <w:sz w:val="24"/>
          <w:szCs w:val="24"/>
        </w:rPr>
        <w:t xml:space="preserve">At the press conference after the Council, Thatcher publicly </w:t>
      </w:r>
      <w:r w:rsidR="00EA0443">
        <w:rPr>
          <w:sz w:val="24"/>
          <w:szCs w:val="24"/>
        </w:rPr>
        <w:t>framed the Community as a drain on the finances of Britain.</w:t>
      </w:r>
      <w:r w:rsidR="00AE7D96">
        <w:rPr>
          <w:rStyle w:val="FootnoteReference"/>
          <w:sz w:val="24"/>
          <w:szCs w:val="24"/>
        </w:rPr>
        <w:footnoteReference w:id="16"/>
      </w:r>
      <w:r w:rsidR="00EA0443">
        <w:rPr>
          <w:sz w:val="24"/>
          <w:szCs w:val="24"/>
        </w:rPr>
        <w:t xml:space="preserve"> She state</w:t>
      </w:r>
      <w:r w:rsidR="001D7723">
        <w:rPr>
          <w:sz w:val="24"/>
          <w:szCs w:val="24"/>
        </w:rPr>
        <w:t>d</w:t>
      </w:r>
      <w:r w:rsidR="00EA0443">
        <w:rPr>
          <w:sz w:val="24"/>
          <w:szCs w:val="24"/>
        </w:rPr>
        <w:t xml:space="preserve"> that Britain </w:t>
      </w:r>
      <w:r w:rsidR="007D7BB9">
        <w:rPr>
          <w:sz w:val="24"/>
          <w:szCs w:val="24"/>
        </w:rPr>
        <w:t>was</w:t>
      </w:r>
      <w:r w:rsidR="00EA0443">
        <w:rPr>
          <w:sz w:val="24"/>
          <w:szCs w:val="24"/>
        </w:rPr>
        <w:t xml:space="preserve"> ‘not asking for a penny piece of Community money’, but instead ‘[w]hat we are asking is for a very large amount of </w:t>
      </w:r>
      <w:r w:rsidR="00724D2B">
        <w:rPr>
          <w:sz w:val="24"/>
          <w:szCs w:val="24"/>
        </w:rPr>
        <w:t xml:space="preserve">our </w:t>
      </w:r>
      <w:r w:rsidR="00EA0443">
        <w:rPr>
          <w:sz w:val="24"/>
          <w:szCs w:val="24"/>
        </w:rPr>
        <w:t>own money back’. She suggest</w:t>
      </w:r>
      <w:r w:rsidR="001D7723">
        <w:rPr>
          <w:sz w:val="24"/>
          <w:szCs w:val="24"/>
        </w:rPr>
        <w:t>ed</w:t>
      </w:r>
      <w:r w:rsidR="00EA0443">
        <w:rPr>
          <w:sz w:val="24"/>
          <w:szCs w:val="24"/>
        </w:rPr>
        <w:t xml:space="preserve"> that Britain </w:t>
      </w:r>
      <w:r w:rsidR="00A376D8">
        <w:rPr>
          <w:sz w:val="24"/>
          <w:szCs w:val="24"/>
        </w:rPr>
        <w:t>was</w:t>
      </w:r>
      <w:r w:rsidR="00EA0443">
        <w:rPr>
          <w:sz w:val="24"/>
          <w:szCs w:val="24"/>
        </w:rPr>
        <w:t xml:space="preserve"> one of the poorest members of the Community but</w:t>
      </w:r>
      <w:r>
        <w:rPr>
          <w:sz w:val="24"/>
          <w:szCs w:val="24"/>
        </w:rPr>
        <w:t xml:space="preserve"> </w:t>
      </w:r>
      <w:r w:rsidR="00EA0443">
        <w:rPr>
          <w:sz w:val="24"/>
          <w:szCs w:val="24"/>
        </w:rPr>
        <w:t>f</w:t>
      </w:r>
      <w:r w:rsidR="00A376D8">
        <w:rPr>
          <w:sz w:val="24"/>
          <w:szCs w:val="24"/>
        </w:rPr>
        <w:t>ound</w:t>
      </w:r>
      <w:r w:rsidR="00EA0443">
        <w:rPr>
          <w:sz w:val="24"/>
          <w:szCs w:val="24"/>
        </w:rPr>
        <w:t xml:space="preserve"> itself ‘filling the coffers of the Community’.</w:t>
      </w:r>
      <w:r w:rsidR="007857A1">
        <w:rPr>
          <w:sz w:val="24"/>
          <w:szCs w:val="24"/>
        </w:rPr>
        <w:t xml:space="preserve"> </w:t>
      </w:r>
      <w:r w:rsidR="00565EC9">
        <w:rPr>
          <w:sz w:val="24"/>
          <w:szCs w:val="24"/>
        </w:rPr>
        <w:t>Here, far from the positive vision on show in 1975, Thatcher suggests the Community was a leech on Britain</w:t>
      </w:r>
      <w:r w:rsidR="007D7BB9">
        <w:rPr>
          <w:sz w:val="24"/>
          <w:szCs w:val="24"/>
        </w:rPr>
        <w:t>.</w:t>
      </w:r>
    </w:p>
    <w:p w14:paraId="067F711D" w14:textId="23FBBCB1" w:rsidR="00062955" w:rsidRDefault="007B0A00" w:rsidP="00125B20">
      <w:pPr>
        <w:spacing w:line="360" w:lineRule="auto"/>
        <w:ind w:firstLine="720"/>
        <w:jc w:val="both"/>
        <w:rPr>
          <w:sz w:val="24"/>
          <w:szCs w:val="24"/>
        </w:rPr>
      </w:pPr>
      <w:r>
        <w:rPr>
          <w:sz w:val="24"/>
          <w:szCs w:val="24"/>
        </w:rPr>
        <w:t>She attempt</w:t>
      </w:r>
      <w:r w:rsidR="001D7723">
        <w:rPr>
          <w:sz w:val="24"/>
          <w:szCs w:val="24"/>
        </w:rPr>
        <w:t>ed</w:t>
      </w:r>
      <w:r>
        <w:rPr>
          <w:sz w:val="24"/>
          <w:szCs w:val="24"/>
        </w:rPr>
        <w:t xml:space="preserve"> to present her position as magnanimous, claiming that she </w:t>
      </w:r>
      <w:r w:rsidR="00AE7D96">
        <w:rPr>
          <w:sz w:val="24"/>
          <w:szCs w:val="24"/>
        </w:rPr>
        <w:t>was not looking</w:t>
      </w:r>
      <w:r>
        <w:rPr>
          <w:sz w:val="24"/>
          <w:szCs w:val="24"/>
        </w:rPr>
        <w:t xml:space="preserve"> to ‘precipitate a crisis’ just yet out of consideration for </w:t>
      </w:r>
      <w:r w:rsidR="00AE7D96">
        <w:rPr>
          <w:sz w:val="24"/>
          <w:szCs w:val="24"/>
        </w:rPr>
        <w:t xml:space="preserve">Britain’s smaller allies </w:t>
      </w:r>
      <w:r>
        <w:rPr>
          <w:sz w:val="24"/>
          <w:szCs w:val="24"/>
        </w:rPr>
        <w:t>within the Council, ‘genuine friends’ who were making ‘genuine offers of help’; she claim</w:t>
      </w:r>
      <w:r w:rsidR="001D7723">
        <w:rPr>
          <w:sz w:val="24"/>
          <w:szCs w:val="24"/>
        </w:rPr>
        <w:t>ed</w:t>
      </w:r>
      <w:r>
        <w:rPr>
          <w:sz w:val="24"/>
          <w:szCs w:val="24"/>
        </w:rPr>
        <w:t xml:space="preserve"> that she </w:t>
      </w:r>
      <w:r>
        <w:rPr>
          <w:sz w:val="24"/>
          <w:szCs w:val="24"/>
        </w:rPr>
        <w:lastRenderedPageBreak/>
        <w:t>intend</w:t>
      </w:r>
      <w:r w:rsidR="001D7723">
        <w:rPr>
          <w:sz w:val="24"/>
          <w:szCs w:val="24"/>
        </w:rPr>
        <w:t>ed</w:t>
      </w:r>
      <w:r>
        <w:rPr>
          <w:sz w:val="24"/>
          <w:szCs w:val="24"/>
        </w:rPr>
        <w:t xml:space="preserve"> to see what </w:t>
      </w:r>
      <w:r w:rsidR="001D7723">
        <w:rPr>
          <w:sz w:val="24"/>
          <w:szCs w:val="24"/>
        </w:rPr>
        <w:t xml:space="preserve">would happen </w:t>
      </w:r>
      <w:r>
        <w:rPr>
          <w:sz w:val="24"/>
          <w:szCs w:val="24"/>
        </w:rPr>
        <w:t>at the next Council</w:t>
      </w:r>
      <w:r w:rsidR="007D7BB9">
        <w:rPr>
          <w:sz w:val="24"/>
          <w:szCs w:val="24"/>
        </w:rPr>
        <w:t>,</w:t>
      </w:r>
      <w:r>
        <w:rPr>
          <w:sz w:val="24"/>
          <w:szCs w:val="24"/>
        </w:rPr>
        <w:t xml:space="preserve"> </w:t>
      </w:r>
      <w:r w:rsidR="00C72D5B">
        <w:rPr>
          <w:sz w:val="24"/>
          <w:szCs w:val="24"/>
        </w:rPr>
        <w:t xml:space="preserve">and whether a solution </w:t>
      </w:r>
      <w:r w:rsidR="00AE7D96">
        <w:rPr>
          <w:sz w:val="24"/>
          <w:szCs w:val="24"/>
        </w:rPr>
        <w:t xml:space="preserve">would be </w:t>
      </w:r>
      <w:r w:rsidR="00C72D5B">
        <w:rPr>
          <w:sz w:val="24"/>
          <w:szCs w:val="24"/>
        </w:rPr>
        <w:t>found</w:t>
      </w:r>
      <w:r w:rsidR="007D7BB9">
        <w:rPr>
          <w:sz w:val="24"/>
          <w:szCs w:val="24"/>
        </w:rPr>
        <w:t>,</w:t>
      </w:r>
      <w:r w:rsidR="00C72D5B">
        <w:rPr>
          <w:sz w:val="24"/>
          <w:szCs w:val="24"/>
        </w:rPr>
        <w:t xml:space="preserve"> ‘before we make threats’. Despite this, she </w:t>
      </w:r>
      <w:r w:rsidR="001D7723">
        <w:rPr>
          <w:sz w:val="24"/>
          <w:szCs w:val="24"/>
        </w:rPr>
        <w:t xml:space="preserve">was </w:t>
      </w:r>
      <w:r w:rsidR="00013D11">
        <w:rPr>
          <w:sz w:val="24"/>
          <w:szCs w:val="24"/>
        </w:rPr>
        <w:t>making implicit, if vague, threats</w:t>
      </w:r>
      <w:r w:rsidR="001D7723" w:rsidRPr="002C7411">
        <w:rPr>
          <w:sz w:val="24"/>
          <w:szCs w:val="24"/>
        </w:rPr>
        <w:t>—</w:t>
      </w:r>
      <w:r w:rsidR="001D7723">
        <w:rPr>
          <w:sz w:val="24"/>
          <w:szCs w:val="24"/>
        </w:rPr>
        <w:t>threats</w:t>
      </w:r>
      <w:r w:rsidR="00C336F3">
        <w:rPr>
          <w:sz w:val="24"/>
          <w:szCs w:val="24"/>
        </w:rPr>
        <w:t xml:space="preserve"> that there </w:t>
      </w:r>
      <w:r w:rsidR="001D7723">
        <w:rPr>
          <w:sz w:val="24"/>
          <w:szCs w:val="24"/>
        </w:rPr>
        <w:t xml:space="preserve">was </w:t>
      </w:r>
      <w:r w:rsidR="00C336F3">
        <w:rPr>
          <w:sz w:val="24"/>
          <w:szCs w:val="24"/>
        </w:rPr>
        <w:t>only ‘one last chance’ to reach agreement before her hand</w:t>
      </w:r>
      <w:r w:rsidR="00062955">
        <w:rPr>
          <w:sz w:val="24"/>
          <w:szCs w:val="24"/>
        </w:rPr>
        <w:t xml:space="preserve"> was</w:t>
      </w:r>
      <w:r w:rsidR="00C336F3">
        <w:rPr>
          <w:sz w:val="24"/>
          <w:szCs w:val="24"/>
        </w:rPr>
        <w:t xml:space="preserve"> forced and ‘crisis’ might be reached.</w:t>
      </w:r>
    </w:p>
    <w:p w14:paraId="24F3F562" w14:textId="11A37E41" w:rsidR="00062955" w:rsidRDefault="00062955" w:rsidP="00125B20">
      <w:pPr>
        <w:spacing w:line="360" w:lineRule="auto"/>
        <w:ind w:firstLine="720"/>
        <w:jc w:val="both"/>
        <w:rPr>
          <w:sz w:val="24"/>
          <w:szCs w:val="24"/>
        </w:rPr>
      </w:pPr>
      <w:r>
        <w:rPr>
          <w:sz w:val="24"/>
          <w:szCs w:val="24"/>
        </w:rPr>
        <w:t>Helen Wallace has suggested that the situation inherited by the Thatcher government in 1979 was the result of ‘incomplete accession negotiations’, and John Campbell offers a similar characterisation.</w:t>
      </w:r>
      <w:r>
        <w:rPr>
          <w:rStyle w:val="FootnoteReference"/>
          <w:sz w:val="24"/>
          <w:szCs w:val="24"/>
        </w:rPr>
        <w:footnoteReference w:id="17"/>
      </w:r>
      <w:r>
        <w:rPr>
          <w:sz w:val="24"/>
          <w:szCs w:val="24"/>
        </w:rPr>
        <w:t xml:space="preserve"> That a conflict arose around the issue of the Community budget was unsurprising: the British government and its negotiators had been aware of the imbalance since the early 1970s, but they had during both accession negotiations failed to properly address it.</w:t>
      </w:r>
      <w:r w:rsidRPr="00062955">
        <w:rPr>
          <w:sz w:val="24"/>
          <w:szCs w:val="24"/>
        </w:rPr>
        <w:t xml:space="preserve"> </w:t>
      </w:r>
      <w:r>
        <w:rPr>
          <w:sz w:val="24"/>
          <w:szCs w:val="24"/>
        </w:rPr>
        <w:t>Indeed, Wallace has suggested that solutions were being worked out on the Community side during the first negotiation, but had never completed because British negotiators had never properly tabled the issue.</w:t>
      </w:r>
      <w:r>
        <w:rPr>
          <w:rStyle w:val="FootnoteReference"/>
          <w:sz w:val="24"/>
          <w:szCs w:val="24"/>
        </w:rPr>
        <w:footnoteReference w:id="18"/>
      </w:r>
      <w:r w:rsidRPr="00062955">
        <w:rPr>
          <w:sz w:val="24"/>
          <w:szCs w:val="24"/>
        </w:rPr>
        <w:t xml:space="preserve"> </w:t>
      </w:r>
      <w:r w:rsidR="002F487B">
        <w:rPr>
          <w:sz w:val="24"/>
          <w:szCs w:val="24"/>
        </w:rPr>
        <w:t xml:space="preserve">Similarly, the ‘Financial Mechanism’ that was agreed during the 1975 renegotiations was unfinished: </w:t>
      </w:r>
      <w:r>
        <w:rPr>
          <w:sz w:val="24"/>
          <w:szCs w:val="24"/>
        </w:rPr>
        <w:t xml:space="preserve">Thatcher would later describe </w:t>
      </w:r>
      <w:r w:rsidR="002F487B">
        <w:rPr>
          <w:sz w:val="24"/>
          <w:szCs w:val="24"/>
        </w:rPr>
        <w:t>it</w:t>
      </w:r>
      <w:r>
        <w:rPr>
          <w:sz w:val="24"/>
          <w:szCs w:val="24"/>
        </w:rPr>
        <w:t xml:space="preserve"> that as ‘simply not serious’</w:t>
      </w:r>
      <w:r w:rsidR="002F487B">
        <w:rPr>
          <w:sz w:val="24"/>
          <w:szCs w:val="24"/>
        </w:rPr>
        <w:t xml:space="preserve">, because </w:t>
      </w:r>
      <w:r>
        <w:rPr>
          <w:sz w:val="24"/>
          <w:szCs w:val="24"/>
        </w:rPr>
        <w:t>it had never been implemented and never would be.</w:t>
      </w:r>
      <w:r>
        <w:rPr>
          <w:rStyle w:val="FootnoteReference"/>
          <w:sz w:val="24"/>
          <w:szCs w:val="24"/>
        </w:rPr>
        <w:footnoteReference w:id="19"/>
      </w:r>
      <w:r>
        <w:rPr>
          <w:sz w:val="24"/>
          <w:szCs w:val="24"/>
        </w:rPr>
        <w:t xml:space="preserve"> Echoing the language she employed at this press conference, she suggested </w:t>
      </w:r>
      <w:r w:rsidR="002F487B">
        <w:rPr>
          <w:sz w:val="24"/>
          <w:szCs w:val="24"/>
        </w:rPr>
        <w:t xml:space="preserve">in </w:t>
      </w:r>
      <w:r w:rsidR="002F487B">
        <w:rPr>
          <w:i/>
          <w:sz w:val="24"/>
          <w:szCs w:val="24"/>
        </w:rPr>
        <w:t xml:space="preserve">The Path to Power </w:t>
      </w:r>
      <w:r>
        <w:rPr>
          <w:sz w:val="24"/>
          <w:szCs w:val="24"/>
        </w:rPr>
        <w:t>that it had ‘never yielded a penny piece’ of money for Britain.</w:t>
      </w:r>
      <w:r>
        <w:rPr>
          <w:rStyle w:val="FootnoteReference"/>
          <w:sz w:val="24"/>
          <w:szCs w:val="24"/>
        </w:rPr>
        <w:footnoteReference w:id="20"/>
      </w:r>
      <w:r w:rsidR="002F487B">
        <w:rPr>
          <w:sz w:val="24"/>
          <w:szCs w:val="24"/>
        </w:rPr>
        <w:t xml:space="preserve"> </w:t>
      </w:r>
      <w:r w:rsidR="003B4DB0">
        <w:rPr>
          <w:sz w:val="24"/>
          <w:szCs w:val="24"/>
        </w:rPr>
        <w:t>As such, a collision between Britain and the rest of the Community over the issue was a foregone conclusion in 1979.</w:t>
      </w:r>
    </w:p>
    <w:p w14:paraId="420B9110" w14:textId="0E370073" w:rsidR="00062955" w:rsidRDefault="003B4DB0" w:rsidP="00125B20">
      <w:pPr>
        <w:spacing w:line="360" w:lineRule="auto"/>
        <w:ind w:firstLine="720"/>
        <w:jc w:val="both"/>
        <w:rPr>
          <w:sz w:val="24"/>
          <w:szCs w:val="24"/>
        </w:rPr>
      </w:pPr>
      <w:r>
        <w:rPr>
          <w:sz w:val="24"/>
          <w:szCs w:val="24"/>
        </w:rPr>
        <w:t xml:space="preserve">However, </w:t>
      </w:r>
      <w:r w:rsidR="00062955">
        <w:rPr>
          <w:sz w:val="24"/>
          <w:szCs w:val="24"/>
        </w:rPr>
        <w:t>Wallace suggests that Thatcher chose to press the budget issue as a ‘vehement campaign’ which placed the European ‘them’ as an adversary to the British ‘us’</w:t>
      </w:r>
      <w:r>
        <w:rPr>
          <w:sz w:val="24"/>
          <w:szCs w:val="24"/>
        </w:rPr>
        <w:t>:</w:t>
      </w:r>
      <w:r w:rsidR="00062955">
        <w:rPr>
          <w:sz w:val="24"/>
          <w:szCs w:val="24"/>
        </w:rPr>
        <w:t xml:space="preserve"> </w:t>
      </w:r>
      <w:r>
        <w:rPr>
          <w:sz w:val="24"/>
          <w:szCs w:val="24"/>
        </w:rPr>
        <w:t>her hostile approach and veiled threats entrenched the divide across the Channel.</w:t>
      </w:r>
      <w:r>
        <w:rPr>
          <w:rStyle w:val="FootnoteReference"/>
          <w:sz w:val="24"/>
          <w:szCs w:val="24"/>
        </w:rPr>
        <w:footnoteReference w:id="21"/>
      </w:r>
      <w:r>
        <w:rPr>
          <w:sz w:val="24"/>
          <w:szCs w:val="24"/>
        </w:rPr>
        <w:t xml:space="preserve">  </w:t>
      </w:r>
      <w:r w:rsidR="00062955">
        <w:rPr>
          <w:sz w:val="24"/>
          <w:szCs w:val="24"/>
        </w:rPr>
        <w:t>Campbell</w:t>
      </w:r>
      <w:r>
        <w:rPr>
          <w:sz w:val="24"/>
          <w:szCs w:val="24"/>
        </w:rPr>
        <w:t xml:space="preserve">, though, would beg to differ; he instead sees political </w:t>
      </w:r>
      <w:r w:rsidR="00062955">
        <w:rPr>
          <w:sz w:val="24"/>
          <w:szCs w:val="24"/>
        </w:rPr>
        <w:t xml:space="preserve">leaders on both sides of the channel </w:t>
      </w:r>
      <w:r>
        <w:rPr>
          <w:sz w:val="24"/>
          <w:szCs w:val="24"/>
        </w:rPr>
        <w:t xml:space="preserve">as having </w:t>
      </w:r>
      <w:r w:rsidR="00062955">
        <w:rPr>
          <w:sz w:val="24"/>
          <w:szCs w:val="24"/>
        </w:rPr>
        <w:t>‘elevated the issue into a trial of political strength’</w:t>
      </w:r>
      <w:r>
        <w:rPr>
          <w:sz w:val="24"/>
          <w:szCs w:val="24"/>
        </w:rPr>
        <w:t xml:space="preserve"> by playing to their own electorates</w:t>
      </w:r>
      <w:r w:rsidR="00B01C06" w:rsidRPr="002C7411">
        <w:rPr>
          <w:sz w:val="24"/>
          <w:szCs w:val="24"/>
        </w:rPr>
        <w:t>—</w:t>
      </w:r>
      <w:r w:rsidR="00B01C06">
        <w:rPr>
          <w:sz w:val="24"/>
          <w:szCs w:val="24"/>
        </w:rPr>
        <w:t>a familiar situation to this day.</w:t>
      </w:r>
      <w:r w:rsidR="00062955">
        <w:rPr>
          <w:rStyle w:val="FootnoteReference"/>
          <w:sz w:val="24"/>
          <w:szCs w:val="24"/>
        </w:rPr>
        <w:footnoteReference w:id="22"/>
      </w:r>
      <w:r w:rsidR="00B01C06">
        <w:rPr>
          <w:sz w:val="24"/>
          <w:szCs w:val="24"/>
        </w:rPr>
        <w:t xml:space="preserve"> He does however suggest that, while </w:t>
      </w:r>
      <w:r w:rsidR="00062955">
        <w:rPr>
          <w:sz w:val="24"/>
          <w:szCs w:val="24"/>
        </w:rPr>
        <w:t xml:space="preserve">Thatcher’s approach was in one sense ‘confirming the dismal pattern of critical semi-detachment already </w:t>
      </w:r>
      <w:r w:rsidR="00062955">
        <w:rPr>
          <w:sz w:val="24"/>
          <w:szCs w:val="24"/>
        </w:rPr>
        <w:lastRenderedPageBreak/>
        <w:t xml:space="preserve">set by Labour’, it was the sense of jingoism she brought </w:t>
      </w:r>
      <w:r w:rsidR="00B01C06">
        <w:rPr>
          <w:sz w:val="24"/>
          <w:szCs w:val="24"/>
        </w:rPr>
        <w:t>to the fore</w:t>
      </w:r>
      <w:r w:rsidR="00062955">
        <w:rPr>
          <w:sz w:val="24"/>
          <w:szCs w:val="24"/>
        </w:rPr>
        <w:t>, forging an enduring hostility towards the Community for years afterwards.</w:t>
      </w:r>
      <w:r w:rsidR="00062955">
        <w:rPr>
          <w:rStyle w:val="FootnoteReference"/>
          <w:sz w:val="24"/>
          <w:szCs w:val="24"/>
        </w:rPr>
        <w:footnoteReference w:id="23"/>
      </w:r>
    </w:p>
    <w:p w14:paraId="7AC0A6C3" w14:textId="02F0286D" w:rsidR="00DF6648" w:rsidRDefault="00DF6648" w:rsidP="00125B20">
      <w:pPr>
        <w:spacing w:line="360" w:lineRule="auto"/>
        <w:jc w:val="both"/>
        <w:rPr>
          <w:sz w:val="24"/>
          <w:szCs w:val="24"/>
        </w:rPr>
      </w:pPr>
    </w:p>
    <w:p w14:paraId="3AC1211A" w14:textId="50B4255D" w:rsidR="005D2D14" w:rsidRPr="005B0315" w:rsidRDefault="005B0315" w:rsidP="00125B20">
      <w:pPr>
        <w:spacing w:line="360" w:lineRule="auto"/>
        <w:jc w:val="both"/>
        <w:rPr>
          <w:b/>
          <w:sz w:val="24"/>
          <w:szCs w:val="24"/>
        </w:rPr>
      </w:pPr>
      <w:r>
        <w:rPr>
          <w:b/>
          <w:sz w:val="24"/>
          <w:szCs w:val="24"/>
        </w:rPr>
        <w:t>Towards a Single Market, 1984-1988</w:t>
      </w:r>
    </w:p>
    <w:p w14:paraId="203A715A" w14:textId="77777777" w:rsidR="005B0315" w:rsidRDefault="00DB10B0" w:rsidP="00125B20">
      <w:pPr>
        <w:spacing w:line="360" w:lineRule="auto"/>
        <w:jc w:val="both"/>
        <w:rPr>
          <w:sz w:val="24"/>
          <w:szCs w:val="24"/>
        </w:rPr>
      </w:pPr>
      <w:r>
        <w:rPr>
          <w:sz w:val="24"/>
          <w:szCs w:val="24"/>
        </w:rPr>
        <w:t xml:space="preserve">Following the Fontainebleau agreement </w:t>
      </w:r>
      <w:r w:rsidR="00A376D8">
        <w:rPr>
          <w:sz w:val="24"/>
          <w:szCs w:val="24"/>
        </w:rPr>
        <w:t>in June of</w:t>
      </w:r>
      <w:r>
        <w:rPr>
          <w:sz w:val="24"/>
          <w:szCs w:val="24"/>
        </w:rPr>
        <w:t xml:space="preserve"> 1984, at which the problem of British contributions to the Common Agricultural Policy</w:t>
      </w:r>
      <w:r w:rsidR="008E6163">
        <w:rPr>
          <w:sz w:val="24"/>
          <w:szCs w:val="24"/>
        </w:rPr>
        <w:t xml:space="preserve"> was resolved with a substantial rebate, Thatcher’s attention moved onto the Single Market.</w:t>
      </w:r>
      <w:r w:rsidR="008E6163">
        <w:rPr>
          <w:rStyle w:val="FootnoteReference"/>
          <w:sz w:val="24"/>
          <w:szCs w:val="24"/>
        </w:rPr>
        <w:footnoteReference w:id="24"/>
      </w:r>
      <w:r w:rsidR="009744AF">
        <w:rPr>
          <w:sz w:val="24"/>
          <w:szCs w:val="24"/>
        </w:rPr>
        <w:t xml:space="preserve"> The period of these initial negotiations was marked by improving relations between Thatcher and the Community, as she worked towards this.</w:t>
      </w:r>
      <w:r w:rsidR="009744AF">
        <w:rPr>
          <w:rStyle w:val="FootnoteReference"/>
          <w:sz w:val="24"/>
          <w:szCs w:val="24"/>
        </w:rPr>
        <w:footnoteReference w:id="25"/>
      </w:r>
      <w:r w:rsidR="009744AF">
        <w:rPr>
          <w:sz w:val="24"/>
          <w:szCs w:val="24"/>
        </w:rPr>
        <w:t xml:space="preserve"> However, though not quite as hostile as she had been during the budget negotiations, she was s</w:t>
      </w:r>
      <w:r w:rsidR="009744AF" w:rsidRPr="005B0315">
        <w:rPr>
          <w:sz w:val="24"/>
          <w:szCs w:val="24"/>
        </w:rPr>
        <w:t>til</w:t>
      </w:r>
      <w:r w:rsidR="009744AF">
        <w:rPr>
          <w:sz w:val="24"/>
          <w:szCs w:val="24"/>
        </w:rPr>
        <w:t>l far from drawing into an embrace with the rest of Europe.</w:t>
      </w:r>
    </w:p>
    <w:p w14:paraId="36980FE7" w14:textId="3D0FBFB6" w:rsidR="005B4087" w:rsidRDefault="004F4B31" w:rsidP="00125B20">
      <w:pPr>
        <w:spacing w:line="360" w:lineRule="auto"/>
        <w:ind w:firstLine="720"/>
        <w:jc w:val="both"/>
        <w:rPr>
          <w:sz w:val="24"/>
          <w:szCs w:val="24"/>
        </w:rPr>
      </w:pPr>
      <w:r>
        <w:rPr>
          <w:sz w:val="24"/>
          <w:szCs w:val="24"/>
        </w:rPr>
        <w:t xml:space="preserve">In a speech she made at the Franco-British Council Dinner in </w:t>
      </w:r>
      <w:r w:rsidR="00C454D7">
        <w:rPr>
          <w:sz w:val="24"/>
          <w:szCs w:val="24"/>
        </w:rPr>
        <w:t>November of 1984, Thatcher</w:t>
      </w:r>
      <w:r w:rsidR="00261ECF">
        <w:rPr>
          <w:sz w:val="24"/>
          <w:szCs w:val="24"/>
        </w:rPr>
        <w:t xml:space="preserve"> tried to negotiate between national identity and European identity.</w:t>
      </w:r>
      <w:r w:rsidR="00FE3751">
        <w:rPr>
          <w:rStyle w:val="FootnoteReference"/>
          <w:sz w:val="24"/>
          <w:szCs w:val="24"/>
        </w:rPr>
        <w:footnoteReference w:id="26"/>
      </w:r>
      <w:r w:rsidR="00261ECF">
        <w:rPr>
          <w:sz w:val="24"/>
          <w:szCs w:val="24"/>
        </w:rPr>
        <w:t xml:space="preserve"> She suggested that both </w:t>
      </w:r>
      <w:r w:rsidR="00073F19">
        <w:rPr>
          <w:sz w:val="24"/>
          <w:szCs w:val="24"/>
        </w:rPr>
        <w:t>Britain and France</w:t>
      </w:r>
      <w:r w:rsidR="00261ECF">
        <w:rPr>
          <w:sz w:val="24"/>
          <w:szCs w:val="24"/>
        </w:rPr>
        <w:t xml:space="preserve"> have a ‘distinctive identity’ and that to ‘submerge [it]…would be contrary to the instincts of out peoples’. However, she also suggested that ‘in modern Europe nationalism alone is not enough’; ‘the word “European” is important, too.’ On the issue of a ‘European Union’, Thatcher suggested that she was unclear on what it means</w:t>
      </w:r>
      <w:r w:rsidR="00261ECF" w:rsidRPr="002C7411">
        <w:rPr>
          <w:sz w:val="24"/>
          <w:szCs w:val="24"/>
        </w:rPr>
        <w:t>—</w:t>
      </w:r>
      <w:r w:rsidR="00261ECF">
        <w:rPr>
          <w:sz w:val="24"/>
          <w:szCs w:val="24"/>
        </w:rPr>
        <w:t xml:space="preserve">and that she was not sure others knew either. </w:t>
      </w:r>
      <w:r w:rsidR="00080352">
        <w:rPr>
          <w:sz w:val="24"/>
          <w:szCs w:val="24"/>
        </w:rPr>
        <w:t>Something that she</w:t>
      </w:r>
      <w:r w:rsidR="00261ECF">
        <w:rPr>
          <w:sz w:val="24"/>
          <w:szCs w:val="24"/>
        </w:rPr>
        <w:t xml:space="preserve"> was clear </w:t>
      </w:r>
      <w:r w:rsidR="00080352">
        <w:rPr>
          <w:sz w:val="24"/>
          <w:szCs w:val="24"/>
        </w:rPr>
        <w:t xml:space="preserve">on, however, was </w:t>
      </w:r>
      <w:r w:rsidR="00261ECF">
        <w:rPr>
          <w:sz w:val="24"/>
          <w:szCs w:val="24"/>
        </w:rPr>
        <w:t>that a federal Europe was not something she desired, nor believed in. Comparing Europe to the United States</w:t>
      </w:r>
      <w:r w:rsidR="00261ECF" w:rsidRPr="002C7411">
        <w:rPr>
          <w:sz w:val="24"/>
          <w:szCs w:val="24"/>
        </w:rPr>
        <w:t>—</w:t>
      </w:r>
      <w:r w:rsidR="00261ECF">
        <w:rPr>
          <w:sz w:val="24"/>
          <w:szCs w:val="24"/>
        </w:rPr>
        <w:t>a point she would later develop in her Bruges speech</w:t>
      </w:r>
      <w:r w:rsidR="00261ECF" w:rsidRPr="002C7411">
        <w:rPr>
          <w:sz w:val="24"/>
          <w:szCs w:val="24"/>
        </w:rPr>
        <w:t>—</w:t>
      </w:r>
      <w:r w:rsidR="00261ECF">
        <w:rPr>
          <w:sz w:val="24"/>
          <w:szCs w:val="24"/>
        </w:rPr>
        <w:t>Thatcher suggested that ‘[t]he whole history of Europe is to different’ for it to draw itself together in the same way as the US.</w:t>
      </w:r>
      <w:r w:rsidR="00C95602">
        <w:rPr>
          <w:rStyle w:val="FootnoteReference"/>
          <w:sz w:val="24"/>
          <w:szCs w:val="24"/>
        </w:rPr>
        <w:footnoteReference w:id="27"/>
      </w:r>
    </w:p>
    <w:p w14:paraId="12770FCD" w14:textId="69A5A361" w:rsidR="00261ECF" w:rsidRDefault="00261ECF" w:rsidP="00125B20">
      <w:pPr>
        <w:spacing w:line="360" w:lineRule="auto"/>
        <w:ind w:firstLine="720"/>
        <w:jc w:val="both"/>
        <w:rPr>
          <w:sz w:val="24"/>
          <w:szCs w:val="24"/>
        </w:rPr>
      </w:pPr>
      <w:r>
        <w:rPr>
          <w:sz w:val="24"/>
          <w:szCs w:val="24"/>
        </w:rPr>
        <w:t>Thatcher rooted her vision of Europe here in the looser ties of common aim and purpose.</w:t>
      </w:r>
      <w:r w:rsidR="00D549F8">
        <w:rPr>
          <w:rStyle w:val="FootnoteReference"/>
          <w:sz w:val="24"/>
          <w:szCs w:val="24"/>
        </w:rPr>
        <w:footnoteReference w:id="28"/>
      </w:r>
      <w:r>
        <w:rPr>
          <w:sz w:val="24"/>
          <w:szCs w:val="24"/>
        </w:rPr>
        <w:t xml:space="preserve"> She suggested that Britain and France were ‘steering very m</w:t>
      </w:r>
      <w:r w:rsidR="00B522A5">
        <w:rPr>
          <w:sz w:val="24"/>
          <w:szCs w:val="24"/>
        </w:rPr>
        <w:t>u</w:t>
      </w:r>
      <w:r>
        <w:rPr>
          <w:sz w:val="24"/>
          <w:szCs w:val="24"/>
        </w:rPr>
        <w:t>ch in the same direction</w:t>
      </w:r>
      <w:r w:rsidR="00B522A5">
        <w:rPr>
          <w:sz w:val="24"/>
          <w:szCs w:val="24"/>
        </w:rPr>
        <w:t>’ and ‘looking for ways to work together more closely still’</w:t>
      </w:r>
      <w:r w:rsidR="009F72BB">
        <w:rPr>
          <w:sz w:val="24"/>
          <w:szCs w:val="24"/>
        </w:rPr>
        <w:t xml:space="preserve">; </w:t>
      </w:r>
      <w:proofErr w:type="gramStart"/>
      <w:r w:rsidR="00BC7C51">
        <w:rPr>
          <w:sz w:val="24"/>
          <w:szCs w:val="24"/>
        </w:rPr>
        <w:t>i</w:t>
      </w:r>
      <w:r w:rsidR="009F72BB">
        <w:rPr>
          <w:sz w:val="24"/>
          <w:szCs w:val="24"/>
        </w:rPr>
        <w:t>n order to</w:t>
      </w:r>
      <w:proofErr w:type="gramEnd"/>
      <w:r w:rsidR="009F72BB">
        <w:rPr>
          <w:sz w:val="24"/>
          <w:szCs w:val="24"/>
        </w:rPr>
        <w:t xml:space="preserve"> do this, Thatcher considered </w:t>
      </w:r>
      <w:r w:rsidR="00F43495">
        <w:rPr>
          <w:sz w:val="24"/>
          <w:szCs w:val="24"/>
        </w:rPr>
        <w:t>the European Community ‘the most obvious place to look’ for such co-</w:t>
      </w:r>
      <w:r w:rsidR="00F43495">
        <w:rPr>
          <w:sz w:val="24"/>
          <w:szCs w:val="24"/>
        </w:rPr>
        <w:lastRenderedPageBreak/>
        <w:t>operation.</w:t>
      </w:r>
      <w:r w:rsidR="00B05A83">
        <w:rPr>
          <w:sz w:val="24"/>
          <w:szCs w:val="24"/>
        </w:rPr>
        <w:t xml:space="preserve"> </w:t>
      </w:r>
      <w:r w:rsidR="00ED4F2A">
        <w:rPr>
          <w:sz w:val="24"/>
          <w:szCs w:val="24"/>
        </w:rPr>
        <w:t xml:space="preserve">It was through this, by ‘working towards common goals’ and ‘using out strength and influence together’, that Britain would lend </w:t>
      </w:r>
      <w:proofErr w:type="gramStart"/>
      <w:r w:rsidR="00ED4F2A">
        <w:rPr>
          <w:sz w:val="24"/>
          <w:szCs w:val="24"/>
        </w:rPr>
        <w:t>strong support</w:t>
      </w:r>
      <w:proofErr w:type="gramEnd"/>
      <w:r w:rsidR="00ED4F2A">
        <w:rPr>
          <w:sz w:val="24"/>
          <w:szCs w:val="24"/>
        </w:rPr>
        <w:t xml:space="preserve"> ‘for a more united Europe’.</w:t>
      </w:r>
    </w:p>
    <w:p w14:paraId="3AA93FB4" w14:textId="00FAF519" w:rsidR="00F43495" w:rsidRDefault="00F43495" w:rsidP="00125B20">
      <w:pPr>
        <w:spacing w:line="360" w:lineRule="auto"/>
        <w:ind w:firstLine="720"/>
        <w:jc w:val="both"/>
        <w:rPr>
          <w:sz w:val="24"/>
          <w:szCs w:val="24"/>
        </w:rPr>
      </w:pPr>
      <w:r>
        <w:rPr>
          <w:sz w:val="24"/>
          <w:szCs w:val="24"/>
        </w:rPr>
        <w:t>However, she despaired of the way the Community was being run, suggesting that ‘the Community’s founding fathers would be horrified at the labyrinth of its bureaucratic regulations which entwine us</w:t>
      </w:r>
      <w:r w:rsidR="009F72BB">
        <w:rPr>
          <w:sz w:val="24"/>
          <w:szCs w:val="24"/>
        </w:rPr>
        <w:t>;</w:t>
      </w:r>
      <w:r>
        <w:rPr>
          <w:sz w:val="24"/>
          <w:szCs w:val="24"/>
        </w:rPr>
        <w:t xml:space="preserve"> </w:t>
      </w:r>
      <w:r w:rsidR="009F72BB">
        <w:rPr>
          <w:sz w:val="24"/>
          <w:szCs w:val="24"/>
        </w:rPr>
        <w:t>she stated that ‘[a]</w:t>
      </w:r>
      <w:proofErr w:type="spellStart"/>
      <w:r w:rsidR="009F72BB">
        <w:rPr>
          <w:sz w:val="24"/>
          <w:szCs w:val="24"/>
        </w:rPr>
        <w:t>nother</w:t>
      </w:r>
      <w:proofErr w:type="spellEnd"/>
      <w:r w:rsidR="009F72BB">
        <w:rPr>
          <w:sz w:val="24"/>
          <w:szCs w:val="24"/>
        </w:rPr>
        <w:t xml:space="preserve"> report is no substitute for practical progress’, which suggests that she did not want the Community to be so preoccupied with planning larger strategic initiatives that it failed to take steps that it was capable of making now</w:t>
      </w:r>
      <w:r w:rsidR="00A376D8">
        <w:rPr>
          <w:sz w:val="24"/>
          <w:szCs w:val="24"/>
        </w:rPr>
        <w:t>; s</w:t>
      </w:r>
      <w:r>
        <w:rPr>
          <w:sz w:val="24"/>
          <w:szCs w:val="24"/>
        </w:rPr>
        <w:t xml:space="preserve">he </w:t>
      </w:r>
      <w:r w:rsidR="009F72BB">
        <w:rPr>
          <w:sz w:val="24"/>
          <w:szCs w:val="24"/>
        </w:rPr>
        <w:t xml:space="preserve">also </w:t>
      </w:r>
      <w:r>
        <w:rPr>
          <w:sz w:val="24"/>
          <w:szCs w:val="24"/>
        </w:rPr>
        <w:t>complained that it could be easier for a person in Europe to travel out of the continent than across it, and that</w:t>
      </w:r>
      <w:r w:rsidR="007A10A0">
        <w:rPr>
          <w:sz w:val="24"/>
          <w:szCs w:val="24"/>
        </w:rPr>
        <w:t xml:space="preserve"> there</w:t>
      </w:r>
      <w:r>
        <w:rPr>
          <w:sz w:val="24"/>
          <w:szCs w:val="24"/>
        </w:rPr>
        <w:t xml:space="preserve"> should be any barrier to </w:t>
      </w:r>
      <w:r w:rsidR="0005794D">
        <w:rPr>
          <w:sz w:val="24"/>
          <w:szCs w:val="24"/>
        </w:rPr>
        <w:t>the movement of capital</w:t>
      </w:r>
      <w:r>
        <w:rPr>
          <w:sz w:val="24"/>
          <w:szCs w:val="24"/>
        </w:rPr>
        <w:t xml:space="preserve"> between European nations</w:t>
      </w:r>
      <w:r w:rsidRPr="002C7411">
        <w:rPr>
          <w:sz w:val="24"/>
          <w:szCs w:val="24"/>
        </w:rPr>
        <w:t>—</w:t>
      </w:r>
      <w:r w:rsidR="00A376D8">
        <w:rPr>
          <w:sz w:val="24"/>
          <w:szCs w:val="24"/>
        </w:rPr>
        <w:t xml:space="preserve">all of which were </w:t>
      </w:r>
      <w:r>
        <w:rPr>
          <w:sz w:val="24"/>
          <w:szCs w:val="24"/>
        </w:rPr>
        <w:t>clear nods towards a Single Market.</w:t>
      </w:r>
      <w:r w:rsidR="009F72BB">
        <w:rPr>
          <w:sz w:val="24"/>
          <w:szCs w:val="24"/>
        </w:rPr>
        <w:t xml:space="preserve"> As such, </w:t>
      </w:r>
      <w:r w:rsidR="00BC7C51">
        <w:rPr>
          <w:sz w:val="24"/>
          <w:szCs w:val="24"/>
        </w:rPr>
        <w:t>Thatcher</w:t>
      </w:r>
      <w:r w:rsidR="009F72BB">
        <w:rPr>
          <w:sz w:val="24"/>
          <w:szCs w:val="24"/>
        </w:rPr>
        <w:t xml:space="preserve"> </w:t>
      </w:r>
      <w:r w:rsidR="00BC7C51">
        <w:rPr>
          <w:sz w:val="24"/>
          <w:szCs w:val="24"/>
        </w:rPr>
        <w:t>hints</w:t>
      </w:r>
      <w:r w:rsidR="009F72BB">
        <w:rPr>
          <w:sz w:val="24"/>
          <w:szCs w:val="24"/>
        </w:rPr>
        <w:t xml:space="preserve"> here that</w:t>
      </w:r>
      <w:r w:rsidR="00BC7C51">
        <w:rPr>
          <w:sz w:val="24"/>
          <w:szCs w:val="24"/>
        </w:rPr>
        <w:t xml:space="preserve"> she did not see the Single Market through the wider lens of European integration, but as the </w:t>
      </w:r>
      <w:proofErr w:type="gramStart"/>
      <w:r w:rsidR="00BC7C51">
        <w:rPr>
          <w:sz w:val="24"/>
          <w:szCs w:val="24"/>
        </w:rPr>
        <w:t>end in itself</w:t>
      </w:r>
      <w:proofErr w:type="gramEnd"/>
      <w:r w:rsidR="00BC7C51">
        <w:rPr>
          <w:sz w:val="24"/>
          <w:szCs w:val="24"/>
        </w:rPr>
        <w:t xml:space="preserve">. The larger goal of drawing the nations of the Community closer to one another is something she </w:t>
      </w:r>
      <w:r w:rsidR="00A376D8">
        <w:rPr>
          <w:sz w:val="24"/>
          <w:szCs w:val="24"/>
        </w:rPr>
        <w:t>is</w:t>
      </w:r>
      <w:r w:rsidR="00BC7C51">
        <w:rPr>
          <w:sz w:val="24"/>
          <w:szCs w:val="24"/>
        </w:rPr>
        <w:t xml:space="preserve"> even opposed to, if it should be as a federal system.</w:t>
      </w:r>
    </w:p>
    <w:p w14:paraId="2165FD58" w14:textId="532C4D13" w:rsidR="00ED4F2A" w:rsidRDefault="00BC7C51" w:rsidP="00125B20">
      <w:pPr>
        <w:spacing w:line="360" w:lineRule="auto"/>
        <w:ind w:firstLine="720"/>
        <w:jc w:val="both"/>
        <w:rPr>
          <w:sz w:val="24"/>
          <w:szCs w:val="24"/>
        </w:rPr>
      </w:pPr>
      <w:r>
        <w:rPr>
          <w:sz w:val="24"/>
          <w:szCs w:val="24"/>
        </w:rPr>
        <w:t xml:space="preserve">She further </w:t>
      </w:r>
      <w:r w:rsidR="00F43495">
        <w:rPr>
          <w:sz w:val="24"/>
          <w:szCs w:val="24"/>
        </w:rPr>
        <w:t>suggested that the Community ‘was conceived as an outward-looking body</w:t>
      </w:r>
      <w:r w:rsidR="00F04241">
        <w:rPr>
          <w:sz w:val="24"/>
          <w:szCs w:val="24"/>
        </w:rPr>
        <w:t>’</w:t>
      </w:r>
      <w:r w:rsidR="000B6D53">
        <w:rPr>
          <w:sz w:val="24"/>
          <w:szCs w:val="24"/>
        </w:rPr>
        <w:t xml:space="preserve"> and </w:t>
      </w:r>
      <w:r w:rsidR="00F04241">
        <w:rPr>
          <w:sz w:val="24"/>
          <w:szCs w:val="24"/>
        </w:rPr>
        <w:t xml:space="preserve">that </w:t>
      </w:r>
      <w:r w:rsidR="00F43495">
        <w:rPr>
          <w:sz w:val="24"/>
          <w:szCs w:val="24"/>
        </w:rPr>
        <w:t>Britain and France</w:t>
      </w:r>
      <w:r w:rsidR="000B6D53">
        <w:rPr>
          <w:sz w:val="24"/>
          <w:szCs w:val="24"/>
        </w:rPr>
        <w:t xml:space="preserve"> had a ‘special duty to preserve that characteristic’, </w:t>
      </w:r>
      <w:r w:rsidR="00F04241">
        <w:rPr>
          <w:sz w:val="24"/>
          <w:szCs w:val="24"/>
        </w:rPr>
        <w:t xml:space="preserve">each </w:t>
      </w:r>
      <w:r w:rsidR="000B6D53">
        <w:rPr>
          <w:sz w:val="24"/>
          <w:szCs w:val="24"/>
        </w:rPr>
        <w:t>being ‘</w:t>
      </w:r>
      <w:r w:rsidR="00F43495">
        <w:rPr>
          <w:sz w:val="24"/>
          <w:szCs w:val="24"/>
        </w:rPr>
        <w:t>countries which have both known empires and brought them to independence</w:t>
      </w:r>
      <w:r w:rsidR="000B6D53">
        <w:rPr>
          <w:sz w:val="24"/>
          <w:szCs w:val="24"/>
        </w:rPr>
        <w:t xml:space="preserve">’. </w:t>
      </w:r>
      <w:r w:rsidR="00F04241">
        <w:rPr>
          <w:sz w:val="24"/>
          <w:szCs w:val="24"/>
        </w:rPr>
        <w:t>While not explicitly criticising any possible protectionism towards the rest of the world on the part of the Community, she is doing so implicitly</w:t>
      </w:r>
      <w:r w:rsidR="00A70AE3">
        <w:rPr>
          <w:sz w:val="24"/>
          <w:szCs w:val="24"/>
        </w:rPr>
        <w:t xml:space="preserve">; Thatcher did not want barriers to trade being thrown up at the exterior border of the Community at the same time as it was breaking  </w:t>
      </w:r>
      <w:r w:rsidR="00F04241">
        <w:rPr>
          <w:sz w:val="24"/>
          <w:szCs w:val="24"/>
        </w:rPr>
        <w:t xml:space="preserve"> </w:t>
      </w:r>
      <w:r w:rsidR="00A70AE3">
        <w:rPr>
          <w:sz w:val="24"/>
          <w:szCs w:val="24"/>
        </w:rPr>
        <w:t xml:space="preserve">down its interior borders. </w:t>
      </w:r>
      <w:r w:rsidR="00F04241">
        <w:rPr>
          <w:sz w:val="24"/>
          <w:szCs w:val="24"/>
        </w:rPr>
        <w:t>She is also displaying an</w:t>
      </w:r>
      <w:r w:rsidR="00A70AE3">
        <w:rPr>
          <w:sz w:val="24"/>
          <w:szCs w:val="24"/>
        </w:rPr>
        <w:t xml:space="preserve"> </w:t>
      </w:r>
      <w:r w:rsidR="00F04241">
        <w:rPr>
          <w:sz w:val="24"/>
          <w:szCs w:val="24"/>
        </w:rPr>
        <w:t xml:space="preserve">unapologetic </w:t>
      </w:r>
      <w:r w:rsidR="00A70AE3">
        <w:rPr>
          <w:sz w:val="24"/>
          <w:szCs w:val="24"/>
        </w:rPr>
        <w:t>delight at</w:t>
      </w:r>
      <w:r w:rsidR="00F43495">
        <w:rPr>
          <w:sz w:val="24"/>
          <w:szCs w:val="24"/>
        </w:rPr>
        <w:t xml:space="preserve"> </w:t>
      </w:r>
      <w:r w:rsidR="00A70AE3">
        <w:rPr>
          <w:sz w:val="24"/>
          <w:szCs w:val="24"/>
        </w:rPr>
        <w:t xml:space="preserve">Europe’s imperial past here, describing Britain and France as having ‘brought’ the countries of their empires to independence, as though they had not been independent to begin with and none of them had brought themselves to independence. This was also </w:t>
      </w:r>
      <w:r w:rsidR="00F43495">
        <w:rPr>
          <w:sz w:val="24"/>
          <w:szCs w:val="24"/>
        </w:rPr>
        <w:t xml:space="preserve">something that she would </w:t>
      </w:r>
      <w:r w:rsidR="00A70AE3">
        <w:rPr>
          <w:sz w:val="24"/>
          <w:szCs w:val="24"/>
        </w:rPr>
        <w:t xml:space="preserve">pick up again </w:t>
      </w:r>
      <w:r w:rsidR="00F43495">
        <w:rPr>
          <w:sz w:val="24"/>
          <w:szCs w:val="24"/>
        </w:rPr>
        <w:t>in her Bruges speech.</w:t>
      </w:r>
      <w:r w:rsidR="00D549F8">
        <w:rPr>
          <w:rStyle w:val="FootnoteReference"/>
          <w:sz w:val="24"/>
          <w:szCs w:val="24"/>
        </w:rPr>
        <w:footnoteReference w:id="29"/>
      </w:r>
    </w:p>
    <w:p w14:paraId="5849A8FE" w14:textId="146BED90" w:rsidR="005B4087" w:rsidRDefault="005B4087" w:rsidP="00125B20">
      <w:pPr>
        <w:spacing w:line="360" w:lineRule="auto"/>
        <w:jc w:val="both"/>
        <w:rPr>
          <w:sz w:val="24"/>
          <w:szCs w:val="24"/>
        </w:rPr>
      </w:pPr>
    </w:p>
    <w:p w14:paraId="62D50F2B" w14:textId="21FB6C43" w:rsidR="000F3702" w:rsidRPr="005B0315" w:rsidRDefault="001E1542" w:rsidP="00125B20">
      <w:pPr>
        <w:spacing w:line="360" w:lineRule="auto"/>
        <w:jc w:val="both"/>
        <w:rPr>
          <w:b/>
          <w:sz w:val="24"/>
          <w:szCs w:val="24"/>
        </w:rPr>
      </w:pPr>
      <w:r>
        <w:rPr>
          <w:b/>
          <w:sz w:val="24"/>
          <w:szCs w:val="24"/>
        </w:rPr>
        <w:t xml:space="preserve">Her Turn, Part One: </w:t>
      </w:r>
      <w:r w:rsidR="005B0315">
        <w:rPr>
          <w:b/>
          <w:sz w:val="24"/>
          <w:szCs w:val="24"/>
        </w:rPr>
        <w:t>The Bruges Speech</w:t>
      </w:r>
    </w:p>
    <w:p w14:paraId="182E93EF" w14:textId="681E257F" w:rsidR="005B4087" w:rsidRDefault="00490573" w:rsidP="00125B20">
      <w:pPr>
        <w:spacing w:line="360" w:lineRule="auto"/>
        <w:jc w:val="both"/>
        <w:rPr>
          <w:sz w:val="24"/>
          <w:szCs w:val="24"/>
        </w:rPr>
      </w:pPr>
      <w:r>
        <w:rPr>
          <w:sz w:val="24"/>
          <w:szCs w:val="24"/>
        </w:rPr>
        <w:t xml:space="preserve">Substantial progress was made towards the single market with the </w:t>
      </w:r>
      <w:r w:rsidR="00833D56">
        <w:rPr>
          <w:sz w:val="24"/>
          <w:szCs w:val="24"/>
        </w:rPr>
        <w:t xml:space="preserve">introduction of the Single European Act, championed by both Commission President </w:t>
      </w:r>
      <w:proofErr w:type="spellStart"/>
      <w:r w:rsidR="00833D56">
        <w:rPr>
          <w:sz w:val="24"/>
          <w:szCs w:val="24"/>
        </w:rPr>
        <w:t>Jaques</w:t>
      </w:r>
      <w:proofErr w:type="spellEnd"/>
      <w:r w:rsidR="00833D56">
        <w:rPr>
          <w:sz w:val="24"/>
          <w:szCs w:val="24"/>
        </w:rPr>
        <w:t xml:space="preserve"> </w:t>
      </w:r>
      <w:proofErr w:type="spellStart"/>
      <w:r w:rsidR="00833D56">
        <w:rPr>
          <w:sz w:val="24"/>
          <w:szCs w:val="24"/>
        </w:rPr>
        <w:t>Delors</w:t>
      </w:r>
      <w:proofErr w:type="spellEnd"/>
      <w:r w:rsidR="00833D56">
        <w:rPr>
          <w:sz w:val="24"/>
          <w:szCs w:val="24"/>
        </w:rPr>
        <w:t xml:space="preserve"> and Thatcher.</w:t>
      </w:r>
      <w:r w:rsidR="00833D56">
        <w:rPr>
          <w:rStyle w:val="FootnoteReference"/>
          <w:sz w:val="24"/>
          <w:szCs w:val="24"/>
        </w:rPr>
        <w:footnoteReference w:id="30"/>
      </w:r>
      <w:r w:rsidR="00A640B5">
        <w:rPr>
          <w:sz w:val="24"/>
          <w:szCs w:val="24"/>
        </w:rPr>
        <w:t xml:space="preserve"> </w:t>
      </w:r>
      <w:r w:rsidR="00A640B5">
        <w:rPr>
          <w:sz w:val="24"/>
          <w:szCs w:val="24"/>
        </w:rPr>
        <w:lastRenderedPageBreak/>
        <w:t>However, this also laid the groundwork for further integration in Europe</w:t>
      </w:r>
      <w:r w:rsidR="00A640B5" w:rsidRPr="002C7411">
        <w:rPr>
          <w:sz w:val="24"/>
          <w:szCs w:val="24"/>
        </w:rPr>
        <w:t>—</w:t>
      </w:r>
      <w:r w:rsidR="00A640B5">
        <w:rPr>
          <w:sz w:val="24"/>
          <w:szCs w:val="24"/>
        </w:rPr>
        <w:t>and made this harder for Britain to resist by extending majority voting into areas that had previously required a unanimous vote.</w:t>
      </w:r>
      <w:r w:rsidR="005B0705">
        <w:rPr>
          <w:rStyle w:val="FootnoteReference"/>
          <w:sz w:val="24"/>
          <w:szCs w:val="24"/>
        </w:rPr>
        <w:footnoteReference w:id="31"/>
      </w:r>
      <w:r w:rsidR="00A640B5">
        <w:rPr>
          <w:sz w:val="24"/>
          <w:szCs w:val="24"/>
        </w:rPr>
        <w:t xml:space="preserve"> By 1988, Thatcher was balking at the extent of </w:t>
      </w:r>
      <w:proofErr w:type="spellStart"/>
      <w:r w:rsidR="00A640B5">
        <w:rPr>
          <w:sz w:val="24"/>
          <w:szCs w:val="24"/>
        </w:rPr>
        <w:t>Delors’s</w:t>
      </w:r>
      <w:proofErr w:type="spellEnd"/>
      <w:r w:rsidR="00A640B5">
        <w:rPr>
          <w:sz w:val="24"/>
          <w:szCs w:val="24"/>
        </w:rPr>
        <w:t xml:space="preserve"> ambitions in this regard, as she made clear in her speech at Bruges in September of that year.</w:t>
      </w:r>
      <w:r w:rsidR="00A640B5">
        <w:rPr>
          <w:rStyle w:val="FootnoteReference"/>
          <w:sz w:val="24"/>
          <w:szCs w:val="24"/>
        </w:rPr>
        <w:footnoteReference w:id="32"/>
      </w:r>
    </w:p>
    <w:p w14:paraId="23E3B13B" w14:textId="44E96F49" w:rsidR="00247676" w:rsidRDefault="0039246C" w:rsidP="00125B20">
      <w:pPr>
        <w:spacing w:line="360" w:lineRule="auto"/>
        <w:ind w:firstLine="720"/>
        <w:jc w:val="both"/>
        <w:rPr>
          <w:sz w:val="24"/>
          <w:szCs w:val="24"/>
        </w:rPr>
      </w:pPr>
      <w:r>
        <w:rPr>
          <w:sz w:val="24"/>
          <w:szCs w:val="24"/>
        </w:rPr>
        <w:t>Thatcher’s speech beg</w:t>
      </w:r>
      <w:r w:rsidR="001D7723">
        <w:rPr>
          <w:sz w:val="24"/>
          <w:szCs w:val="24"/>
        </w:rPr>
        <w:t>an</w:t>
      </w:r>
      <w:r>
        <w:rPr>
          <w:sz w:val="24"/>
          <w:szCs w:val="24"/>
        </w:rPr>
        <w:t xml:space="preserve"> by looking back to European history and some of Britain’s place within it.</w:t>
      </w:r>
      <w:r w:rsidR="000E02F6">
        <w:rPr>
          <w:rStyle w:val="FootnoteReference"/>
          <w:sz w:val="24"/>
          <w:szCs w:val="24"/>
        </w:rPr>
        <w:footnoteReference w:id="33"/>
      </w:r>
      <w:r>
        <w:rPr>
          <w:sz w:val="24"/>
          <w:szCs w:val="24"/>
        </w:rPr>
        <w:t xml:space="preserve"> She </w:t>
      </w:r>
      <w:r w:rsidR="001D7723">
        <w:rPr>
          <w:sz w:val="24"/>
          <w:szCs w:val="24"/>
        </w:rPr>
        <w:t xml:space="preserve">mentioned </w:t>
      </w:r>
      <w:r>
        <w:rPr>
          <w:sz w:val="24"/>
          <w:szCs w:val="24"/>
        </w:rPr>
        <w:t xml:space="preserve">that she </w:t>
      </w:r>
      <w:r w:rsidR="001D7723">
        <w:rPr>
          <w:sz w:val="24"/>
          <w:szCs w:val="24"/>
        </w:rPr>
        <w:t xml:space="preserve">was </w:t>
      </w:r>
      <w:r>
        <w:rPr>
          <w:sz w:val="24"/>
          <w:szCs w:val="24"/>
        </w:rPr>
        <w:t>giving the speech at Bruges Belfry, ‘a building which so gloriously recalls the greatness that Europe had already achieved over six hundred years ago’, before mentioning that Geoffrey Chaucer had been ‘a frequent visitor’ to Bruges, and the first English language book had been printed there.</w:t>
      </w:r>
      <w:r w:rsidR="00CD64B6">
        <w:rPr>
          <w:sz w:val="24"/>
          <w:szCs w:val="24"/>
        </w:rPr>
        <w:t xml:space="preserve"> </w:t>
      </w:r>
      <w:r w:rsidR="00424659">
        <w:rPr>
          <w:sz w:val="24"/>
          <w:szCs w:val="24"/>
        </w:rPr>
        <w:t>In doing so, she attempt</w:t>
      </w:r>
      <w:r w:rsidR="00F16D8A">
        <w:rPr>
          <w:sz w:val="24"/>
          <w:szCs w:val="24"/>
        </w:rPr>
        <w:t>ed</w:t>
      </w:r>
      <w:r w:rsidR="00424659">
        <w:rPr>
          <w:sz w:val="24"/>
          <w:szCs w:val="24"/>
        </w:rPr>
        <w:t xml:space="preserve"> to diminish the importance of the European Community in </w:t>
      </w:r>
      <w:r w:rsidR="00693996">
        <w:rPr>
          <w:sz w:val="24"/>
          <w:szCs w:val="24"/>
        </w:rPr>
        <w:t>defining Europe; Europe was built long ago and strengthened through shared ideas: from Europe came the ‘rule of law’ that would become so central to Britain’s conception of itself, while from Britain came the Magna Carta and subsequent representative institutions that became ‘bastions of freedom’ within Europe</w:t>
      </w:r>
      <w:r w:rsidR="00831519">
        <w:rPr>
          <w:sz w:val="24"/>
          <w:szCs w:val="24"/>
        </w:rPr>
        <w:t>. As such, she categorises the notion that</w:t>
      </w:r>
      <w:r w:rsidR="00501F94">
        <w:rPr>
          <w:sz w:val="24"/>
          <w:szCs w:val="24"/>
        </w:rPr>
        <w:t xml:space="preserve"> Europe might be ‘the creation of the Treaty of Rome’ or the </w:t>
      </w:r>
      <w:r w:rsidR="00831519">
        <w:rPr>
          <w:sz w:val="24"/>
          <w:szCs w:val="24"/>
        </w:rPr>
        <w:t>‘property of any group or institution’ as one of many ‘myths’ about Europe</w:t>
      </w:r>
      <w:r w:rsidR="00831519" w:rsidRPr="002C7411">
        <w:rPr>
          <w:sz w:val="24"/>
          <w:szCs w:val="24"/>
        </w:rPr>
        <w:t>—</w:t>
      </w:r>
      <w:r w:rsidR="00831519">
        <w:rPr>
          <w:sz w:val="24"/>
          <w:szCs w:val="24"/>
        </w:rPr>
        <w:t>a rhetorical device she had used in opening the Conservative referendum campaign in 1975</w:t>
      </w:r>
      <w:r w:rsidR="00BA30B9">
        <w:rPr>
          <w:sz w:val="24"/>
          <w:szCs w:val="24"/>
        </w:rPr>
        <w:t>, here used for the opposite purpose;</w:t>
      </w:r>
      <w:r w:rsidR="00831519">
        <w:rPr>
          <w:sz w:val="24"/>
          <w:szCs w:val="24"/>
        </w:rPr>
        <w:t xml:space="preserve"> </w:t>
      </w:r>
      <w:r w:rsidR="00BA30B9">
        <w:rPr>
          <w:sz w:val="24"/>
          <w:szCs w:val="24"/>
        </w:rPr>
        <w:t>unlike her rhetoric from the referendum campaign, she clearly and immediately distances herself from the notion that ‘Europe’ might be defined in any way by the Community.</w:t>
      </w:r>
    </w:p>
    <w:p w14:paraId="01C06D63" w14:textId="18864E36" w:rsidR="00D94A17" w:rsidRDefault="00C84F26" w:rsidP="00125B20">
      <w:pPr>
        <w:spacing w:line="360" w:lineRule="auto"/>
        <w:ind w:firstLine="720"/>
        <w:jc w:val="both"/>
        <w:rPr>
          <w:sz w:val="24"/>
          <w:szCs w:val="24"/>
        </w:rPr>
      </w:pPr>
      <w:r>
        <w:rPr>
          <w:sz w:val="24"/>
          <w:szCs w:val="24"/>
        </w:rPr>
        <w:t>Part of the</w:t>
      </w:r>
      <w:r w:rsidR="002C7411">
        <w:rPr>
          <w:sz w:val="24"/>
          <w:szCs w:val="24"/>
        </w:rPr>
        <w:t xml:space="preserve"> shared history of European nations as Thatcher paint</w:t>
      </w:r>
      <w:r w:rsidR="00F16D8A">
        <w:rPr>
          <w:sz w:val="24"/>
          <w:szCs w:val="24"/>
        </w:rPr>
        <w:t>ed</w:t>
      </w:r>
      <w:r w:rsidR="002C7411">
        <w:rPr>
          <w:sz w:val="24"/>
          <w:szCs w:val="24"/>
        </w:rPr>
        <w:t xml:space="preserve"> it </w:t>
      </w:r>
      <w:r w:rsidR="00F16D8A">
        <w:rPr>
          <w:sz w:val="24"/>
          <w:szCs w:val="24"/>
        </w:rPr>
        <w:t xml:space="preserve">here </w:t>
      </w:r>
      <w:r w:rsidR="002C7411">
        <w:rPr>
          <w:sz w:val="24"/>
          <w:szCs w:val="24"/>
        </w:rPr>
        <w:t>are Christendom</w:t>
      </w:r>
      <w:r w:rsidR="002C7411" w:rsidRPr="002C7411">
        <w:rPr>
          <w:sz w:val="24"/>
          <w:szCs w:val="24"/>
        </w:rPr>
        <w:t>—</w:t>
      </w:r>
      <w:r w:rsidR="0087229C">
        <w:rPr>
          <w:sz w:val="24"/>
          <w:szCs w:val="24"/>
        </w:rPr>
        <w:t>though</w:t>
      </w:r>
      <w:r w:rsidR="00BD3D19">
        <w:rPr>
          <w:sz w:val="24"/>
          <w:szCs w:val="24"/>
        </w:rPr>
        <w:t xml:space="preserve"> she describes a Christianity centred wholly on the individual</w:t>
      </w:r>
      <w:r w:rsidR="00BD3D19" w:rsidRPr="002C7411">
        <w:rPr>
          <w:sz w:val="24"/>
          <w:szCs w:val="24"/>
        </w:rPr>
        <w:t>—</w:t>
      </w:r>
      <w:r w:rsidR="00BD3D19">
        <w:rPr>
          <w:sz w:val="24"/>
          <w:szCs w:val="24"/>
        </w:rPr>
        <w:t>and</w:t>
      </w:r>
      <w:r w:rsidR="002A4D0C">
        <w:rPr>
          <w:sz w:val="24"/>
          <w:szCs w:val="24"/>
        </w:rPr>
        <w:t xml:space="preserve">, more importantly, </w:t>
      </w:r>
      <w:r w:rsidR="00BD3D19">
        <w:rPr>
          <w:sz w:val="24"/>
          <w:szCs w:val="24"/>
        </w:rPr>
        <w:t>Empire.</w:t>
      </w:r>
      <w:r w:rsidR="00413EE7">
        <w:rPr>
          <w:sz w:val="24"/>
          <w:szCs w:val="24"/>
        </w:rPr>
        <w:t xml:space="preserve"> </w:t>
      </w:r>
      <w:r w:rsidR="00675385">
        <w:rPr>
          <w:sz w:val="24"/>
          <w:szCs w:val="24"/>
        </w:rPr>
        <w:t>As she had in 1984, s</w:t>
      </w:r>
      <w:r w:rsidR="00413EE7">
        <w:rPr>
          <w:sz w:val="24"/>
          <w:szCs w:val="24"/>
        </w:rPr>
        <w:t>he unapologetically praise</w:t>
      </w:r>
      <w:r w:rsidR="00F16D8A">
        <w:rPr>
          <w:sz w:val="24"/>
          <w:szCs w:val="24"/>
        </w:rPr>
        <w:t>d</w:t>
      </w:r>
      <w:r w:rsidR="00413EE7">
        <w:rPr>
          <w:sz w:val="24"/>
          <w:szCs w:val="24"/>
        </w:rPr>
        <w:t xml:space="preserve"> Europe’s history of empire</w:t>
      </w:r>
      <w:r w:rsidR="00675385">
        <w:rPr>
          <w:sz w:val="24"/>
          <w:szCs w:val="24"/>
        </w:rPr>
        <w:t>, now</w:t>
      </w:r>
      <w:r w:rsidR="00413EE7">
        <w:rPr>
          <w:sz w:val="24"/>
          <w:szCs w:val="24"/>
        </w:rPr>
        <w:t xml:space="preserve"> for having ‘civilised much of the world’ through ‘talent, skill and courage’</w:t>
      </w:r>
      <w:r w:rsidR="00F16D8A">
        <w:rPr>
          <w:sz w:val="24"/>
          <w:szCs w:val="24"/>
        </w:rPr>
        <w:t>;</w:t>
      </w:r>
      <w:r w:rsidR="00E953E9">
        <w:rPr>
          <w:rStyle w:val="FootnoteReference"/>
          <w:sz w:val="24"/>
          <w:szCs w:val="24"/>
        </w:rPr>
        <w:footnoteReference w:id="34"/>
      </w:r>
      <w:r w:rsidR="00413EE7">
        <w:rPr>
          <w:sz w:val="24"/>
          <w:szCs w:val="24"/>
        </w:rPr>
        <w:t xml:space="preserve"> </w:t>
      </w:r>
      <w:r w:rsidR="00F16D8A">
        <w:rPr>
          <w:sz w:val="24"/>
          <w:szCs w:val="24"/>
        </w:rPr>
        <w:t>and o</w:t>
      </w:r>
      <w:r w:rsidR="0087229C">
        <w:rPr>
          <w:sz w:val="24"/>
          <w:szCs w:val="24"/>
        </w:rPr>
        <w:t>ne of the most successful products of empire, in Thatcher’s view, is the USA. Through empire, the US ha</w:t>
      </w:r>
      <w:r w:rsidR="00F16D8A">
        <w:rPr>
          <w:sz w:val="24"/>
          <w:szCs w:val="24"/>
        </w:rPr>
        <w:t>d</w:t>
      </w:r>
      <w:r w:rsidR="0087229C">
        <w:rPr>
          <w:sz w:val="24"/>
          <w:szCs w:val="24"/>
        </w:rPr>
        <w:t xml:space="preserve"> adopted ‘European values’ and become ‘the valiant defender of freedom’ in the world.</w:t>
      </w:r>
      <w:r w:rsidR="006C75FC">
        <w:rPr>
          <w:rStyle w:val="FootnoteReference"/>
          <w:sz w:val="24"/>
          <w:szCs w:val="24"/>
        </w:rPr>
        <w:footnoteReference w:id="35"/>
      </w:r>
      <w:r w:rsidR="00B51C34">
        <w:rPr>
          <w:sz w:val="24"/>
          <w:szCs w:val="24"/>
        </w:rPr>
        <w:t xml:space="preserve"> </w:t>
      </w:r>
      <w:r w:rsidR="002A4D0C">
        <w:rPr>
          <w:sz w:val="24"/>
          <w:szCs w:val="24"/>
        </w:rPr>
        <w:t>However, as in 1984, Thatcher here</w:t>
      </w:r>
      <w:r w:rsidR="00B51C34">
        <w:rPr>
          <w:sz w:val="24"/>
          <w:szCs w:val="24"/>
        </w:rPr>
        <w:t xml:space="preserve"> </w:t>
      </w:r>
      <w:r w:rsidR="00F16D8A">
        <w:rPr>
          <w:sz w:val="24"/>
          <w:szCs w:val="24"/>
        </w:rPr>
        <w:t xml:space="preserve">took </w:t>
      </w:r>
      <w:r w:rsidR="00B51C34">
        <w:rPr>
          <w:sz w:val="24"/>
          <w:szCs w:val="24"/>
        </w:rPr>
        <w:t xml:space="preserve">pains to </w:t>
      </w:r>
      <w:r w:rsidR="002A4D0C">
        <w:rPr>
          <w:sz w:val="24"/>
          <w:szCs w:val="24"/>
        </w:rPr>
        <w:t xml:space="preserve">argue </w:t>
      </w:r>
      <w:r w:rsidR="00B51C34">
        <w:rPr>
          <w:sz w:val="24"/>
          <w:szCs w:val="24"/>
        </w:rPr>
        <w:t xml:space="preserve">that she </w:t>
      </w:r>
      <w:r w:rsidR="00F16D8A">
        <w:rPr>
          <w:sz w:val="24"/>
          <w:szCs w:val="24"/>
        </w:rPr>
        <w:t xml:space="preserve">did </w:t>
      </w:r>
      <w:r w:rsidR="00B51C34">
        <w:rPr>
          <w:sz w:val="24"/>
          <w:szCs w:val="24"/>
        </w:rPr>
        <w:t xml:space="preserve">not see </w:t>
      </w:r>
      <w:r w:rsidR="00B51C34">
        <w:rPr>
          <w:sz w:val="24"/>
          <w:szCs w:val="24"/>
        </w:rPr>
        <w:lastRenderedPageBreak/>
        <w:t xml:space="preserve">the federalised US as a model for a future Europe: the States have a shared history, she </w:t>
      </w:r>
      <w:r w:rsidR="00F16D8A">
        <w:rPr>
          <w:sz w:val="24"/>
          <w:szCs w:val="24"/>
        </w:rPr>
        <w:t>said</w:t>
      </w:r>
      <w:r w:rsidR="00B51C34">
        <w:rPr>
          <w:sz w:val="24"/>
          <w:szCs w:val="24"/>
        </w:rPr>
        <w:t>, in seeking</w:t>
      </w:r>
      <w:r w:rsidR="00CB5379">
        <w:rPr>
          <w:sz w:val="24"/>
          <w:szCs w:val="24"/>
        </w:rPr>
        <w:t xml:space="preserve"> escape from </w:t>
      </w:r>
      <w:r w:rsidR="00B51C34">
        <w:rPr>
          <w:sz w:val="24"/>
          <w:szCs w:val="24"/>
        </w:rPr>
        <w:t>‘intolerance and constraints’ in Europe</w:t>
      </w:r>
      <w:r w:rsidR="008610F3" w:rsidRPr="002C7411">
        <w:rPr>
          <w:sz w:val="24"/>
          <w:szCs w:val="24"/>
        </w:rPr>
        <w:t>—</w:t>
      </w:r>
      <w:r w:rsidR="008610F3">
        <w:rPr>
          <w:sz w:val="24"/>
          <w:szCs w:val="24"/>
        </w:rPr>
        <w:t>and though she does not state that the Europe of their time might still offer such constraints, the implication is clear. This</w:t>
      </w:r>
      <w:r w:rsidR="002A4D0C">
        <w:rPr>
          <w:sz w:val="24"/>
          <w:szCs w:val="24"/>
        </w:rPr>
        <w:t xml:space="preserve"> shared history</w:t>
      </w:r>
      <w:r w:rsidR="00B51C34">
        <w:rPr>
          <w:sz w:val="24"/>
          <w:szCs w:val="24"/>
        </w:rPr>
        <w:t xml:space="preserve"> </w:t>
      </w:r>
      <w:r w:rsidR="008610F3">
        <w:rPr>
          <w:sz w:val="24"/>
          <w:szCs w:val="24"/>
        </w:rPr>
        <w:t>had then</w:t>
      </w:r>
      <w:r w:rsidR="00B51C34">
        <w:rPr>
          <w:sz w:val="24"/>
          <w:szCs w:val="24"/>
        </w:rPr>
        <w:t xml:space="preserve"> developed over two centuries into a shared national pride and unity.</w:t>
      </w:r>
      <w:r w:rsidR="00F97953">
        <w:rPr>
          <w:sz w:val="24"/>
          <w:szCs w:val="24"/>
        </w:rPr>
        <w:t xml:space="preserve"> </w:t>
      </w:r>
      <w:r w:rsidR="00501F94">
        <w:rPr>
          <w:sz w:val="24"/>
          <w:szCs w:val="24"/>
        </w:rPr>
        <w:t>As such, to federalise Europe, to ‘suppress nationhood’, would be ‘folly’. Instead of centralising power around an ‘appointed bureaucracy’ the European Community should respect the parliamentary powers of individual nations, working by the ‘willing and active co-operation of independent sovereign states’.</w:t>
      </w:r>
      <w:r w:rsidR="00501F94" w:rsidRPr="00501F94">
        <w:rPr>
          <w:sz w:val="24"/>
          <w:szCs w:val="24"/>
        </w:rPr>
        <w:t xml:space="preserve"> </w:t>
      </w:r>
      <w:r w:rsidR="00501F94">
        <w:rPr>
          <w:sz w:val="24"/>
          <w:szCs w:val="24"/>
        </w:rPr>
        <w:t xml:space="preserve">As a result, instead of being a model the US has a place </w:t>
      </w:r>
      <w:r w:rsidR="00501F94" w:rsidRPr="00F16D8A">
        <w:rPr>
          <w:i/>
          <w:sz w:val="24"/>
          <w:szCs w:val="24"/>
        </w:rPr>
        <w:t>within</w:t>
      </w:r>
      <w:r w:rsidR="00501F94">
        <w:rPr>
          <w:sz w:val="24"/>
          <w:szCs w:val="24"/>
        </w:rPr>
        <w:t xml:space="preserve"> Thatcher’s conception of Europe here, being part of the transatlantic ‘family’ of nations</w:t>
      </w:r>
      <w:r w:rsidR="000A0FFF" w:rsidRPr="002C7411">
        <w:rPr>
          <w:sz w:val="24"/>
          <w:szCs w:val="24"/>
        </w:rPr>
        <w:t>—</w:t>
      </w:r>
      <w:r w:rsidR="000A0FFF">
        <w:rPr>
          <w:sz w:val="24"/>
          <w:szCs w:val="24"/>
        </w:rPr>
        <w:t xml:space="preserve">something that had earlier been </w:t>
      </w:r>
      <w:r w:rsidR="008D02D6">
        <w:rPr>
          <w:sz w:val="24"/>
          <w:szCs w:val="24"/>
        </w:rPr>
        <w:t>reinforced by the ideological affiliation of Thatcher and Reagan.</w:t>
      </w:r>
      <w:r w:rsidR="008D02D6">
        <w:rPr>
          <w:rStyle w:val="FootnoteReference"/>
          <w:sz w:val="24"/>
          <w:szCs w:val="24"/>
        </w:rPr>
        <w:footnoteReference w:id="36"/>
      </w:r>
    </w:p>
    <w:p w14:paraId="0D6D62E7" w14:textId="5F8874B0" w:rsidR="002A4D0C" w:rsidRDefault="005E0573" w:rsidP="00125B20">
      <w:pPr>
        <w:spacing w:line="360" w:lineRule="auto"/>
        <w:ind w:firstLine="720"/>
        <w:jc w:val="both"/>
        <w:rPr>
          <w:sz w:val="24"/>
          <w:szCs w:val="24"/>
        </w:rPr>
      </w:pPr>
      <w:r>
        <w:rPr>
          <w:sz w:val="24"/>
          <w:szCs w:val="24"/>
        </w:rPr>
        <w:t xml:space="preserve">Key to this </w:t>
      </w:r>
      <w:r w:rsidR="00103C52">
        <w:rPr>
          <w:sz w:val="24"/>
          <w:szCs w:val="24"/>
        </w:rPr>
        <w:t xml:space="preserve">conception of </w:t>
      </w:r>
      <w:r w:rsidR="009D4031">
        <w:rPr>
          <w:sz w:val="24"/>
          <w:szCs w:val="24"/>
        </w:rPr>
        <w:t>this wider</w:t>
      </w:r>
      <w:r w:rsidR="00103C52">
        <w:rPr>
          <w:sz w:val="24"/>
          <w:szCs w:val="24"/>
        </w:rPr>
        <w:t xml:space="preserve"> continent, a ‘Europe on both sides of the Atlantic’, </w:t>
      </w:r>
      <w:r w:rsidR="00501F94">
        <w:rPr>
          <w:sz w:val="24"/>
          <w:szCs w:val="24"/>
        </w:rPr>
        <w:t>was</w:t>
      </w:r>
      <w:r w:rsidR="00103C52">
        <w:rPr>
          <w:sz w:val="24"/>
          <w:szCs w:val="24"/>
        </w:rPr>
        <w:t xml:space="preserve"> the issue of defence</w:t>
      </w:r>
      <w:r>
        <w:rPr>
          <w:sz w:val="24"/>
          <w:szCs w:val="24"/>
        </w:rPr>
        <w:t>. She define</w:t>
      </w:r>
      <w:r w:rsidR="00F16D8A">
        <w:rPr>
          <w:sz w:val="24"/>
          <w:szCs w:val="24"/>
        </w:rPr>
        <w:t>d</w:t>
      </w:r>
      <w:r>
        <w:rPr>
          <w:sz w:val="24"/>
          <w:szCs w:val="24"/>
        </w:rPr>
        <w:t xml:space="preserve"> the</w:t>
      </w:r>
      <w:r w:rsidR="00103C52">
        <w:rPr>
          <w:sz w:val="24"/>
          <w:szCs w:val="24"/>
        </w:rPr>
        <w:t xml:space="preserve"> ‘democratic’ and ‘free’</w:t>
      </w:r>
      <w:r>
        <w:rPr>
          <w:sz w:val="24"/>
          <w:szCs w:val="24"/>
        </w:rPr>
        <w:t xml:space="preserve"> West </w:t>
      </w:r>
      <w:r w:rsidR="00103C52">
        <w:rPr>
          <w:sz w:val="24"/>
          <w:szCs w:val="24"/>
        </w:rPr>
        <w:t>by opposing it with those who might threaten its values</w:t>
      </w:r>
      <w:r w:rsidR="00501F94" w:rsidRPr="002C7411">
        <w:rPr>
          <w:sz w:val="24"/>
          <w:szCs w:val="24"/>
        </w:rPr>
        <w:t>—</w:t>
      </w:r>
      <w:r w:rsidR="009D4031">
        <w:rPr>
          <w:sz w:val="24"/>
          <w:szCs w:val="24"/>
        </w:rPr>
        <w:t xml:space="preserve">even </w:t>
      </w:r>
      <w:r w:rsidR="00501F94">
        <w:rPr>
          <w:sz w:val="24"/>
          <w:szCs w:val="24"/>
        </w:rPr>
        <w:t xml:space="preserve">though the traditional ‘East’ of the Cold War </w:t>
      </w:r>
      <w:r w:rsidR="009D4031">
        <w:rPr>
          <w:sz w:val="24"/>
          <w:szCs w:val="24"/>
        </w:rPr>
        <w:t>seem</w:t>
      </w:r>
      <w:r w:rsidR="00F16D8A">
        <w:rPr>
          <w:sz w:val="24"/>
          <w:szCs w:val="24"/>
        </w:rPr>
        <w:t>ed</w:t>
      </w:r>
      <w:r w:rsidR="009D4031">
        <w:rPr>
          <w:sz w:val="24"/>
          <w:szCs w:val="24"/>
        </w:rPr>
        <w:t xml:space="preserve"> </w:t>
      </w:r>
      <w:r w:rsidR="00501F94">
        <w:rPr>
          <w:sz w:val="24"/>
          <w:szCs w:val="24"/>
        </w:rPr>
        <w:t>to be faltering</w:t>
      </w:r>
      <w:r w:rsidR="009D4031">
        <w:rPr>
          <w:sz w:val="24"/>
          <w:szCs w:val="24"/>
        </w:rPr>
        <w:t xml:space="preserve">. The ‘fundamental issue’ for which the European Community </w:t>
      </w:r>
      <w:r w:rsidR="00F16D8A">
        <w:rPr>
          <w:sz w:val="24"/>
          <w:szCs w:val="24"/>
        </w:rPr>
        <w:t xml:space="preserve">was </w:t>
      </w:r>
      <w:r w:rsidR="009D4031">
        <w:rPr>
          <w:sz w:val="24"/>
          <w:szCs w:val="24"/>
        </w:rPr>
        <w:t xml:space="preserve">needed </w:t>
      </w:r>
      <w:r w:rsidR="00F16D8A">
        <w:rPr>
          <w:sz w:val="24"/>
          <w:szCs w:val="24"/>
        </w:rPr>
        <w:t xml:space="preserve">was </w:t>
      </w:r>
      <w:r w:rsidR="009D4031">
        <w:rPr>
          <w:sz w:val="24"/>
          <w:szCs w:val="24"/>
        </w:rPr>
        <w:t>in ensuring security, though not through the Western European Union but instead through NATO</w:t>
      </w:r>
      <w:r w:rsidR="003B3E01">
        <w:rPr>
          <w:sz w:val="24"/>
          <w:szCs w:val="24"/>
        </w:rPr>
        <w:t xml:space="preserve">; the Western European Union </w:t>
      </w:r>
      <w:r w:rsidR="00F16D8A">
        <w:rPr>
          <w:sz w:val="24"/>
          <w:szCs w:val="24"/>
        </w:rPr>
        <w:t xml:space="preserve">was </w:t>
      </w:r>
      <w:r w:rsidR="003B3E01">
        <w:rPr>
          <w:sz w:val="24"/>
          <w:szCs w:val="24"/>
        </w:rPr>
        <w:t>not a</w:t>
      </w:r>
      <w:r w:rsidR="000B3F50">
        <w:rPr>
          <w:sz w:val="24"/>
          <w:szCs w:val="24"/>
        </w:rPr>
        <w:t>n ‘alternative to NATO’ but instead a way of co-ordinating the nations of Europe-proper</w:t>
      </w:r>
      <w:r w:rsidR="00F16D8A" w:rsidRPr="002C7411">
        <w:rPr>
          <w:sz w:val="24"/>
          <w:szCs w:val="24"/>
        </w:rPr>
        <w:t>—</w:t>
      </w:r>
      <w:r w:rsidR="00F16D8A">
        <w:rPr>
          <w:sz w:val="24"/>
          <w:szCs w:val="24"/>
        </w:rPr>
        <w:t>the non-Atlantic Europe</w:t>
      </w:r>
      <w:r w:rsidR="00F16D8A" w:rsidRPr="002C7411">
        <w:rPr>
          <w:sz w:val="24"/>
          <w:szCs w:val="24"/>
        </w:rPr>
        <w:t>—</w:t>
      </w:r>
      <w:r w:rsidR="000B3F50">
        <w:rPr>
          <w:sz w:val="24"/>
          <w:szCs w:val="24"/>
        </w:rPr>
        <w:t xml:space="preserve">to ensure they met the requirements of NATO. Though she </w:t>
      </w:r>
      <w:r w:rsidR="00F16D8A">
        <w:rPr>
          <w:sz w:val="24"/>
          <w:szCs w:val="24"/>
        </w:rPr>
        <w:t xml:space="preserve">did </w:t>
      </w:r>
      <w:r w:rsidR="000B3F50">
        <w:rPr>
          <w:sz w:val="24"/>
          <w:szCs w:val="24"/>
        </w:rPr>
        <w:t>not explicitly criticise countries</w:t>
      </w:r>
      <w:r w:rsidR="002A4D0C">
        <w:rPr>
          <w:sz w:val="24"/>
          <w:szCs w:val="24"/>
        </w:rPr>
        <w:t xml:space="preserve"> within the Community</w:t>
      </w:r>
      <w:r w:rsidR="000B3F50">
        <w:rPr>
          <w:sz w:val="24"/>
          <w:szCs w:val="24"/>
        </w:rPr>
        <w:t xml:space="preserve"> for failing to meet budgetary requirements on defence, she </w:t>
      </w:r>
      <w:r w:rsidR="00D172A4">
        <w:rPr>
          <w:sz w:val="24"/>
          <w:szCs w:val="24"/>
        </w:rPr>
        <w:t>very heavily implie</w:t>
      </w:r>
      <w:r w:rsidR="00F16D8A">
        <w:rPr>
          <w:sz w:val="24"/>
          <w:szCs w:val="24"/>
        </w:rPr>
        <w:t xml:space="preserve">d </w:t>
      </w:r>
      <w:r w:rsidR="00D172A4">
        <w:rPr>
          <w:sz w:val="24"/>
          <w:szCs w:val="24"/>
        </w:rPr>
        <w:t xml:space="preserve">it, saying that ‘each member of the Alliance must shoulder a fair share of the burden’ </w:t>
      </w:r>
      <w:proofErr w:type="gramStart"/>
      <w:r w:rsidR="00D172A4">
        <w:rPr>
          <w:sz w:val="24"/>
          <w:szCs w:val="24"/>
        </w:rPr>
        <w:t>in ord</w:t>
      </w:r>
      <w:r w:rsidR="00F16D8A">
        <w:rPr>
          <w:sz w:val="24"/>
          <w:szCs w:val="24"/>
        </w:rPr>
        <w:t>e</w:t>
      </w:r>
      <w:r w:rsidR="00D172A4">
        <w:rPr>
          <w:sz w:val="24"/>
          <w:szCs w:val="24"/>
        </w:rPr>
        <w:t>r to</w:t>
      </w:r>
      <w:proofErr w:type="gramEnd"/>
      <w:r w:rsidR="00D172A4">
        <w:rPr>
          <w:sz w:val="24"/>
          <w:szCs w:val="24"/>
        </w:rPr>
        <w:t xml:space="preserve"> ‘maintain the United </w:t>
      </w:r>
      <w:proofErr w:type="spellStart"/>
      <w:r w:rsidR="00D172A4">
        <w:rPr>
          <w:sz w:val="24"/>
          <w:szCs w:val="24"/>
        </w:rPr>
        <w:t>States’s</w:t>
      </w:r>
      <w:proofErr w:type="spellEnd"/>
      <w:r w:rsidR="00D172A4">
        <w:rPr>
          <w:sz w:val="24"/>
          <w:szCs w:val="24"/>
        </w:rPr>
        <w:t xml:space="preserve"> commitment to European defence’ as Europe </w:t>
      </w:r>
      <w:r w:rsidR="00F16D8A">
        <w:rPr>
          <w:sz w:val="24"/>
          <w:szCs w:val="24"/>
        </w:rPr>
        <w:t xml:space="preserve">grew </w:t>
      </w:r>
      <w:r w:rsidR="00D172A4">
        <w:rPr>
          <w:sz w:val="24"/>
          <w:szCs w:val="24"/>
        </w:rPr>
        <w:t>wealthier.</w:t>
      </w:r>
      <w:r w:rsidR="00F16D8A">
        <w:rPr>
          <w:sz w:val="24"/>
          <w:szCs w:val="24"/>
        </w:rPr>
        <w:t xml:space="preserve"> </w:t>
      </w:r>
      <w:r w:rsidR="002A4D0C">
        <w:rPr>
          <w:sz w:val="24"/>
          <w:szCs w:val="24"/>
        </w:rPr>
        <w:t>Defence was therefore one key area of</w:t>
      </w:r>
      <w:r w:rsidR="00F16D8A">
        <w:rPr>
          <w:sz w:val="24"/>
          <w:szCs w:val="24"/>
        </w:rPr>
        <w:t xml:space="preserve"> ‘co-operation’</w:t>
      </w:r>
      <w:r w:rsidR="002A4D0C">
        <w:rPr>
          <w:sz w:val="24"/>
          <w:szCs w:val="24"/>
        </w:rPr>
        <w:t>.</w:t>
      </w:r>
    </w:p>
    <w:p w14:paraId="6B75A6EE" w14:textId="2C81B429" w:rsidR="00F16D8A" w:rsidRDefault="002A4D0C" w:rsidP="00125B20">
      <w:pPr>
        <w:spacing w:line="360" w:lineRule="auto"/>
        <w:ind w:firstLine="720"/>
        <w:jc w:val="both"/>
        <w:rPr>
          <w:sz w:val="24"/>
          <w:szCs w:val="24"/>
        </w:rPr>
      </w:pPr>
      <w:r>
        <w:rPr>
          <w:sz w:val="24"/>
          <w:szCs w:val="24"/>
        </w:rPr>
        <w:t>Another key area was</w:t>
      </w:r>
      <w:r w:rsidR="00895E46">
        <w:rPr>
          <w:sz w:val="24"/>
          <w:szCs w:val="24"/>
        </w:rPr>
        <w:t xml:space="preserve"> </w:t>
      </w:r>
      <w:r w:rsidR="00CD04E9">
        <w:rPr>
          <w:sz w:val="24"/>
          <w:szCs w:val="24"/>
        </w:rPr>
        <w:t xml:space="preserve">that of </w:t>
      </w:r>
      <w:r w:rsidR="00895E46">
        <w:rPr>
          <w:sz w:val="24"/>
          <w:szCs w:val="24"/>
        </w:rPr>
        <w:t xml:space="preserve">trade and, </w:t>
      </w:r>
      <w:r>
        <w:rPr>
          <w:sz w:val="24"/>
          <w:szCs w:val="24"/>
        </w:rPr>
        <w:t xml:space="preserve">in </w:t>
      </w:r>
      <w:r w:rsidR="000A0FFF">
        <w:rPr>
          <w:sz w:val="24"/>
          <w:szCs w:val="24"/>
        </w:rPr>
        <w:t>her</w:t>
      </w:r>
      <w:r>
        <w:rPr>
          <w:sz w:val="24"/>
          <w:szCs w:val="24"/>
        </w:rPr>
        <w:t xml:space="preserve"> view, that </w:t>
      </w:r>
      <w:r w:rsidR="00895E46">
        <w:rPr>
          <w:sz w:val="24"/>
          <w:szCs w:val="24"/>
        </w:rPr>
        <w:t xml:space="preserve">required very </w:t>
      </w:r>
      <w:r>
        <w:rPr>
          <w:sz w:val="24"/>
          <w:szCs w:val="24"/>
        </w:rPr>
        <w:t xml:space="preserve">Thatcherite </w:t>
      </w:r>
      <w:r w:rsidR="00791C95">
        <w:rPr>
          <w:sz w:val="24"/>
          <w:szCs w:val="24"/>
        </w:rPr>
        <w:t xml:space="preserve">policy of </w:t>
      </w:r>
      <w:r>
        <w:rPr>
          <w:sz w:val="24"/>
          <w:szCs w:val="24"/>
        </w:rPr>
        <w:t>deregulation</w:t>
      </w:r>
      <w:r w:rsidR="00F16D8A">
        <w:rPr>
          <w:sz w:val="24"/>
          <w:szCs w:val="24"/>
        </w:rPr>
        <w:t>. Regulation was, she suggested, preventing the Community from taking practical action by choking its procedures and making it ‘ossified’</w:t>
      </w:r>
      <w:r w:rsidR="00E16DCD">
        <w:rPr>
          <w:sz w:val="24"/>
          <w:szCs w:val="24"/>
        </w:rPr>
        <w:t>; as in 1984, Thatcher is railing against what she sees as needless bureaucracy, taking the energies of the Community away from her own immediate goals</w:t>
      </w:r>
      <w:r w:rsidR="000373C9">
        <w:rPr>
          <w:sz w:val="24"/>
          <w:szCs w:val="24"/>
        </w:rPr>
        <w:t xml:space="preserve"> in Europe</w:t>
      </w:r>
      <w:r w:rsidR="00E16DCD">
        <w:rPr>
          <w:sz w:val="24"/>
          <w:szCs w:val="24"/>
        </w:rPr>
        <w:t xml:space="preserve">. </w:t>
      </w:r>
      <w:r w:rsidR="00F16D8A">
        <w:rPr>
          <w:sz w:val="24"/>
          <w:szCs w:val="24"/>
        </w:rPr>
        <w:t xml:space="preserve">Equally, she saw regulation as strangling private enterprise across </w:t>
      </w:r>
      <w:r w:rsidR="000373C9">
        <w:rPr>
          <w:sz w:val="24"/>
          <w:szCs w:val="24"/>
        </w:rPr>
        <w:t>the continent</w:t>
      </w:r>
      <w:r w:rsidR="00F16D8A">
        <w:rPr>
          <w:sz w:val="24"/>
          <w:szCs w:val="24"/>
        </w:rPr>
        <w:t xml:space="preserve">: Thatcher wanted there to be ‘free’ and unrestricted </w:t>
      </w:r>
      <w:r w:rsidR="00F16D8A">
        <w:rPr>
          <w:sz w:val="24"/>
          <w:szCs w:val="24"/>
        </w:rPr>
        <w:lastRenderedPageBreak/>
        <w:t>movement of capital throughout Europe, removing barriers to financial centres</w:t>
      </w:r>
      <w:r w:rsidR="00F16D8A" w:rsidRPr="002C7411">
        <w:rPr>
          <w:sz w:val="24"/>
          <w:szCs w:val="24"/>
        </w:rPr>
        <w:t>—</w:t>
      </w:r>
      <w:r w:rsidR="00F16D8A">
        <w:rPr>
          <w:sz w:val="24"/>
          <w:szCs w:val="24"/>
        </w:rPr>
        <w:t>such as London.</w:t>
      </w:r>
    </w:p>
    <w:p w14:paraId="4D7790BD" w14:textId="130E933E" w:rsidR="00F16D8A" w:rsidRDefault="00F16D8A" w:rsidP="00125B20">
      <w:pPr>
        <w:spacing w:line="360" w:lineRule="auto"/>
        <w:ind w:firstLine="720"/>
        <w:jc w:val="both"/>
        <w:rPr>
          <w:sz w:val="24"/>
          <w:szCs w:val="24"/>
        </w:rPr>
      </w:pPr>
      <w:r>
        <w:rPr>
          <w:sz w:val="24"/>
          <w:szCs w:val="24"/>
        </w:rPr>
        <w:t xml:space="preserve">Importantly, while suggesting that financial barriers should be destroyed entirely, </w:t>
      </w:r>
      <w:r w:rsidR="0005794D">
        <w:rPr>
          <w:sz w:val="24"/>
          <w:szCs w:val="24"/>
        </w:rPr>
        <w:t xml:space="preserve">Thatcher </w:t>
      </w:r>
      <w:r w:rsidR="00E16DCD">
        <w:rPr>
          <w:sz w:val="24"/>
          <w:szCs w:val="24"/>
        </w:rPr>
        <w:t xml:space="preserve">now suggested that she </w:t>
      </w:r>
      <w:r w:rsidR="0005794D">
        <w:rPr>
          <w:sz w:val="24"/>
          <w:szCs w:val="24"/>
        </w:rPr>
        <w:t>wanted</w:t>
      </w:r>
      <w:r>
        <w:rPr>
          <w:sz w:val="24"/>
          <w:szCs w:val="24"/>
        </w:rPr>
        <w:t xml:space="preserve"> only ‘easier’ movement of goods and of people</w:t>
      </w:r>
      <w:r w:rsidR="00DF598C">
        <w:rPr>
          <w:sz w:val="24"/>
          <w:szCs w:val="24"/>
        </w:rPr>
        <w:t>: s</w:t>
      </w:r>
      <w:r>
        <w:rPr>
          <w:sz w:val="24"/>
          <w:szCs w:val="24"/>
        </w:rPr>
        <w:t>he wishe</w:t>
      </w:r>
      <w:r w:rsidR="00DF598C">
        <w:rPr>
          <w:sz w:val="24"/>
          <w:szCs w:val="24"/>
        </w:rPr>
        <w:t>d</w:t>
      </w:r>
      <w:r>
        <w:rPr>
          <w:sz w:val="24"/>
          <w:szCs w:val="24"/>
        </w:rPr>
        <w:t xml:space="preserve"> </w:t>
      </w:r>
      <w:r w:rsidR="00DF598C">
        <w:rPr>
          <w:sz w:val="24"/>
          <w:szCs w:val="24"/>
        </w:rPr>
        <w:t xml:space="preserve">for </w:t>
      </w:r>
      <w:r>
        <w:rPr>
          <w:sz w:val="24"/>
          <w:szCs w:val="24"/>
        </w:rPr>
        <w:t>there to be a relaxation of internal borders between countries within the Community, but not a total elimination of them</w:t>
      </w:r>
      <w:r w:rsidR="00135253" w:rsidRPr="002C7411">
        <w:rPr>
          <w:sz w:val="24"/>
          <w:szCs w:val="24"/>
        </w:rPr>
        <w:t>—</w:t>
      </w:r>
      <w:r w:rsidR="00135253">
        <w:rPr>
          <w:sz w:val="24"/>
          <w:szCs w:val="24"/>
        </w:rPr>
        <w:t>citing</w:t>
      </w:r>
      <w:r>
        <w:rPr>
          <w:sz w:val="24"/>
          <w:szCs w:val="24"/>
        </w:rPr>
        <w:t xml:space="preserve"> the issues of crime, drugs, terrorists and illegal immigrants</w:t>
      </w:r>
      <w:r w:rsidR="00135253">
        <w:rPr>
          <w:sz w:val="24"/>
          <w:szCs w:val="24"/>
        </w:rPr>
        <w:t xml:space="preserve"> as reasons why it would be impracticable. This is therefore another attempt to reinforce national sovereignty within Europe, giving each nation control of its own borders.</w:t>
      </w:r>
    </w:p>
    <w:p w14:paraId="313369CC" w14:textId="6AD9AB61" w:rsidR="00E61EB1" w:rsidRDefault="00E61EB1" w:rsidP="00125B20">
      <w:pPr>
        <w:spacing w:line="360" w:lineRule="auto"/>
        <w:ind w:firstLine="720"/>
        <w:jc w:val="both"/>
        <w:rPr>
          <w:sz w:val="24"/>
          <w:szCs w:val="24"/>
        </w:rPr>
      </w:pPr>
      <w:r>
        <w:rPr>
          <w:sz w:val="24"/>
          <w:szCs w:val="24"/>
        </w:rPr>
        <w:t xml:space="preserve">Notably, Thatcher takes time in the speech to mention what she sees as Britain’s ‘special’ contribution to Europe, stating that Britain had historically ‘fought to prevent Europe from falling under the dominance of a single power’; she </w:t>
      </w:r>
      <w:r w:rsidR="00883B08">
        <w:rPr>
          <w:sz w:val="24"/>
          <w:szCs w:val="24"/>
        </w:rPr>
        <w:t>brings up</w:t>
      </w:r>
      <w:r>
        <w:rPr>
          <w:sz w:val="24"/>
          <w:szCs w:val="24"/>
        </w:rPr>
        <w:t xml:space="preserve"> the First World War as an example, suggesting that Britain had acted to prevent a pan-European German empire. She then brings up the Second World War, as an instance in which Britain had been ‘our island fortress’, separated from the European mainland</w:t>
      </w:r>
      <w:r w:rsidR="00242358" w:rsidRPr="002C7411">
        <w:rPr>
          <w:sz w:val="24"/>
          <w:szCs w:val="24"/>
        </w:rPr>
        <w:t>—</w:t>
      </w:r>
      <w:r w:rsidR="00242358">
        <w:rPr>
          <w:sz w:val="24"/>
          <w:szCs w:val="24"/>
        </w:rPr>
        <w:t xml:space="preserve">though she later counterbalances this by </w:t>
      </w:r>
      <w:r w:rsidR="004B2175">
        <w:rPr>
          <w:sz w:val="24"/>
          <w:szCs w:val="24"/>
        </w:rPr>
        <w:t>stating</w:t>
      </w:r>
      <w:r w:rsidR="00242358">
        <w:rPr>
          <w:sz w:val="24"/>
          <w:szCs w:val="24"/>
        </w:rPr>
        <w:t xml:space="preserve"> that Britain ‘does not dream of some cosy, isolated existence on the fringes of the European Community</w:t>
      </w:r>
      <w:r w:rsidR="008610F3">
        <w:rPr>
          <w:sz w:val="24"/>
          <w:szCs w:val="24"/>
        </w:rPr>
        <w:t>.</w:t>
      </w:r>
      <w:r w:rsidR="00F73DED">
        <w:rPr>
          <w:sz w:val="24"/>
          <w:szCs w:val="24"/>
        </w:rPr>
        <w:t xml:space="preserve"> Thatcher suggests that she brings these events up as ‘proof </w:t>
      </w:r>
      <w:r w:rsidR="00242358">
        <w:rPr>
          <w:sz w:val="24"/>
          <w:szCs w:val="24"/>
        </w:rPr>
        <w:t xml:space="preserve">of our commitment to Europe’s future’. However, </w:t>
      </w:r>
      <w:r w:rsidR="004B2175">
        <w:rPr>
          <w:sz w:val="24"/>
          <w:szCs w:val="24"/>
        </w:rPr>
        <w:t xml:space="preserve">placing Britain in historical opposition to an expanding Germany </w:t>
      </w:r>
      <w:r w:rsidR="00300093">
        <w:rPr>
          <w:sz w:val="24"/>
          <w:szCs w:val="24"/>
        </w:rPr>
        <w:t>clearly held another implication.</w:t>
      </w:r>
    </w:p>
    <w:p w14:paraId="0C9ED498" w14:textId="20F7DADF" w:rsidR="00DB3CB3" w:rsidRDefault="00DB3CB3" w:rsidP="00125B20">
      <w:pPr>
        <w:spacing w:line="360" w:lineRule="auto"/>
        <w:ind w:firstLine="720"/>
        <w:jc w:val="both"/>
        <w:rPr>
          <w:sz w:val="24"/>
          <w:szCs w:val="24"/>
        </w:rPr>
      </w:pPr>
      <w:r>
        <w:rPr>
          <w:sz w:val="24"/>
          <w:szCs w:val="24"/>
        </w:rPr>
        <w:t xml:space="preserve">In </w:t>
      </w:r>
      <w:proofErr w:type="gramStart"/>
      <w:r>
        <w:rPr>
          <w:i/>
          <w:sz w:val="24"/>
          <w:szCs w:val="24"/>
        </w:rPr>
        <w:t>The</w:t>
      </w:r>
      <w:proofErr w:type="gramEnd"/>
      <w:r>
        <w:rPr>
          <w:i/>
          <w:sz w:val="24"/>
          <w:szCs w:val="24"/>
        </w:rPr>
        <w:t xml:space="preserve"> Downing Street Years</w:t>
      </w:r>
      <w:r>
        <w:rPr>
          <w:sz w:val="24"/>
          <w:szCs w:val="24"/>
        </w:rPr>
        <w:t>, Thatcher further articulated what she terms ‘the “German problem”’.</w:t>
      </w:r>
      <w:r>
        <w:rPr>
          <w:rStyle w:val="FootnoteReference"/>
          <w:sz w:val="24"/>
          <w:szCs w:val="24"/>
        </w:rPr>
        <w:footnoteReference w:id="37"/>
      </w:r>
      <w:r w:rsidR="00220144">
        <w:rPr>
          <w:sz w:val="24"/>
          <w:szCs w:val="24"/>
        </w:rPr>
        <w:t xml:space="preserve"> Here, while quick to state that she did not believe in collective guilt, she stated that she did believe in ‘national character’. She claimed that the German national character was to veer ‘unpredictably between aggression and self-doubt’, suggesting that this was rooted in Germany’s nineteenth</w:t>
      </w:r>
      <w:r w:rsidR="00160FD2">
        <w:rPr>
          <w:sz w:val="24"/>
          <w:szCs w:val="24"/>
        </w:rPr>
        <w:t>-</w:t>
      </w:r>
      <w:r w:rsidR="00220144">
        <w:rPr>
          <w:sz w:val="24"/>
          <w:szCs w:val="24"/>
        </w:rPr>
        <w:t>century unification</w:t>
      </w:r>
      <w:r w:rsidR="00615D12">
        <w:rPr>
          <w:sz w:val="24"/>
          <w:szCs w:val="24"/>
        </w:rPr>
        <w:t>, making it a late entrant as a European power.</w:t>
      </w:r>
      <w:r w:rsidR="004825D0">
        <w:rPr>
          <w:sz w:val="24"/>
          <w:szCs w:val="24"/>
        </w:rPr>
        <w:t xml:space="preserve"> She suggested that German expansionism now manifested as economic growth, and that a Germany locked into a federal Europe would </w:t>
      </w:r>
      <w:proofErr w:type="gramStart"/>
      <w:r w:rsidR="004825D0">
        <w:rPr>
          <w:sz w:val="24"/>
          <w:szCs w:val="24"/>
        </w:rPr>
        <w:t>in actuality only</w:t>
      </w:r>
      <w:proofErr w:type="gramEnd"/>
      <w:r w:rsidR="004825D0">
        <w:rPr>
          <w:sz w:val="24"/>
          <w:szCs w:val="24"/>
        </w:rPr>
        <w:t xml:space="preserve"> dominate it.</w:t>
      </w:r>
    </w:p>
    <w:p w14:paraId="2343CB43" w14:textId="77777777" w:rsidR="00300093" w:rsidRDefault="000A14CB" w:rsidP="00300093">
      <w:pPr>
        <w:spacing w:line="360" w:lineRule="auto"/>
        <w:ind w:firstLine="720"/>
        <w:jc w:val="both"/>
        <w:rPr>
          <w:sz w:val="24"/>
          <w:szCs w:val="24"/>
        </w:rPr>
      </w:pPr>
      <w:r>
        <w:rPr>
          <w:sz w:val="24"/>
          <w:szCs w:val="24"/>
        </w:rPr>
        <w:t xml:space="preserve">It </w:t>
      </w:r>
      <w:r w:rsidR="00334C0F">
        <w:rPr>
          <w:sz w:val="24"/>
          <w:szCs w:val="24"/>
        </w:rPr>
        <w:t>was Germany’s twentieth</w:t>
      </w:r>
      <w:r w:rsidR="00160FD2">
        <w:rPr>
          <w:sz w:val="24"/>
          <w:szCs w:val="24"/>
        </w:rPr>
        <w:t>-</w:t>
      </w:r>
      <w:r w:rsidR="00334C0F">
        <w:rPr>
          <w:sz w:val="24"/>
          <w:szCs w:val="24"/>
        </w:rPr>
        <w:t xml:space="preserve">century unification that </w:t>
      </w:r>
      <w:r>
        <w:rPr>
          <w:sz w:val="24"/>
          <w:szCs w:val="24"/>
        </w:rPr>
        <w:t xml:space="preserve">would soon throw </w:t>
      </w:r>
      <w:r w:rsidRPr="000A14CB">
        <w:rPr>
          <w:sz w:val="24"/>
          <w:szCs w:val="24"/>
        </w:rPr>
        <w:t xml:space="preserve">Thatcher’s reflexive suspicion of the Germany and its people would </w:t>
      </w:r>
      <w:r>
        <w:rPr>
          <w:sz w:val="24"/>
          <w:szCs w:val="24"/>
        </w:rPr>
        <w:t>into much starker relief</w:t>
      </w:r>
      <w:r w:rsidR="00160FD2">
        <w:rPr>
          <w:sz w:val="24"/>
          <w:szCs w:val="24"/>
        </w:rPr>
        <w:t>.</w:t>
      </w:r>
      <w:r>
        <w:rPr>
          <w:rStyle w:val="FootnoteReference"/>
          <w:sz w:val="24"/>
          <w:szCs w:val="24"/>
        </w:rPr>
        <w:footnoteReference w:id="38"/>
      </w:r>
      <w:r w:rsidR="00F352F2">
        <w:rPr>
          <w:sz w:val="24"/>
          <w:szCs w:val="24"/>
        </w:rPr>
        <w:t xml:space="preserve"> </w:t>
      </w:r>
      <w:r w:rsidR="00160FD2">
        <w:rPr>
          <w:sz w:val="24"/>
          <w:szCs w:val="24"/>
        </w:rPr>
        <w:t>T</w:t>
      </w:r>
      <w:r w:rsidR="00F352F2">
        <w:rPr>
          <w:sz w:val="24"/>
          <w:szCs w:val="24"/>
        </w:rPr>
        <w:t xml:space="preserve">he leak </w:t>
      </w:r>
      <w:r w:rsidR="00F352F2">
        <w:rPr>
          <w:sz w:val="24"/>
          <w:szCs w:val="24"/>
        </w:rPr>
        <w:lastRenderedPageBreak/>
        <w:t>of the minutes from the Chequers seminar on Germany</w:t>
      </w:r>
      <w:r w:rsidR="007D2833">
        <w:rPr>
          <w:sz w:val="24"/>
          <w:szCs w:val="24"/>
        </w:rPr>
        <w:t xml:space="preserve">, at which Thatcher gathered historians to propound on Germany’s wartime past as a guide to its future, </w:t>
      </w:r>
      <w:r w:rsidR="00160FD2">
        <w:rPr>
          <w:sz w:val="24"/>
          <w:szCs w:val="24"/>
        </w:rPr>
        <w:t>became one contentious issue;</w:t>
      </w:r>
      <w:r w:rsidR="00F352F2">
        <w:rPr>
          <w:rStyle w:val="FootnoteReference"/>
          <w:sz w:val="24"/>
          <w:szCs w:val="24"/>
        </w:rPr>
        <w:footnoteReference w:id="39"/>
      </w:r>
      <w:r w:rsidR="00160FD2">
        <w:rPr>
          <w:sz w:val="24"/>
          <w:szCs w:val="24"/>
        </w:rPr>
        <w:t xml:space="preserve"> indeed, Wallace has pointed to this seminar a ‘turning point’ for the Conservative Party’s attitude towards Europe</w:t>
      </w:r>
      <w:r w:rsidR="00175F05">
        <w:rPr>
          <w:sz w:val="24"/>
          <w:szCs w:val="24"/>
        </w:rPr>
        <w:t>, suggesting that it was from this that the Eurosceptic dislike of Europe began to focus on Germany in particular.</w:t>
      </w:r>
      <w:r w:rsidR="00175F05">
        <w:rPr>
          <w:rStyle w:val="FootnoteReference"/>
          <w:sz w:val="24"/>
          <w:szCs w:val="24"/>
        </w:rPr>
        <w:footnoteReference w:id="40"/>
      </w:r>
      <w:r w:rsidR="00300093">
        <w:rPr>
          <w:sz w:val="24"/>
          <w:szCs w:val="24"/>
        </w:rPr>
        <w:t xml:space="preserve"> </w:t>
      </w:r>
    </w:p>
    <w:p w14:paraId="6A253DED" w14:textId="77777777" w:rsidR="00300093" w:rsidRDefault="00300093" w:rsidP="00125B20">
      <w:pPr>
        <w:spacing w:line="360" w:lineRule="auto"/>
        <w:jc w:val="both"/>
        <w:rPr>
          <w:sz w:val="24"/>
          <w:szCs w:val="24"/>
        </w:rPr>
      </w:pPr>
    </w:p>
    <w:p w14:paraId="190757AF" w14:textId="5EC41A9B" w:rsidR="00DB10B0" w:rsidRPr="005B0315" w:rsidRDefault="001E1542" w:rsidP="00125B20">
      <w:pPr>
        <w:spacing w:line="360" w:lineRule="auto"/>
        <w:jc w:val="both"/>
        <w:rPr>
          <w:b/>
          <w:sz w:val="24"/>
          <w:szCs w:val="24"/>
        </w:rPr>
      </w:pPr>
      <w:r>
        <w:rPr>
          <w:b/>
          <w:sz w:val="24"/>
          <w:szCs w:val="24"/>
        </w:rPr>
        <w:t>Her Turn, Part Two: ‘No. No. No. No.’</w:t>
      </w:r>
    </w:p>
    <w:p w14:paraId="09C98D2C" w14:textId="490C0321" w:rsidR="00DB10B0" w:rsidRDefault="00DB10B0" w:rsidP="00125B20">
      <w:pPr>
        <w:spacing w:line="360" w:lineRule="auto"/>
        <w:jc w:val="both"/>
        <w:rPr>
          <w:sz w:val="24"/>
          <w:szCs w:val="24"/>
        </w:rPr>
      </w:pPr>
      <w:r>
        <w:rPr>
          <w:sz w:val="24"/>
          <w:szCs w:val="24"/>
        </w:rPr>
        <w:t>In October of 1990, Thatcher made a statement to the House of Commons following the Rome European Council</w:t>
      </w:r>
      <w:r w:rsidR="00B712C2">
        <w:rPr>
          <w:sz w:val="24"/>
          <w:szCs w:val="24"/>
        </w:rPr>
        <w:t>.</w:t>
      </w:r>
      <w:r w:rsidR="000373C9">
        <w:rPr>
          <w:rStyle w:val="FootnoteReference"/>
          <w:sz w:val="24"/>
          <w:szCs w:val="24"/>
        </w:rPr>
        <w:footnoteReference w:id="41"/>
      </w:r>
      <w:r w:rsidR="00B712C2">
        <w:rPr>
          <w:sz w:val="24"/>
          <w:szCs w:val="24"/>
        </w:rPr>
        <w:t xml:space="preserve"> In it, she talked of the resistance her government was offering to the creation of a single European currency</w:t>
      </w:r>
      <w:r w:rsidR="00B65025">
        <w:rPr>
          <w:sz w:val="24"/>
          <w:szCs w:val="24"/>
        </w:rPr>
        <w:t>: a</w:t>
      </w:r>
      <w:r w:rsidR="00B712C2">
        <w:rPr>
          <w:sz w:val="24"/>
          <w:szCs w:val="24"/>
        </w:rPr>
        <w:t xml:space="preserve">t the Council, Britain had proposed instead the creation of what she terms a ‘hard ecu’. This would be a currency held in common among the Community and backed by a monetary fund within the Community, but not replacing existing currencies: a ‘parallel currency, not a single currency’. </w:t>
      </w:r>
      <w:r w:rsidR="00B65025">
        <w:rPr>
          <w:sz w:val="24"/>
          <w:szCs w:val="24"/>
        </w:rPr>
        <w:t>It</w:t>
      </w:r>
      <w:r w:rsidR="00B712C2">
        <w:rPr>
          <w:sz w:val="24"/>
          <w:szCs w:val="24"/>
        </w:rPr>
        <w:t xml:space="preserve"> might, if it came to be widely used, develop into a single currency over time. But, importantly, sterling would remain Britain’s national currency ‘unless a decision to abolish it were freely taken by future generations of Parliament and people’.</w:t>
      </w:r>
    </w:p>
    <w:p w14:paraId="3E9C9FE1" w14:textId="28E21DAA" w:rsidR="00246453" w:rsidRDefault="00246453" w:rsidP="003D2D6A">
      <w:pPr>
        <w:spacing w:line="360" w:lineRule="auto"/>
        <w:ind w:firstLine="720"/>
        <w:jc w:val="both"/>
        <w:rPr>
          <w:sz w:val="24"/>
          <w:szCs w:val="24"/>
        </w:rPr>
      </w:pPr>
      <w:r>
        <w:rPr>
          <w:sz w:val="24"/>
          <w:szCs w:val="24"/>
        </w:rPr>
        <w:t xml:space="preserve">She </w:t>
      </w:r>
      <w:r w:rsidR="00355788">
        <w:rPr>
          <w:sz w:val="24"/>
          <w:szCs w:val="24"/>
        </w:rPr>
        <w:t xml:space="preserve">began to wrap up </w:t>
      </w:r>
      <w:r>
        <w:rPr>
          <w:sz w:val="24"/>
          <w:szCs w:val="24"/>
        </w:rPr>
        <w:t>her prepared statement by</w:t>
      </w:r>
      <w:r w:rsidR="00355788">
        <w:rPr>
          <w:sz w:val="24"/>
          <w:szCs w:val="24"/>
        </w:rPr>
        <w:t xml:space="preserve"> a</w:t>
      </w:r>
      <w:r w:rsidR="00595036">
        <w:rPr>
          <w:sz w:val="24"/>
          <w:szCs w:val="24"/>
        </w:rPr>
        <w:t xml:space="preserve">gain attacking </w:t>
      </w:r>
      <w:r w:rsidR="00C91E13">
        <w:rPr>
          <w:sz w:val="24"/>
          <w:szCs w:val="24"/>
        </w:rPr>
        <w:t>what she sees as the difficulty of the Community to fulfil immediate objectives because it is busy discussing ‘longer-term concepts’</w:t>
      </w:r>
      <w:r w:rsidR="00C91E13" w:rsidRPr="002C7411">
        <w:rPr>
          <w:sz w:val="24"/>
          <w:szCs w:val="24"/>
        </w:rPr>
        <w:t>—</w:t>
      </w:r>
      <w:r w:rsidR="00C91E13">
        <w:rPr>
          <w:sz w:val="24"/>
          <w:szCs w:val="24"/>
        </w:rPr>
        <w:t>the familiar criticism we have seen in 1984 and 1988;</w:t>
      </w:r>
      <w:r w:rsidR="00C91E13">
        <w:rPr>
          <w:rStyle w:val="FootnoteReference"/>
          <w:sz w:val="24"/>
          <w:szCs w:val="24"/>
        </w:rPr>
        <w:footnoteReference w:id="42"/>
      </w:r>
      <w:r w:rsidR="00C91E13">
        <w:rPr>
          <w:sz w:val="24"/>
          <w:szCs w:val="24"/>
        </w:rPr>
        <w:t xml:space="preserve"> she further suggested </w:t>
      </w:r>
      <w:r>
        <w:rPr>
          <w:sz w:val="24"/>
          <w:szCs w:val="24"/>
        </w:rPr>
        <w:t>that ‘no one should underestimate the extent to which national interests prevail among those who most proclaim their Community credentials’</w:t>
      </w:r>
      <w:r w:rsidR="00B65025" w:rsidRPr="002C7411">
        <w:rPr>
          <w:sz w:val="24"/>
          <w:szCs w:val="24"/>
        </w:rPr>
        <w:t>—</w:t>
      </w:r>
      <w:r w:rsidR="00B65025">
        <w:rPr>
          <w:sz w:val="24"/>
          <w:szCs w:val="24"/>
        </w:rPr>
        <w:t xml:space="preserve">a sidelong attack on the notion of a European Community acting in shared interest, </w:t>
      </w:r>
      <w:r w:rsidR="00C91E13">
        <w:rPr>
          <w:sz w:val="24"/>
          <w:szCs w:val="24"/>
        </w:rPr>
        <w:t xml:space="preserve">which she criticises as </w:t>
      </w:r>
      <w:r w:rsidR="00423666">
        <w:rPr>
          <w:sz w:val="24"/>
          <w:szCs w:val="24"/>
        </w:rPr>
        <w:t xml:space="preserve">mere </w:t>
      </w:r>
      <w:r w:rsidR="00C91E13">
        <w:rPr>
          <w:sz w:val="24"/>
          <w:szCs w:val="24"/>
        </w:rPr>
        <w:t>‘generalities’</w:t>
      </w:r>
      <w:r w:rsidR="00355788">
        <w:rPr>
          <w:sz w:val="24"/>
          <w:szCs w:val="24"/>
        </w:rPr>
        <w:t>.</w:t>
      </w:r>
      <w:r w:rsidR="00355788" w:rsidRPr="00355788">
        <w:rPr>
          <w:rStyle w:val="FootnoteReference"/>
          <w:sz w:val="24"/>
          <w:szCs w:val="24"/>
        </w:rPr>
        <w:t xml:space="preserve"> </w:t>
      </w:r>
      <w:r w:rsidR="00355788">
        <w:rPr>
          <w:rStyle w:val="FootnoteReference"/>
          <w:sz w:val="24"/>
          <w:szCs w:val="24"/>
        </w:rPr>
        <w:footnoteReference w:id="43"/>
      </w:r>
      <w:r w:rsidR="00355788">
        <w:rPr>
          <w:sz w:val="24"/>
          <w:szCs w:val="24"/>
        </w:rPr>
        <w:t xml:space="preserve"> Thatcher then fixed on a more conciliatory tone, stating that </w:t>
      </w:r>
      <w:r>
        <w:rPr>
          <w:sz w:val="24"/>
          <w:szCs w:val="24"/>
        </w:rPr>
        <w:t xml:space="preserve">‘Britain intends to be part of the further political, economic and monetary development of the European Community’. While Britain would accept its existing ‘commitments under treaties’ made with </w:t>
      </w:r>
      <w:r>
        <w:rPr>
          <w:sz w:val="24"/>
          <w:szCs w:val="24"/>
        </w:rPr>
        <w:lastRenderedPageBreak/>
        <w:t>the Community, and increase its co-operation with the other countries, Britain was ‘determined to retain ou</w:t>
      </w:r>
      <w:r w:rsidR="00C91E13">
        <w:rPr>
          <w:sz w:val="24"/>
          <w:szCs w:val="24"/>
        </w:rPr>
        <w:t xml:space="preserve">r </w:t>
      </w:r>
      <w:r>
        <w:rPr>
          <w:sz w:val="24"/>
          <w:szCs w:val="24"/>
        </w:rPr>
        <w:t>fundamental ability to govern ourselves through Parliament’.</w:t>
      </w:r>
    </w:p>
    <w:p w14:paraId="001C167F" w14:textId="7C83DD80" w:rsidR="00246453" w:rsidRDefault="00246453" w:rsidP="003D2D6A">
      <w:pPr>
        <w:spacing w:line="360" w:lineRule="auto"/>
        <w:ind w:firstLine="720"/>
        <w:jc w:val="both"/>
        <w:rPr>
          <w:sz w:val="24"/>
          <w:szCs w:val="24"/>
        </w:rPr>
      </w:pPr>
      <w:r>
        <w:rPr>
          <w:sz w:val="24"/>
          <w:szCs w:val="24"/>
        </w:rPr>
        <w:t xml:space="preserve">After being criticised by Labour leader Neil Kinnock in </w:t>
      </w:r>
      <w:r w:rsidR="00355788">
        <w:rPr>
          <w:sz w:val="24"/>
          <w:szCs w:val="24"/>
        </w:rPr>
        <w:t xml:space="preserve">his </w:t>
      </w:r>
      <w:r>
        <w:rPr>
          <w:sz w:val="24"/>
          <w:szCs w:val="24"/>
        </w:rPr>
        <w:t>response</w:t>
      </w:r>
      <w:r w:rsidR="00C54A30">
        <w:rPr>
          <w:sz w:val="24"/>
          <w:szCs w:val="24"/>
        </w:rPr>
        <w:t xml:space="preserve">, </w:t>
      </w:r>
      <w:r w:rsidR="00355788">
        <w:rPr>
          <w:sz w:val="24"/>
          <w:szCs w:val="24"/>
        </w:rPr>
        <w:t>Thatcher</w:t>
      </w:r>
      <w:r w:rsidR="00C54A30">
        <w:rPr>
          <w:sz w:val="24"/>
          <w:szCs w:val="24"/>
        </w:rPr>
        <w:t xml:space="preserve"> </w:t>
      </w:r>
      <w:r w:rsidR="00355788">
        <w:rPr>
          <w:sz w:val="24"/>
          <w:szCs w:val="24"/>
        </w:rPr>
        <w:t xml:space="preserve">struck instead a much angrier tone: she </w:t>
      </w:r>
      <w:r w:rsidR="00C54A30">
        <w:rPr>
          <w:sz w:val="24"/>
          <w:szCs w:val="24"/>
        </w:rPr>
        <w:t>railed against what she saw as the creep of Community powers, suggesting that it would ‘denude’ the UK Parliament</w:t>
      </w:r>
      <w:r w:rsidR="00355788">
        <w:rPr>
          <w:sz w:val="24"/>
          <w:szCs w:val="24"/>
        </w:rPr>
        <w:t xml:space="preserve"> and scorned</w:t>
      </w:r>
      <w:r w:rsidR="006D0F13">
        <w:rPr>
          <w:sz w:val="24"/>
          <w:szCs w:val="24"/>
        </w:rPr>
        <w:t xml:space="preserve"> the ‘non-elected body’ that was the European Commission. </w:t>
      </w:r>
      <w:r w:rsidR="00355788">
        <w:rPr>
          <w:sz w:val="24"/>
          <w:szCs w:val="24"/>
        </w:rPr>
        <w:t>Mentioning</w:t>
      </w:r>
      <w:r w:rsidR="006D0F13">
        <w:rPr>
          <w:sz w:val="24"/>
          <w:szCs w:val="24"/>
        </w:rPr>
        <w:t xml:space="preserve"> that </w:t>
      </w:r>
      <w:proofErr w:type="spellStart"/>
      <w:r w:rsidR="006D0F13">
        <w:rPr>
          <w:sz w:val="24"/>
          <w:szCs w:val="24"/>
        </w:rPr>
        <w:t>Delors</w:t>
      </w:r>
      <w:proofErr w:type="spellEnd"/>
      <w:r w:rsidR="006D0F13">
        <w:rPr>
          <w:sz w:val="24"/>
          <w:szCs w:val="24"/>
        </w:rPr>
        <w:t xml:space="preserve"> had recently claimed ‘that he wanted the European Parliament to be the democratic body of the Community, he wanted the Commission to be the Executive and he wanted the Council of Ministers to be the Senate’</w:t>
      </w:r>
      <w:r w:rsidR="00355788">
        <w:rPr>
          <w:sz w:val="24"/>
          <w:szCs w:val="24"/>
        </w:rPr>
        <w:t>, she</w:t>
      </w:r>
      <w:r w:rsidR="006D0F13">
        <w:rPr>
          <w:sz w:val="24"/>
          <w:szCs w:val="24"/>
        </w:rPr>
        <w:t xml:space="preserve"> famously end</w:t>
      </w:r>
      <w:r w:rsidR="0046500C">
        <w:rPr>
          <w:sz w:val="24"/>
          <w:szCs w:val="24"/>
        </w:rPr>
        <w:t>ed</w:t>
      </w:r>
      <w:r w:rsidR="006D0F13">
        <w:rPr>
          <w:sz w:val="24"/>
          <w:szCs w:val="24"/>
        </w:rPr>
        <w:t xml:space="preserve"> her outburst with a flat rejection: ‘No. No. No. No.’</w:t>
      </w:r>
    </w:p>
    <w:p w14:paraId="6203E9EC" w14:textId="0648C3A6" w:rsidR="00996169" w:rsidRDefault="0046500C" w:rsidP="003D2D6A">
      <w:pPr>
        <w:spacing w:line="360" w:lineRule="auto"/>
        <w:ind w:firstLine="720"/>
        <w:jc w:val="both"/>
        <w:rPr>
          <w:sz w:val="24"/>
          <w:szCs w:val="24"/>
        </w:rPr>
      </w:pPr>
      <w:r>
        <w:rPr>
          <w:sz w:val="24"/>
          <w:szCs w:val="24"/>
        </w:rPr>
        <w:t>Responding to later questions, she described economic and monetary union as ‘the back door to a federal Europe, which we totally and utterly reject’</w:t>
      </w:r>
      <w:r>
        <w:rPr>
          <w:sz w:val="24"/>
          <w:szCs w:val="24"/>
        </w:rPr>
        <w:t>;</w:t>
      </w:r>
      <w:r>
        <w:rPr>
          <w:sz w:val="24"/>
          <w:szCs w:val="24"/>
        </w:rPr>
        <w:t xml:space="preserve"> the pound sterling </w:t>
      </w:r>
      <w:r>
        <w:rPr>
          <w:sz w:val="24"/>
          <w:szCs w:val="24"/>
        </w:rPr>
        <w:t xml:space="preserve">was twice referred to </w:t>
      </w:r>
      <w:r>
        <w:rPr>
          <w:sz w:val="24"/>
          <w:szCs w:val="24"/>
        </w:rPr>
        <w:t>as an ‘expression of sovereignty’, even ‘the greatest expression of sovereignty’.</w:t>
      </w:r>
      <w:r>
        <w:rPr>
          <w:rStyle w:val="FootnoteReference"/>
          <w:sz w:val="24"/>
          <w:szCs w:val="24"/>
        </w:rPr>
        <w:footnoteReference w:id="44"/>
      </w:r>
      <w:r>
        <w:rPr>
          <w:sz w:val="24"/>
          <w:szCs w:val="24"/>
        </w:rPr>
        <w:t xml:space="preserve"> </w:t>
      </w:r>
      <w:r>
        <w:rPr>
          <w:sz w:val="24"/>
          <w:szCs w:val="24"/>
        </w:rPr>
        <w:t>Instead</w:t>
      </w:r>
      <w:r>
        <w:rPr>
          <w:sz w:val="24"/>
          <w:szCs w:val="24"/>
        </w:rPr>
        <w:t xml:space="preserve"> of ‘union’</w:t>
      </w:r>
      <w:r>
        <w:rPr>
          <w:sz w:val="24"/>
          <w:szCs w:val="24"/>
        </w:rPr>
        <w:t xml:space="preserve">, she calls for ‘greater economic and monetary co-operation’. </w:t>
      </w:r>
      <w:r>
        <w:rPr>
          <w:sz w:val="24"/>
          <w:szCs w:val="24"/>
        </w:rPr>
        <w:t xml:space="preserve">As she had repeatedly done before, </w:t>
      </w:r>
      <w:r w:rsidR="00E70092">
        <w:rPr>
          <w:sz w:val="24"/>
          <w:szCs w:val="24"/>
        </w:rPr>
        <w:t xml:space="preserve">Thatcher </w:t>
      </w:r>
      <w:r>
        <w:rPr>
          <w:sz w:val="24"/>
          <w:szCs w:val="24"/>
        </w:rPr>
        <w:t xml:space="preserve">highlighted </w:t>
      </w:r>
      <w:r>
        <w:rPr>
          <w:sz w:val="24"/>
          <w:szCs w:val="24"/>
        </w:rPr>
        <w:t>Europe’s different history to the US, suggesting that ‘[</w:t>
      </w:r>
      <w:proofErr w:type="spellStart"/>
      <w:r>
        <w:rPr>
          <w:sz w:val="24"/>
          <w:szCs w:val="24"/>
        </w:rPr>
        <w:t>i</w:t>
      </w:r>
      <w:proofErr w:type="spellEnd"/>
      <w:r>
        <w:rPr>
          <w:sz w:val="24"/>
          <w:szCs w:val="24"/>
        </w:rPr>
        <w:t>]t is one thing to have a United States of America from a newly settled country, but it is a different thing for ancient nation states, each with its own traditions’</w:t>
      </w:r>
      <w:r>
        <w:rPr>
          <w:sz w:val="24"/>
          <w:szCs w:val="24"/>
        </w:rPr>
        <w:t>;</w:t>
      </w:r>
      <w:r>
        <w:rPr>
          <w:rStyle w:val="FootnoteReference"/>
          <w:sz w:val="24"/>
          <w:szCs w:val="24"/>
        </w:rPr>
        <w:footnoteReference w:id="45"/>
      </w:r>
      <w:r>
        <w:rPr>
          <w:sz w:val="24"/>
          <w:szCs w:val="24"/>
        </w:rPr>
        <w:t xml:space="preserve"> a federal Europe was simply inappropriate.</w:t>
      </w:r>
    </w:p>
    <w:p w14:paraId="30867C04" w14:textId="77777777" w:rsidR="00300093" w:rsidRDefault="00300093" w:rsidP="003D2D6A">
      <w:pPr>
        <w:spacing w:line="360" w:lineRule="auto"/>
        <w:jc w:val="both"/>
        <w:rPr>
          <w:sz w:val="24"/>
          <w:szCs w:val="24"/>
        </w:rPr>
      </w:pPr>
    </w:p>
    <w:p w14:paraId="54C834C4" w14:textId="7561B861" w:rsidR="005B0315" w:rsidRDefault="005B0315" w:rsidP="003D2D6A">
      <w:pPr>
        <w:spacing w:line="360" w:lineRule="auto"/>
        <w:jc w:val="both"/>
        <w:rPr>
          <w:b/>
          <w:sz w:val="24"/>
          <w:szCs w:val="24"/>
        </w:rPr>
      </w:pPr>
      <w:r>
        <w:rPr>
          <w:b/>
          <w:sz w:val="24"/>
          <w:szCs w:val="24"/>
        </w:rPr>
        <w:t>A Vision of Europe?</w:t>
      </w:r>
    </w:p>
    <w:p w14:paraId="413B568B" w14:textId="1B6194BE" w:rsidR="00651B69" w:rsidRDefault="00D7363F" w:rsidP="003D2D6A">
      <w:pPr>
        <w:spacing w:line="360" w:lineRule="auto"/>
        <w:jc w:val="both"/>
        <w:rPr>
          <w:sz w:val="24"/>
          <w:szCs w:val="24"/>
        </w:rPr>
      </w:pPr>
      <w:r>
        <w:rPr>
          <w:sz w:val="24"/>
          <w:szCs w:val="24"/>
        </w:rPr>
        <w:t xml:space="preserve">The words of Thatcher from the referendum campaign in 1975 seem to bear little relation to anything she said afterwards. </w:t>
      </w:r>
      <w:r w:rsidR="00B26DFA">
        <w:rPr>
          <w:sz w:val="24"/>
          <w:szCs w:val="24"/>
        </w:rPr>
        <w:t>At no other point does she offer a straightforwardly positive of the Community, and she certainly does not suggest elsewhere that the Community in any way defines Europe</w:t>
      </w:r>
      <w:r w:rsidR="00BE4253" w:rsidRPr="002C7411">
        <w:rPr>
          <w:sz w:val="24"/>
          <w:szCs w:val="24"/>
        </w:rPr>
        <w:t>—</w:t>
      </w:r>
      <w:r w:rsidR="00BE4253">
        <w:rPr>
          <w:sz w:val="24"/>
          <w:szCs w:val="24"/>
        </w:rPr>
        <w:t>she in fact consistently rails against the bureaucracy</w:t>
      </w:r>
      <w:r w:rsidR="00A54D06">
        <w:rPr>
          <w:sz w:val="24"/>
          <w:szCs w:val="24"/>
        </w:rPr>
        <w:t xml:space="preserve"> of its institutions, for slowing any practical progress on immediate issues</w:t>
      </w:r>
      <w:r w:rsidR="003153B6">
        <w:rPr>
          <w:sz w:val="24"/>
          <w:szCs w:val="24"/>
        </w:rPr>
        <w:t>, such as breaking down barriers to trade</w:t>
      </w:r>
      <w:r w:rsidR="003D2D6A">
        <w:rPr>
          <w:sz w:val="24"/>
          <w:szCs w:val="24"/>
        </w:rPr>
        <w:t xml:space="preserve"> or reaching agreement of defence.</w:t>
      </w:r>
    </w:p>
    <w:p w14:paraId="06B529DD" w14:textId="50E3E7C4" w:rsidR="003153B6" w:rsidRDefault="00A54D06" w:rsidP="003D2D6A">
      <w:pPr>
        <w:spacing w:line="360" w:lineRule="auto"/>
        <w:ind w:firstLine="720"/>
        <w:jc w:val="both"/>
        <w:rPr>
          <w:sz w:val="24"/>
          <w:szCs w:val="24"/>
        </w:rPr>
      </w:pPr>
      <w:r>
        <w:rPr>
          <w:sz w:val="24"/>
          <w:szCs w:val="24"/>
        </w:rPr>
        <w:t xml:space="preserve">The sense of a British ‘us’ versus a European ‘them’ that emerges from her approach to the budget negotiations appears to </w:t>
      </w:r>
      <w:r w:rsidR="009E393E">
        <w:rPr>
          <w:sz w:val="24"/>
          <w:szCs w:val="24"/>
        </w:rPr>
        <w:t xml:space="preserve">have </w:t>
      </w:r>
      <w:r>
        <w:rPr>
          <w:sz w:val="24"/>
          <w:szCs w:val="24"/>
        </w:rPr>
        <w:t>continued</w:t>
      </w:r>
      <w:r w:rsidR="00466425">
        <w:rPr>
          <w:sz w:val="24"/>
          <w:szCs w:val="24"/>
        </w:rPr>
        <w:t>.</w:t>
      </w:r>
      <w:r w:rsidR="003153B6">
        <w:rPr>
          <w:sz w:val="24"/>
          <w:szCs w:val="24"/>
        </w:rPr>
        <w:t xml:space="preserve"> In a sense, this is linked to the issue of</w:t>
      </w:r>
      <w:r>
        <w:rPr>
          <w:sz w:val="24"/>
          <w:szCs w:val="24"/>
        </w:rPr>
        <w:t xml:space="preserve"> </w:t>
      </w:r>
      <w:r w:rsidR="003153B6">
        <w:rPr>
          <w:sz w:val="24"/>
          <w:szCs w:val="24"/>
        </w:rPr>
        <w:lastRenderedPageBreak/>
        <w:t>s</w:t>
      </w:r>
      <w:r w:rsidR="003153B6">
        <w:rPr>
          <w:sz w:val="24"/>
          <w:szCs w:val="24"/>
        </w:rPr>
        <w:t>overeignty</w:t>
      </w:r>
      <w:r w:rsidR="003153B6" w:rsidRPr="002C7411">
        <w:rPr>
          <w:sz w:val="24"/>
          <w:szCs w:val="24"/>
        </w:rPr>
        <w:t>—</w:t>
      </w:r>
      <w:r w:rsidR="003153B6">
        <w:rPr>
          <w:sz w:val="24"/>
          <w:szCs w:val="24"/>
        </w:rPr>
        <w:t xml:space="preserve">a key recurring issue for Thatcher. She believes that the people in Europe have too strong a sense of their own national identities for a strong ‘European’ identity to develop. </w:t>
      </w:r>
      <w:r w:rsidR="003153B6">
        <w:rPr>
          <w:sz w:val="24"/>
          <w:szCs w:val="24"/>
        </w:rPr>
        <w:t>It also seems rooted in her own</w:t>
      </w:r>
      <w:r w:rsidR="003153B6">
        <w:rPr>
          <w:sz w:val="24"/>
          <w:szCs w:val="24"/>
        </w:rPr>
        <w:t xml:space="preserve"> sense of patriotism</w:t>
      </w:r>
      <w:r w:rsidR="003153B6">
        <w:rPr>
          <w:sz w:val="24"/>
          <w:szCs w:val="24"/>
        </w:rPr>
        <w:t>,</w:t>
      </w:r>
      <w:r w:rsidR="003153B6">
        <w:rPr>
          <w:sz w:val="24"/>
          <w:szCs w:val="24"/>
        </w:rPr>
        <w:t xml:space="preserve"> becomes clearer as time goes on</w:t>
      </w:r>
      <w:r w:rsidR="003153B6" w:rsidRPr="002C7411">
        <w:rPr>
          <w:sz w:val="24"/>
          <w:szCs w:val="24"/>
        </w:rPr>
        <w:t>—</w:t>
      </w:r>
      <w:r w:rsidR="003153B6">
        <w:rPr>
          <w:sz w:val="24"/>
          <w:szCs w:val="24"/>
        </w:rPr>
        <w:t>particularly from the Bruges speech onward</w:t>
      </w:r>
      <w:r w:rsidR="003153B6">
        <w:rPr>
          <w:sz w:val="24"/>
          <w:szCs w:val="24"/>
        </w:rPr>
        <w:t>, where</w:t>
      </w:r>
      <w:r w:rsidR="003153B6">
        <w:rPr>
          <w:sz w:val="24"/>
          <w:szCs w:val="24"/>
        </w:rPr>
        <w:t xml:space="preserve"> takes pride </w:t>
      </w:r>
      <w:r w:rsidR="003153B6">
        <w:rPr>
          <w:sz w:val="24"/>
          <w:szCs w:val="24"/>
        </w:rPr>
        <w:t xml:space="preserve">in Britain’s </w:t>
      </w:r>
      <w:r w:rsidR="003153B6">
        <w:rPr>
          <w:sz w:val="24"/>
          <w:szCs w:val="24"/>
        </w:rPr>
        <w:t>‘special contribution’</w:t>
      </w:r>
      <w:r w:rsidR="003153B6">
        <w:rPr>
          <w:sz w:val="24"/>
          <w:szCs w:val="24"/>
        </w:rPr>
        <w:t xml:space="preserve"> and</w:t>
      </w:r>
      <w:r w:rsidR="003153B6">
        <w:rPr>
          <w:sz w:val="24"/>
          <w:szCs w:val="24"/>
        </w:rPr>
        <w:t xml:space="preserve"> unapologetically </w:t>
      </w:r>
      <w:r w:rsidR="003153B6">
        <w:rPr>
          <w:sz w:val="24"/>
          <w:szCs w:val="24"/>
        </w:rPr>
        <w:t xml:space="preserve">revels </w:t>
      </w:r>
      <w:r w:rsidR="003153B6">
        <w:rPr>
          <w:sz w:val="24"/>
          <w:szCs w:val="24"/>
        </w:rPr>
        <w:t>in Britain’s imperial past.</w:t>
      </w:r>
      <w:r w:rsidR="003153B6">
        <w:rPr>
          <w:sz w:val="24"/>
          <w:szCs w:val="24"/>
        </w:rPr>
        <w:t xml:space="preserve"> Yet the darker side of this is her inherent suspicion of Germany and the German people, becoming obsessed with old wars. As such, the ‘us’ versus ‘them’ seems entrenched in Thatcher’s prejudice.</w:t>
      </w:r>
    </w:p>
    <w:p w14:paraId="7EF26EA6" w14:textId="6359711C" w:rsidR="003153B6" w:rsidRDefault="004B5600" w:rsidP="003D2D6A">
      <w:pPr>
        <w:spacing w:line="360" w:lineRule="auto"/>
        <w:ind w:firstLine="567"/>
        <w:jc w:val="both"/>
        <w:rPr>
          <w:sz w:val="24"/>
          <w:szCs w:val="24"/>
        </w:rPr>
      </w:pPr>
      <w:r>
        <w:rPr>
          <w:sz w:val="24"/>
          <w:szCs w:val="24"/>
        </w:rPr>
        <w:t xml:space="preserve">Overall, a sense emerges from this that Thatcher had no wider ‘vision of Europe’; she did not seem to have any </w:t>
      </w:r>
      <w:proofErr w:type="gramStart"/>
      <w:r>
        <w:rPr>
          <w:sz w:val="24"/>
          <w:szCs w:val="24"/>
        </w:rPr>
        <w:t>particular strategic</w:t>
      </w:r>
      <w:proofErr w:type="gramEnd"/>
      <w:r>
        <w:rPr>
          <w:sz w:val="24"/>
          <w:szCs w:val="24"/>
        </w:rPr>
        <w:t xml:space="preserve"> goals for what form </w:t>
      </w:r>
      <w:r w:rsidR="00C06DC3">
        <w:rPr>
          <w:sz w:val="24"/>
          <w:szCs w:val="24"/>
        </w:rPr>
        <w:t>European co-operation should take. Instead, she pursued smaller immediate goals, such as resolving the budget issue or speeding up creation of a Single Market, without a great deal of consideration for what would come next</w:t>
      </w:r>
      <w:r w:rsidR="003153B6">
        <w:rPr>
          <w:sz w:val="24"/>
          <w:szCs w:val="24"/>
        </w:rPr>
        <w:t xml:space="preserve">. </w:t>
      </w:r>
      <w:r w:rsidR="003153B6">
        <w:rPr>
          <w:sz w:val="24"/>
          <w:szCs w:val="24"/>
        </w:rPr>
        <w:t>For example</w:t>
      </w:r>
      <w:r w:rsidR="00C06DC3">
        <w:rPr>
          <w:sz w:val="24"/>
          <w:szCs w:val="24"/>
        </w:rPr>
        <w:t>, she accepted the provisions of the Single European Act, then turned and railed against their effects of deepening European integration</w:t>
      </w:r>
      <w:r w:rsidR="003D2D6A" w:rsidRPr="002C7411">
        <w:rPr>
          <w:sz w:val="24"/>
          <w:szCs w:val="24"/>
        </w:rPr>
        <w:t>—</w:t>
      </w:r>
      <w:r w:rsidR="003D2D6A">
        <w:rPr>
          <w:sz w:val="24"/>
          <w:szCs w:val="24"/>
        </w:rPr>
        <w:t>extracting what she could from Europe then having to deal with the consequences later. As such, a grander vision of Europe never really took shape</w:t>
      </w:r>
      <w:bookmarkStart w:id="3" w:name="_GoBack"/>
      <w:bookmarkEnd w:id="3"/>
    </w:p>
    <w:p w14:paraId="40EB6A95" w14:textId="7E0D0C74" w:rsidR="005B0315" w:rsidRPr="00651B69" w:rsidRDefault="005B0315" w:rsidP="00125B20">
      <w:pPr>
        <w:jc w:val="both"/>
        <w:rPr>
          <w:sz w:val="24"/>
          <w:szCs w:val="24"/>
        </w:rPr>
      </w:pPr>
      <w:r w:rsidRPr="00651B69">
        <w:rPr>
          <w:sz w:val="24"/>
          <w:szCs w:val="24"/>
        </w:rPr>
        <w:br w:type="page"/>
      </w:r>
    </w:p>
    <w:p w14:paraId="77D4488D" w14:textId="77777777" w:rsidR="005B0315" w:rsidRDefault="005B0315" w:rsidP="005B0315">
      <w:pPr>
        <w:spacing w:line="360" w:lineRule="auto"/>
        <w:ind w:left="567" w:hanging="567"/>
        <w:jc w:val="center"/>
        <w:rPr>
          <w:sz w:val="28"/>
          <w:szCs w:val="28"/>
        </w:rPr>
      </w:pPr>
      <w:r w:rsidRPr="002C7B60">
        <w:rPr>
          <w:b/>
          <w:sz w:val="28"/>
          <w:szCs w:val="28"/>
        </w:rPr>
        <w:lastRenderedPageBreak/>
        <w:t>Bibliography</w:t>
      </w:r>
    </w:p>
    <w:p w14:paraId="25F033FF" w14:textId="77777777" w:rsidR="005B0315" w:rsidRPr="00125B20" w:rsidRDefault="005B0315" w:rsidP="005B0315">
      <w:pPr>
        <w:spacing w:line="360" w:lineRule="auto"/>
        <w:ind w:left="567" w:hanging="567"/>
        <w:rPr>
          <w:b/>
          <w:sz w:val="24"/>
          <w:szCs w:val="24"/>
        </w:rPr>
      </w:pPr>
      <w:r w:rsidRPr="00125B20">
        <w:rPr>
          <w:b/>
          <w:sz w:val="24"/>
          <w:szCs w:val="24"/>
        </w:rPr>
        <w:t>Primary Sources</w:t>
      </w:r>
    </w:p>
    <w:p w14:paraId="0B079156" w14:textId="22F1A96B" w:rsidR="005B0315" w:rsidRPr="00125B20" w:rsidRDefault="005B0315" w:rsidP="005B0315">
      <w:pPr>
        <w:spacing w:line="360" w:lineRule="auto"/>
        <w:ind w:left="567" w:hanging="567"/>
        <w:rPr>
          <w:sz w:val="24"/>
          <w:szCs w:val="24"/>
        </w:rPr>
      </w:pPr>
      <w:r w:rsidRPr="00125B20">
        <w:rPr>
          <w:sz w:val="24"/>
          <w:szCs w:val="24"/>
        </w:rPr>
        <w:t xml:space="preserve">Powell, </w:t>
      </w:r>
      <w:r w:rsidR="00F64AB6">
        <w:rPr>
          <w:sz w:val="24"/>
          <w:szCs w:val="24"/>
        </w:rPr>
        <w:t xml:space="preserve">C., D., </w:t>
      </w:r>
      <w:r w:rsidRPr="00125B20">
        <w:rPr>
          <w:sz w:val="24"/>
          <w:szCs w:val="24"/>
        </w:rPr>
        <w:t xml:space="preserve">‘Seminar on Germany: Summary Record’ (24 March 1990). [Online] Available: </w:t>
      </w:r>
      <w:hyperlink r:id="rId7" w:history="1">
        <w:r w:rsidRPr="00125B20">
          <w:rPr>
            <w:rStyle w:val="Hyperlink"/>
            <w:sz w:val="24"/>
            <w:szCs w:val="24"/>
          </w:rPr>
          <w:t>https://www.margaretthatcher.org/document/111047/</w:t>
        </w:r>
      </w:hyperlink>
      <w:r w:rsidRPr="00125B20">
        <w:rPr>
          <w:sz w:val="24"/>
          <w:szCs w:val="24"/>
        </w:rPr>
        <w:t xml:space="preserve"> [Accessed on 10 May 2018].</w:t>
      </w:r>
    </w:p>
    <w:p w14:paraId="3C5F3F99" w14:textId="77777777" w:rsidR="005B0315" w:rsidRPr="00125B20" w:rsidRDefault="005B0315" w:rsidP="005B0315">
      <w:pPr>
        <w:spacing w:line="360" w:lineRule="auto"/>
        <w:ind w:left="567" w:hanging="567"/>
        <w:rPr>
          <w:sz w:val="24"/>
          <w:szCs w:val="24"/>
        </w:rPr>
      </w:pPr>
      <w:r w:rsidRPr="00125B20">
        <w:rPr>
          <w:sz w:val="24"/>
          <w:szCs w:val="24"/>
        </w:rPr>
        <w:t xml:space="preserve">Thatcher, M., </w:t>
      </w:r>
      <w:r w:rsidRPr="00125B20">
        <w:rPr>
          <w:i/>
          <w:sz w:val="24"/>
          <w:szCs w:val="24"/>
        </w:rPr>
        <w:t>The Downing Street Years</w:t>
      </w:r>
      <w:r w:rsidRPr="00125B20">
        <w:rPr>
          <w:sz w:val="24"/>
          <w:szCs w:val="24"/>
        </w:rPr>
        <w:t xml:space="preserve"> (reprint) (New York: Harper Press, 2011).</w:t>
      </w:r>
    </w:p>
    <w:p w14:paraId="2D17A2A1" w14:textId="77777777" w:rsidR="005B0315" w:rsidRPr="00125B20" w:rsidRDefault="005B0315" w:rsidP="005B0315">
      <w:pPr>
        <w:spacing w:line="360" w:lineRule="auto"/>
        <w:ind w:left="567" w:hanging="567"/>
        <w:rPr>
          <w:sz w:val="24"/>
          <w:szCs w:val="24"/>
        </w:rPr>
      </w:pPr>
      <w:r w:rsidRPr="00125B20">
        <w:rPr>
          <w:sz w:val="24"/>
          <w:szCs w:val="24"/>
        </w:rPr>
        <w:t xml:space="preserve">Thatcher, M., ‘House of Commons Statement: [Rome European Council]’ (30 October 1990). [Online] Available: </w:t>
      </w:r>
      <w:hyperlink r:id="rId8" w:history="1">
        <w:r w:rsidRPr="00125B20">
          <w:rPr>
            <w:rStyle w:val="Hyperlink"/>
            <w:sz w:val="24"/>
            <w:szCs w:val="24"/>
          </w:rPr>
          <w:t>https://www.margaretthatcher.org/document/108234/</w:t>
        </w:r>
      </w:hyperlink>
      <w:r w:rsidRPr="00125B20">
        <w:rPr>
          <w:sz w:val="24"/>
          <w:szCs w:val="24"/>
        </w:rPr>
        <w:t xml:space="preserve"> [Accessed 10 May 2018].</w:t>
      </w:r>
    </w:p>
    <w:p w14:paraId="7EC6D05A" w14:textId="77777777" w:rsidR="005B0315" w:rsidRPr="00125B20" w:rsidRDefault="005B0315" w:rsidP="005B0315">
      <w:pPr>
        <w:spacing w:line="360" w:lineRule="auto"/>
        <w:ind w:left="567" w:hanging="567"/>
        <w:rPr>
          <w:sz w:val="24"/>
          <w:szCs w:val="24"/>
        </w:rPr>
      </w:pPr>
      <w:r w:rsidRPr="00125B20">
        <w:rPr>
          <w:sz w:val="24"/>
          <w:szCs w:val="24"/>
        </w:rPr>
        <w:t xml:space="preserve">Thatcher, M., </w:t>
      </w:r>
      <w:r w:rsidRPr="00125B20">
        <w:rPr>
          <w:i/>
          <w:sz w:val="24"/>
          <w:szCs w:val="24"/>
        </w:rPr>
        <w:t>The Path to Power</w:t>
      </w:r>
      <w:r w:rsidRPr="00125B20">
        <w:rPr>
          <w:sz w:val="24"/>
          <w:szCs w:val="24"/>
        </w:rPr>
        <w:t xml:space="preserve"> (reprint) (New York: Harper Press, 2011).</w:t>
      </w:r>
    </w:p>
    <w:p w14:paraId="2C34130B" w14:textId="77777777" w:rsidR="005B0315" w:rsidRPr="00125B20" w:rsidRDefault="005B0315" w:rsidP="005B0315">
      <w:pPr>
        <w:spacing w:line="360" w:lineRule="auto"/>
        <w:ind w:left="567" w:hanging="567"/>
        <w:rPr>
          <w:sz w:val="24"/>
          <w:szCs w:val="24"/>
        </w:rPr>
      </w:pPr>
      <w:r w:rsidRPr="00125B20">
        <w:rPr>
          <w:sz w:val="24"/>
          <w:szCs w:val="24"/>
        </w:rPr>
        <w:t xml:space="preserve">Thatcher, M., ‘Press Conference after Dublin European Council’ (30 November 1979). [Online] Available: </w:t>
      </w:r>
      <w:hyperlink r:id="rId9" w:history="1">
        <w:r w:rsidRPr="00125B20">
          <w:rPr>
            <w:rStyle w:val="Hyperlink"/>
            <w:sz w:val="24"/>
            <w:szCs w:val="24"/>
          </w:rPr>
          <w:t>https://www.margaretthatcher.org/document/104180/</w:t>
        </w:r>
      </w:hyperlink>
      <w:r w:rsidRPr="00125B20">
        <w:rPr>
          <w:sz w:val="24"/>
          <w:szCs w:val="24"/>
        </w:rPr>
        <w:t xml:space="preserve"> [Accessed 10 May 2018].</w:t>
      </w:r>
    </w:p>
    <w:p w14:paraId="64CB5AB2" w14:textId="77777777" w:rsidR="005B0315" w:rsidRPr="00125B20" w:rsidRDefault="005B0315" w:rsidP="005B0315">
      <w:pPr>
        <w:spacing w:line="360" w:lineRule="auto"/>
        <w:ind w:left="567" w:hanging="567"/>
        <w:rPr>
          <w:sz w:val="24"/>
          <w:szCs w:val="24"/>
        </w:rPr>
      </w:pPr>
      <w:r w:rsidRPr="00125B20">
        <w:rPr>
          <w:sz w:val="24"/>
          <w:szCs w:val="24"/>
        </w:rPr>
        <w:t xml:space="preserve">Thatcher, M., ‘Speech at Franco-British Council Dinner’ (30 November 1984). [Online] Available: </w:t>
      </w:r>
      <w:hyperlink r:id="rId10" w:history="1">
        <w:r w:rsidRPr="00125B20">
          <w:rPr>
            <w:rStyle w:val="Hyperlink"/>
            <w:sz w:val="24"/>
            <w:szCs w:val="24"/>
          </w:rPr>
          <w:t>https://www.margaretthatcher.org/document/105804/</w:t>
        </w:r>
      </w:hyperlink>
      <w:r w:rsidRPr="00125B20">
        <w:rPr>
          <w:sz w:val="24"/>
          <w:szCs w:val="24"/>
        </w:rPr>
        <w:t xml:space="preserve"> [Accessed 10 May 2018].</w:t>
      </w:r>
    </w:p>
    <w:p w14:paraId="6863465D" w14:textId="77777777" w:rsidR="005B0315" w:rsidRPr="00125B20" w:rsidRDefault="005B0315" w:rsidP="005B0315">
      <w:pPr>
        <w:spacing w:line="360" w:lineRule="auto"/>
        <w:ind w:left="567" w:hanging="567"/>
        <w:rPr>
          <w:sz w:val="24"/>
          <w:szCs w:val="24"/>
        </w:rPr>
      </w:pPr>
      <w:r w:rsidRPr="00125B20">
        <w:rPr>
          <w:sz w:val="24"/>
          <w:szCs w:val="24"/>
        </w:rPr>
        <w:t xml:space="preserve">Thatcher, M., ‘Speech to the College of Europe (“The Bruges Speech”)’ (20 September 1988). [Online] Available: </w:t>
      </w:r>
      <w:hyperlink r:id="rId11" w:history="1">
        <w:r w:rsidRPr="00125B20">
          <w:rPr>
            <w:rStyle w:val="Hyperlink"/>
            <w:sz w:val="24"/>
            <w:szCs w:val="24"/>
          </w:rPr>
          <w:t>https://www.margaretthatcher.org/document/107332/</w:t>
        </w:r>
      </w:hyperlink>
      <w:r w:rsidRPr="00125B20">
        <w:rPr>
          <w:sz w:val="24"/>
          <w:szCs w:val="24"/>
        </w:rPr>
        <w:t xml:space="preserve"> [Accessed 10 May 2018].</w:t>
      </w:r>
    </w:p>
    <w:p w14:paraId="438F469C" w14:textId="77777777" w:rsidR="005B0315" w:rsidRPr="00125B20" w:rsidRDefault="005B0315" w:rsidP="005B0315">
      <w:pPr>
        <w:spacing w:line="360" w:lineRule="auto"/>
        <w:ind w:left="567" w:hanging="567"/>
        <w:rPr>
          <w:sz w:val="24"/>
          <w:szCs w:val="24"/>
        </w:rPr>
      </w:pPr>
      <w:r w:rsidRPr="00125B20">
        <w:rPr>
          <w:sz w:val="24"/>
          <w:szCs w:val="24"/>
        </w:rPr>
        <w:t xml:space="preserve">Thatcher, M., ‘Speech to Conservative Group for Europe (opening Conservative referendum campaign’ (16 April 1975). [Online] Available: </w:t>
      </w:r>
      <w:hyperlink r:id="rId12" w:history="1">
        <w:r w:rsidRPr="00125B20">
          <w:rPr>
            <w:rStyle w:val="Hyperlink"/>
            <w:sz w:val="24"/>
            <w:szCs w:val="24"/>
          </w:rPr>
          <w:t>https://www.margaretthatcher.org/document/102675/</w:t>
        </w:r>
      </w:hyperlink>
      <w:r w:rsidRPr="00125B20">
        <w:rPr>
          <w:sz w:val="24"/>
          <w:szCs w:val="24"/>
        </w:rPr>
        <w:t xml:space="preserve"> [Accessed 10 May 2018].</w:t>
      </w:r>
    </w:p>
    <w:p w14:paraId="6A94ACEE" w14:textId="77777777" w:rsidR="005B0315" w:rsidRPr="00125B20" w:rsidRDefault="005B0315" w:rsidP="005B0315">
      <w:pPr>
        <w:spacing w:line="360" w:lineRule="auto"/>
        <w:ind w:left="567" w:hanging="567"/>
        <w:rPr>
          <w:sz w:val="24"/>
          <w:szCs w:val="24"/>
        </w:rPr>
      </w:pPr>
    </w:p>
    <w:p w14:paraId="64BB13A1" w14:textId="77777777" w:rsidR="005B0315" w:rsidRPr="00125B20" w:rsidRDefault="005B0315" w:rsidP="005B0315">
      <w:pPr>
        <w:spacing w:line="360" w:lineRule="auto"/>
        <w:ind w:left="567" w:hanging="567"/>
        <w:rPr>
          <w:sz w:val="24"/>
          <w:szCs w:val="24"/>
        </w:rPr>
      </w:pPr>
      <w:r w:rsidRPr="00125B20">
        <w:rPr>
          <w:b/>
          <w:sz w:val="24"/>
          <w:szCs w:val="24"/>
        </w:rPr>
        <w:t>Secondary Sources</w:t>
      </w:r>
    </w:p>
    <w:p w14:paraId="77ECFA46" w14:textId="77777777" w:rsidR="005B0315" w:rsidRPr="00125B20" w:rsidRDefault="005B0315" w:rsidP="005B0315">
      <w:pPr>
        <w:spacing w:line="360" w:lineRule="auto"/>
        <w:ind w:left="567" w:hanging="567"/>
        <w:rPr>
          <w:sz w:val="24"/>
          <w:szCs w:val="24"/>
        </w:rPr>
      </w:pPr>
      <w:r w:rsidRPr="00125B20">
        <w:rPr>
          <w:sz w:val="24"/>
          <w:szCs w:val="24"/>
        </w:rPr>
        <w:t xml:space="preserve">Campbell, J., </w:t>
      </w:r>
      <w:r w:rsidRPr="00125B20">
        <w:rPr>
          <w:i/>
          <w:sz w:val="24"/>
          <w:szCs w:val="24"/>
        </w:rPr>
        <w:t>The Iron Lady, Margaret Thatcher: From Grocer’s Daughter to Iron Lady</w:t>
      </w:r>
      <w:r w:rsidRPr="00125B20">
        <w:rPr>
          <w:sz w:val="24"/>
          <w:szCs w:val="24"/>
        </w:rPr>
        <w:t>, ed. D. Freeman (revised edition) (London: Vintage Books, 2011).</w:t>
      </w:r>
    </w:p>
    <w:p w14:paraId="594A5A1F" w14:textId="77777777" w:rsidR="005B0315" w:rsidRPr="00125B20" w:rsidRDefault="005B0315" w:rsidP="005B0315">
      <w:pPr>
        <w:spacing w:line="360" w:lineRule="auto"/>
        <w:ind w:left="567" w:hanging="567"/>
        <w:rPr>
          <w:sz w:val="24"/>
          <w:szCs w:val="24"/>
        </w:rPr>
      </w:pPr>
      <w:r w:rsidRPr="00125B20">
        <w:rPr>
          <w:sz w:val="24"/>
          <w:szCs w:val="24"/>
        </w:rPr>
        <w:t xml:space="preserve">Saunders, R., </w:t>
      </w:r>
      <w:r w:rsidRPr="00125B20">
        <w:rPr>
          <w:i/>
          <w:sz w:val="24"/>
          <w:szCs w:val="24"/>
        </w:rPr>
        <w:t>Yes to Europe! The 1975 Referendum and Seventies Britain</w:t>
      </w:r>
      <w:r w:rsidRPr="00125B20">
        <w:rPr>
          <w:sz w:val="24"/>
          <w:szCs w:val="24"/>
        </w:rPr>
        <w:t xml:space="preserve"> (Cambridge: Cambridge University Press, 2018).</w:t>
      </w:r>
    </w:p>
    <w:p w14:paraId="1470397F" w14:textId="15F1AB73" w:rsidR="005B0315" w:rsidRPr="00125B20" w:rsidRDefault="005B0315" w:rsidP="005B0315">
      <w:pPr>
        <w:spacing w:line="360" w:lineRule="auto"/>
        <w:ind w:left="567" w:hanging="567"/>
        <w:rPr>
          <w:sz w:val="24"/>
          <w:szCs w:val="24"/>
        </w:rPr>
      </w:pPr>
      <w:r w:rsidRPr="00125B20">
        <w:rPr>
          <w:sz w:val="24"/>
          <w:szCs w:val="24"/>
        </w:rPr>
        <w:lastRenderedPageBreak/>
        <w:t xml:space="preserve">Wallace, H., ‘At Odds with Europe’, </w:t>
      </w:r>
      <w:r w:rsidRPr="00125B20">
        <w:rPr>
          <w:i/>
          <w:sz w:val="24"/>
          <w:szCs w:val="24"/>
        </w:rPr>
        <w:t>Political Studies</w:t>
      </w:r>
      <w:r w:rsidRPr="00125B20">
        <w:rPr>
          <w:sz w:val="24"/>
          <w:szCs w:val="24"/>
        </w:rPr>
        <w:t xml:space="preserve">, vol. XLV (1997), 677-688. [Online] Available: </w:t>
      </w:r>
      <w:hyperlink r:id="rId13" w:history="1">
        <w:r w:rsidRPr="00125B20">
          <w:rPr>
            <w:rStyle w:val="Hyperlink"/>
            <w:sz w:val="24"/>
            <w:szCs w:val="24"/>
          </w:rPr>
          <w:t>https://onlinelibrary.wiley.com/doi/full/10.1111/1467-9248.00104/</w:t>
        </w:r>
      </w:hyperlink>
      <w:r w:rsidRPr="00125B20">
        <w:rPr>
          <w:sz w:val="24"/>
          <w:szCs w:val="24"/>
        </w:rPr>
        <w:t xml:space="preserve"> [Accessed 10 May 2018].</w:t>
      </w:r>
    </w:p>
    <w:p w14:paraId="253479D5" w14:textId="77777777" w:rsidR="00125B20" w:rsidRPr="00125B20" w:rsidRDefault="00125B20" w:rsidP="00125B20">
      <w:pPr>
        <w:spacing w:line="360" w:lineRule="auto"/>
        <w:ind w:left="567" w:hanging="567"/>
        <w:rPr>
          <w:sz w:val="24"/>
          <w:szCs w:val="24"/>
        </w:rPr>
      </w:pPr>
      <w:r w:rsidRPr="00125B20">
        <w:rPr>
          <w:sz w:val="24"/>
          <w:szCs w:val="24"/>
        </w:rPr>
        <w:t xml:space="preserve">Wallace, H., </w:t>
      </w:r>
      <w:r w:rsidRPr="00125B20">
        <w:rPr>
          <w:i/>
          <w:sz w:val="24"/>
          <w:szCs w:val="24"/>
        </w:rPr>
        <w:t xml:space="preserve">et al </w:t>
      </w:r>
      <w:r w:rsidRPr="00125B20">
        <w:rPr>
          <w:sz w:val="24"/>
          <w:szCs w:val="24"/>
        </w:rPr>
        <w:t xml:space="preserve">(eds), </w:t>
      </w:r>
      <w:r w:rsidRPr="00125B20">
        <w:rPr>
          <w:i/>
          <w:sz w:val="24"/>
          <w:szCs w:val="24"/>
        </w:rPr>
        <w:t xml:space="preserve">Policy-Making in the European Union </w:t>
      </w:r>
      <w:r w:rsidRPr="00125B20">
        <w:rPr>
          <w:sz w:val="24"/>
          <w:szCs w:val="24"/>
        </w:rPr>
        <w:t xml:space="preserve">(fifth </w:t>
      </w:r>
      <w:proofErr w:type="spellStart"/>
      <w:r w:rsidRPr="00125B20">
        <w:rPr>
          <w:sz w:val="24"/>
          <w:szCs w:val="24"/>
        </w:rPr>
        <w:t>edn</w:t>
      </w:r>
      <w:proofErr w:type="spellEnd"/>
      <w:r w:rsidRPr="00125B20">
        <w:rPr>
          <w:sz w:val="24"/>
          <w:szCs w:val="24"/>
        </w:rPr>
        <w:t>) (Oxford: Oxford University Press, 2005).</w:t>
      </w:r>
    </w:p>
    <w:p w14:paraId="734B276D" w14:textId="77777777" w:rsidR="00125B20" w:rsidRPr="00D12CE7" w:rsidRDefault="00125B20" w:rsidP="005B0315">
      <w:pPr>
        <w:spacing w:line="360" w:lineRule="auto"/>
        <w:ind w:left="567" w:hanging="567"/>
      </w:pPr>
    </w:p>
    <w:p w14:paraId="305A75A2" w14:textId="77777777" w:rsidR="005B0315" w:rsidRPr="002C7B60" w:rsidRDefault="005B0315" w:rsidP="005B0315">
      <w:pPr>
        <w:spacing w:line="360" w:lineRule="auto"/>
        <w:ind w:left="567" w:hanging="567"/>
        <w:rPr>
          <w:sz w:val="24"/>
          <w:szCs w:val="24"/>
        </w:rPr>
      </w:pPr>
    </w:p>
    <w:p w14:paraId="195FA00B" w14:textId="77777777" w:rsidR="005B0315" w:rsidRPr="002C7B60" w:rsidRDefault="005B0315" w:rsidP="005B0315">
      <w:pPr>
        <w:spacing w:line="360" w:lineRule="auto"/>
        <w:ind w:left="567" w:hanging="567"/>
        <w:rPr>
          <w:sz w:val="24"/>
          <w:szCs w:val="24"/>
        </w:rPr>
      </w:pPr>
    </w:p>
    <w:p w14:paraId="0B74D222" w14:textId="77777777" w:rsidR="005B0315" w:rsidRPr="005B0315" w:rsidRDefault="005B0315" w:rsidP="0039246C">
      <w:pPr>
        <w:spacing w:line="360" w:lineRule="auto"/>
        <w:rPr>
          <w:b/>
          <w:sz w:val="24"/>
          <w:szCs w:val="24"/>
        </w:rPr>
      </w:pPr>
    </w:p>
    <w:sectPr w:rsidR="005B0315" w:rsidRPr="005B0315">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233332" w14:textId="77777777" w:rsidR="00266175" w:rsidRDefault="00266175" w:rsidP="00FE5572">
      <w:pPr>
        <w:spacing w:after="0" w:line="240" w:lineRule="auto"/>
      </w:pPr>
      <w:r>
        <w:separator/>
      </w:r>
    </w:p>
  </w:endnote>
  <w:endnote w:type="continuationSeparator" w:id="0">
    <w:p w14:paraId="5CA7A309" w14:textId="77777777" w:rsidR="00266175" w:rsidRDefault="00266175" w:rsidP="00FE5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229971843"/>
      <w:docPartObj>
        <w:docPartGallery w:val="Page Numbers (Bottom of Page)"/>
        <w:docPartUnique/>
      </w:docPartObj>
    </w:sdtPr>
    <w:sdtEndPr>
      <w:rPr>
        <w:noProof/>
      </w:rPr>
    </w:sdtEndPr>
    <w:sdtContent>
      <w:p w14:paraId="60B83388" w14:textId="6298E0E2" w:rsidR="00731930" w:rsidRPr="00731930" w:rsidRDefault="00731930">
        <w:pPr>
          <w:pStyle w:val="Footer"/>
          <w:jc w:val="right"/>
          <w:rPr>
            <w:sz w:val="20"/>
            <w:szCs w:val="20"/>
          </w:rPr>
        </w:pPr>
        <w:r w:rsidRPr="00731930">
          <w:rPr>
            <w:sz w:val="20"/>
            <w:szCs w:val="20"/>
          </w:rPr>
          <w:fldChar w:fldCharType="begin"/>
        </w:r>
        <w:r w:rsidRPr="00731930">
          <w:rPr>
            <w:sz w:val="20"/>
            <w:szCs w:val="20"/>
          </w:rPr>
          <w:instrText xml:space="preserve"> PAGE   \* MERGEFORMAT </w:instrText>
        </w:r>
        <w:r w:rsidRPr="00731930">
          <w:rPr>
            <w:sz w:val="20"/>
            <w:szCs w:val="20"/>
          </w:rPr>
          <w:fldChar w:fldCharType="separate"/>
        </w:r>
        <w:r w:rsidRPr="00731930">
          <w:rPr>
            <w:noProof/>
            <w:sz w:val="20"/>
            <w:szCs w:val="20"/>
          </w:rPr>
          <w:t>2</w:t>
        </w:r>
        <w:r w:rsidRPr="00731930">
          <w:rPr>
            <w:noProof/>
            <w:sz w:val="20"/>
            <w:szCs w:val="20"/>
          </w:rPr>
          <w:fldChar w:fldCharType="end"/>
        </w:r>
      </w:p>
    </w:sdtContent>
  </w:sdt>
  <w:p w14:paraId="511ADAF8" w14:textId="77777777" w:rsidR="00731930" w:rsidRPr="00731930" w:rsidRDefault="00731930">
    <w:pPr>
      <w:pStyle w:val="Foo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9BEC50" w14:textId="77777777" w:rsidR="00266175" w:rsidRDefault="00266175" w:rsidP="00FE5572">
      <w:pPr>
        <w:spacing w:after="0" w:line="240" w:lineRule="auto"/>
      </w:pPr>
      <w:r>
        <w:separator/>
      </w:r>
    </w:p>
  </w:footnote>
  <w:footnote w:type="continuationSeparator" w:id="0">
    <w:p w14:paraId="237D2055" w14:textId="77777777" w:rsidR="00266175" w:rsidRDefault="00266175" w:rsidP="00FE5572">
      <w:pPr>
        <w:spacing w:after="0" w:line="240" w:lineRule="auto"/>
      </w:pPr>
      <w:r>
        <w:continuationSeparator/>
      </w:r>
    </w:p>
  </w:footnote>
  <w:footnote w:id="1">
    <w:p w14:paraId="2179EF47" w14:textId="55C373AF" w:rsidR="007B3259" w:rsidRPr="000373C9" w:rsidRDefault="007B3259" w:rsidP="0067240E">
      <w:pPr>
        <w:pStyle w:val="NoSpacing"/>
        <w:ind w:left="142" w:hanging="142"/>
        <w:rPr>
          <w:sz w:val="20"/>
          <w:szCs w:val="20"/>
        </w:rPr>
      </w:pPr>
      <w:r w:rsidRPr="000373C9">
        <w:rPr>
          <w:rStyle w:val="FootnoteReference"/>
          <w:sz w:val="20"/>
          <w:szCs w:val="20"/>
        </w:rPr>
        <w:footnoteRef/>
      </w:r>
      <w:r w:rsidRPr="000373C9">
        <w:rPr>
          <w:sz w:val="20"/>
          <w:szCs w:val="20"/>
        </w:rPr>
        <w:t xml:space="preserve"> M. Thatcher, ‘Speech to Conservative Group for Europe (opening Conservative referendum campaign’ (16 April 1975). [Online] Available: </w:t>
      </w:r>
      <w:hyperlink r:id="rId1" w:history="1">
        <w:r w:rsidRPr="000373C9">
          <w:rPr>
            <w:rStyle w:val="Hyperlink"/>
            <w:sz w:val="20"/>
            <w:szCs w:val="20"/>
          </w:rPr>
          <w:t>https://www.margaretthatcher.org/document/102675/</w:t>
        </w:r>
      </w:hyperlink>
      <w:r w:rsidRPr="000373C9">
        <w:rPr>
          <w:sz w:val="20"/>
          <w:szCs w:val="20"/>
        </w:rPr>
        <w:t xml:space="preserve"> [Accessed 10 May 2018].</w:t>
      </w:r>
    </w:p>
  </w:footnote>
  <w:footnote w:id="2">
    <w:p w14:paraId="3B635525" w14:textId="7D5F7C31" w:rsidR="00660E81" w:rsidRPr="000373C9" w:rsidRDefault="00660E81" w:rsidP="0067240E">
      <w:pPr>
        <w:pStyle w:val="NoSpacing"/>
        <w:ind w:left="142" w:hanging="142"/>
        <w:rPr>
          <w:sz w:val="20"/>
          <w:szCs w:val="20"/>
        </w:rPr>
      </w:pPr>
      <w:r w:rsidRPr="000373C9">
        <w:rPr>
          <w:rStyle w:val="FootnoteReference"/>
          <w:sz w:val="20"/>
          <w:szCs w:val="20"/>
        </w:rPr>
        <w:footnoteRef/>
      </w:r>
      <w:r w:rsidRPr="000373C9">
        <w:rPr>
          <w:sz w:val="20"/>
          <w:szCs w:val="20"/>
        </w:rPr>
        <w:t xml:space="preserve"> M. Thatcher, ‘Speech to the College of Europe (“The Bruges Speech”)’ (20 September 1988). [Online] Available: </w:t>
      </w:r>
      <w:hyperlink r:id="rId2" w:history="1">
        <w:r w:rsidRPr="000373C9">
          <w:rPr>
            <w:rStyle w:val="Hyperlink"/>
            <w:sz w:val="20"/>
            <w:szCs w:val="20"/>
          </w:rPr>
          <w:t>https://www.margaretthatcher.org/document/107332/</w:t>
        </w:r>
      </w:hyperlink>
      <w:r w:rsidRPr="000373C9">
        <w:rPr>
          <w:sz w:val="20"/>
          <w:szCs w:val="20"/>
        </w:rPr>
        <w:t xml:space="preserve"> [Accessed 10 May 2018].</w:t>
      </w:r>
    </w:p>
  </w:footnote>
  <w:footnote w:id="3">
    <w:p w14:paraId="29E46806" w14:textId="01714FED" w:rsidR="00F02EEE" w:rsidRPr="00125B20" w:rsidRDefault="00F02EEE" w:rsidP="0067240E">
      <w:pPr>
        <w:pStyle w:val="NoSpacing"/>
        <w:ind w:left="142" w:hanging="142"/>
        <w:rPr>
          <w:sz w:val="20"/>
          <w:szCs w:val="20"/>
        </w:rPr>
      </w:pPr>
      <w:r w:rsidRPr="000373C9">
        <w:rPr>
          <w:rStyle w:val="FootnoteReference"/>
          <w:sz w:val="20"/>
          <w:szCs w:val="20"/>
        </w:rPr>
        <w:footnoteRef/>
      </w:r>
      <w:r w:rsidRPr="000373C9">
        <w:rPr>
          <w:sz w:val="20"/>
          <w:szCs w:val="20"/>
        </w:rPr>
        <w:t xml:space="preserve"> </w:t>
      </w:r>
      <w:r w:rsidR="004548DE">
        <w:rPr>
          <w:sz w:val="20"/>
          <w:szCs w:val="20"/>
        </w:rPr>
        <w:t xml:space="preserve">M. </w:t>
      </w:r>
      <w:r w:rsidR="004548DE" w:rsidRPr="00125B20">
        <w:rPr>
          <w:sz w:val="20"/>
          <w:szCs w:val="20"/>
        </w:rPr>
        <w:t>Thatcher,</w:t>
      </w:r>
      <w:r w:rsidR="004548DE" w:rsidRPr="00125B20">
        <w:rPr>
          <w:i/>
          <w:sz w:val="20"/>
          <w:szCs w:val="20"/>
        </w:rPr>
        <w:t xml:space="preserve"> </w:t>
      </w:r>
      <w:r w:rsidR="004548DE" w:rsidRPr="00125B20">
        <w:rPr>
          <w:i/>
          <w:sz w:val="20"/>
          <w:szCs w:val="20"/>
        </w:rPr>
        <w:t>The Path to Power</w:t>
      </w:r>
      <w:r w:rsidR="004548DE" w:rsidRPr="00125B20">
        <w:rPr>
          <w:sz w:val="20"/>
          <w:szCs w:val="20"/>
        </w:rPr>
        <w:t xml:space="preserve"> (reprint) (New York: Harper Press, 2011)</w:t>
      </w:r>
      <w:r w:rsidRPr="00125B20">
        <w:rPr>
          <w:sz w:val="20"/>
          <w:szCs w:val="20"/>
        </w:rPr>
        <w:t>, 126-7.</w:t>
      </w:r>
    </w:p>
  </w:footnote>
  <w:footnote w:id="4">
    <w:p w14:paraId="191E2C87" w14:textId="47997D5A" w:rsidR="00F02EEE" w:rsidRPr="000373C9" w:rsidRDefault="00F02EEE" w:rsidP="0067240E">
      <w:pPr>
        <w:pStyle w:val="NoSpacing"/>
        <w:ind w:left="142" w:hanging="142"/>
        <w:rPr>
          <w:sz w:val="20"/>
          <w:szCs w:val="20"/>
        </w:rPr>
      </w:pPr>
      <w:r w:rsidRPr="000373C9">
        <w:rPr>
          <w:rStyle w:val="FootnoteReference"/>
          <w:sz w:val="20"/>
          <w:szCs w:val="20"/>
        </w:rPr>
        <w:footnoteRef/>
      </w:r>
      <w:r w:rsidRPr="000373C9">
        <w:rPr>
          <w:sz w:val="20"/>
          <w:szCs w:val="20"/>
        </w:rPr>
        <w:t xml:space="preserve"> </w:t>
      </w:r>
      <w:r w:rsidR="00125B20">
        <w:rPr>
          <w:i/>
          <w:sz w:val="20"/>
          <w:szCs w:val="20"/>
        </w:rPr>
        <w:t>Ibid</w:t>
      </w:r>
      <w:r w:rsidRPr="000373C9">
        <w:rPr>
          <w:sz w:val="20"/>
          <w:szCs w:val="20"/>
        </w:rPr>
        <w:t>, 330.</w:t>
      </w:r>
    </w:p>
  </w:footnote>
  <w:footnote w:id="5">
    <w:p w14:paraId="1C1CB48A" w14:textId="41FEBF43" w:rsidR="00F02EEE" w:rsidRPr="000373C9" w:rsidRDefault="00F02EEE" w:rsidP="0067240E">
      <w:pPr>
        <w:pStyle w:val="NoSpacing"/>
        <w:ind w:left="142" w:hanging="142"/>
        <w:rPr>
          <w:sz w:val="20"/>
          <w:szCs w:val="20"/>
        </w:rPr>
      </w:pPr>
      <w:r w:rsidRPr="000373C9">
        <w:rPr>
          <w:rStyle w:val="FootnoteReference"/>
          <w:sz w:val="20"/>
          <w:szCs w:val="20"/>
        </w:rPr>
        <w:footnoteRef/>
      </w:r>
      <w:r w:rsidRPr="000373C9">
        <w:rPr>
          <w:sz w:val="20"/>
          <w:szCs w:val="20"/>
        </w:rPr>
        <w:t xml:space="preserve"> </w:t>
      </w:r>
      <w:r w:rsidR="00125B20">
        <w:rPr>
          <w:i/>
          <w:sz w:val="20"/>
          <w:szCs w:val="20"/>
        </w:rPr>
        <w:t>Ibid</w:t>
      </w:r>
      <w:r w:rsidRPr="000373C9">
        <w:rPr>
          <w:i/>
          <w:sz w:val="20"/>
          <w:szCs w:val="20"/>
        </w:rPr>
        <w:t>,</w:t>
      </w:r>
      <w:r w:rsidRPr="000373C9">
        <w:rPr>
          <w:sz w:val="20"/>
          <w:szCs w:val="20"/>
        </w:rPr>
        <w:t xml:space="preserve"> 126-7.</w:t>
      </w:r>
    </w:p>
  </w:footnote>
  <w:footnote w:id="6">
    <w:p w14:paraId="4BDBDA3A" w14:textId="1023D4D4" w:rsidR="00F02EEE" w:rsidRPr="000373C9" w:rsidRDefault="00F02EEE" w:rsidP="0067240E">
      <w:pPr>
        <w:pStyle w:val="NoSpacing"/>
        <w:ind w:left="142" w:hanging="142"/>
        <w:rPr>
          <w:sz w:val="20"/>
          <w:szCs w:val="20"/>
        </w:rPr>
      </w:pPr>
      <w:r w:rsidRPr="000373C9">
        <w:rPr>
          <w:rStyle w:val="FootnoteReference"/>
          <w:sz w:val="20"/>
          <w:szCs w:val="20"/>
        </w:rPr>
        <w:footnoteRef/>
      </w:r>
      <w:r w:rsidRPr="000373C9">
        <w:rPr>
          <w:sz w:val="20"/>
          <w:szCs w:val="20"/>
        </w:rPr>
        <w:t xml:space="preserve"> </w:t>
      </w:r>
      <w:r w:rsidR="00125B20">
        <w:rPr>
          <w:i/>
          <w:sz w:val="20"/>
          <w:szCs w:val="20"/>
        </w:rPr>
        <w:t>Ibid</w:t>
      </w:r>
      <w:r w:rsidRPr="000373C9">
        <w:rPr>
          <w:sz w:val="20"/>
          <w:szCs w:val="20"/>
        </w:rPr>
        <w:t>, 126-7, 330.</w:t>
      </w:r>
    </w:p>
  </w:footnote>
  <w:footnote w:id="7">
    <w:p w14:paraId="1422F32E" w14:textId="48BCD082" w:rsidR="00F02EEE" w:rsidRPr="000373C9" w:rsidRDefault="00F02EEE" w:rsidP="0067240E">
      <w:pPr>
        <w:pStyle w:val="NoSpacing"/>
        <w:ind w:left="142" w:hanging="142"/>
        <w:rPr>
          <w:sz w:val="20"/>
          <w:szCs w:val="20"/>
        </w:rPr>
      </w:pPr>
      <w:r w:rsidRPr="000373C9">
        <w:rPr>
          <w:rStyle w:val="FootnoteReference"/>
          <w:sz w:val="20"/>
          <w:szCs w:val="20"/>
        </w:rPr>
        <w:footnoteRef/>
      </w:r>
      <w:r w:rsidRPr="000373C9">
        <w:rPr>
          <w:sz w:val="20"/>
          <w:szCs w:val="20"/>
        </w:rPr>
        <w:t xml:space="preserve"> </w:t>
      </w:r>
      <w:r w:rsidR="00125B20">
        <w:rPr>
          <w:i/>
          <w:sz w:val="20"/>
          <w:szCs w:val="20"/>
        </w:rPr>
        <w:t>Ibid</w:t>
      </w:r>
      <w:r w:rsidRPr="000373C9">
        <w:rPr>
          <w:sz w:val="20"/>
          <w:szCs w:val="20"/>
        </w:rPr>
        <w:t>, 126-7.</w:t>
      </w:r>
    </w:p>
  </w:footnote>
  <w:footnote w:id="8">
    <w:p w14:paraId="40029C49" w14:textId="4A2D40CA" w:rsidR="00F02EEE" w:rsidRPr="00125B20" w:rsidRDefault="00F02EEE" w:rsidP="0067240E">
      <w:pPr>
        <w:pStyle w:val="NoSpacing"/>
        <w:ind w:left="142" w:hanging="142"/>
        <w:rPr>
          <w:sz w:val="20"/>
          <w:szCs w:val="20"/>
        </w:rPr>
      </w:pPr>
      <w:r w:rsidRPr="00125B20">
        <w:rPr>
          <w:rStyle w:val="FootnoteReference"/>
          <w:sz w:val="20"/>
          <w:szCs w:val="20"/>
        </w:rPr>
        <w:footnoteRef/>
      </w:r>
      <w:r w:rsidRPr="00125B20">
        <w:rPr>
          <w:sz w:val="20"/>
          <w:szCs w:val="20"/>
        </w:rPr>
        <w:t xml:space="preserve"> </w:t>
      </w:r>
      <w:r w:rsidR="00125B20" w:rsidRPr="00125B20">
        <w:rPr>
          <w:i/>
          <w:sz w:val="20"/>
          <w:szCs w:val="20"/>
        </w:rPr>
        <w:t>Ibid</w:t>
      </w:r>
      <w:r w:rsidRPr="00125B20">
        <w:rPr>
          <w:sz w:val="20"/>
          <w:szCs w:val="20"/>
        </w:rPr>
        <w:t>, 497.</w:t>
      </w:r>
    </w:p>
  </w:footnote>
  <w:footnote w:id="9">
    <w:p w14:paraId="44DF80D6" w14:textId="7E8AB8AB" w:rsidR="00F02EEE" w:rsidRPr="0067240E" w:rsidRDefault="00F02EEE" w:rsidP="0067240E">
      <w:pPr>
        <w:pStyle w:val="NoSpacing"/>
        <w:ind w:left="142" w:hanging="142"/>
        <w:rPr>
          <w:sz w:val="20"/>
          <w:szCs w:val="20"/>
        </w:rPr>
      </w:pPr>
      <w:r w:rsidRPr="00125B20">
        <w:rPr>
          <w:rStyle w:val="FootnoteReference"/>
          <w:sz w:val="20"/>
          <w:szCs w:val="20"/>
        </w:rPr>
        <w:footnoteRef/>
      </w:r>
      <w:r w:rsidR="00125B20" w:rsidRPr="00125B20">
        <w:rPr>
          <w:sz w:val="20"/>
          <w:szCs w:val="20"/>
        </w:rPr>
        <w:t xml:space="preserve"> </w:t>
      </w:r>
      <w:r w:rsidRPr="00125B20">
        <w:rPr>
          <w:sz w:val="20"/>
          <w:szCs w:val="20"/>
        </w:rPr>
        <w:t>R</w:t>
      </w:r>
      <w:r w:rsidRPr="0067240E">
        <w:rPr>
          <w:sz w:val="20"/>
          <w:szCs w:val="20"/>
        </w:rPr>
        <w:t xml:space="preserve">. Saunders, </w:t>
      </w:r>
      <w:r w:rsidR="00125B20" w:rsidRPr="0067240E">
        <w:rPr>
          <w:i/>
          <w:sz w:val="20"/>
          <w:szCs w:val="20"/>
        </w:rPr>
        <w:t>Yes to Europe! The 1975 Referendum and Seventies Britain</w:t>
      </w:r>
      <w:r w:rsidR="00125B20" w:rsidRPr="0067240E">
        <w:rPr>
          <w:sz w:val="20"/>
          <w:szCs w:val="20"/>
        </w:rPr>
        <w:t xml:space="preserve"> (Cambridge: Cambridge University Press, 2018)</w:t>
      </w:r>
      <w:r w:rsidR="00125B20" w:rsidRPr="0067240E">
        <w:rPr>
          <w:sz w:val="20"/>
          <w:szCs w:val="20"/>
        </w:rPr>
        <w:t xml:space="preserve">, </w:t>
      </w:r>
      <w:r w:rsidRPr="0067240E">
        <w:rPr>
          <w:sz w:val="20"/>
          <w:szCs w:val="20"/>
        </w:rPr>
        <w:t>112.</w:t>
      </w:r>
      <w:r w:rsidR="00125B20" w:rsidRPr="0067240E">
        <w:rPr>
          <w:sz w:val="20"/>
          <w:szCs w:val="20"/>
        </w:rPr>
        <w:t xml:space="preserve"> Thatcher,</w:t>
      </w:r>
      <w:r w:rsidR="00125B20" w:rsidRPr="0067240E">
        <w:rPr>
          <w:i/>
          <w:sz w:val="20"/>
          <w:szCs w:val="20"/>
        </w:rPr>
        <w:t xml:space="preserve"> </w:t>
      </w:r>
      <w:r w:rsidR="00125B20" w:rsidRPr="0067240E">
        <w:rPr>
          <w:i/>
          <w:sz w:val="20"/>
          <w:szCs w:val="20"/>
        </w:rPr>
        <w:t>Path</w:t>
      </w:r>
      <w:r w:rsidR="00125B20" w:rsidRPr="0067240E">
        <w:rPr>
          <w:sz w:val="20"/>
          <w:szCs w:val="20"/>
        </w:rPr>
        <w:t>, 335</w:t>
      </w:r>
    </w:p>
  </w:footnote>
  <w:footnote w:id="10">
    <w:p w14:paraId="36628C08" w14:textId="77777777" w:rsidR="00CF16D4" w:rsidRPr="0067240E" w:rsidRDefault="00CF16D4" w:rsidP="00CF16D4">
      <w:pPr>
        <w:pStyle w:val="NoSpacing"/>
        <w:ind w:left="142" w:hanging="142"/>
        <w:rPr>
          <w:sz w:val="20"/>
          <w:szCs w:val="20"/>
        </w:rPr>
      </w:pPr>
      <w:r w:rsidRPr="0067240E">
        <w:rPr>
          <w:rStyle w:val="FootnoteReference"/>
          <w:sz w:val="20"/>
          <w:szCs w:val="20"/>
        </w:rPr>
        <w:footnoteRef/>
      </w:r>
      <w:r w:rsidRPr="0067240E">
        <w:rPr>
          <w:sz w:val="20"/>
          <w:szCs w:val="20"/>
        </w:rPr>
        <w:t xml:space="preserve"> Thatcher, </w:t>
      </w:r>
      <w:r w:rsidRPr="0067240E">
        <w:rPr>
          <w:i/>
          <w:sz w:val="20"/>
          <w:szCs w:val="20"/>
        </w:rPr>
        <w:t>Path</w:t>
      </w:r>
      <w:r w:rsidRPr="0067240E">
        <w:rPr>
          <w:sz w:val="20"/>
          <w:szCs w:val="20"/>
        </w:rPr>
        <w:t>, 334-5.</w:t>
      </w:r>
    </w:p>
  </w:footnote>
  <w:footnote w:id="11">
    <w:p w14:paraId="5852FACF" w14:textId="79F31F69" w:rsidR="00F02EEE" w:rsidRPr="0067240E" w:rsidRDefault="00F02EEE" w:rsidP="0067240E">
      <w:pPr>
        <w:pStyle w:val="NoSpacing"/>
        <w:ind w:left="142" w:hanging="142"/>
        <w:rPr>
          <w:sz w:val="20"/>
          <w:szCs w:val="20"/>
        </w:rPr>
      </w:pPr>
      <w:r w:rsidRPr="0067240E">
        <w:rPr>
          <w:rStyle w:val="FootnoteReference"/>
          <w:sz w:val="20"/>
          <w:szCs w:val="20"/>
        </w:rPr>
        <w:footnoteRef/>
      </w:r>
      <w:r w:rsidRPr="0067240E">
        <w:rPr>
          <w:sz w:val="20"/>
          <w:szCs w:val="20"/>
        </w:rPr>
        <w:t xml:space="preserve"> Saunders, </w:t>
      </w:r>
      <w:r w:rsidR="00125B20" w:rsidRPr="0067240E">
        <w:rPr>
          <w:i/>
          <w:sz w:val="20"/>
          <w:szCs w:val="20"/>
        </w:rPr>
        <w:t>Yes</w:t>
      </w:r>
      <w:r w:rsidR="00125B20" w:rsidRPr="0067240E">
        <w:rPr>
          <w:sz w:val="20"/>
          <w:szCs w:val="20"/>
        </w:rPr>
        <w:t>,</w:t>
      </w:r>
      <w:r w:rsidRPr="0067240E">
        <w:rPr>
          <w:sz w:val="20"/>
          <w:szCs w:val="20"/>
        </w:rPr>
        <w:t xml:space="preserve"> 112.</w:t>
      </w:r>
    </w:p>
  </w:footnote>
  <w:footnote w:id="12">
    <w:p w14:paraId="03EEBB5E" w14:textId="0D037BF9" w:rsidR="00F02EEE" w:rsidRPr="0067240E" w:rsidRDefault="00F02EEE" w:rsidP="0067240E">
      <w:pPr>
        <w:pStyle w:val="NoSpacing"/>
        <w:ind w:left="142" w:hanging="142"/>
        <w:rPr>
          <w:sz w:val="20"/>
          <w:szCs w:val="20"/>
        </w:rPr>
      </w:pPr>
      <w:r w:rsidRPr="0067240E">
        <w:rPr>
          <w:rStyle w:val="FootnoteReference"/>
          <w:sz w:val="20"/>
          <w:szCs w:val="20"/>
        </w:rPr>
        <w:footnoteRef/>
      </w:r>
      <w:r w:rsidRPr="0067240E">
        <w:rPr>
          <w:sz w:val="20"/>
          <w:szCs w:val="20"/>
        </w:rPr>
        <w:t xml:space="preserve"> </w:t>
      </w:r>
      <w:r w:rsidR="00125B20" w:rsidRPr="0067240E">
        <w:rPr>
          <w:i/>
          <w:sz w:val="20"/>
          <w:szCs w:val="20"/>
        </w:rPr>
        <w:t>Ibid.</w:t>
      </w:r>
    </w:p>
  </w:footnote>
  <w:footnote w:id="13">
    <w:p w14:paraId="66823819" w14:textId="6E72C554" w:rsidR="00062955" w:rsidRPr="0067240E" w:rsidRDefault="00062955" w:rsidP="0067240E">
      <w:pPr>
        <w:pStyle w:val="NoSpacing"/>
        <w:ind w:left="142" w:hanging="142"/>
        <w:rPr>
          <w:sz w:val="20"/>
          <w:szCs w:val="20"/>
        </w:rPr>
      </w:pPr>
      <w:r w:rsidRPr="0067240E">
        <w:rPr>
          <w:rStyle w:val="FootnoteReference"/>
          <w:sz w:val="20"/>
          <w:szCs w:val="20"/>
        </w:rPr>
        <w:footnoteRef/>
      </w:r>
      <w:r w:rsidRPr="0067240E">
        <w:rPr>
          <w:sz w:val="20"/>
          <w:szCs w:val="20"/>
        </w:rPr>
        <w:t xml:space="preserve"> </w:t>
      </w:r>
      <w:r w:rsidR="00125B20" w:rsidRPr="0067240E">
        <w:rPr>
          <w:sz w:val="20"/>
          <w:szCs w:val="20"/>
        </w:rPr>
        <w:t xml:space="preserve">M. Thatcher, </w:t>
      </w:r>
      <w:r w:rsidR="00125B20" w:rsidRPr="0067240E">
        <w:rPr>
          <w:i/>
          <w:sz w:val="20"/>
          <w:szCs w:val="20"/>
        </w:rPr>
        <w:t>The Downing Street Years</w:t>
      </w:r>
      <w:r w:rsidR="00125B20" w:rsidRPr="0067240E">
        <w:rPr>
          <w:sz w:val="20"/>
          <w:szCs w:val="20"/>
        </w:rPr>
        <w:t xml:space="preserve"> (reprint) (New York: Harper Press, 2011)</w:t>
      </w:r>
      <w:r w:rsidRPr="0067240E">
        <w:rPr>
          <w:sz w:val="20"/>
          <w:szCs w:val="20"/>
        </w:rPr>
        <w:t>, 63.</w:t>
      </w:r>
      <w:r w:rsidR="008E6163" w:rsidRPr="0067240E">
        <w:rPr>
          <w:sz w:val="20"/>
          <w:szCs w:val="20"/>
        </w:rPr>
        <w:t xml:space="preserve"> </w:t>
      </w:r>
      <w:r w:rsidR="00125B20" w:rsidRPr="0067240E">
        <w:rPr>
          <w:sz w:val="20"/>
          <w:szCs w:val="20"/>
        </w:rPr>
        <w:t xml:space="preserve">H. </w:t>
      </w:r>
      <w:bookmarkStart w:id="0" w:name="_Hlk513777549"/>
      <w:r w:rsidR="00125B20" w:rsidRPr="0067240E">
        <w:rPr>
          <w:sz w:val="20"/>
          <w:szCs w:val="20"/>
        </w:rPr>
        <w:t xml:space="preserve">Wallace </w:t>
      </w:r>
      <w:r w:rsidR="00125B20" w:rsidRPr="0067240E">
        <w:rPr>
          <w:i/>
          <w:sz w:val="20"/>
          <w:szCs w:val="20"/>
        </w:rPr>
        <w:t xml:space="preserve">et al </w:t>
      </w:r>
      <w:r w:rsidR="00125B20" w:rsidRPr="0067240E">
        <w:rPr>
          <w:sz w:val="20"/>
          <w:szCs w:val="20"/>
        </w:rPr>
        <w:t xml:space="preserve">(eds), </w:t>
      </w:r>
      <w:r w:rsidR="008E6163" w:rsidRPr="0067240E">
        <w:rPr>
          <w:i/>
          <w:sz w:val="20"/>
          <w:szCs w:val="20"/>
        </w:rPr>
        <w:t>Policy-Making in the European Union</w:t>
      </w:r>
      <w:r w:rsidR="00125B20" w:rsidRPr="0067240E">
        <w:rPr>
          <w:i/>
          <w:sz w:val="20"/>
          <w:szCs w:val="20"/>
        </w:rPr>
        <w:t xml:space="preserve"> </w:t>
      </w:r>
      <w:r w:rsidR="00125B20" w:rsidRPr="0067240E">
        <w:rPr>
          <w:sz w:val="20"/>
          <w:szCs w:val="20"/>
        </w:rPr>
        <w:t xml:space="preserve">(fifth </w:t>
      </w:r>
      <w:proofErr w:type="spellStart"/>
      <w:r w:rsidR="00125B20" w:rsidRPr="0067240E">
        <w:rPr>
          <w:sz w:val="20"/>
          <w:szCs w:val="20"/>
        </w:rPr>
        <w:t>edn</w:t>
      </w:r>
      <w:proofErr w:type="spellEnd"/>
      <w:r w:rsidR="00125B20" w:rsidRPr="0067240E">
        <w:rPr>
          <w:sz w:val="20"/>
          <w:szCs w:val="20"/>
        </w:rPr>
        <w:t>) (Oxford: Oxford University Press, 2005)</w:t>
      </w:r>
      <w:r w:rsidR="008E6163" w:rsidRPr="0067240E">
        <w:rPr>
          <w:sz w:val="20"/>
          <w:szCs w:val="20"/>
        </w:rPr>
        <w:t xml:space="preserve">, </w:t>
      </w:r>
      <w:bookmarkEnd w:id="0"/>
      <w:r w:rsidR="008E6163" w:rsidRPr="0067240E">
        <w:rPr>
          <w:sz w:val="20"/>
          <w:szCs w:val="20"/>
        </w:rPr>
        <w:t>197.</w:t>
      </w:r>
    </w:p>
  </w:footnote>
  <w:footnote w:id="14">
    <w:p w14:paraId="4E915D11" w14:textId="2E0172A5" w:rsidR="00062955" w:rsidRPr="0067240E" w:rsidRDefault="00062955" w:rsidP="0067240E">
      <w:pPr>
        <w:pStyle w:val="NoSpacing"/>
        <w:ind w:left="142" w:hanging="142"/>
        <w:rPr>
          <w:sz w:val="20"/>
          <w:szCs w:val="20"/>
        </w:rPr>
      </w:pPr>
      <w:r w:rsidRPr="0067240E">
        <w:rPr>
          <w:rStyle w:val="FootnoteReference"/>
          <w:sz w:val="20"/>
          <w:szCs w:val="20"/>
        </w:rPr>
        <w:footnoteRef/>
      </w:r>
      <w:r w:rsidRPr="0067240E">
        <w:rPr>
          <w:sz w:val="20"/>
          <w:szCs w:val="20"/>
        </w:rPr>
        <w:t xml:space="preserve"> </w:t>
      </w:r>
      <w:r w:rsidR="0067240E" w:rsidRPr="0067240E">
        <w:rPr>
          <w:sz w:val="20"/>
          <w:szCs w:val="20"/>
        </w:rPr>
        <w:t xml:space="preserve">Thatcher, </w:t>
      </w:r>
      <w:r w:rsidRPr="0067240E">
        <w:rPr>
          <w:i/>
          <w:sz w:val="20"/>
          <w:szCs w:val="20"/>
        </w:rPr>
        <w:t>Downing</w:t>
      </w:r>
      <w:r w:rsidRPr="0067240E">
        <w:rPr>
          <w:sz w:val="20"/>
          <w:szCs w:val="20"/>
        </w:rPr>
        <w:t>, 62.</w:t>
      </w:r>
      <w:r w:rsidR="00706A4A" w:rsidRPr="0067240E">
        <w:rPr>
          <w:sz w:val="20"/>
          <w:szCs w:val="20"/>
        </w:rPr>
        <w:t xml:space="preserve"> </w:t>
      </w:r>
      <w:r w:rsidR="003C1CDA">
        <w:rPr>
          <w:sz w:val="20"/>
          <w:szCs w:val="20"/>
        </w:rPr>
        <w:t xml:space="preserve">J. </w:t>
      </w:r>
      <w:r w:rsidR="00706A4A" w:rsidRPr="0067240E">
        <w:rPr>
          <w:sz w:val="20"/>
          <w:szCs w:val="20"/>
        </w:rPr>
        <w:t xml:space="preserve">Campbell, </w:t>
      </w:r>
      <w:r w:rsidR="0067240E" w:rsidRPr="0067240E">
        <w:rPr>
          <w:i/>
          <w:sz w:val="20"/>
          <w:szCs w:val="20"/>
        </w:rPr>
        <w:t>The Iron Lady, Margaret Thatcher: From Grocer’s Daughter to Iron Lady</w:t>
      </w:r>
      <w:r w:rsidR="0067240E" w:rsidRPr="0067240E">
        <w:rPr>
          <w:sz w:val="20"/>
          <w:szCs w:val="20"/>
        </w:rPr>
        <w:t>, ed. D. Freeman (revised edition) (London: Vintage Books, 2011)</w:t>
      </w:r>
      <w:r w:rsidR="0067240E" w:rsidRPr="0067240E">
        <w:rPr>
          <w:sz w:val="20"/>
          <w:szCs w:val="20"/>
        </w:rPr>
        <w:t xml:space="preserve">, </w:t>
      </w:r>
      <w:r w:rsidR="00706A4A" w:rsidRPr="0067240E">
        <w:rPr>
          <w:sz w:val="20"/>
          <w:szCs w:val="20"/>
        </w:rPr>
        <w:t>144.</w:t>
      </w:r>
    </w:p>
  </w:footnote>
  <w:footnote w:id="15">
    <w:p w14:paraId="1E3B36A0" w14:textId="555BA8D9" w:rsidR="00062955" w:rsidRPr="0067240E" w:rsidRDefault="00062955" w:rsidP="0067240E">
      <w:pPr>
        <w:pStyle w:val="NoSpacing"/>
        <w:ind w:left="142" w:hanging="142"/>
        <w:rPr>
          <w:sz w:val="20"/>
          <w:szCs w:val="20"/>
        </w:rPr>
      </w:pPr>
      <w:r w:rsidRPr="0067240E">
        <w:rPr>
          <w:rStyle w:val="FootnoteReference"/>
          <w:sz w:val="20"/>
          <w:szCs w:val="20"/>
        </w:rPr>
        <w:footnoteRef/>
      </w:r>
      <w:r w:rsidR="0067240E">
        <w:rPr>
          <w:sz w:val="20"/>
          <w:szCs w:val="20"/>
        </w:rPr>
        <w:t xml:space="preserve"> Thatcher, </w:t>
      </w:r>
      <w:r w:rsidRPr="0067240E">
        <w:rPr>
          <w:i/>
          <w:sz w:val="20"/>
          <w:szCs w:val="20"/>
        </w:rPr>
        <w:t>Downing</w:t>
      </w:r>
      <w:r w:rsidR="0067240E">
        <w:rPr>
          <w:sz w:val="20"/>
          <w:szCs w:val="20"/>
        </w:rPr>
        <w:t>,</w:t>
      </w:r>
      <w:r w:rsidRPr="0067240E">
        <w:rPr>
          <w:sz w:val="20"/>
          <w:szCs w:val="20"/>
        </w:rPr>
        <w:t xml:space="preserve"> 63.</w:t>
      </w:r>
    </w:p>
  </w:footnote>
  <w:footnote w:id="16">
    <w:p w14:paraId="29AF6EE9" w14:textId="02E3BE91" w:rsidR="00AE7D96" w:rsidRPr="0067240E" w:rsidRDefault="00AE7D96" w:rsidP="0067240E">
      <w:pPr>
        <w:pStyle w:val="NoSpacing"/>
        <w:ind w:left="142" w:hanging="142"/>
        <w:rPr>
          <w:sz w:val="20"/>
          <w:szCs w:val="20"/>
        </w:rPr>
      </w:pPr>
      <w:r w:rsidRPr="0067240E">
        <w:rPr>
          <w:rStyle w:val="FootnoteReference"/>
          <w:sz w:val="20"/>
          <w:szCs w:val="20"/>
        </w:rPr>
        <w:footnoteRef/>
      </w:r>
      <w:r w:rsidRPr="0067240E">
        <w:rPr>
          <w:sz w:val="20"/>
          <w:szCs w:val="20"/>
        </w:rPr>
        <w:t xml:space="preserve"> </w:t>
      </w:r>
      <w:r w:rsidR="0067240E">
        <w:rPr>
          <w:sz w:val="20"/>
          <w:szCs w:val="20"/>
        </w:rPr>
        <w:t xml:space="preserve">M. </w:t>
      </w:r>
      <w:r w:rsidRPr="0067240E">
        <w:rPr>
          <w:sz w:val="20"/>
          <w:szCs w:val="20"/>
        </w:rPr>
        <w:t xml:space="preserve">Thatcher, ‘Press Conference after Dublin European Council’ (30 November 1979). [Online] Available: </w:t>
      </w:r>
      <w:hyperlink r:id="rId3" w:history="1">
        <w:r w:rsidRPr="0067240E">
          <w:rPr>
            <w:rStyle w:val="Hyperlink"/>
            <w:sz w:val="20"/>
            <w:szCs w:val="20"/>
          </w:rPr>
          <w:t>https://www.margaretthatcher.org/document/104180/</w:t>
        </w:r>
      </w:hyperlink>
      <w:r w:rsidRPr="0067240E">
        <w:rPr>
          <w:sz w:val="20"/>
          <w:szCs w:val="20"/>
        </w:rPr>
        <w:t xml:space="preserve"> [Accessed 10 May 2018].</w:t>
      </w:r>
    </w:p>
  </w:footnote>
  <w:footnote w:id="17">
    <w:p w14:paraId="50C8FB1A" w14:textId="25C09F4A" w:rsidR="00062955" w:rsidRPr="000373C9" w:rsidRDefault="00062955" w:rsidP="0067240E">
      <w:pPr>
        <w:pStyle w:val="NoSpacing"/>
        <w:ind w:left="142" w:hanging="142"/>
        <w:rPr>
          <w:sz w:val="20"/>
          <w:szCs w:val="20"/>
        </w:rPr>
      </w:pPr>
      <w:r w:rsidRPr="0067240E">
        <w:rPr>
          <w:rStyle w:val="FootnoteReference"/>
          <w:sz w:val="20"/>
          <w:szCs w:val="20"/>
        </w:rPr>
        <w:footnoteRef/>
      </w:r>
      <w:r w:rsidRPr="0067240E">
        <w:rPr>
          <w:sz w:val="20"/>
          <w:szCs w:val="20"/>
        </w:rPr>
        <w:t xml:space="preserve"> </w:t>
      </w:r>
      <w:r w:rsidR="003C1CDA">
        <w:rPr>
          <w:sz w:val="20"/>
          <w:szCs w:val="20"/>
        </w:rPr>
        <w:t xml:space="preserve">H. </w:t>
      </w:r>
      <w:r w:rsidRPr="0067240E">
        <w:rPr>
          <w:sz w:val="20"/>
          <w:szCs w:val="20"/>
        </w:rPr>
        <w:t xml:space="preserve">Wallace, </w:t>
      </w:r>
      <w:r w:rsidR="0067240E" w:rsidRPr="0067240E">
        <w:rPr>
          <w:sz w:val="20"/>
          <w:szCs w:val="20"/>
        </w:rPr>
        <w:t xml:space="preserve">‘At Odds with Europe’, </w:t>
      </w:r>
      <w:r w:rsidR="0067240E" w:rsidRPr="0067240E">
        <w:rPr>
          <w:i/>
          <w:sz w:val="20"/>
          <w:szCs w:val="20"/>
        </w:rPr>
        <w:t>Political Studies</w:t>
      </w:r>
      <w:r w:rsidR="0067240E" w:rsidRPr="0067240E">
        <w:rPr>
          <w:sz w:val="20"/>
          <w:szCs w:val="20"/>
        </w:rPr>
        <w:t xml:space="preserve">, vol. XLV (1997), </w:t>
      </w:r>
      <w:r w:rsidR="0067240E" w:rsidRPr="0067240E">
        <w:rPr>
          <w:sz w:val="20"/>
          <w:szCs w:val="20"/>
        </w:rPr>
        <w:t>678</w:t>
      </w:r>
      <w:r w:rsidR="0067240E" w:rsidRPr="0067240E">
        <w:rPr>
          <w:sz w:val="20"/>
          <w:szCs w:val="20"/>
        </w:rPr>
        <w:t xml:space="preserve">. [Online] Available: </w:t>
      </w:r>
      <w:hyperlink r:id="rId4" w:history="1">
        <w:r w:rsidR="0067240E" w:rsidRPr="0067240E">
          <w:rPr>
            <w:rStyle w:val="Hyperlink"/>
            <w:sz w:val="20"/>
            <w:szCs w:val="20"/>
          </w:rPr>
          <w:t>https://onlinelibrary.wiley.com/doi/full/10.1111/1467-9248.00104/</w:t>
        </w:r>
      </w:hyperlink>
      <w:r w:rsidR="0067240E" w:rsidRPr="0067240E">
        <w:rPr>
          <w:sz w:val="20"/>
          <w:szCs w:val="20"/>
        </w:rPr>
        <w:t xml:space="preserve"> [Accessed 10 May 2018]</w:t>
      </w:r>
      <w:r w:rsidR="0067240E" w:rsidRPr="0067240E">
        <w:rPr>
          <w:sz w:val="20"/>
          <w:szCs w:val="20"/>
        </w:rPr>
        <w:t xml:space="preserve">. </w:t>
      </w:r>
      <w:r w:rsidRPr="0067240E">
        <w:rPr>
          <w:sz w:val="20"/>
          <w:szCs w:val="20"/>
        </w:rPr>
        <w:t>Campbell</w:t>
      </w:r>
      <w:r w:rsidR="0067240E" w:rsidRPr="0067240E">
        <w:rPr>
          <w:sz w:val="20"/>
          <w:szCs w:val="20"/>
        </w:rPr>
        <w:t xml:space="preserve">, </w:t>
      </w:r>
      <w:r w:rsidR="003C1CDA" w:rsidRPr="003C1CDA">
        <w:rPr>
          <w:i/>
          <w:sz w:val="20"/>
          <w:szCs w:val="20"/>
        </w:rPr>
        <w:t>Iron</w:t>
      </w:r>
      <w:r w:rsidR="0067240E" w:rsidRPr="0067240E">
        <w:rPr>
          <w:sz w:val="20"/>
          <w:szCs w:val="20"/>
        </w:rPr>
        <w:t>,</w:t>
      </w:r>
      <w:r w:rsidRPr="0067240E">
        <w:rPr>
          <w:sz w:val="20"/>
          <w:szCs w:val="20"/>
        </w:rPr>
        <w:t xml:space="preserve"> 143-4.</w:t>
      </w:r>
    </w:p>
  </w:footnote>
  <w:footnote w:id="18">
    <w:p w14:paraId="1D3869DE" w14:textId="5DF31693" w:rsidR="00062955" w:rsidRPr="000373C9" w:rsidRDefault="00062955" w:rsidP="0067240E">
      <w:pPr>
        <w:pStyle w:val="NoSpacing"/>
        <w:ind w:left="142" w:hanging="142"/>
        <w:rPr>
          <w:sz w:val="20"/>
          <w:szCs w:val="20"/>
        </w:rPr>
      </w:pPr>
      <w:r w:rsidRPr="000373C9">
        <w:rPr>
          <w:rStyle w:val="FootnoteReference"/>
          <w:sz w:val="20"/>
          <w:szCs w:val="20"/>
        </w:rPr>
        <w:footnoteRef/>
      </w:r>
      <w:r w:rsidRPr="000373C9">
        <w:rPr>
          <w:sz w:val="20"/>
          <w:szCs w:val="20"/>
        </w:rPr>
        <w:t xml:space="preserve"> Wallace, ‘At </w:t>
      </w:r>
      <w:r w:rsidR="0067240E">
        <w:rPr>
          <w:sz w:val="20"/>
          <w:szCs w:val="20"/>
        </w:rPr>
        <w:t>Odds’</w:t>
      </w:r>
      <w:r w:rsidRPr="000373C9">
        <w:rPr>
          <w:sz w:val="20"/>
          <w:szCs w:val="20"/>
        </w:rPr>
        <w:t>, 678.</w:t>
      </w:r>
    </w:p>
  </w:footnote>
  <w:footnote w:id="19">
    <w:p w14:paraId="3E1982A6" w14:textId="1FD6C15F" w:rsidR="00062955" w:rsidRPr="000373C9" w:rsidRDefault="00062955" w:rsidP="0067240E">
      <w:pPr>
        <w:pStyle w:val="NoSpacing"/>
        <w:ind w:left="142" w:hanging="142"/>
        <w:rPr>
          <w:sz w:val="20"/>
          <w:szCs w:val="20"/>
        </w:rPr>
      </w:pPr>
      <w:r w:rsidRPr="000373C9">
        <w:rPr>
          <w:rStyle w:val="FootnoteReference"/>
          <w:sz w:val="20"/>
          <w:szCs w:val="20"/>
        </w:rPr>
        <w:footnoteRef/>
      </w:r>
      <w:r w:rsidRPr="000373C9">
        <w:rPr>
          <w:sz w:val="20"/>
          <w:szCs w:val="20"/>
        </w:rPr>
        <w:t xml:space="preserve"> </w:t>
      </w:r>
      <w:r w:rsidR="0067240E">
        <w:rPr>
          <w:sz w:val="20"/>
          <w:szCs w:val="20"/>
        </w:rPr>
        <w:t xml:space="preserve">Thatcher, </w:t>
      </w:r>
      <w:r w:rsidRPr="000373C9">
        <w:rPr>
          <w:i/>
          <w:sz w:val="20"/>
          <w:szCs w:val="20"/>
        </w:rPr>
        <w:t>Path</w:t>
      </w:r>
      <w:r w:rsidRPr="000373C9">
        <w:rPr>
          <w:sz w:val="20"/>
          <w:szCs w:val="20"/>
        </w:rPr>
        <w:t xml:space="preserve">, 334. </w:t>
      </w:r>
      <w:r w:rsidR="0067240E">
        <w:rPr>
          <w:sz w:val="20"/>
          <w:szCs w:val="20"/>
        </w:rPr>
        <w:t xml:space="preserve">Thatcher, </w:t>
      </w:r>
      <w:r w:rsidRPr="000373C9">
        <w:rPr>
          <w:i/>
          <w:sz w:val="20"/>
          <w:szCs w:val="20"/>
        </w:rPr>
        <w:t>Downing</w:t>
      </w:r>
      <w:r w:rsidRPr="000373C9">
        <w:rPr>
          <w:sz w:val="20"/>
          <w:szCs w:val="20"/>
        </w:rPr>
        <w:t>, 62-3.</w:t>
      </w:r>
    </w:p>
  </w:footnote>
  <w:footnote w:id="20">
    <w:p w14:paraId="73B5F02B" w14:textId="47A9588E" w:rsidR="00062955" w:rsidRPr="000373C9" w:rsidRDefault="00062955" w:rsidP="0067240E">
      <w:pPr>
        <w:pStyle w:val="NoSpacing"/>
        <w:ind w:left="142" w:hanging="142"/>
        <w:rPr>
          <w:sz w:val="20"/>
          <w:szCs w:val="20"/>
        </w:rPr>
      </w:pPr>
      <w:r w:rsidRPr="000373C9">
        <w:rPr>
          <w:rStyle w:val="FootnoteReference"/>
          <w:sz w:val="20"/>
          <w:szCs w:val="20"/>
        </w:rPr>
        <w:footnoteRef/>
      </w:r>
      <w:r w:rsidRPr="000373C9">
        <w:rPr>
          <w:sz w:val="20"/>
          <w:szCs w:val="20"/>
        </w:rPr>
        <w:t xml:space="preserve"> </w:t>
      </w:r>
      <w:r w:rsidR="0067240E">
        <w:rPr>
          <w:sz w:val="20"/>
          <w:szCs w:val="20"/>
        </w:rPr>
        <w:t xml:space="preserve">Thatcher, </w:t>
      </w:r>
      <w:r w:rsidRPr="000373C9">
        <w:rPr>
          <w:i/>
          <w:sz w:val="20"/>
          <w:szCs w:val="20"/>
        </w:rPr>
        <w:t>Pat</w:t>
      </w:r>
      <w:r w:rsidR="0067240E">
        <w:rPr>
          <w:i/>
          <w:sz w:val="20"/>
          <w:szCs w:val="20"/>
        </w:rPr>
        <w:t>h</w:t>
      </w:r>
      <w:r w:rsidRPr="000373C9">
        <w:rPr>
          <w:sz w:val="20"/>
          <w:szCs w:val="20"/>
        </w:rPr>
        <w:t>, 334.</w:t>
      </w:r>
    </w:p>
  </w:footnote>
  <w:footnote w:id="21">
    <w:p w14:paraId="33375B2E" w14:textId="3D425721" w:rsidR="003B4DB0" w:rsidRPr="000373C9" w:rsidRDefault="003B4DB0" w:rsidP="0067240E">
      <w:pPr>
        <w:pStyle w:val="NoSpacing"/>
        <w:ind w:left="142" w:hanging="142"/>
        <w:rPr>
          <w:sz w:val="20"/>
          <w:szCs w:val="20"/>
        </w:rPr>
      </w:pPr>
      <w:r w:rsidRPr="000373C9">
        <w:rPr>
          <w:rStyle w:val="FootnoteReference"/>
          <w:sz w:val="20"/>
          <w:szCs w:val="20"/>
        </w:rPr>
        <w:footnoteRef/>
      </w:r>
      <w:r w:rsidRPr="000373C9">
        <w:rPr>
          <w:sz w:val="20"/>
          <w:szCs w:val="20"/>
        </w:rPr>
        <w:t xml:space="preserve"> Wallace, ‘At </w:t>
      </w:r>
      <w:r w:rsidR="0067240E">
        <w:rPr>
          <w:sz w:val="20"/>
          <w:szCs w:val="20"/>
        </w:rPr>
        <w:t>Odds’</w:t>
      </w:r>
      <w:r w:rsidRPr="000373C9">
        <w:rPr>
          <w:sz w:val="20"/>
          <w:szCs w:val="20"/>
        </w:rPr>
        <w:t>, 679.</w:t>
      </w:r>
    </w:p>
  </w:footnote>
  <w:footnote w:id="22">
    <w:p w14:paraId="03329AB6" w14:textId="5A6FFB35" w:rsidR="00062955" w:rsidRPr="000373C9" w:rsidRDefault="00062955" w:rsidP="0067240E">
      <w:pPr>
        <w:pStyle w:val="NoSpacing"/>
        <w:ind w:left="142" w:hanging="142"/>
        <w:rPr>
          <w:sz w:val="20"/>
          <w:szCs w:val="20"/>
        </w:rPr>
      </w:pPr>
      <w:r w:rsidRPr="000373C9">
        <w:rPr>
          <w:rStyle w:val="FootnoteReference"/>
          <w:sz w:val="20"/>
          <w:szCs w:val="20"/>
        </w:rPr>
        <w:footnoteRef/>
      </w:r>
      <w:r w:rsidRPr="000373C9">
        <w:rPr>
          <w:sz w:val="20"/>
          <w:szCs w:val="20"/>
        </w:rPr>
        <w:t xml:space="preserve"> Campbell, </w:t>
      </w:r>
      <w:r w:rsidR="0067240E" w:rsidRPr="0067240E">
        <w:rPr>
          <w:i/>
          <w:sz w:val="20"/>
          <w:szCs w:val="20"/>
        </w:rPr>
        <w:t>Iron</w:t>
      </w:r>
      <w:r w:rsidRPr="000373C9">
        <w:rPr>
          <w:sz w:val="20"/>
          <w:szCs w:val="20"/>
        </w:rPr>
        <w:t>, 144.</w:t>
      </w:r>
    </w:p>
  </w:footnote>
  <w:footnote w:id="23">
    <w:p w14:paraId="3F3B1E6E" w14:textId="5F1F4F08" w:rsidR="00062955" w:rsidRPr="000373C9" w:rsidRDefault="00062955" w:rsidP="0067240E">
      <w:pPr>
        <w:pStyle w:val="NoSpacing"/>
        <w:ind w:left="142" w:hanging="142"/>
        <w:rPr>
          <w:sz w:val="20"/>
          <w:szCs w:val="20"/>
        </w:rPr>
      </w:pPr>
      <w:r w:rsidRPr="000373C9">
        <w:rPr>
          <w:rStyle w:val="FootnoteReference"/>
          <w:sz w:val="20"/>
          <w:szCs w:val="20"/>
        </w:rPr>
        <w:footnoteRef/>
      </w:r>
      <w:r w:rsidRPr="000373C9">
        <w:rPr>
          <w:sz w:val="20"/>
          <w:szCs w:val="20"/>
        </w:rPr>
        <w:t xml:space="preserve"> </w:t>
      </w:r>
      <w:r w:rsidR="0067240E">
        <w:rPr>
          <w:i/>
          <w:sz w:val="20"/>
          <w:szCs w:val="20"/>
        </w:rPr>
        <w:t xml:space="preserve">Ibid, </w:t>
      </w:r>
      <w:r w:rsidRPr="000373C9">
        <w:rPr>
          <w:sz w:val="20"/>
          <w:szCs w:val="20"/>
        </w:rPr>
        <w:t>150.</w:t>
      </w:r>
    </w:p>
  </w:footnote>
  <w:footnote w:id="24">
    <w:p w14:paraId="4B6EB203" w14:textId="71EE5427" w:rsidR="008E6163" w:rsidRPr="008E6163" w:rsidRDefault="008E6163" w:rsidP="0067240E">
      <w:pPr>
        <w:pStyle w:val="FootnoteText"/>
        <w:ind w:left="142" w:hanging="142"/>
      </w:pPr>
      <w:r>
        <w:rPr>
          <w:rStyle w:val="FootnoteReference"/>
        </w:rPr>
        <w:footnoteRef/>
      </w:r>
      <w:r>
        <w:t xml:space="preserve"> </w:t>
      </w:r>
      <w:r w:rsidR="0067240E">
        <w:t xml:space="preserve">Wallace </w:t>
      </w:r>
      <w:r w:rsidR="0067240E">
        <w:rPr>
          <w:i/>
        </w:rPr>
        <w:t xml:space="preserve">et al </w:t>
      </w:r>
      <w:r w:rsidR="0067240E">
        <w:t xml:space="preserve">(eds), </w:t>
      </w:r>
      <w:r>
        <w:rPr>
          <w:i/>
        </w:rPr>
        <w:t>Policy-Making</w:t>
      </w:r>
      <w:r>
        <w:t>, 197, 200.</w:t>
      </w:r>
    </w:p>
  </w:footnote>
  <w:footnote w:id="25">
    <w:p w14:paraId="5EB5FD0D" w14:textId="0C528F21" w:rsidR="009744AF" w:rsidRPr="009744AF" w:rsidRDefault="009744AF" w:rsidP="0067240E">
      <w:pPr>
        <w:pStyle w:val="FootnoteText"/>
        <w:ind w:left="142" w:hanging="142"/>
      </w:pPr>
      <w:r>
        <w:rPr>
          <w:rStyle w:val="FootnoteReference"/>
        </w:rPr>
        <w:footnoteRef/>
      </w:r>
      <w:r>
        <w:t xml:space="preserve"> Campbell, </w:t>
      </w:r>
      <w:r w:rsidR="0067240E">
        <w:rPr>
          <w:i/>
        </w:rPr>
        <w:t>Iron</w:t>
      </w:r>
      <w:r>
        <w:t>, 286-287.</w:t>
      </w:r>
    </w:p>
  </w:footnote>
  <w:footnote w:id="26">
    <w:p w14:paraId="0D978A2F" w14:textId="55F2BFBC" w:rsidR="00FE3751" w:rsidRPr="000373C9" w:rsidRDefault="00FE3751" w:rsidP="0067240E">
      <w:pPr>
        <w:pStyle w:val="NoSpacing"/>
        <w:ind w:left="142" w:hanging="142"/>
        <w:rPr>
          <w:sz w:val="20"/>
          <w:szCs w:val="20"/>
        </w:rPr>
      </w:pPr>
      <w:r w:rsidRPr="000373C9">
        <w:rPr>
          <w:rStyle w:val="FootnoteReference"/>
          <w:sz w:val="20"/>
          <w:szCs w:val="20"/>
        </w:rPr>
        <w:footnoteRef/>
      </w:r>
      <w:r w:rsidRPr="000373C9">
        <w:rPr>
          <w:sz w:val="20"/>
          <w:szCs w:val="20"/>
        </w:rPr>
        <w:t xml:space="preserve"> </w:t>
      </w:r>
      <w:r w:rsidR="00675385" w:rsidRPr="000373C9">
        <w:rPr>
          <w:sz w:val="20"/>
          <w:szCs w:val="20"/>
        </w:rPr>
        <w:t xml:space="preserve">M. </w:t>
      </w:r>
      <w:r w:rsidRPr="000373C9">
        <w:rPr>
          <w:sz w:val="20"/>
          <w:szCs w:val="20"/>
        </w:rPr>
        <w:t xml:space="preserve">Thatcher, ‘Speech at Franco-British Council Dinner’ (30 November 1984). [Online] Available: </w:t>
      </w:r>
      <w:hyperlink r:id="rId5" w:history="1">
        <w:r w:rsidRPr="000373C9">
          <w:rPr>
            <w:rStyle w:val="Hyperlink"/>
            <w:sz w:val="20"/>
            <w:szCs w:val="20"/>
          </w:rPr>
          <w:t>https://www.margaretthatcher.org/document/105804/</w:t>
        </w:r>
      </w:hyperlink>
      <w:r w:rsidRPr="000373C9">
        <w:rPr>
          <w:sz w:val="20"/>
          <w:szCs w:val="20"/>
        </w:rPr>
        <w:t xml:space="preserve"> [Accessed 10 May 2018].</w:t>
      </w:r>
    </w:p>
  </w:footnote>
  <w:footnote w:id="27">
    <w:p w14:paraId="4BBBEF26" w14:textId="5998D07A" w:rsidR="00C95602" w:rsidRPr="000373C9" w:rsidRDefault="00C95602" w:rsidP="0067240E">
      <w:pPr>
        <w:pStyle w:val="NoSpacing"/>
        <w:ind w:left="142" w:hanging="142"/>
        <w:rPr>
          <w:sz w:val="20"/>
          <w:szCs w:val="20"/>
        </w:rPr>
      </w:pPr>
      <w:r w:rsidRPr="000373C9">
        <w:rPr>
          <w:rStyle w:val="FootnoteReference"/>
          <w:sz w:val="20"/>
          <w:szCs w:val="20"/>
        </w:rPr>
        <w:footnoteRef/>
      </w:r>
      <w:r w:rsidRPr="000373C9">
        <w:rPr>
          <w:sz w:val="20"/>
          <w:szCs w:val="20"/>
        </w:rPr>
        <w:t xml:space="preserve"> Thatcher, ‘Speech to the College of Europe (“The Bruges Speech”)’ (20 September 1988). </w:t>
      </w:r>
    </w:p>
  </w:footnote>
  <w:footnote w:id="28">
    <w:p w14:paraId="1279B5CE" w14:textId="5682B78E" w:rsidR="00D549F8" w:rsidRPr="000373C9" w:rsidRDefault="00D549F8" w:rsidP="0067240E">
      <w:pPr>
        <w:pStyle w:val="NoSpacing"/>
        <w:ind w:left="142" w:hanging="142"/>
        <w:rPr>
          <w:sz w:val="20"/>
          <w:szCs w:val="20"/>
        </w:rPr>
      </w:pPr>
      <w:r w:rsidRPr="000373C9">
        <w:rPr>
          <w:rStyle w:val="FootnoteReference"/>
          <w:sz w:val="20"/>
          <w:szCs w:val="20"/>
        </w:rPr>
        <w:footnoteRef/>
      </w:r>
      <w:r w:rsidRPr="000373C9">
        <w:rPr>
          <w:sz w:val="20"/>
          <w:szCs w:val="20"/>
        </w:rPr>
        <w:t xml:space="preserve"> Thatcher, ‘Speech at Franco-British Council Dinner’ (30 November 1984).</w:t>
      </w:r>
    </w:p>
  </w:footnote>
  <w:footnote w:id="29">
    <w:p w14:paraId="6595B3AF" w14:textId="36341B1F" w:rsidR="00D549F8" w:rsidRPr="000373C9" w:rsidRDefault="00D549F8" w:rsidP="0067240E">
      <w:pPr>
        <w:pStyle w:val="NoSpacing"/>
        <w:ind w:left="142" w:hanging="142"/>
        <w:rPr>
          <w:sz w:val="20"/>
          <w:szCs w:val="20"/>
        </w:rPr>
      </w:pPr>
      <w:r w:rsidRPr="000373C9">
        <w:rPr>
          <w:rStyle w:val="FootnoteReference"/>
          <w:sz w:val="20"/>
          <w:szCs w:val="20"/>
        </w:rPr>
        <w:footnoteRef/>
      </w:r>
      <w:r w:rsidRPr="000373C9">
        <w:rPr>
          <w:sz w:val="20"/>
          <w:szCs w:val="20"/>
        </w:rPr>
        <w:t xml:space="preserve"> Thatcher, ‘Speech to the College of Europe (“The Bruges Speech”)’ (20 September 1988).</w:t>
      </w:r>
    </w:p>
  </w:footnote>
  <w:footnote w:id="30">
    <w:p w14:paraId="6C3EE3A5" w14:textId="6A5E629D" w:rsidR="00833D56" w:rsidRPr="00833D56" w:rsidRDefault="00833D56">
      <w:pPr>
        <w:pStyle w:val="FootnoteText"/>
      </w:pPr>
      <w:r>
        <w:rPr>
          <w:rStyle w:val="FootnoteReference"/>
        </w:rPr>
        <w:footnoteRef/>
      </w:r>
      <w:r>
        <w:t xml:space="preserve"> Campbell, </w:t>
      </w:r>
      <w:r>
        <w:rPr>
          <w:i/>
        </w:rPr>
        <w:t>Iron</w:t>
      </w:r>
      <w:r>
        <w:t>, 289-90.</w:t>
      </w:r>
    </w:p>
  </w:footnote>
  <w:footnote w:id="31">
    <w:p w14:paraId="67D56DD3" w14:textId="4FB2D289" w:rsidR="005B0705" w:rsidRPr="005B0705" w:rsidRDefault="005B0705" w:rsidP="0067240E">
      <w:pPr>
        <w:pStyle w:val="FootnoteText"/>
        <w:ind w:left="142" w:hanging="142"/>
      </w:pPr>
      <w:r>
        <w:rPr>
          <w:rStyle w:val="FootnoteReference"/>
        </w:rPr>
        <w:footnoteRef/>
      </w:r>
      <w:r>
        <w:t xml:space="preserve"> </w:t>
      </w:r>
      <w:r w:rsidR="00833D56">
        <w:rPr>
          <w:i/>
        </w:rPr>
        <w:t>Ibid</w:t>
      </w:r>
      <w:r w:rsidR="00833D56">
        <w:t>,</w:t>
      </w:r>
      <w:r>
        <w:t xml:space="preserve"> </w:t>
      </w:r>
      <w:r w:rsidR="00A640B5">
        <w:t xml:space="preserve">289-90, </w:t>
      </w:r>
      <w:r>
        <w:t>411-5.</w:t>
      </w:r>
    </w:p>
  </w:footnote>
  <w:footnote w:id="32">
    <w:p w14:paraId="6791778A" w14:textId="757CBE1F" w:rsidR="00A640B5" w:rsidRDefault="00A640B5">
      <w:pPr>
        <w:pStyle w:val="FootnoteText"/>
      </w:pPr>
      <w:r>
        <w:rPr>
          <w:rStyle w:val="FootnoteReference"/>
        </w:rPr>
        <w:footnoteRef/>
      </w:r>
      <w:r>
        <w:t xml:space="preserve"> Thatcher, </w:t>
      </w:r>
      <w:r w:rsidRPr="00A640B5">
        <w:rPr>
          <w:i/>
        </w:rPr>
        <w:t>Downing</w:t>
      </w:r>
      <w:r w:rsidRPr="00A640B5">
        <w:t>, 742-3</w:t>
      </w:r>
      <w:r>
        <w:t>.</w:t>
      </w:r>
    </w:p>
  </w:footnote>
  <w:footnote w:id="33">
    <w:p w14:paraId="3950E952" w14:textId="47ECF38B" w:rsidR="000E02F6" w:rsidRPr="000373C9" w:rsidRDefault="000E02F6" w:rsidP="0067240E">
      <w:pPr>
        <w:pStyle w:val="NoSpacing"/>
        <w:ind w:left="142" w:hanging="142"/>
        <w:rPr>
          <w:i/>
          <w:sz w:val="20"/>
          <w:szCs w:val="20"/>
        </w:rPr>
      </w:pPr>
      <w:r w:rsidRPr="000373C9">
        <w:rPr>
          <w:rStyle w:val="FootnoteReference"/>
          <w:sz w:val="20"/>
          <w:szCs w:val="20"/>
        </w:rPr>
        <w:footnoteRef/>
      </w:r>
      <w:r w:rsidRPr="000373C9">
        <w:rPr>
          <w:sz w:val="20"/>
          <w:szCs w:val="20"/>
        </w:rPr>
        <w:t xml:space="preserve"> </w:t>
      </w:r>
      <w:r w:rsidR="00833D56" w:rsidRPr="000373C9">
        <w:rPr>
          <w:sz w:val="20"/>
          <w:szCs w:val="20"/>
        </w:rPr>
        <w:t>Thatcher, ‘Speech to the College of Europe (“The Bruges Speech”)’ (20 September 1988).</w:t>
      </w:r>
    </w:p>
  </w:footnote>
  <w:footnote w:id="34">
    <w:p w14:paraId="7E68EB01" w14:textId="73DB2F20" w:rsidR="00E953E9" w:rsidRPr="000373C9" w:rsidRDefault="00E953E9" w:rsidP="0067240E">
      <w:pPr>
        <w:pStyle w:val="NoSpacing"/>
        <w:ind w:left="142" w:hanging="142"/>
        <w:rPr>
          <w:sz w:val="20"/>
          <w:szCs w:val="20"/>
        </w:rPr>
      </w:pPr>
      <w:r w:rsidRPr="000373C9">
        <w:rPr>
          <w:rStyle w:val="FootnoteReference"/>
          <w:sz w:val="20"/>
          <w:szCs w:val="20"/>
        </w:rPr>
        <w:footnoteRef/>
      </w:r>
      <w:r w:rsidRPr="000373C9">
        <w:rPr>
          <w:sz w:val="20"/>
          <w:szCs w:val="20"/>
        </w:rPr>
        <w:t xml:space="preserve"> Thatcher, ‘Speech at Franco-British Council Dinner’ (30 November 1984).</w:t>
      </w:r>
    </w:p>
  </w:footnote>
  <w:footnote w:id="35">
    <w:p w14:paraId="37EB0C5B" w14:textId="5AFE6A0B" w:rsidR="006C75FC" w:rsidRPr="000373C9" w:rsidRDefault="006C75FC" w:rsidP="0067240E">
      <w:pPr>
        <w:pStyle w:val="NoSpacing"/>
        <w:ind w:left="142" w:hanging="142"/>
        <w:rPr>
          <w:sz w:val="20"/>
          <w:szCs w:val="20"/>
        </w:rPr>
      </w:pPr>
      <w:r w:rsidRPr="000373C9">
        <w:rPr>
          <w:rStyle w:val="FootnoteReference"/>
          <w:sz w:val="20"/>
          <w:szCs w:val="20"/>
        </w:rPr>
        <w:footnoteRef/>
      </w:r>
      <w:r w:rsidRPr="000373C9">
        <w:rPr>
          <w:sz w:val="20"/>
          <w:szCs w:val="20"/>
        </w:rPr>
        <w:t xml:space="preserve"> </w:t>
      </w:r>
      <w:r w:rsidR="000373C9" w:rsidRPr="000373C9">
        <w:rPr>
          <w:sz w:val="20"/>
          <w:szCs w:val="20"/>
        </w:rPr>
        <w:t>Thatcher, ‘Speech to the College of Europe (“The Bruges Speech”)’ (20 September 1988).</w:t>
      </w:r>
    </w:p>
  </w:footnote>
  <w:footnote w:id="36">
    <w:p w14:paraId="3A1DFA00" w14:textId="01ABB652" w:rsidR="008D02D6" w:rsidRPr="000373C9" w:rsidRDefault="008D02D6" w:rsidP="0067240E">
      <w:pPr>
        <w:pStyle w:val="NoSpacing"/>
        <w:ind w:left="142" w:hanging="142"/>
        <w:rPr>
          <w:sz w:val="20"/>
          <w:szCs w:val="20"/>
        </w:rPr>
      </w:pPr>
      <w:r w:rsidRPr="000373C9">
        <w:rPr>
          <w:rStyle w:val="FootnoteReference"/>
          <w:sz w:val="20"/>
          <w:szCs w:val="20"/>
        </w:rPr>
        <w:footnoteRef/>
      </w:r>
      <w:r w:rsidRPr="000373C9">
        <w:rPr>
          <w:sz w:val="20"/>
          <w:szCs w:val="20"/>
        </w:rPr>
        <w:t xml:space="preserve"> Wallace, ‘At Odds</w:t>
      </w:r>
      <w:r w:rsidR="0067240E">
        <w:rPr>
          <w:sz w:val="20"/>
          <w:szCs w:val="20"/>
        </w:rPr>
        <w:t>’</w:t>
      </w:r>
      <w:r w:rsidRPr="000373C9">
        <w:rPr>
          <w:sz w:val="20"/>
          <w:szCs w:val="20"/>
        </w:rPr>
        <w:t>, 679.</w:t>
      </w:r>
    </w:p>
  </w:footnote>
  <w:footnote w:id="37">
    <w:p w14:paraId="5A6E533A" w14:textId="3A47ACC5" w:rsidR="00DB3CB3" w:rsidRPr="00DB3CB3" w:rsidRDefault="00DB3CB3" w:rsidP="0067240E">
      <w:pPr>
        <w:pStyle w:val="FootnoteText"/>
        <w:ind w:left="142" w:hanging="142"/>
      </w:pPr>
      <w:r>
        <w:rPr>
          <w:rStyle w:val="FootnoteReference"/>
        </w:rPr>
        <w:footnoteRef/>
      </w:r>
      <w:r>
        <w:t xml:space="preserve"> Thatcher,</w:t>
      </w:r>
      <w:r>
        <w:rPr>
          <w:i/>
        </w:rPr>
        <w:t xml:space="preserve"> </w:t>
      </w:r>
      <w:r w:rsidR="0067240E" w:rsidRPr="0067240E">
        <w:rPr>
          <w:i/>
        </w:rPr>
        <w:t>Downing</w:t>
      </w:r>
      <w:r>
        <w:t>, 790-91.</w:t>
      </w:r>
    </w:p>
  </w:footnote>
  <w:footnote w:id="38">
    <w:p w14:paraId="621223F7" w14:textId="6D60C8F7" w:rsidR="000A14CB" w:rsidRPr="000A14CB" w:rsidRDefault="000A14CB" w:rsidP="0067240E">
      <w:pPr>
        <w:pStyle w:val="FootnoteText"/>
        <w:ind w:left="142" w:hanging="142"/>
      </w:pPr>
      <w:r>
        <w:rPr>
          <w:rStyle w:val="FootnoteReference"/>
        </w:rPr>
        <w:footnoteRef/>
      </w:r>
      <w:r>
        <w:t xml:space="preserve"> Campbell, </w:t>
      </w:r>
      <w:r w:rsidR="0067240E">
        <w:rPr>
          <w:i/>
        </w:rPr>
        <w:t>Iron</w:t>
      </w:r>
      <w:r>
        <w:t>, 427-34.</w:t>
      </w:r>
    </w:p>
  </w:footnote>
  <w:footnote w:id="39">
    <w:p w14:paraId="2C999283" w14:textId="085CE207" w:rsidR="00F352F2" w:rsidRDefault="00F352F2" w:rsidP="0067240E">
      <w:pPr>
        <w:pStyle w:val="FootnoteText"/>
        <w:ind w:left="142" w:hanging="142"/>
      </w:pPr>
      <w:r>
        <w:rPr>
          <w:rStyle w:val="FootnoteReference"/>
        </w:rPr>
        <w:footnoteRef/>
      </w:r>
      <w:r>
        <w:t xml:space="preserve"> C. D. </w:t>
      </w:r>
      <w:bookmarkStart w:id="1" w:name="_Hlk513758496"/>
      <w:r>
        <w:t>Powell, ‘Seminar on Germany: Summary Record’ (24 March 1990). [Online] Available:</w:t>
      </w:r>
      <w:r w:rsidRPr="00F352F2">
        <w:t xml:space="preserve"> </w:t>
      </w:r>
      <w:hyperlink r:id="rId6" w:history="1">
        <w:r w:rsidRPr="00F3730F">
          <w:rPr>
            <w:rStyle w:val="Hyperlink"/>
          </w:rPr>
          <w:t>https://www.margaretthatcher.org/document/111047/</w:t>
        </w:r>
      </w:hyperlink>
      <w:r>
        <w:t xml:space="preserve"> [Accessed on 10 May 2018].</w:t>
      </w:r>
    </w:p>
    <w:bookmarkEnd w:id="1"/>
  </w:footnote>
  <w:footnote w:id="40">
    <w:p w14:paraId="1CA15880" w14:textId="26989B2D" w:rsidR="00175F05" w:rsidRDefault="00175F05" w:rsidP="0067240E">
      <w:pPr>
        <w:pStyle w:val="FootnoteText"/>
        <w:ind w:left="142" w:hanging="142"/>
      </w:pPr>
      <w:r>
        <w:rPr>
          <w:rStyle w:val="FootnoteReference"/>
        </w:rPr>
        <w:footnoteRef/>
      </w:r>
      <w:r>
        <w:t xml:space="preserve"> Wallace, ‘At </w:t>
      </w:r>
      <w:r w:rsidR="003E7A50">
        <w:t>Odds’</w:t>
      </w:r>
      <w:r>
        <w:t>, 680.</w:t>
      </w:r>
    </w:p>
  </w:footnote>
  <w:footnote w:id="41">
    <w:p w14:paraId="414E9FAC" w14:textId="35955B95" w:rsidR="000373C9" w:rsidRPr="000373C9" w:rsidRDefault="000373C9" w:rsidP="0067240E">
      <w:pPr>
        <w:pStyle w:val="NoSpacing"/>
        <w:ind w:left="142" w:hanging="142"/>
        <w:rPr>
          <w:sz w:val="20"/>
          <w:szCs w:val="20"/>
        </w:rPr>
      </w:pPr>
      <w:r w:rsidRPr="000373C9">
        <w:rPr>
          <w:rStyle w:val="FootnoteReference"/>
          <w:sz w:val="20"/>
          <w:szCs w:val="20"/>
        </w:rPr>
        <w:footnoteRef/>
      </w:r>
      <w:r w:rsidRPr="000373C9">
        <w:rPr>
          <w:sz w:val="20"/>
          <w:szCs w:val="20"/>
        </w:rPr>
        <w:t xml:space="preserve"> </w:t>
      </w:r>
      <w:r w:rsidR="003E7A50">
        <w:rPr>
          <w:sz w:val="20"/>
          <w:szCs w:val="20"/>
        </w:rPr>
        <w:t xml:space="preserve">M. </w:t>
      </w:r>
      <w:r w:rsidRPr="000373C9">
        <w:rPr>
          <w:sz w:val="20"/>
          <w:szCs w:val="20"/>
        </w:rPr>
        <w:t>Thatcher</w:t>
      </w:r>
      <w:r w:rsidR="003E7A50">
        <w:rPr>
          <w:sz w:val="20"/>
          <w:szCs w:val="20"/>
        </w:rPr>
        <w:t xml:space="preserve">, </w:t>
      </w:r>
      <w:r w:rsidRPr="000373C9">
        <w:rPr>
          <w:sz w:val="20"/>
          <w:szCs w:val="20"/>
        </w:rPr>
        <w:t xml:space="preserve">‘House of Commons Statement: [Rome European Council]’ (30 October 1990). [Online] Available: </w:t>
      </w:r>
      <w:hyperlink r:id="rId7" w:history="1">
        <w:r w:rsidRPr="000373C9">
          <w:rPr>
            <w:rStyle w:val="Hyperlink"/>
            <w:sz w:val="20"/>
            <w:szCs w:val="20"/>
          </w:rPr>
          <w:t>https://www.margaretthatcher.org/document/108234/</w:t>
        </w:r>
      </w:hyperlink>
      <w:r w:rsidRPr="000373C9">
        <w:rPr>
          <w:sz w:val="20"/>
          <w:szCs w:val="20"/>
        </w:rPr>
        <w:t xml:space="preserve"> [Accessed 10 May 2018].</w:t>
      </w:r>
    </w:p>
  </w:footnote>
  <w:footnote w:id="42">
    <w:p w14:paraId="6040E6DC" w14:textId="6E4055DC" w:rsidR="00C91E13" w:rsidRPr="00C91E13" w:rsidRDefault="00C91E13" w:rsidP="0067240E">
      <w:pPr>
        <w:pStyle w:val="NoSpacing"/>
        <w:ind w:left="142" w:hanging="142"/>
        <w:rPr>
          <w:sz w:val="20"/>
          <w:szCs w:val="20"/>
        </w:rPr>
      </w:pPr>
      <w:r>
        <w:rPr>
          <w:rStyle w:val="FootnoteReference"/>
        </w:rPr>
        <w:footnoteRef/>
      </w:r>
      <w:r>
        <w:t xml:space="preserve"> </w:t>
      </w:r>
      <w:bookmarkStart w:id="2" w:name="_Hlk513767465"/>
      <w:r w:rsidRPr="000373C9">
        <w:rPr>
          <w:sz w:val="20"/>
          <w:szCs w:val="20"/>
        </w:rPr>
        <w:t>Thatcher, ‘Speech at Franco-British Council Dinner’ (30 November 1984).</w:t>
      </w:r>
      <w:r>
        <w:rPr>
          <w:sz w:val="20"/>
          <w:szCs w:val="20"/>
        </w:rPr>
        <w:t xml:space="preserve"> </w:t>
      </w:r>
      <w:r w:rsidRPr="000373C9">
        <w:rPr>
          <w:sz w:val="20"/>
          <w:szCs w:val="20"/>
        </w:rPr>
        <w:t>Thatcher, ‘Speech to the College of Europe (“The Bruges Speech”)’ (20 September 1988).</w:t>
      </w:r>
      <w:bookmarkEnd w:id="2"/>
    </w:p>
  </w:footnote>
  <w:footnote w:id="43">
    <w:p w14:paraId="72528439" w14:textId="3DE7388C" w:rsidR="00355788" w:rsidRDefault="00355788" w:rsidP="0067240E">
      <w:pPr>
        <w:pStyle w:val="FootnoteText"/>
        <w:ind w:left="142" w:hanging="142"/>
      </w:pPr>
      <w:r>
        <w:rPr>
          <w:rStyle w:val="FootnoteReference"/>
        </w:rPr>
        <w:footnoteRef/>
      </w:r>
      <w:r>
        <w:t xml:space="preserve"> </w:t>
      </w:r>
      <w:r w:rsidRPr="000373C9">
        <w:t>Thatcher, ‘House of Commons Statement: [Rome European Council]’ (30 October 1990).</w:t>
      </w:r>
    </w:p>
  </w:footnote>
  <w:footnote w:id="44">
    <w:p w14:paraId="27BDFAC5" w14:textId="2AFADD26" w:rsidR="0046500C" w:rsidRPr="000373C9" w:rsidRDefault="0046500C" w:rsidP="0067240E">
      <w:pPr>
        <w:pStyle w:val="NoSpacing"/>
        <w:ind w:left="142" w:hanging="142"/>
        <w:rPr>
          <w:sz w:val="20"/>
          <w:szCs w:val="20"/>
        </w:rPr>
      </w:pPr>
      <w:r w:rsidRPr="000373C9">
        <w:rPr>
          <w:rStyle w:val="FootnoteReference"/>
          <w:sz w:val="20"/>
          <w:szCs w:val="20"/>
        </w:rPr>
        <w:footnoteRef/>
      </w:r>
      <w:r w:rsidRPr="000373C9">
        <w:rPr>
          <w:sz w:val="20"/>
          <w:szCs w:val="20"/>
        </w:rPr>
        <w:t xml:space="preserve"> Campbell, </w:t>
      </w:r>
      <w:r w:rsidR="003E7A50">
        <w:rPr>
          <w:i/>
          <w:sz w:val="20"/>
          <w:szCs w:val="20"/>
        </w:rPr>
        <w:t>Iron</w:t>
      </w:r>
      <w:r w:rsidRPr="000373C9">
        <w:rPr>
          <w:sz w:val="20"/>
          <w:szCs w:val="20"/>
        </w:rPr>
        <w:t>, 413.</w:t>
      </w:r>
    </w:p>
  </w:footnote>
  <w:footnote w:id="45">
    <w:p w14:paraId="683E268C" w14:textId="085AAD55" w:rsidR="0046500C" w:rsidRDefault="0046500C" w:rsidP="0067240E">
      <w:pPr>
        <w:pStyle w:val="FootnoteText"/>
        <w:ind w:left="142" w:hanging="142"/>
      </w:pPr>
      <w:r>
        <w:rPr>
          <w:rStyle w:val="FootnoteReference"/>
        </w:rPr>
        <w:footnoteRef/>
      </w:r>
      <w:r>
        <w:t xml:space="preserve"> </w:t>
      </w:r>
      <w:r w:rsidR="00E70092" w:rsidRPr="000373C9">
        <w:t>Thatcher, ‘Speech at Franco-British Council Dinner’ (30 November 1984).</w:t>
      </w:r>
      <w:r w:rsidR="00E70092">
        <w:t xml:space="preserve"> </w:t>
      </w:r>
      <w:r w:rsidR="00E70092" w:rsidRPr="000373C9">
        <w:t>Thatcher, ‘Speech to the College of Europe (“The Bruges Speech”)’ (20 September 1988).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DC75DF" w14:textId="6B2C804C" w:rsidR="00731930" w:rsidRDefault="00731930" w:rsidP="00D84377">
    <w:pPr>
      <w:pStyle w:val="Header"/>
      <w:ind w:right="44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46C"/>
    <w:rsid w:val="00013D11"/>
    <w:rsid w:val="00020A3D"/>
    <w:rsid w:val="00030225"/>
    <w:rsid w:val="000373C9"/>
    <w:rsid w:val="00044144"/>
    <w:rsid w:val="0005794D"/>
    <w:rsid w:val="00062003"/>
    <w:rsid w:val="00062955"/>
    <w:rsid w:val="00073F19"/>
    <w:rsid w:val="00080352"/>
    <w:rsid w:val="000A0E1B"/>
    <w:rsid w:val="000A0FFF"/>
    <w:rsid w:val="000A14CB"/>
    <w:rsid w:val="000B3F50"/>
    <w:rsid w:val="000B6D53"/>
    <w:rsid w:val="000E02F6"/>
    <w:rsid w:val="000E5214"/>
    <w:rsid w:val="000E551F"/>
    <w:rsid w:val="000F3702"/>
    <w:rsid w:val="00103C52"/>
    <w:rsid w:val="00125B20"/>
    <w:rsid w:val="00130ADA"/>
    <w:rsid w:val="00135253"/>
    <w:rsid w:val="001358A9"/>
    <w:rsid w:val="00147707"/>
    <w:rsid w:val="00160FD2"/>
    <w:rsid w:val="00175F05"/>
    <w:rsid w:val="00193E19"/>
    <w:rsid w:val="001C019C"/>
    <w:rsid w:val="001C218E"/>
    <w:rsid w:val="001D7723"/>
    <w:rsid w:val="001E1542"/>
    <w:rsid w:val="001E2873"/>
    <w:rsid w:val="001F06F1"/>
    <w:rsid w:val="001F0BD0"/>
    <w:rsid w:val="001F51B4"/>
    <w:rsid w:val="00220144"/>
    <w:rsid w:val="00222160"/>
    <w:rsid w:val="00242358"/>
    <w:rsid w:val="00246453"/>
    <w:rsid w:val="00247676"/>
    <w:rsid w:val="0025720F"/>
    <w:rsid w:val="00261ECF"/>
    <w:rsid w:val="00266175"/>
    <w:rsid w:val="0027758E"/>
    <w:rsid w:val="00277890"/>
    <w:rsid w:val="002A4D0C"/>
    <w:rsid w:val="002C7411"/>
    <w:rsid w:val="002F17FE"/>
    <w:rsid w:val="002F18DA"/>
    <w:rsid w:val="002F487B"/>
    <w:rsid w:val="00300093"/>
    <w:rsid w:val="00313B35"/>
    <w:rsid w:val="003153B6"/>
    <w:rsid w:val="00325238"/>
    <w:rsid w:val="00334C0F"/>
    <w:rsid w:val="003366CD"/>
    <w:rsid w:val="00341787"/>
    <w:rsid w:val="00341C36"/>
    <w:rsid w:val="00354340"/>
    <w:rsid w:val="00355788"/>
    <w:rsid w:val="00366E3D"/>
    <w:rsid w:val="0039246C"/>
    <w:rsid w:val="003B23D8"/>
    <w:rsid w:val="003B3D08"/>
    <w:rsid w:val="003B3E01"/>
    <w:rsid w:val="003B4DB0"/>
    <w:rsid w:val="003B69A2"/>
    <w:rsid w:val="003C1CDA"/>
    <w:rsid w:val="003C3055"/>
    <w:rsid w:val="003D2D6A"/>
    <w:rsid w:val="003E723C"/>
    <w:rsid w:val="003E7A50"/>
    <w:rsid w:val="00413EE7"/>
    <w:rsid w:val="00423666"/>
    <w:rsid w:val="00424659"/>
    <w:rsid w:val="004548DE"/>
    <w:rsid w:val="0046500C"/>
    <w:rsid w:val="00466425"/>
    <w:rsid w:val="00467FC7"/>
    <w:rsid w:val="004825D0"/>
    <w:rsid w:val="00490573"/>
    <w:rsid w:val="004B2175"/>
    <w:rsid w:val="004B5600"/>
    <w:rsid w:val="004F4B31"/>
    <w:rsid w:val="00501F94"/>
    <w:rsid w:val="005238A1"/>
    <w:rsid w:val="00530C81"/>
    <w:rsid w:val="00545E8C"/>
    <w:rsid w:val="005558EA"/>
    <w:rsid w:val="00565EC9"/>
    <w:rsid w:val="005735C5"/>
    <w:rsid w:val="005847F0"/>
    <w:rsid w:val="00595036"/>
    <w:rsid w:val="005B0315"/>
    <w:rsid w:val="005B0705"/>
    <w:rsid w:val="005B4087"/>
    <w:rsid w:val="005C5A2E"/>
    <w:rsid w:val="005D2D14"/>
    <w:rsid w:val="005E0573"/>
    <w:rsid w:val="005E22FE"/>
    <w:rsid w:val="005F0562"/>
    <w:rsid w:val="005F5346"/>
    <w:rsid w:val="00615D12"/>
    <w:rsid w:val="006358FB"/>
    <w:rsid w:val="00651B69"/>
    <w:rsid w:val="00660E81"/>
    <w:rsid w:val="00670173"/>
    <w:rsid w:val="0067240E"/>
    <w:rsid w:val="00675385"/>
    <w:rsid w:val="00687930"/>
    <w:rsid w:val="00693996"/>
    <w:rsid w:val="006A153E"/>
    <w:rsid w:val="006B16B8"/>
    <w:rsid w:val="006C75FC"/>
    <w:rsid w:val="006D0F13"/>
    <w:rsid w:val="006D186D"/>
    <w:rsid w:val="006E0E92"/>
    <w:rsid w:val="006F1537"/>
    <w:rsid w:val="006F223B"/>
    <w:rsid w:val="006F2348"/>
    <w:rsid w:val="0070060E"/>
    <w:rsid w:val="00705C93"/>
    <w:rsid w:val="00706A4A"/>
    <w:rsid w:val="00707ED3"/>
    <w:rsid w:val="00715ACD"/>
    <w:rsid w:val="00724D2B"/>
    <w:rsid w:val="00731930"/>
    <w:rsid w:val="00734B52"/>
    <w:rsid w:val="0076488B"/>
    <w:rsid w:val="007842EE"/>
    <w:rsid w:val="007857A1"/>
    <w:rsid w:val="007871E3"/>
    <w:rsid w:val="00791C95"/>
    <w:rsid w:val="007A10A0"/>
    <w:rsid w:val="007B0A00"/>
    <w:rsid w:val="007B3259"/>
    <w:rsid w:val="007C2641"/>
    <w:rsid w:val="007D2833"/>
    <w:rsid w:val="007D7BB9"/>
    <w:rsid w:val="007F5306"/>
    <w:rsid w:val="00831519"/>
    <w:rsid w:val="00833D56"/>
    <w:rsid w:val="00853C7B"/>
    <w:rsid w:val="00856114"/>
    <w:rsid w:val="008610F3"/>
    <w:rsid w:val="0087229C"/>
    <w:rsid w:val="00883B08"/>
    <w:rsid w:val="00895E46"/>
    <w:rsid w:val="008A21C3"/>
    <w:rsid w:val="008A7179"/>
    <w:rsid w:val="008D02D6"/>
    <w:rsid w:val="008D294D"/>
    <w:rsid w:val="008D37A1"/>
    <w:rsid w:val="008D7AC5"/>
    <w:rsid w:val="008E6163"/>
    <w:rsid w:val="008E72E3"/>
    <w:rsid w:val="008F2156"/>
    <w:rsid w:val="009049BB"/>
    <w:rsid w:val="0091642A"/>
    <w:rsid w:val="009744AF"/>
    <w:rsid w:val="00996169"/>
    <w:rsid w:val="009A3B61"/>
    <w:rsid w:val="009D1406"/>
    <w:rsid w:val="009D4031"/>
    <w:rsid w:val="009D7604"/>
    <w:rsid w:val="009E393E"/>
    <w:rsid w:val="009F72BB"/>
    <w:rsid w:val="00A32D6A"/>
    <w:rsid w:val="00A344A2"/>
    <w:rsid w:val="00A376D8"/>
    <w:rsid w:val="00A54D06"/>
    <w:rsid w:val="00A569FA"/>
    <w:rsid w:val="00A640B5"/>
    <w:rsid w:val="00A70AE3"/>
    <w:rsid w:val="00A91F64"/>
    <w:rsid w:val="00A94A16"/>
    <w:rsid w:val="00AB71DB"/>
    <w:rsid w:val="00AD7157"/>
    <w:rsid w:val="00AE7D96"/>
    <w:rsid w:val="00B01C06"/>
    <w:rsid w:val="00B02F88"/>
    <w:rsid w:val="00B05A83"/>
    <w:rsid w:val="00B26DFA"/>
    <w:rsid w:val="00B51C34"/>
    <w:rsid w:val="00B522A5"/>
    <w:rsid w:val="00B53B5C"/>
    <w:rsid w:val="00B65025"/>
    <w:rsid w:val="00B712C2"/>
    <w:rsid w:val="00BA30B9"/>
    <w:rsid w:val="00BB3AE5"/>
    <w:rsid w:val="00BC7C51"/>
    <w:rsid w:val="00BD22B4"/>
    <w:rsid w:val="00BD3D19"/>
    <w:rsid w:val="00BE4253"/>
    <w:rsid w:val="00C06DC3"/>
    <w:rsid w:val="00C077CA"/>
    <w:rsid w:val="00C30ACB"/>
    <w:rsid w:val="00C336F3"/>
    <w:rsid w:val="00C41C90"/>
    <w:rsid w:val="00C454D7"/>
    <w:rsid w:val="00C54A30"/>
    <w:rsid w:val="00C72D5B"/>
    <w:rsid w:val="00C84F26"/>
    <w:rsid w:val="00C91E13"/>
    <w:rsid w:val="00C95602"/>
    <w:rsid w:val="00CB5379"/>
    <w:rsid w:val="00CD04E9"/>
    <w:rsid w:val="00CD64B6"/>
    <w:rsid w:val="00CE7A3A"/>
    <w:rsid w:val="00CF16D4"/>
    <w:rsid w:val="00D1349A"/>
    <w:rsid w:val="00D1375D"/>
    <w:rsid w:val="00D172A4"/>
    <w:rsid w:val="00D549F8"/>
    <w:rsid w:val="00D7363F"/>
    <w:rsid w:val="00D75596"/>
    <w:rsid w:val="00D770E5"/>
    <w:rsid w:val="00D84377"/>
    <w:rsid w:val="00D94A17"/>
    <w:rsid w:val="00D97E17"/>
    <w:rsid w:val="00DA2218"/>
    <w:rsid w:val="00DB10B0"/>
    <w:rsid w:val="00DB3CB3"/>
    <w:rsid w:val="00DC1EF9"/>
    <w:rsid w:val="00DF598C"/>
    <w:rsid w:val="00DF6648"/>
    <w:rsid w:val="00E16DCD"/>
    <w:rsid w:val="00E31F72"/>
    <w:rsid w:val="00E57C48"/>
    <w:rsid w:val="00E61EB1"/>
    <w:rsid w:val="00E70092"/>
    <w:rsid w:val="00E83FBF"/>
    <w:rsid w:val="00E953E9"/>
    <w:rsid w:val="00EA0443"/>
    <w:rsid w:val="00EA1718"/>
    <w:rsid w:val="00EC3E3F"/>
    <w:rsid w:val="00EC65A3"/>
    <w:rsid w:val="00ED0C6A"/>
    <w:rsid w:val="00ED46BF"/>
    <w:rsid w:val="00ED4F2A"/>
    <w:rsid w:val="00EF3D17"/>
    <w:rsid w:val="00EF5BB3"/>
    <w:rsid w:val="00F02EEE"/>
    <w:rsid w:val="00F04241"/>
    <w:rsid w:val="00F16D8A"/>
    <w:rsid w:val="00F17D58"/>
    <w:rsid w:val="00F305A9"/>
    <w:rsid w:val="00F352F2"/>
    <w:rsid w:val="00F43495"/>
    <w:rsid w:val="00F64AB6"/>
    <w:rsid w:val="00F73DED"/>
    <w:rsid w:val="00F959AF"/>
    <w:rsid w:val="00F95C2D"/>
    <w:rsid w:val="00F97953"/>
    <w:rsid w:val="00FA4295"/>
    <w:rsid w:val="00FC4429"/>
    <w:rsid w:val="00FE3751"/>
    <w:rsid w:val="00FE557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1FC282"/>
  <w15:chartTrackingRefBased/>
  <w15:docId w15:val="{825C0AAF-799C-46AD-88DA-1BF2DA45C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ja-JP" w:bidi="ar-SA"/>
      </w:rPr>
    </w:rPrDefault>
    <w:pPrDefault>
      <w:pPr>
        <w:spacing w:after="160" w:line="30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4377"/>
  </w:style>
  <w:style w:type="paragraph" w:styleId="Heading1">
    <w:name w:val="heading 1"/>
    <w:basedOn w:val="Normal"/>
    <w:next w:val="Normal"/>
    <w:link w:val="Heading1Char"/>
    <w:uiPriority w:val="9"/>
    <w:qFormat/>
    <w:rsid w:val="00D84377"/>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84377"/>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D84377"/>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D84377"/>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D84377"/>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D84377"/>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D84377"/>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D84377"/>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D84377"/>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E557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E5572"/>
    <w:rPr>
      <w:sz w:val="20"/>
      <w:szCs w:val="20"/>
    </w:rPr>
  </w:style>
  <w:style w:type="character" w:styleId="FootnoteReference">
    <w:name w:val="footnote reference"/>
    <w:basedOn w:val="DefaultParagraphFont"/>
    <w:uiPriority w:val="99"/>
    <w:semiHidden/>
    <w:unhideWhenUsed/>
    <w:rsid w:val="00FE5572"/>
    <w:rPr>
      <w:vertAlign w:val="superscript"/>
    </w:rPr>
  </w:style>
  <w:style w:type="character" w:styleId="Hyperlink">
    <w:name w:val="Hyperlink"/>
    <w:basedOn w:val="DefaultParagraphFont"/>
    <w:uiPriority w:val="99"/>
    <w:unhideWhenUsed/>
    <w:rsid w:val="00DA2218"/>
    <w:rPr>
      <w:color w:val="0563C1" w:themeColor="hyperlink"/>
      <w:u w:val="single"/>
    </w:rPr>
  </w:style>
  <w:style w:type="character" w:styleId="UnresolvedMention">
    <w:name w:val="Unresolved Mention"/>
    <w:basedOn w:val="DefaultParagraphFont"/>
    <w:uiPriority w:val="99"/>
    <w:semiHidden/>
    <w:unhideWhenUsed/>
    <w:rsid w:val="00DA2218"/>
    <w:rPr>
      <w:color w:val="808080"/>
      <w:shd w:val="clear" w:color="auto" w:fill="E6E6E6"/>
    </w:rPr>
  </w:style>
  <w:style w:type="paragraph" w:styleId="NoSpacing">
    <w:name w:val="No Spacing"/>
    <w:uiPriority w:val="1"/>
    <w:qFormat/>
    <w:rsid w:val="00D84377"/>
    <w:pPr>
      <w:spacing w:after="0" w:line="240" w:lineRule="auto"/>
    </w:pPr>
  </w:style>
  <w:style w:type="character" w:styleId="CommentReference">
    <w:name w:val="annotation reference"/>
    <w:basedOn w:val="DefaultParagraphFont"/>
    <w:uiPriority w:val="99"/>
    <w:semiHidden/>
    <w:unhideWhenUsed/>
    <w:rsid w:val="00160FD2"/>
    <w:rPr>
      <w:sz w:val="16"/>
      <w:szCs w:val="16"/>
    </w:rPr>
  </w:style>
  <w:style w:type="paragraph" w:styleId="CommentText">
    <w:name w:val="annotation text"/>
    <w:basedOn w:val="Normal"/>
    <w:link w:val="CommentTextChar"/>
    <w:uiPriority w:val="99"/>
    <w:semiHidden/>
    <w:unhideWhenUsed/>
    <w:rsid w:val="00160FD2"/>
    <w:pPr>
      <w:spacing w:line="240" w:lineRule="auto"/>
    </w:pPr>
    <w:rPr>
      <w:sz w:val="20"/>
      <w:szCs w:val="20"/>
    </w:rPr>
  </w:style>
  <w:style w:type="character" w:customStyle="1" w:styleId="CommentTextChar">
    <w:name w:val="Comment Text Char"/>
    <w:basedOn w:val="DefaultParagraphFont"/>
    <w:link w:val="CommentText"/>
    <w:uiPriority w:val="99"/>
    <w:semiHidden/>
    <w:rsid w:val="00160FD2"/>
    <w:rPr>
      <w:sz w:val="20"/>
      <w:szCs w:val="20"/>
    </w:rPr>
  </w:style>
  <w:style w:type="paragraph" w:styleId="CommentSubject">
    <w:name w:val="annotation subject"/>
    <w:basedOn w:val="CommentText"/>
    <w:next w:val="CommentText"/>
    <w:link w:val="CommentSubjectChar"/>
    <w:uiPriority w:val="99"/>
    <w:semiHidden/>
    <w:unhideWhenUsed/>
    <w:rsid w:val="00160FD2"/>
    <w:rPr>
      <w:b/>
      <w:bCs/>
    </w:rPr>
  </w:style>
  <w:style w:type="character" w:customStyle="1" w:styleId="CommentSubjectChar">
    <w:name w:val="Comment Subject Char"/>
    <w:basedOn w:val="CommentTextChar"/>
    <w:link w:val="CommentSubject"/>
    <w:uiPriority w:val="99"/>
    <w:semiHidden/>
    <w:rsid w:val="00160FD2"/>
    <w:rPr>
      <w:b/>
      <w:bCs/>
      <w:sz w:val="20"/>
      <w:szCs w:val="20"/>
    </w:rPr>
  </w:style>
  <w:style w:type="paragraph" w:styleId="BalloonText">
    <w:name w:val="Balloon Text"/>
    <w:basedOn w:val="Normal"/>
    <w:link w:val="BalloonTextChar"/>
    <w:uiPriority w:val="99"/>
    <w:semiHidden/>
    <w:unhideWhenUsed/>
    <w:rsid w:val="00160F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FD2"/>
    <w:rPr>
      <w:rFonts w:ascii="Segoe UI" w:hAnsi="Segoe UI" w:cs="Segoe UI"/>
      <w:sz w:val="18"/>
      <w:szCs w:val="18"/>
    </w:rPr>
  </w:style>
  <w:style w:type="paragraph" w:styleId="Header">
    <w:name w:val="header"/>
    <w:basedOn w:val="Normal"/>
    <w:link w:val="HeaderChar"/>
    <w:uiPriority w:val="99"/>
    <w:unhideWhenUsed/>
    <w:rsid w:val="007319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1930"/>
  </w:style>
  <w:style w:type="paragraph" w:styleId="Footer">
    <w:name w:val="footer"/>
    <w:basedOn w:val="Normal"/>
    <w:link w:val="FooterChar"/>
    <w:uiPriority w:val="99"/>
    <w:unhideWhenUsed/>
    <w:rsid w:val="007319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1930"/>
  </w:style>
  <w:style w:type="character" w:customStyle="1" w:styleId="Heading1Char">
    <w:name w:val="Heading 1 Char"/>
    <w:basedOn w:val="DefaultParagraphFont"/>
    <w:link w:val="Heading1"/>
    <w:uiPriority w:val="9"/>
    <w:rsid w:val="00D8437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84377"/>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D84377"/>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D84377"/>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D84377"/>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D84377"/>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D84377"/>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D84377"/>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D84377"/>
    <w:rPr>
      <w:b/>
      <w:bCs/>
      <w:i/>
      <w:iCs/>
    </w:rPr>
  </w:style>
  <w:style w:type="paragraph" w:styleId="Caption">
    <w:name w:val="caption"/>
    <w:basedOn w:val="Normal"/>
    <w:next w:val="Normal"/>
    <w:uiPriority w:val="35"/>
    <w:semiHidden/>
    <w:unhideWhenUsed/>
    <w:qFormat/>
    <w:rsid w:val="00D84377"/>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D84377"/>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D84377"/>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D84377"/>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D84377"/>
    <w:rPr>
      <w:color w:val="44546A" w:themeColor="text2"/>
      <w:sz w:val="28"/>
      <w:szCs w:val="28"/>
    </w:rPr>
  </w:style>
  <w:style w:type="character" w:styleId="Strong">
    <w:name w:val="Strong"/>
    <w:basedOn w:val="DefaultParagraphFont"/>
    <w:uiPriority w:val="22"/>
    <w:qFormat/>
    <w:rsid w:val="00D84377"/>
    <w:rPr>
      <w:b/>
      <w:bCs/>
    </w:rPr>
  </w:style>
  <w:style w:type="character" w:styleId="Emphasis">
    <w:name w:val="Emphasis"/>
    <w:basedOn w:val="DefaultParagraphFont"/>
    <w:uiPriority w:val="20"/>
    <w:qFormat/>
    <w:rsid w:val="00D84377"/>
    <w:rPr>
      <w:i/>
      <w:iCs/>
      <w:color w:val="000000" w:themeColor="text1"/>
    </w:rPr>
  </w:style>
  <w:style w:type="paragraph" w:styleId="Quote">
    <w:name w:val="Quote"/>
    <w:basedOn w:val="Normal"/>
    <w:next w:val="Normal"/>
    <w:link w:val="QuoteChar"/>
    <w:uiPriority w:val="29"/>
    <w:qFormat/>
    <w:rsid w:val="00D84377"/>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D84377"/>
    <w:rPr>
      <w:i/>
      <w:iCs/>
      <w:color w:val="7B7B7B" w:themeColor="accent3" w:themeShade="BF"/>
      <w:sz w:val="24"/>
      <w:szCs w:val="24"/>
    </w:rPr>
  </w:style>
  <w:style w:type="paragraph" w:styleId="IntenseQuote">
    <w:name w:val="Intense Quote"/>
    <w:basedOn w:val="Normal"/>
    <w:next w:val="Normal"/>
    <w:link w:val="IntenseQuoteChar"/>
    <w:uiPriority w:val="30"/>
    <w:qFormat/>
    <w:rsid w:val="00D84377"/>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D84377"/>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D84377"/>
    <w:rPr>
      <w:i/>
      <w:iCs/>
      <w:color w:val="595959" w:themeColor="text1" w:themeTint="A6"/>
    </w:rPr>
  </w:style>
  <w:style w:type="character" w:styleId="IntenseEmphasis">
    <w:name w:val="Intense Emphasis"/>
    <w:basedOn w:val="DefaultParagraphFont"/>
    <w:uiPriority w:val="21"/>
    <w:qFormat/>
    <w:rsid w:val="00D84377"/>
    <w:rPr>
      <w:b/>
      <w:bCs/>
      <w:i/>
      <w:iCs/>
      <w:color w:val="auto"/>
    </w:rPr>
  </w:style>
  <w:style w:type="character" w:styleId="SubtleReference">
    <w:name w:val="Subtle Reference"/>
    <w:basedOn w:val="DefaultParagraphFont"/>
    <w:uiPriority w:val="31"/>
    <w:qFormat/>
    <w:rsid w:val="00D84377"/>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D84377"/>
    <w:rPr>
      <w:b/>
      <w:bCs/>
      <w:caps w:val="0"/>
      <w:smallCaps/>
      <w:color w:val="auto"/>
      <w:spacing w:val="0"/>
      <w:u w:val="single"/>
    </w:rPr>
  </w:style>
  <w:style w:type="character" w:styleId="BookTitle">
    <w:name w:val="Book Title"/>
    <w:basedOn w:val="DefaultParagraphFont"/>
    <w:uiPriority w:val="33"/>
    <w:qFormat/>
    <w:rsid w:val="00D84377"/>
    <w:rPr>
      <w:b/>
      <w:bCs/>
      <w:caps w:val="0"/>
      <w:smallCaps/>
      <w:spacing w:val="0"/>
    </w:rPr>
  </w:style>
  <w:style w:type="paragraph" w:styleId="TOCHeading">
    <w:name w:val="TOC Heading"/>
    <w:basedOn w:val="Heading1"/>
    <w:next w:val="Normal"/>
    <w:uiPriority w:val="39"/>
    <w:semiHidden/>
    <w:unhideWhenUsed/>
    <w:qFormat/>
    <w:rsid w:val="00D84377"/>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garetthatcher.org/document/108234/" TargetMode="External"/><Relationship Id="rId13" Type="http://schemas.openxmlformats.org/officeDocument/2006/relationships/hyperlink" Target="https://onlinelibrary.wiley.com/doi/full/10.1111/1467-9248.00104/" TargetMode="External"/><Relationship Id="rId3" Type="http://schemas.openxmlformats.org/officeDocument/2006/relationships/settings" Target="settings.xml"/><Relationship Id="rId7" Type="http://schemas.openxmlformats.org/officeDocument/2006/relationships/hyperlink" Target="https://www.margaretthatcher.org/document/111047/" TargetMode="External"/><Relationship Id="rId12" Type="http://schemas.openxmlformats.org/officeDocument/2006/relationships/hyperlink" Target="https://www.margaretthatcher.org/document/102675/"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margaretthatcher.org/document/107332/"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margaretthatcher.org/document/105804/" TargetMode="External"/><Relationship Id="rId4" Type="http://schemas.openxmlformats.org/officeDocument/2006/relationships/webSettings" Target="webSettings.xml"/><Relationship Id="rId9" Type="http://schemas.openxmlformats.org/officeDocument/2006/relationships/hyperlink" Target="https://www.margaretthatcher.org/document/104180/"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www.margaretthatcher.org/document/104180/" TargetMode="External"/><Relationship Id="rId7" Type="http://schemas.openxmlformats.org/officeDocument/2006/relationships/hyperlink" Target="https://www.margaretthatcher.org/document/108234/" TargetMode="External"/><Relationship Id="rId2" Type="http://schemas.openxmlformats.org/officeDocument/2006/relationships/hyperlink" Target="https://www.margaretthatcher.org/document/107332/" TargetMode="External"/><Relationship Id="rId1" Type="http://schemas.openxmlformats.org/officeDocument/2006/relationships/hyperlink" Target="https://www.margaretthatcher.org/document/102675/" TargetMode="External"/><Relationship Id="rId6" Type="http://schemas.openxmlformats.org/officeDocument/2006/relationships/hyperlink" Target="https://www.margaretthatcher.org/document/111047/" TargetMode="External"/><Relationship Id="rId5" Type="http://schemas.openxmlformats.org/officeDocument/2006/relationships/hyperlink" Target="https://www.margaretthatcher.org/document/105804/" TargetMode="External"/><Relationship Id="rId4" Type="http://schemas.openxmlformats.org/officeDocument/2006/relationships/hyperlink" Target="https://onlinelibrary.wiley.com/doi/full/10.1111/1467-9248.001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6C1BA8-06D2-4270-8548-4012ED8CE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4281</Words>
  <Characters>23318</Characters>
  <Application>Microsoft Office Word</Application>
  <DocSecurity>0</DocSecurity>
  <Lines>194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dc:creator>
  <cp:keywords/>
  <dc:description/>
  <cp:lastModifiedBy>Steven -</cp:lastModifiedBy>
  <cp:revision>2</cp:revision>
  <dcterms:created xsi:type="dcterms:W3CDTF">2018-05-11T10:43:00Z</dcterms:created>
  <dcterms:modified xsi:type="dcterms:W3CDTF">2018-05-11T10:43:00Z</dcterms:modified>
</cp:coreProperties>
</file>