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171E7" w14:textId="33F7B9B0" w:rsidR="003A5CAF" w:rsidRPr="00FF5B98" w:rsidRDefault="003A5CAF" w:rsidP="00FF5B98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5B98">
        <w:rPr>
          <w:rFonts w:ascii="Times New Roman" w:hAnsi="Times New Roman" w:cs="Times New Roman"/>
          <w:b/>
          <w:bCs/>
          <w:sz w:val="24"/>
          <w:szCs w:val="24"/>
        </w:rPr>
        <w:t>Topic:</w:t>
      </w:r>
    </w:p>
    <w:p w14:paraId="2F7C5CCD" w14:textId="78D488CF" w:rsidR="004D5120" w:rsidRPr="004D5120" w:rsidRDefault="004D5120" w:rsidP="00FF5B9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D5120">
        <w:rPr>
          <w:rFonts w:ascii="Times New Roman" w:hAnsi="Times New Roman" w:cs="Times New Roman"/>
          <w:b/>
          <w:bCs/>
          <w:sz w:val="24"/>
          <w:szCs w:val="24"/>
        </w:rPr>
        <w:t>"The Role of Residential Care Homes: Do They Provide Quality Care or Restrict Freedom?"</w:t>
      </w:r>
    </w:p>
    <w:p w14:paraId="1AB7DD54" w14:textId="3E6EAE74" w:rsidR="004C10EF" w:rsidRPr="005B0C9E" w:rsidRDefault="004D5120" w:rsidP="005B0C9E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D5120">
        <w:rPr>
          <w:rFonts w:ascii="Times New Roman" w:hAnsi="Times New Roman" w:cs="Times New Roman"/>
          <w:b/>
          <w:bCs/>
          <w:sz w:val="24"/>
          <w:szCs w:val="24"/>
        </w:rPr>
        <w:t>Stance:</w:t>
      </w:r>
      <w:r w:rsidRPr="004D5120">
        <w:rPr>
          <w:rFonts w:ascii="Times New Roman" w:hAnsi="Times New Roman" w:cs="Times New Roman"/>
          <w:sz w:val="24"/>
          <w:szCs w:val="24"/>
        </w:rPr>
        <w:t> </w:t>
      </w:r>
      <w:r w:rsidRPr="004D5120">
        <w:rPr>
          <w:rFonts w:ascii="Times New Roman" w:hAnsi="Times New Roman" w:cs="Times New Roman"/>
          <w:b/>
          <w:bCs/>
          <w:sz w:val="24"/>
          <w:szCs w:val="24"/>
        </w:rPr>
        <w:t>Residential Care Homes Provide Quality Care</w:t>
      </w:r>
    </w:p>
    <w:p w14:paraId="1109C626" w14:textId="6DF61463" w:rsidR="00DD1ABD" w:rsidRPr="004C10EF" w:rsidRDefault="00DD1ABD" w:rsidP="004C10E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ABD">
        <w:rPr>
          <w:rFonts w:ascii="Times New Roman" w:hAnsi="Times New Roman" w:cs="Times New Roman"/>
          <w:b/>
          <w:bCs/>
          <w:sz w:val="24"/>
          <w:szCs w:val="24"/>
        </w:rPr>
        <w:t>Reference list</w:t>
      </w:r>
      <w:r w:rsidRPr="00FF5B98">
        <w:rPr>
          <w:rFonts w:ascii="Times New Roman" w:hAnsi="Times New Roman" w:cs="Times New Roman"/>
          <w:b/>
          <w:bCs/>
          <w:sz w:val="24"/>
          <w:szCs w:val="24"/>
        </w:rPr>
        <w:t xml:space="preserve"> (Student 2)</w:t>
      </w:r>
    </w:p>
    <w:p w14:paraId="3F035FB8" w14:textId="77777777" w:rsidR="00DD1ABD" w:rsidRPr="00DD1ABD" w:rsidRDefault="00DD1ABD" w:rsidP="00FF5B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ABD">
        <w:rPr>
          <w:rFonts w:ascii="Times New Roman" w:hAnsi="Times New Roman" w:cs="Times New Roman"/>
          <w:sz w:val="24"/>
          <w:szCs w:val="24"/>
        </w:rPr>
        <w:t xml:space="preserve">Anaf, J., Freeman, T. and Baum, F. (2024). Privatisation of government services in Australia: what is known about health and equity impacts. </w:t>
      </w:r>
      <w:r w:rsidRPr="00DD1ABD">
        <w:rPr>
          <w:rFonts w:ascii="Times New Roman" w:hAnsi="Times New Roman" w:cs="Times New Roman"/>
          <w:i/>
          <w:iCs/>
          <w:sz w:val="24"/>
          <w:szCs w:val="24"/>
        </w:rPr>
        <w:t>Globalization and health</w:t>
      </w:r>
      <w:r w:rsidRPr="00DD1ABD">
        <w:rPr>
          <w:rFonts w:ascii="Times New Roman" w:hAnsi="Times New Roman" w:cs="Times New Roman"/>
          <w:sz w:val="24"/>
          <w:szCs w:val="24"/>
        </w:rPr>
        <w:t>, 20(1). doi:https://doi.org/10.1186/s12992-024-01036-w.</w:t>
      </w:r>
    </w:p>
    <w:p w14:paraId="7F7BED5B" w14:textId="77777777" w:rsidR="00DD1ABD" w:rsidRPr="00DD1ABD" w:rsidRDefault="00DD1ABD" w:rsidP="00FF5B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ABD">
        <w:rPr>
          <w:rFonts w:ascii="Times New Roman" w:hAnsi="Times New Roman" w:cs="Times New Roman"/>
          <w:sz w:val="24"/>
          <w:szCs w:val="24"/>
        </w:rPr>
        <w:t xml:space="preserve">Eric Miller, G. and Holmes, D. (2023). Self-Deception in Clinical Nursing Practice: A Concept Analysis. </w:t>
      </w:r>
      <w:r w:rsidRPr="00DD1ABD">
        <w:rPr>
          <w:rFonts w:ascii="Times New Roman" w:hAnsi="Times New Roman" w:cs="Times New Roman"/>
          <w:i/>
          <w:iCs/>
          <w:sz w:val="24"/>
          <w:szCs w:val="24"/>
        </w:rPr>
        <w:t>Clinical Nursing Research</w:t>
      </w:r>
      <w:r w:rsidRPr="00DD1ABD">
        <w:rPr>
          <w:rFonts w:ascii="Times New Roman" w:hAnsi="Times New Roman" w:cs="Times New Roman"/>
          <w:sz w:val="24"/>
          <w:szCs w:val="24"/>
        </w:rPr>
        <w:t>, 33(1), pp.114–122. doi:https://doi.org/10.1177/10547738231206610.</w:t>
      </w:r>
    </w:p>
    <w:p w14:paraId="504DC241" w14:textId="77777777" w:rsidR="00DD1ABD" w:rsidRPr="00DD1ABD" w:rsidRDefault="00DD1ABD" w:rsidP="00FF5B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ABD">
        <w:rPr>
          <w:rFonts w:ascii="Times New Roman" w:hAnsi="Times New Roman" w:cs="Times New Roman"/>
          <w:sz w:val="24"/>
          <w:szCs w:val="24"/>
        </w:rPr>
        <w:t xml:space="preserve">GOV.UK (2024). </w:t>
      </w:r>
      <w:r w:rsidRPr="00DD1ABD">
        <w:rPr>
          <w:rFonts w:ascii="Times New Roman" w:hAnsi="Times New Roman" w:cs="Times New Roman"/>
          <w:i/>
          <w:iCs/>
          <w:sz w:val="24"/>
          <w:szCs w:val="24"/>
        </w:rPr>
        <w:t>Review into the operational effectiveness of the Care Quality Commission: interim report</w:t>
      </w:r>
      <w:r w:rsidRPr="00DD1ABD">
        <w:rPr>
          <w:rFonts w:ascii="Times New Roman" w:hAnsi="Times New Roman" w:cs="Times New Roman"/>
          <w:sz w:val="24"/>
          <w:szCs w:val="24"/>
        </w:rPr>
        <w:t>. [online] GOV.UK. Available at: https://www.gov.uk/government/publications/review-into-the-operational-effectiveness-of-the-care-quality-commission/review-into-the-operational-effectiveness-of-the-care-quality-commission-interim-report.</w:t>
      </w:r>
    </w:p>
    <w:p w14:paraId="52221DBD" w14:textId="77777777" w:rsidR="00DD1ABD" w:rsidRPr="00DD1ABD" w:rsidRDefault="00DD1ABD" w:rsidP="00FF5B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ABD">
        <w:rPr>
          <w:rFonts w:ascii="Times New Roman" w:hAnsi="Times New Roman" w:cs="Times New Roman"/>
          <w:sz w:val="24"/>
          <w:szCs w:val="24"/>
        </w:rPr>
        <w:t xml:space="preserve">Health Quality Ontario (2013). In-Home Care for Optimizing Chronic Disease Management in the Community: An Evidence-Based Analysis. </w:t>
      </w:r>
      <w:r w:rsidRPr="00DD1ABD">
        <w:rPr>
          <w:rFonts w:ascii="Times New Roman" w:hAnsi="Times New Roman" w:cs="Times New Roman"/>
          <w:i/>
          <w:iCs/>
          <w:sz w:val="24"/>
          <w:szCs w:val="24"/>
        </w:rPr>
        <w:t>Ontario Health Technology Assessment Series</w:t>
      </w:r>
      <w:r w:rsidRPr="00DD1ABD">
        <w:rPr>
          <w:rFonts w:ascii="Times New Roman" w:hAnsi="Times New Roman" w:cs="Times New Roman"/>
          <w:sz w:val="24"/>
          <w:szCs w:val="24"/>
        </w:rPr>
        <w:t>, [online] 13(5), p.1. Available at: https://pmc.ncbi.nlm.nih.gov/articles/PMC3804052/ [Accessed 31 Oct. 2024].</w:t>
      </w:r>
    </w:p>
    <w:p w14:paraId="01DBCB9B" w14:textId="77777777" w:rsidR="00DD1ABD" w:rsidRPr="00DD1ABD" w:rsidRDefault="00DD1ABD" w:rsidP="00FF5B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ABD">
        <w:rPr>
          <w:rFonts w:ascii="Times New Roman" w:hAnsi="Times New Roman" w:cs="Times New Roman"/>
          <w:sz w:val="24"/>
          <w:szCs w:val="24"/>
        </w:rPr>
        <w:t xml:space="preserve">Johnson, K. and Boland, B. (2019). Adult Safeguarding under the Care Act 2014. </w:t>
      </w:r>
      <w:r w:rsidRPr="00DD1ABD">
        <w:rPr>
          <w:rFonts w:ascii="Times New Roman" w:hAnsi="Times New Roman" w:cs="Times New Roman"/>
          <w:i/>
          <w:iCs/>
          <w:sz w:val="24"/>
          <w:szCs w:val="24"/>
        </w:rPr>
        <w:t>BJPsych Bulletin</w:t>
      </w:r>
      <w:r w:rsidRPr="00DD1ABD">
        <w:rPr>
          <w:rFonts w:ascii="Times New Roman" w:hAnsi="Times New Roman" w:cs="Times New Roman"/>
          <w:sz w:val="24"/>
          <w:szCs w:val="24"/>
        </w:rPr>
        <w:t>, [online] 43(1), pp.38–42. doi:https://doi.org/10.1192/bjb.2018.71.</w:t>
      </w:r>
    </w:p>
    <w:p w14:paraId="681EBB05" w14:textId="77777777" w:rsidR="00DD1ABD" w:rsidRPr="00DD1ABD" w:rsidRDefault="00DD1ABD" w:rsidP="00FF5B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ABD">
        <w:rPr>
          <w:rFonts w:ascii="Times New Roman" w:hAnsi="Times New Roman" w:cs="Times New Roman"/>
          <w:sz w:val="24"/>
          <w:szCs w:val="24"/>
        </w:rPr>
        <w:t xml:space="preserve">Kim, S.K. and Park, M. (2017). Effectiveness of Person-Centered Care on People with Dementia: A Systematic Review and Meta-Analysis. </w:t>
      </w:r>
      <w:r w:rsidRPr="00DD1ABD">
        <w:rPr>
          <w:rFonts w:ascii="Times New Roman" w:hAnsi="Times New Roman" w:cs="Times New Roman"/>
          <w:i/>
          <w:iCs/>
          <w:sz w:val="24"/>
          <w:szCs w:val="24"/>
        </w:rPr>
        <w:t>Clinical Interventions in Aging</w:t>
      </w:r>
      <w:r w:rsidRPr="00DD1ABD">
        <w:rPr>
          <w:rFonts w:ascii="Times New Roman" w:hAnsi="Times New Roman" w:cs="Times New Roman"/>
          <w:sz w:val="24"/>
          <w:szCs w:val="24"/>
        </w:rPr>
        <w:t>, Volume 12(12), pp.381–397.</w:t>
      </w:r>
    </w:p>
    <w:p w14:paraId="7DF9941E" w14:textId="77777777" w:rsidR="00DD1ABD" w:rsidRPr="00DD1ABD" w:rsidRDefault="00DD1ABD" w:rsidP="00FF5B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ABD">
        <w:rPr>
          <w:rFonts w:ascii="Times New Roman" w:hAnsi="Times New Roman" w:cs="Times New Roman"/>
          <w:sz w:val="24"/>
          <w:szCs w:val="24"/>
        </w:rPr>
        <w:t xml:space="preserve">Kruk, M.E., Gage, A.D., Arsenault, C., Jordan, K., Leslie, H.H., Roder-DeWan, S., Adeyi, O., Barker, P., Daelmans, B., Doubova, S.V., English, M., Elorrio, E.G., Guanais, F., Gureje, O., Hirschhorn, L.R., Jiang, L., Kelley, E., Lemango, E.T., Liljestrand, J. and Malata, A. (2018). High-quality health systems in the Sustainable Development Goals era: time for a revolution. </w:t>
      </w:r>
      <w:r w:rsidRPr="00DD1ABD">
        <w:rPr>
          <w:rFonts w:ascii="Times New Roman" w:hAnsi="Times New Roman" w:cs="Times New Roman"/>
          <w:i/>
          <w:iCs/>
          <w:sz w:val="24"/>
          <w:szCs w:val="24"/>
        </w:rPr>
        <w:t>The Lancet Global Health</w:t>
      </w:r>
      <w:r w:rsidRPr="00DD1ABD">
        <w:rPr>
          <w:rFonts w:ascii="Times New Roman" w:hAnsi="Times New Roman" w:cs="Times New Roman"/>
          <w:sz w:val="24"/>
          <w:szCs w:val="24"/>
        </w:rPr>
        <w:t>, 6(11), pp.e1196–e1252.</w:t>
      </w:r>
    </w:p>
    <w:p w14:paraId="6AB449EB" w14:textId="77777777" w:rsidR="00DD1ABD" w:rsidRPr="00DD1ABD" w:rsidRDefault="00DD1ABD" w:rsidP="00FF5B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ABD">
        <w:rPr>
          <w:rFonts w:ascii="Times New Roman" w:hAnsi="Times New Roman" w:cs="Times New Roman"/>
          <w:sz w:val="24"/>
          <w:szCs w:val="24"/>
        </w:rPr>
        <w:t xml:space="preserve">Linneman, P.D. and Megbolugbe, I.F. (1994). Privatisation and Housing Policy. </w:t>
      </w:r>
      <w:r w:rsidRPr="00DD1ABD">
        <w:rPr>
          <w:rFonts w:ascii="Times New Roman" w:hAnsi="Times New Roman" w:cs="Times New Roman"/>
          <w:i/>
          <w:iCs/>
          <w:sz w:val="24"/>
          <w:szCs w:val="24"/>
        </w:rPr>
        <w:t>Urban Studies</w:t>
      </w:r>
      <w:r w:rsidRPr="00DD1ABD">
        <w:rPr>
          <w:rFonts w:ascii="Times New Roman" w:hAnsi="Times New Roman" w:cs="Times New Roman"/>
          <w:sz w:val="24"/>
          <w:szCs w:val="24"/>
        </w:rPr>
        <w:t>, [online] 31(4/5), pp.635–651. doi:https://doi.org/10.2307/43196131.</w:t>
      </w:r>
    </w:p>
    <w:p w14:paraId="2184A280" w14:textId="77777777" w:rsidR="00DD1ABD" w:rsidRPr="00DD1ABD" w:rsidRDefault="00DD1ABD" w:rsidP="00FF5B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ABD">
        <w:rPr>
          <w:rFonts w:ascii="Times New Roman" w:hAnsi="Times New Roman" w:cs="Times New Roman"/>
          <w:sz w:val="24"/>
          <w:szCs w:val="24"/>
        </w:rPr>
        <w:t xml:space="preserve">Marnfeldt, K. and Wilber, K. (2025). The Safety-Autonomy Grid: A Flexible Framework for Navigating Protection and Independence for Older Adults. </w:t>
      </w:r>
      <w:r w:rsidRPr="00DD1ABD">
        <w:rPr>
          <w:rFonts w:ascii="Times New Roman" w:hAnsi="Times New Roman" w:cs="Times New Roman"/>
          <w:i/>
          <w:iCs/>
          <w:sz w:val="24"/>
          <w:szCs w:val="24"/>
        </w:rPr>
        <w:t>The Gerontologist</w:t>
      </w:r>
      <w:r w:rsidRPr="00DD1ABD">
        <w:rPr>
          <w:rFonts w:ascii="Times New Roman" w:hAnsi="Times New Roman" w:cs="Times New Roman"/>
          <w:sz w:val="24"/>
          <w:szCs w:val="24"/>
        </w:rPr>
        <w:t>, [online] 65(6). doi:https://doi.org/10.1093/geront/gnaf111.</w:t>
      </w:r>
    </w:p>
    <w:p w14:paraId="785AD214" w14:textId="77777777" w:rsidR="00DD1ABD" w:rsidRPr="00DD1ABD" w:rsidRDefault="00DD1ABD" w:rsidP="00FF5B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ABD">
        <w:rPr>
          <w:rFonts w:ascii="Times New Roman" w:hAnsi="Times New Roman" w:cs="Times New Roman"/>
          <w:sz w:val="24"/>
          <w:szCs w:val="24"/>
        </w:rPr>
        <w:t xml:space="preserve">McNicoll, A. (2015). </w:t>
      </w:r>
      <w:r w:rsidRPr="00DD1ABD">
        <w:rPr>
          <w:rFonts w:ascii="Times New Roman" w:hAnsi="Times New Roman" w:cs="Times New Roman"/>
          <w:i/>
          <w:iCs/>
          <w:sz w:val="24"/>
          <w:szCs w:val="24"/>
        </w:rPr>
        <w:t>Mental Capacity Act failings prominent at most ‘inadequate’-rated care providers</w:t>
      </w:r>
      <w:r w:rsidRPr="00DD1ABD">
        <w:rPr>
          <w:rFonts w:ascii="Times New Roman" w:hAnsi="Times New Roman" w:cs="Times New Roman"/>
          <w:sz w:val="24"/>
          <w:szCs w:val="24"/>
        </w:rPr>
        <w:t>. [online] Community Care. Available at: https://www.communitycare.co.uk/2015/01/22/mental-capacity-act-failings-prominent-inadequate-rated-care-providers/ [Accessed 19 Jan. 2023].</w:t>
      </w:r>
    </w:p>
    <w:p w14:paraId="4F3A3157" w14:textId="77777777" w:rsidR="00DD1ABD" w:rsidRPr="00DD1ABD" w:rsidRDefault="00DD1ABD" w:rsidP="00FF5B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ABD">
        <w:rPr>
          <w:rFonts w:ascii="Times New Roman" w:hAnsi="Times New Roman" w:cs="Times New Roman"/>
          <w:sz w:val="24"/>
          <w:szCs w:val="24"/>
        </w:rPr>
        <w:t xml:space="preserve">National Institute on Aging (2023). </w:t>
      </w:r>
      <w:r w:rsidRPr="00DD1ABD">
        <w:rPr>
          <w:rFonts w:ascii="Times New Roman" w:hAnsi="Times New Roman" w:cs="Times New Roman"/>
          <w:i/>
          <w:iCs/>
          <w:sz w:val="24"/>
          <w:szCs w:val="24"/>
        </w:rPr>
        <w:t>Long-Term care facilities: Assisted living, nursing homes, and other residential care</w:t>
      </w:r>
      <w:r w:rsidRPr="00DD1ABD">
        <w:rPr>
          <w:rFonts w:ascii="Times New Roman" w:hAnsi="Times New Roman" w:cs="Times New Roman"/>
          <w:sz w:val="24"/>
          <w:szCs w:val="24"/>
        </w:rPr>
        <w:t>. [online] National Institute on Aging. Available at: https://www.nia.nih.gov/health/assisted-living-and-nursing-homes/long-term-care-facilities-assisted-living-nursing-homes.</w:t>
      </w:r>
    </w:p>
    <w:p w14:paraId="0683BBFD" w14:textId="77777777" w:rsidR="00DD1ABD" w:rsidRPr="00DD1ABD" w:rsidRDefault="00DD1ABD" w:rsidP="00FF5B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ABD">
        <w:rPr>
          <w:rFonts w:ascii="Times New Roman" w:hAnsi="Times New Roman" w:cs="Times New Roman"/>
          <w:sz w:val="24"/>
          <w:szCs w:val="24"/>
        </w:rPr>
        <w:t xml:space="preserve">NIH (2022). </w:t>
      </w:r>
      <w:r w:rsidRPr="00DD1ABD">
        <w:rPr>
          <w:rFonts w:ascii="Times New Roman" w:hAnsi="Times New Roman" w:cs="Times New Roman"/>
          <w:i/>
          <w:iCs/>
          <w:sz w:val="24"/>
          <w:szCs w:val="24"/>
        </w:rPr>
        <w:t>Nursing Home Environment and Resident Safety</w:t>
      </w:r>
      <w:r w:rsidRPr="00DD1ABD">
        <w:rPr>
          <w:rFonts w:ascii="Times New Roman" w:hAnsi="Times New Roman" w:cs="Times New Roman"/>
          <w:sz w:val="24"/>
          <w:szCs w:val="24"/>
        </w:rPr>
        <w:t>. [online] www.ncbi.nlm.nih.gov. Available at: https://www.ncbi.nlm.nih.gov/books/NBK584652/.</w:t>
      </w:r>
    </w:p>
    <w:p w14:paraId="06CF832C" w14:textId="77777777" w:rsidR="00DD1ABD" w:rsidRPr="00DD1ABD" w:rsidRDefault="00DD1ABD" w:rsidP="00FF5B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ABD">
        <w:rPr>
          <w:rFonts w:ascii="Times New Roman" w:hAnsi="Times New Roman" w:cs="Times New Roman"/>
          <w:sz w:val="24"/>
          <w:szCs w:val="24"/>
        </w:rPr>
        <w:t xml:space="preserve">Robinson, S.K., Meisnere, M., Phillips, J.R.L. and McCauley, L. (2021). </w:t>
      </w:r>
      <w:r w:rsidRPr="00DD1ABD">
        <w:rPr>
          <w:rFonts w:ascii="Times New Roman" w:hAnsi="Times New Roman" w:cs="Times New Roman"/>
          <w:i/>
          <w:iCs/>
          <w:sz w:val="24"/>
          <w:szCs w:val="24"/>
        </w:rPr>
        <w:t>Person-Centered, family-centered, and community-oriented primary care</w:t>
      </w:r>
      <w:r w:rsidRPr="00DD1ABD">
        <w:rPr>
          <w:rFonts w:ascii="Times New Roman" w:hAnsi="Times New Roman" w:cs="Times New Roman"/>
          <w:sz w:val="24"/>
          <w:szCs w:val="24"/>
        </w:rPr>
        <w:t xml:space="preserve">. [online] </w:t>
      </w:r>
      <w:r w:rsidRPr="00DD1ABD">
        <w:rPr>
          <w:rFonts w:ascii="Times New Roman" w:hAnsi="Times New Roman" w:cs="Times New Roman"/>
          <w:i/>
          <w:iCs/>
          <w:sz w:val="24"/>
          <w:szCs w:val="24"/>
        </w:rPr>
        <w:t>www.ncbi.nlm.nih.gov</w:t>
      </w:r>
      <w:r w:rsidRPr="00DD1ABD">
        <w:rPr>
          <w:rFonts w:ascii="Times New Roman" w:hAnsi="Times New Roman" w:cs="Times New Roman"/>
          <w:sz w:val="24"/>
          <w:szCs w:val="24"/>
        </w:rPr>
        <w:t>. National Academies Press (US). Available at: https://www.ncbi.nlm.nih.gov/books/NBK571814/.</w:t>
      </w:r>
    </w:p>
    <w:p w14:paraId="61E7F38B" w14:textId="77777777" w:rsidR="00DD1ABD" w:rsidRPr="00DD1ABD" w:rsidRDefault="00DD1ABD" w:rsidP="00FF5B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ABD">
        <w:rPr>
          <w:rFonts w:ascii="Times New Roman" w:hAnsi="Times New Roman" w:cs="Times New Roman"/>
          <w:sz w:val="24"/>
          <w:szCs w:val="24"/>
        </w:rPr>
        <w:t xml:space="preserve">Schulz, J.A., Koon, L.M., Greiman, L., Steinlage, H.A. and Hall, J.P. (2022). Understanding Successful Transition to Independent Living: A Qualitative Study of Young Adults with Disabilities. </w:t>
      </w:r>
      <w:r w:rsidRPr="00DD1ABD">
        <w:rPr>
          <w:rFonts w:ascii="Times New Roman" w:hAnsi="Times New Roman" w:cs="Times New Roman"/>
          <w:i/>
          <w:iCs/>
          <w:sz w:val="24"/>
          <w:szCs w:val="24"/>
        </w:rPr>
        <w:t>Children and Youth Services Review</w:t>
      </w:r>
      <w:r w:rsidRPr="00DD1ABD">
        <w:rPr>
          <w:rFonts w:ascii="Times New Roman" w:hAnsi="Times New Roman" w:cs="Times New Roman"/>
          <w:sz w:val="24"/>
          <w:szCs w:val="24"/>
        </w:rPr>
        <w:t>, p.106691. doi:https://doi.org/10.1016/j.childyouth.2022.106691.</w:t>
      </w:r>
    </w:p>
    <w:p w14:paraId="1A76FD0E" w14:textId="77777777" w:rsidR="00DD1ABD" w:rsidRPr="00DD1ABD" w:rsidRDefault="00DD1ABD" w:rsidP="00FF5B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ABD">
        <w:rPr>
          <w:rFonts w:ascii="Times New Roman" w:hAnsi="Times New Roman" w:cs="Times New Roman"/>
          <w:sz w:val="24"/>
          <w:szCs w:val="24"/>
        </w:rPr>
        <w:t xml:space="preserve">SCIE (2022). </w:t>
      </w:r>
      <w:r w:rsidRPr="00DD1ABD">
        <w:rPr>
          <w:rFonts w:ascii="Times New Roman" w:hAnsi="Times New Roman" w:cs="Times New Roman"/>
          <w:i/>
          <w:iCs/>
          <w:sz w:val="24"/>
          <w:szCs w:val="24"/>
        </w:rPr>
        <w:t>Mental Capacity Act 2005 at a Glance</w:t>
      </w:r>
      <w:r w:rsidRPr="00DD1ABD">
        <w:rPr>
          <w:rFonts w:ascii="Times New Roman" w:hAnsi="Times New Roman" w:cs="Times New Roman"/>
          <w:sz w:val="24"/>
          <w:szCs w:val="24"/>
        </w:rPr>
        <w:t>. [online] Social Care Institute for Excellence. Available at: https://www.scie.org.uk/mca/introduction/mental-capacity-act-2005-at-a-glance/.</w:t>
      </w:r>
    </w:p>
    <w:p w14:paraId="61D6C897" w14:textId="77777777" w:rsidR="00DD1ABD" w:rsidRPr="00DD1ABD" w:rsidRDefault="00DD1ABD" w:rsidP="00FF5B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ABD">
        <w:rPr>
          <w:rFonts w:ascii="Times New Roman" w:hAnsi="Times New Roman" w:cs="Times New Roman"/>
          <w:sz w:val="24"/>
          <w:szCs w:val="24"/>
        </w:rPr>
        <w:t xml:space="preserve">Shannon, H., Bush, K., Shvetz, C., Paquin, V., Morency, J., Hellemans, K.G. and Guimond, S. (2024). Longitudinal Problematic Social Media Use in Students and Its Association with Negative Mental Health Outcomes. </w:t>
      </w:r>
      <w:r w:rsidRPr="00DD1ABD">
        <w:rPr>
          <w:rFonts w:ascii="Times New Roman" w:hAnsi="Times New Roman" w:cs="Times New Roman"/>
          <w:i/>
          <w:iCs/>
          <w:sz w:val="24"/>
          <w:szCs w:val="24"/>
        </w:rPr>
        <w:t>Psychology Research and Behavior Management</w:t>
      </w:r>
      <w:r w:rsidRPr="00DD1ABD">
        <w:rPr>
          <w:rFonts w:ascii="Times New Roman" w:hAnsi="Times New Roman" w:cs="Times New Roman"/>
          <w:sz w:val="24"/>
          <w:szCs w:val="24"/>
        </w:rPr>
        <w:t>, [online] 17, pp.1551–1560. doi:https://doi.org/10.2147/PRBM.S450217.</w:t>
      </w:r>
    </w:p>
    <w:p w14:paraId="07DA4624" w14:textId="77777777" w:rsidR="00DD1ABD" w:rsidRPr="00DD1ABD" w:rsidRDefault="00DD1ABD" w:rsidP="00FF5B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ABD">
        <w:rPr>
          <w:rFonts w:ascii="Times New Roman" w:hAnsi="Times New Roman" w:cs="Times New Roman"/>
          <w:sz w:val="24"/>
          <w:szCs w:val="24"/>
        </w:rPr>
        <w:t xml:space="preserve">Tapper, J. (2021). </w:t>
      </w:r>
      <w:r w:rsidRPr="00DD1ABD">
        <w:rPr>
          <w:rFonts w:ascii="Times New Roman" w:hAnsi="Times New Roman" w:cs="Times New Roman"/>
          <w:i/>
          <w:iCs/>
          <w:sz w:val="24"/>
          <w:szCs w:val="24"/>
        </w:rPr>
        <w:t>‘This is an attack on human rights’: UK care homes still denying family visits to residents</w:t>
      </w:r>
      <w:r w:rsidRPr="00DD1ABD">
        <w:rPr>
          <w:rFonts w:ascii="Times New Roman" w:hAnsi="Times New Roman" w:cs="Times New Roman"/>
          <w:sz w:val="24"/>
          <w:szCs w:val="24"/>
        </w:rPr>
        <w:t>. [online] the Guardian. Available at: https://www.theguardian.com/society/2021/nov/20/uk-care-homes-deny-family-visits-human-rights [Accessed 24 Nov. 2021].</w:t>
      </w:r>
    </w:p>
    <w:p w14:paraId="5BC17B2A" w14:textId="77777777" w:rsidR="00DD1ABD" w:rsidRPr="00DD1ABD" w:rsidRDefault="00DD1ABD" w:rsidP="00FF5B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ABD">
        <w:rPr>
          <w:rFonts w:ascii="Times New Roman" w:hAnsi="Times New Roman" w:cs="Times New Roman"/>
          <w:sz w:val="24"/>
          <w:szCs w:val="24"/>
        </w:rPr>
        <w:t xml:space="preserve">Urban, G.L. (2005). Customer Advocacy: A New Era in Marketing? </w:t>
      </w:r>
      <w:r w:rsidRPr="00DD1ABD">
        <w:rPr>
          <w:rFonts w:ascii="Times New Roman" w:hAnsi="Times New Roman" w:cs="Times New Roman"/>
          <w:i/>
          <w:iCs/>
          <w:sz w:val="24"/>
          <w:szCs w:val="24"/>
        </w:rPr>
        <w:t>Journal of Public Policy &amp; Marketing</w:t>
      </w:r>
      <w:r w:rsidRPr="00DD1ABD">
        <w:rPr>
          <w:rFonts w:ascii="Times New Roman" w:hAnsi="Times New Roman" w:cs="Times New Roman"/>
          <w:sz w:val="24"/>
          <w:szCs w:val="24"/>
        </w:rPr>
        <w:t>, 24(1), pp.155–159. doi:https://doi.org/10.1509/jppm.24.1.155.63887.</w:t>
      </w:r>
    </w:p>
    <w:p w14:paraId="289EDAEB" w14:textId="77777777" w:rsidR="00DD1ABD" w:rsidRPr="00DD1ABD" w:rsidRDefault="00DD1ABD" w:rsidP="00FF5B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ABD">
        <w:rPr>
          <w:rFonts w:ascii="Times New Roman" w:hAnsi="Times New Roman" w:cs="Times New Roman"/>
          <w:sz w:val="24"/>
          <w:szCs w:val="24"/>
        </w:rPr>
        <w:t xml:space="preserve">Walker, G.M., Armstrong, S., Gordon, A.L., Gladman, J., Robertson, K., Ward, M., Conroy, S., Arnold, G., Darby, J., Frowd, N., Williams, W., Knowles, S. and Logan, P.A. (2016). The Falls In Care Home study: a feasibility randomized controlled trial of the use of a risk assessment and decision support tool to prevent falls in care homes. </w:t>
      </w:r>
      <w:r w:rsidRPr="00DD1ABD">
        <w:rPr>
          <w:rFonts w:ascii="Times New Roman" w:hAnsi="Times New Roman" w:cs="Times New Roman"/>
          <w:i/>
          <w:iCs/>
          <w:sz w:val="24"/>
          <w:szCs w:val="24"/>
        </w:rPr>
        <w:t>Clinical Rehabilitation</w:t>
      </w:r>
      <w:r w:rsidRPr="00DD1ABD">
        <w:rPr>
          <w:rFonts w:ascii="Times New Roman" w:hAnsi="Times New Roman" w:cs="Times New Roman"/>
          <w:sz w:val="24"/>
          <w:szCs w:val="24"/>
        </w:rPr>
        <w:t>, 30(10), pp.972–983. doi:https://doi.org/10.1177/0269215515604672.</w:t>
      </w:r>
    </w:p>
    <w:p w14:paraId="714128FC" w14:textId="77777777" w:rsidR="00DD1ABD" w:rsidRPr="00DD1ABD" w:rsidRDefault="00DD1ABD" w:rsidP="00FF5B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ABD">
        <w:rPr>
          <w:rFonts w:ascii="Times New Roman" w:hAnsi="Times New Roman" w:cs="Times New Roman"/>
          <w:sz w:val="24"/>
          <w:szCs w:val="24"/>
        </w:rPr>
        <w:t xml:space="preserve">WHO (2024). </w:t>
      </w:r>
      <w:r w:rsidRPr="00DD1ABD">
        <w:rPr>
          <w:rFonts w:ascii="Times New Roman" w:hAnsi="Times New Roman" w:cs="Times New Roman"/>
          <w:i/>
          <w:iCs/>
          <w:sz w:val="24"/>
          <w:szCs w:val="24"/>
        </w:rPr>
        <w:t>Global patient safety report 2024 lob p</w:t>
      </w:r>
      <w:r w:rsidRPr="00DD1ABD">
        <w:rPr>
          <w:rFonts w:ascii="Times New Roman" w:hAnsi="Times New Roman" w:cs="Times New Roman"/>
          <w:sz w:val="24"/>
          <w:szCs w:val="24"/>
        </w:rPr>
        <w:t>. [online] Available at: https://iris.who.int/bitstream/handle/10665/376928/9789240095458-eng.pdf?sequence=1.</w:t>
      </w:r>
    </w:p>
    <w:p w14:paraId="44CE6445" w14:textId="77777777" w:rsidR="00CF1D0F" w:rsidRPr="00FF5B98" w:rsidRDefault="00CF1D0F" w:rsidP="00FF5B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F1D0F" w:rsidRPr="00FF5B9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E7F"/>
    <w:rsid w:val="00077E7F"/>
    <w:rsid w:val="001026C9"/>
    <w:rsid w:val="001C0157"/>
    <w:rsid w:val="00217638"/>
    <w:rsid w:val="00217AB1"/>
    <w:rsid w:val="002270D3"/>
    <w:rsid w:val="002C110F"/>
    <w:rsid w:val="003023A7"/>
    <w:rsid w:val="003A5527"/>
    <w:rsid w:val="003A5CAF"/>
    <w:rsid w:val="0042598F"/>
    <w:rsid w:val="00431525"/>
    <w:rsid w:val="004B3525"/>
    <w:rsid w:val="004C10EF"/>
    <w:rsid w:val="004D5120"/>
    <w:rsid w:val="00511CD7"/>
    <w:rsid w:val="0051345C"/>
    <w:rsid w:val="0056723E"/>
    <w:rsid w:val="00580A58"/>
    <w:rsid w:val="005B0C9E"/>
    <w:rsid w:val="005C01DF"/>
    <w:rsid w:val="005D7AD5"/>
    <w:rsid w:val="00640D74"/>
    <w:rsid w:val="006517D0"/>
    <w:rsid w:val="006B4970"/>
    <w:rsid w:val="006C3925"/>
    <w:rsid w:val="006F086B"/>
    <w:rsid w:val="007075DE"/>
    <w:rsid w:val="00794F52"/>
    <w:rsid w:val="007B6A74"/>
    <w:rsid w:val="007D56D2"/>
    <w:rsid w:val="007E745B"/>
    <w:rsid w:val="00853E29"/>
    <w:rsid w:val="008B72A9"/>
    <w:rsid w:val="008E79CE"/>
    <w:rsid w:val="0097782F"/>
    <w:rsid w:val="009A0C33"/>
    <w:rsid w:val="00A27B07"/>
    <w:rsid w:val="00A443F6"/>
    <w:rsid w:val="00A66D5A"/>
    <w:rsid w:val="00A83F13"/>
    <w:rsid w:val="00A96B59"/>
    <w:rsid w:val="00AD0167"/>
    <w:rsid w:val="00AD631C"/>
    <w:rsid w:val="00B551D2"/>
    <w:rsid w:val="00B60033"/>
    <w:rsid w:val="00B62ED3"/>
    <w:rsid w:val="00BB2265"/>
    <w:rsid w:val="00BC51FD"/>
    <w:rsid w:val="00CD5C53"/>
    <w:rsid w:val="00CF1D0F"/>
    <w:rsid w:val="00D93CC3"/>
    <w:rsid w:val="00DD1ABD"/>
    <w:rsid w:val="00E021C8"/>
    <w:rsid w:val="00EB3A04"/>
    <w:rsid w:val="00F1470D"/>
    <w:rsid w:val="00F85CD7"/>
    <w:rsid w:val="00FC7CD0"/>
    <w:rsid w:val="00FE75F8"/>
    <w:rsid w:val="00FF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9F9251"/>
  <w15:chartTrackingRefBased/>
  <w15:docId w15:val="{5E0268A1-EC37-4ED8-B173-3C695575A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077E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7E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7E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7E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7E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7E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7E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7E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7E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7E7F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7E7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7E7F"/>
    <w:rPr>
      <w:rFonts w:eastAsiaTheme="majorEastAsia" w:cstheme="majorBidi"/>
      <w:color w:val="2F5496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7E7F"/>
    <w:rPr>
      <w:rFonts w:eastAsiaTheme="majorEastAsia" w:cstheme="majorBidi"/>
      <w:i/>
      <w:iCs/>
      <w:color w:val="2F5496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7E7F"/>
    <w:rPr>
      <w:rFonts w:eastAsiaTheme="majorEastAsia" w:cstheme="majorBidi"/>
      <w:color w:val="2F5496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7E7F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7E7F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7E7F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7E7F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077E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7E7F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7E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7E7F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077E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7E7F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077E7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7E7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7E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7E7F"/>
    <w:rPr>
      <w:i/>
      <w:iCs/>
      <w:color w:val="2F5496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077E7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79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8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1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0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5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2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0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0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2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7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14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26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7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6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1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3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6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4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2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1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1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5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7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21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7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779</Words>
  <Characters>4442</Characters>
  <Application>Microsoft Office Word</Application>
  <DocSecurity>0</DocSecurity>
  <Lines>37</Lines>
  <Paragraphs>10</Paragraphs>
  <ScaleCrop>false</ScaleCrop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CDC</dc:creator>
  <cp:keywords/>
  <dc:description/>
  <cp:lastModifiedBy>tayyaba hasan</cp:lastModifiedBy>
  <cp:revision>2</cp:revision>
  <dcterms:created xsi:type="dcterms:W3CDTF">2025-12-01T10:53:00Z</dcterms:created>
  <dcterms:modified xsi:type="dcterms:W3CDTF">2025-12-01T10:53:00Z</dcterms:modified>
</cp:coreProperties>
</file>