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4FFC" w:rsidRPr="00737BC9" w:rsidRDefault="00C94FFC" w:rsidP="00C94FFC">
      <w:pPr>
        <w:jc w:val="center"/>
        <w:rPr>
          <w:u w:val="single"/>
        </w:rPr>
      </w:pPr>
      <w:bookmarkStart w:id="0" w:name="_GoBack"/>
      <w:r w:rsidRPr="00737BC9">
        <w:rPr>
          <w:u w:val="single"/>
        </w:rPr>
        <w:t>Reply to Group two:  ‘Women and the Dioscuri’</w:t>
      </w:r>
    </w:p>
    <w:bookmarkEnd w:id="0"/>
    <w:p w:rsidR="00C94FFC" w:rsidRDefault="00C94FFC" w:rsidP="00C94FFC"/>
    <w:p w:rsidR="00C94FFC" w:rsidRDefault="00C94FFC" w:rsidP="00C94FFC">
      <w:r>
        <w:t xml:space="preserve">This entry argues the idea that women in ancient societies were overlooked and tries to convey the argument through the use of the relation of the women in the myth of the Dioscuri with the brothers themselves and how this presented the myth in parallel to Spartan society and politics. </w:t>
      </w:r>
    </w:p>
    <w:p w:rsidR="00FF02FD" w:rsidRDefault="005E177A"/>
    <w:p w:rsidR="007B25D4" w:rsidRDefault="00C94FFC" w:rsidP="007B25D4">
      <w:r>
        <w:t>The entry begins by giving vague reference to the role of women in society but gives little indication of what this role actually was, missing a key characteristic role of the women of Sparta specifically as being the only ‘women who are mothers of men’</w:t>
      </w:r>
      <w:r>
        <w:rPr>
          <w:rStyle w:val="FootnoteReference"/>
        </w:rPr>
        <w:footnoteReference w:id="1"/>
      </w:r>
      <w:r>
        <w:t xml:space="preserve"> this would have given some insight into the position of women in Sparta which would have set a context and tone for the piece, though </w:t>
      </w:r>
      <w:r>
        <w:t>the argument is made</w:t>
      </w:r>
      <w:r>
        <w:t xml:space="preserve"> towa</w:t>
      </w:r>
      <w:r>
        <w:t>rds the end of the entry and a</w:t>
      </w:r>
      <w:r>
        <w:t xml:space="preserve"> parallel is made between Helens role as a possession and the treatment of women before and after they produce a child for the city-state.</w:t>
      </w:r>
      <w:r>
        <w:t xml:space="preserve"> Though the writer is correct in arguing that modesty was an important element of </w:t>
      </w:r>
      <w:r w:rsidR="006D3E9C">
        <w:t>behaviour</w:t>
      </w:r>
      <w:r>
        <w:t xml:space="preserve"> for </w:t>
      </w:r>
      <w:r w:rsidR="006D3E9C">
        <w:t>Greek</w:t>
      </w:r>
      <w:r>
        <w:t xml:space="preserve"> women, there are other </w:t>
      </w:r>
      <w:r w:rsidR="006D3E9C">
        <w:t>behaviours</w:t>
      </w:r>
      <w:r>
        <w:t xml:space="preserve"> an ancient woman would have found of equal importance. An ancient woman would have found it necessary to mark her </w:t>
      </w:r>
      <w:r w:rsidR="006D3E9C">
        <w:t>expectations</w:t>
      </w:r>
      <w:r>
        <w:t xml:space="preserve"> as an individual </w:t>
      </w:r>
      <w:r w:rsidR="006D3E9C">
        <w:t xml:space="preserve">as </w:t>
      </w:r>
      <w:r>
        <w:t>to the bearing of children, so much as how she could remain ‘modest and well brought up’</w:t>
      </w:r>
      <w:r>
        <w:rPr>
          <w:rStyle w:val="FootnoteReference"/>
        </w:rPr>
        <w:footnoteReference w:id="2"/>
      </w:r>
      <w:r>
        <w:t xml:space="preserve">. </w:t>
      </w:r>
      <w:r>
        <w:t xml:space="preserve">Also </w:t>
      </w:r>
      <w:r w:rsidR="006D3E9C">
        <w:t>no</w:t>
      </w:r>
      <w:r>
        <w:t xml:space="preserve"> indication that this does not reflect a modern standpoint</w:t>
      </w:r>
      <w:r w:rsidR="006D3E9C">
        <w:t xml:space="preserve"> is given this context is necessary for a rounded piece, especially the mention in</w:t>
      </w:r>
      <w:r>
        <w:t xml:space="preserve"> the extract of</w:t>
      </w:r>
      <w:r w:rsidR="006D3E9C">
        <w:t xml:space="preserve"> the idea that</w:t>
      </w:r>
      <w:r>
        <w:t xml:space="preserve"> women </w:t>
      </w:r>
      <w:r w:rsidR="006D3E9C">
        <w:t xml:space="preserve">were </w:t>
      </w:r>
      <w:r>
        <w:t xml:space="preserve">not being shown with strong positive characteristics, </w:t>
      </w:r>
      <w:r>
        <w:t xml:space="preserve">a total lack of development of this idea is present. A valid argument could have been that </w:t>
      </w:r>
      <w:r>
        <w:t>women in myth often portray characteristics that were undesirable of women in the ancient world, but this does not reflect the characteristics of women in the modern world, a wider reference to a behaviour considered unwomanly or unidealistic such as in Aeschylus’ Seven Against Thebes referring to the woman’s ‘boldness’ as ‘unendurable’</w:t>
      </w:r>
      <w:r>
        <w:rPr>
          <w:rStyle w:val="FootnoteReference"/>
        </w:rPr>
        <w:footnoteReference w:id="3"/>
      </w:r>
      <w:r>
        <w:t xml:space="preserve"> this would </w:t>
      </w:r>
      <w:r w:rsidR="006D3E9C">
        <w:t>provide</w:t>
      </w:r>
      <w:r>
        <w:t xml:space="preserve"> a parallel to how a woman considers herself now which would not include an archaic idea of personality such as this</w:t>
      </w:r>
      <w:r>
        <w:t xml:space="preserve">. </w:t>
      </w:r>
      <w:r w:rsidR="007B25D4">
        <w:t>A</w:t>
      </w:r>
      <w:r w:rsidR="007B25D4">
        <w:t xml:space="preserve"> point could be made regarding some of the actions of women being considered outwardly evil to us even today such as murder but that the previous and uncontroversial behaviours </w:t>
      </w:r>
      <w:r w:rsidR="007B25D4">
        <w:t xml:space="preserve">were thought to </w:t>
      </w:r>
      <w:r w:rsidR="007B25D4">
        <w:t>lead to this</w:t>
      </w:r>
      <w:r w:rsidR="007B25D4">
        <w:t>. An</w:t>
      </w:r>
      <w:r w:rsidR="003E7321">
        <w:t>other related</w:t>
      </w:r>
      <w:r w:rsidR="007B25D4">
        <w:t xml:space="preserve"> argument would </w:t>
      </w:r>
      <w:r w:rsidR="003E7321">
        <w:t xml:space="preserve">have been </w:t>
      </w:r>
      <w:r w:rsidR="007B25D4">
        <w:t>that the women involved in the myth of the Dioscuri do not meet these expectations, Clytemnestra, for example is often portrayed as among the worst of women due to her infidelity and murder of her husband</w:t>
      </w:r>
      <w:r w:rsidR="007B25D4">
        <w:rPr>
          <w:rStyle w:val="FootnoteReference"/>
        </w:rPr>
        <w:footnoteReference w:id="4"/>
      </w:r>
      <w:r w:rsidR="007B25D4">
        <w:t>. Equally the position of females in power, in Clytemnestra’s case her rule is seen as violent and tyrannical but as Blundell remarks ‘the restoration of male power is something to be welcomed’</w:t>
      </w:r>
      <w:r w:rsidR="007B25D4">
        <w:rPr>
          <w:rStyle w:val="FootnoteReference"/>
        </w:rPr>
        <w:footnoteReference w:id="5"/>
      </w:r>
      <w:r w:rsidR="007B25D4">
        <w:t xml:space="preserve"> this is definitely a key part of the role of women within Spartan or any ancient society. </w:t>
      </w:r>
    </w:p>
    <w:p w:rsidR="00AF46A8" w:rsidRDefault="00AF46A8" w:rsidP="007B25D4"/>
    <w:p w:rsidR="00AF46A8" w:rsidRDefault="00AF46A8" w:rsidP="00AF46A8">
      <w:r>
        <w:t>The extract gives little context on the role of th</w:t>
      </w:r>
      <w:r>
        <w:t>e Dioscuri in Spartan society,</w:t>
      </w:r>
      <w:r>
        <w:t xml:space="preserve"> It would have been key to mention their importance to the people of Sparta, highlighting the love of the royal families and the idea that princes of Sparta were of immortal or godly status</w:t>
      </w:r>
      <w:r>
        <w:rPr>
          <w:rStyle w:val="FootnoteReference"/>
        </w:rPr>
        <w:footnoteReference w:id="6"/>
      </w:r>
      <w:r>
        <w:t xml:space="preserve"> being valuable to the peoples of the state. </w:t>
      </w:r>
      <w:r w:rsidR="005E15F3">
        <w:t xml:space="preserve">There is a </w:t>
      </w:r>
      <w:r>
        <w:t xml:space="preserve">point made in the second paragraph </w:t>
      </w:r>
      <w:r>
        <w:lastRenderedPageBreak/>
        <w:t xml:space="preserve">discussing that although the women in the myth are on parallel regarding both royal and godly decent, specifically the siblings, within whom </w:t>
      </w:r>
      <w:proofErr w:type="spellStart"/>
      <w:r>
        <w:t>Polydeuces</w:t>
      </w:r>
      <w:proofErr w:type="spellEnd"/>
      <w:r>
        <w:t xml:space="preserve"> and Helen being the spawn of Zeus and Castor and Clytemnestra being the spawn of the Spartan king </w:t>
      </w:r>
      <w:proofErr w:type="spellStart"/>
      <w:r>
        <w:t>Tyndareus</w:t>
      </w:r>
      <w:proofErr w:type="spellEnd"/>
      <w:r>
        <w:rPr>
          <w:rStyle w:val="FootnoteReference"/>
        </w:rPr>
        <w:footnoteReference w:id="7"/>
      </w:r>
      <w:r>
        <w:t xml:space="preserve">, yet </w:t>
      </w:r>
      <w:r w:rsidR="006D3E9C">
        <w:t>the argument contains no mention that the myth</w:t>
      </w:r>
      <w:r>
        <w:t xml:space="preserve"> o</w:t>
      </w:r>
      <w:r w:rsidR="006D3E9C">
        <w:t xml:space="preserve">f the females being </w:t>
      </w:r>
      <w:r>
        <w:t>kidnapped or descending into madness</w:t>
      </w:r>
      <w:r>
        <w:rPr>
          <w:rStyle w:val="FootnoteReference"/>
        </w:rPr>
        <w:footnoteReference w:id="8"/>
      </w:r>
      <w:r>
        <w:t xml:space="preserve">. </w:t>
      </w:r>
      <w:r w:rsidR="005E15F3">
        <w:t xml:space="preserve">This </w:t>
      </w:r>
      <w:r w:rsidR="006D3E9C">
        <w:t>argument</w:t>
      </w:r>
      <w:r w:rsidR="005E15F3">
        <w:t xml:space="preserve"> is relevant </w:t>
      </w:r>
      <w:r>
        <w:t xml:space="preserve">but could have been developed with examples of how the women, although technically equal, were not regarded in the same way pertaining to both status and treatment. </w:t>
      </w:r>
    </w:p>
    <w:p w:rsidR="005E15F3" w:rsidRDefault="005E15F3" w:rsidP="00AF46A8"/>
    <w:p w:rsidR="005E15F3" w:rsidRDefault="005E15F3" w:rsidP="005E15F3">
      <w:r>
        <w:t>The use of the phrase ‘damsel’ or ‘damse</w:t>
      </w:r>
      <w:r>
        <w:t>l in need of rescuing’ is very</w:t>
      </w:r>
      <w:r>
        <w:t xml:space="preserve"> problematic in this piece and is used on several occasions, when used in reference to Helen of troy the meaning is clear but the meaning of and behind this word is not altogether clear. The word ‘damsel’ in the oxford dictionary is defined as a young, unmarried woman or a maiden, this is not quite true when talking about Helen but there are simply too many connotations associated with this phrasing to make it viable for use here. It could posse meaning to the reader which true or untrue could be demonstrative of the authors opinion of women and though it is clear that it is used in reference to ancient opinions of women the accuracy is still lacking. The romanticism of the word does not apply here to Helen when the reason for her being rescued as it were, is not because of romance but rather more to do with the idea of women being objects and currency amongst men, Menelaus clearly feels something that belongs to him has been taken rather than that he wishes Helens safe return for his love for her</w:t>
      </w:r>
      <w:r>
        <w:rPr>
          <w:rStyle w:val="FootnoteReference"/>
        </w:rPr>
        <w:footnoteReference w:id="9"/>
      </w:r>
      <w:r>
        <w:t xml:space="preserve">. It </w:t>
      </w:r>
      <w:r>
        <w:t>is important to choose words carefully especially words with loaded and assumptive meaning. Aside from this issue of terminology the relation of the rescue of Helen to the idea of Spartans as ideal warriors is sound, and the writer even admits that the issue is that it is about making a stand for what is theirs, i.e. Sparta’s without permission rather than the safety of Helen</w:t>
      </w:r>
      <w:r w:rsidR="00863816">
        <w:t xml:space="preserve"> as a woman, so it is unclear why no further development was put into this point.</w:t>
      </w:r>
    </w:p>
    <w:p w:rsidR="005E15F3" w:rsidRDefault="005E15F3" w:rsidP="00AF46A8"/>
    <w:p w:rsidR="006D3E9C" w:rsidRDefault="006D3E9C" w:rsidP="006D3E9C">
      <w:r>
        <w:t>I found</w:t>
      </w:r>
      <w:r>
        <w:t xml:space="preserve"> that overall in this piece more focus on the women themselves rather than the position of the male in relation to the women is necessary, this in fact rather emphasises the point of the article, being the ancient overlooking of women, but in the worst way, by overlooking their role in the myth itself and being unable to discern meaning from this. The concluding note of the connecting factor of violence is correct although </w:t>
      </w:r>
      <w:r>
        <w:t xml:space="preserve">a weak statement I think that </w:t>
      </w:r>
      <w:r>
        <w:t>within myth, violence being such a constant theme</w:t>
      </w:r>
      <w:r>
        <w:t xml:space="preserve">, </w:t>
      </w:r>
      <w:r>
        <w:t xml:space="preserve">further analysis is required, for example the role of men in power and how the women of parallel status are still treated secondly. </w:t>
      </w:r>
    </w:p>
    <w:p w:rsidR="006D3E9C" w:rsidRDefault="00DE55A0" w:rsidP="006D3E9C">
      <w:r>
        <w:t xml:space="preserve"> </w:t>
      </w:r>
    </w:p>
    <w:p w:rsidR="00710243" w:rsidRDefault="00710243" w:rsidP="006D3E9C"/>
    <w:p w:rsidR="00710243" w:rsidRDefault="00710243" w:rsidP="006D3E9C"/>
    <w:p w:rsidR="00710243" w:rsidRDefault="00710243" w:rsidP="006D3E9C"/>
    <w:p w:rsidR="00710243" w:rsidRDefault="00710243" w:rsidP="006D3E9C"/>
    <w:p w:rsidR="00710243" w:rsidRDefault="00710243" w:rsidP="006D3E9C"/>
    <w:p w:rsidR="00710243" w:rsidRDefault="00710243" w:rsidP="006D3E9C"/>
    <w:p w:rsidR="00710243" w:rsidRDefault="00710243" w:rsidP="006D3E9C"/>
    <w:p w:rsidR="00710243" w:rsidRDefault="00710243" w:rsidP="006D3E9C"/>
    <w:p w:rsidR="00710243" w:rsidRPr="008E7A94" w:rsidRDefault="00710243" w:rsidP="006D3E9C">
      <w:pPr>
        <w:rPr>
          <w:u w:val="single"/>
        </w:rPr>
      </w:pPr>
      <w:r w:rsidRPr="008E7A94">
        <w:rPr>
          <w:u w:val="single"/>
        </w:rPr>
        <w:lastRenderedPageBreak/>
        <w:t xml:space="preserve">Bibliography </w:t>
      </w:r>
    </w:p>
    <w:p w:rsidR="008E7A94" w:rsidRDefault="008E7A94" w:rsidP="006D3E9C"/>
    <w:p w:rsidR="008E7A94" w:rsidRDefault="008E7A94" w:rsidP="006D3E9C"/>
    <w:p w:rsidR="006D3E9C" w:rsidRDefault="0043166F" w:rsidP="00AF46A8">
      <w:r>
        <w:t>Modern Scholarship</w:t>
      </w:r>
    </w:p>
    <w:p w:rsidR="0043166F" w:rsidRDefault="0043166F" w:rsidP="00AF46A8">
      <w:r>
        <w:t xml:space="preserve">Blundell, S. (1995) </w:t>
      </w:r>
      <w:r w:rsidRPr="0043166F">
        <w:rPr>
          <w:i/>
        </w:rPr>
        <w:t>Women in Ancient Greece</w:t>
      </w:r>
      <w:r>
        <w:t xml:space="preserve">. Harvard University Press. </w:t>
      </w:r>
    </w:p>
    <w:p w:rsidR="0043166F" w:rsidRDefault="0043166F" w:rsidP="00AF46A8">
      <w:r>
        <w:t xml:space="preserve">Pomeroy, S. B. (2002) </w:t>
      </w:r>
      <w:r w:rsidRPr="008E7A94">
        <w:rPr>
          <w:i/>
        </w:rPr>
        <w:t>Spartan Women.</w:t>
      </w:r>
      <w:r>
        <w:t xml:space="preserve"> Oxford University Press. </w:t>
      </w:r>
    </w:p>
    <w:p w:rsidR="008E7A94" w:rsidRDefault="008E7A94" w:rsidP="00AF46A8">
      <w:proofErr w:type="spellStart"/>
      <w:r>
        <w:t>Morford</w:t>
      </w:r>
      <w:proofErr w:type="spellEnd"/>
      <w:r>
        <w:t xml:space="preserve">, M.P.O. (1928) </w:t>
      </w:r>
      <w:r w:rsidRPr="008E7A94">
        <w:rPr>
          <w:i/>
        </w:rPr>
        <w:t>Classical Mythology.</w:t>
      </w:r>
      <w:r>
        <w:t xml:space="preserve"> Oxford University Press. </w:t>
      </w:r>
    </w:p>
    <w:p w:rsidR="0043166F" w:rsidRDefault="008E7A94" w:rsidP="00AF46A8">
      <w:r>
        <w:t xml:space="preserve">Nilsson, M. P. (1964) </w:t>
      </w:r>
      <w:r w:rsidRPr="008E7A94">
        <w:rPr>
          <w:i/>
        </w:rPr>
        <w:t>A History of Greek Religion.</w:t>
      </w:r>
      <w:r>
        <w:t xml:space="preserve"> Clarendon Press. </w:t>
      </w:r>
    </w:p>
    <w:p w:rsidR="008E7A94" w:rsidRDefault="008E7A94" w:rsidP="00AF46A8"/>
    <w:p w:rsidR="008E7A94" w:rsidRDefault="008E7A94" w:rsidP="00AF46A8"/>
    <w:p w:rsidR="008E7A94" w:rsidRDefault="008E7A94" w:rsidP="00AF46A8">
      <w:r>
        <w:t>Ancient Sources</w:t>
      </w:r>
    </w:p>
    <w:p w:rsidR="008E7A94" w:rsidRDefault="008E7A94" w:rsidP="00AF46A8">
      <w:r>
        <w:t>Aeschylus, Seven Against Thebes. G.O. Hutchinson (trans.). 1994. Clarendon Press.</w:t>
      </w:r>
    </w:p>
    <w:p w:rsidR="008E7A94" w:rsidRDefault="008E7A94" w:rsidP="00AF46A8">
      <w:r>
        <w:t xml:space="preserve">Plutarch, </w:t>
      </w:r>
      <w:proofErr w:type="spellStart"/>
      <w:r>
        <w:t>Lacaenarum</w:t>
      </w:r>
      <w:proofErr w:type="spellEnd"/>
      <w:r>
        <w:t xml:space="preserve"> </w:t>
      </w:r>
      <w:proofErr w:type="spellStart"/>
      <w:r>
        <w:t>Apophthegmata</w:t>
      </w:r>
      <w:proofErr w:type="spellEnd"/>
      <w:r>
        <w:t xml:space="preserve">. F.C </w:t>
      </w:r>
      <w:proofErr w:type="spellStart"/>
      <w:r>
        <w:t>Babbit</w:t>
      </w:r>
      <w:proofErr w:type="spellEnd"/>
      <w:r>
        <w:t xml:space="preserve">. (trans.). 1931. Harvard University Press. </w:t>
      </w:r>
    </w:p>
    <w:p w:rsidR="008E7A94" w:rsidRDefault="008E7A94" w:rsidP="00AF46A8"/>
    <w:p w:rsidR="0043166F" w:rsidRDefault="0043166F" w:rsidP="00AF46A8"/>
    <w:p w:rsidR="00AF46A8" w:rsidRDefault="00AF46A8" w:rsidP="007B25D4"/>
    <w:p w:rsidR="00C94FFC" w:rsidRDefault="00C94FFC"/>
    <w:p w:rsidR="00C94FFC" w:rsidRDefault="00C94FFC"/>
    <w:p w:rsidR="00C94FFC" w:rsidRDefault="00C94FFC"/>
    <w:p w:rsidR="00C94FFC" w:rsidRDefault="00C94FFC"/>
    <w:sectPr w:rsidR="00C94FFC" w:rsidSect="001A2E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177A" w:rsidRDefault="005E177A" w:rsidP="00C94FFC">
      <w:r>
        <w:separator/>
      </w:r>
    </w:p>
  </w:endnote>
  <w:endnote w:type="continuationSeparator" w:id="0">
    <w:p w:rsidR="005E177A" w:rsidRDefault="005E177A" w:rsidP="00C94F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177A" w:rsidRDefault="005E177A" w:rsidP="00C94FFC">
      <w:r>
        <w:separator/>
      </w:r>
    </w:p>
  </w:footnote>
  <w:footnote w:type="continuationSeparator" w:id="0">
    <w:p w:rsidR="005E177A" w:rsidRDefault="005E177A" w:rsidP="00C94FFC">
      <w:r>
        <w:continuationSeparator/>
      </w:r>
    </w:p>
  </w:footnote>
  <w:footnote w:id="1">
    <w:p w:rsidR="00C94FFC" w:rsidRDefault="00C94FFC" w:rsidP="00C94FFC">
      <w:pPr>
        <w:pStyle w:val="FootnoteText"/>
      </w:pPr>
      <w:r>
        <w:rPr>
          <w:rStyle w:val="FootnoteReference"/>
        </w:rPr>
        <w:footnoteRef/>
      </w:r>
      <w:r w:rsidR="00D74F7C">
        <w:t xml:space="preserve"> </w:t>
      </w:r>
      <w:proofErr w:type="spellStart"/>
      <w:r w:rsidR="00E71B5A">
        <w:t>Plut</w:t>
      </w:r>
      <w:proofErr w:type="spellEnd"/>
      <w:r w:rsidR="00E71B5A">
        <w:t xml:space="preserve">. </w:t>
      </w:r>
      <w:proofErr w:type="spellStart"/>
      <w:r w:rsidR="00E71B5A">
        <w:t>Lacae</w:t>
      </w:r>
      <w:proofErr w:type="spellEnd"/>
      <w:r w:rsidR="00E71B5A">
        <w:t>. 3.5</w:t>
      </w:r>
    </w:p>
  </w:footnote>
  <w:footnote w:id="2">
    <w:p w:rsidR="00C94FFC" w:rsidRDefault="00C94FFC">
      <w:pPr>
        <w:pStyle w:val="FootnoteText"/>
      </w:pPr>
      <w:r>
        <w:rPr>
          <w:rStyle w:val="FootnoteReference"/>
        </w:rPr>
        <w:footnoteRef/>
      </w:r>
      <w:r>
        <w:t xml:space="preserve"> </w:t>
      </w:r>
      <w:r w:rsidR="008E7A94">
        <w:t>Pomeroy</w:t>
      </w:r>
      <w:r w:rsidR="00E71B5A">
        <w:t>, S.B. 2002</w:t>
      </w:r>
    </w:p>
  </w:footnote>
  <w:footnote w:id="3">
    <w:p w:rsidR="00C94FFC" w:rsidRDefault="00C94FFC" w:rsidP="00C94FFC">
      <w:pPr>
        <w:pStyle w:val="FootnoteText"/>
      </w:pPr>
      <w:r>
        <w:rPr>
          <w:rStyle w:val="FootnoteReference"/>
        </w:rPr>
        <w:footnoteRef/>
      </w:r>
      <w:r w:rsidR="00E71B5A">
        <w:t xml:space="preserve"> </w:t>
      </w:r>
      <w:proofErr w:type="spellStart"/>
      <w:r w:rsidR="00E71B5A">
        <w:t>Aesch</w:t>
      </w:r>
      <w:proofErr w:type="spellEnd"/>
      <w:r w:rsidR="00E71B5A">
        <w:t xml:space="preserve">. Seven. </w:t>
      </w:r>
    </w:p>
  </w:footnote>
  <w:footnote w:id="4">
    <w:p w:rsidR="007B25D4" w:rsidRDefault="007B25D4" w:rsidP="007B25D4">
      <w:pPr>
        <w:pStyle w:val="FootnoteText"/>
      </w:pPr>
      <w:r>
        <w:rPr>
          <w:rStyle w:val="FootnoteReference"/>
        </w:rPr>
        <w:footnoteRef/>
      </w:r>
      <w:r>
        <w:t xml:space="preserve"> </w:t>
      </w:r>
      <w:r w:rsidR="00E71B5A">
        <w:t>Blundell, S. 1995</w:t>
      </w:r>
    </w:p>
  </w:footnote>
  <w:footnote w:id="5">
    <w:p w:rsidR="007B25D4" w:rsidRDefault="007B25D4" w:rsidP="007B25D4">
      <w:pPr>
        <w:pStyle w:val="FootnoteText"/>
      </w:pPr>
      <w:r>
        <w:rPr>
          <w:rStyle w:val="FootnoteReference"/>
        </w:rPr>
        <w:footnoteRef/>
      </w:r>
      <w:r w:rsidR="00E71B5A">
        <w:t xml:space="preserve"> Blundell, S. 1995</w:t>
      </w:r>
    </w:p>
  </w:footnote>
  <w:footnote w:id="6">
    <w:p w:rsidR="00AF46A8" w:rsidRDefault="00AF46A8" w:rsidP="00AF46A8">
      <w:pPr>
        <w:pStyle w:val="FootnoteText"/>
      </w:pPr>
      <w:r>
        <w:rPr>
          <w:rStyle w:val="FootnoteReference"/>
        </w:rPr>
        <w:footnoteRef/>
      </w:r>
      <w:r w:rsidR="00E71B5A">
        <w:t xml:space="preserve"> Nilsson, M.P. 1964</w:t>
      </w:r>
    </w:p>
  </w:footnote>
  <w:footnote w:id="7">
    <w:p w:rsidR="00AF46A8" w:rsidRDefault="00AF46A8" w:rsidP="00AF46A8">
      <w:pPr>
        <w:pStyle w:val="FootnoteText"/>
      </w:pPr>
      <w:r>
        <w:rPr>
          <w:rStyle w:val="FootnoteReference"/>
        </w:rPr>
        <w:footnoteRef/>
      </w:r>
      <w:r w:rsidR="00E71B5A">
        <w:t xml:space="preserve"> </w:t>
      </w:r>
      <w:proofErr w:type="spellStart"/>
      <w:r w:rsidR="00E71B5A">
        <w:t>Morford</w:t>
      </w:r>
      <w:proofErr w:type="spellEnd"/>
      <w:r w:rsidR="00E71B5A">
        <w:t xml:space="preserve">, M.P.O. </w:t>
      </w:r>
      <w:r>
        <w:t xml:space="preserve"> </w:t>
      </w:r>
      <w:r w:rsidR="00E71B5A">
        <w:t>1928</w:t>
      </w:r>
    </w:p>
  </w:footnote>
  <w:footnote w:id="8">
    <w:p w:rsidR="00AF46A8" w:rsidRDefault="00AF46A8" w:rsidP="00AF46A8">
      <w:pPr>
        <w:pStyle w:val="FootnoteText"/>
      </w:pPr>
      <w:r>
        <w:rPr>
          <w:rStyle w:val="FootnoteReference"/>
        </w:rPr>
        <w:footnoteRef/>
      </w:r>
      <w:r w:rsidR="00E71B5A">
        <w:t xml:space="preserve"> </w:t>
      </w:r>
      <w:proofErr w:type="spellStart"/>
      <w:r w:rsidR="00E71B5A">
        <w:t>Morford</w:t>
      </w:r>
      <w:proofErr w:type="spellEnd"/>
      <w:r w:rsidR="00E71B5A">
        <w:t>, M.P.O.  1928</w:t>
      </w:r>
    </w:p>
  </w:footnote>
  <w:footnote w:id="9">
    <w:p w:rsidR="005E15F3" w:rsidRDefault="005E15F3" w:rsidP="005E15F3">
      <w:pPr>
        <w:pStyle w:val="FootnoteText"/>
      </w:pPr>
      <w:r>
        <w:rPr>
          <w:rStyle w:val="FootnoteReference"/>
        </w:rPr>
        <w:footnoteRef/>
      </w:r>
      <w:r w:rsidR="00E71B5A">
        <w:t xml:space="preserve"> </w:t>
      </w:r>
      <w:proofErr w:type="spellStart"/>
      <w:r w:rsidR="00E71B5A">
        <w:t>Morford</w:t>
      </w:r>
      <w:proofErr w:type="spellEnd"/>
      <w:r w:rsidR="00E71B5A">
        <w:t>, M.P.O.  1928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FFC"/>
    <w:rsid w:val="0013105A"/>
    <w:rsid w:val="001A2E63"/>
    <w:rsid w:val="003E7321"/>
    <w:rsid w:val="0043166F"/>
    <w:rsid w:val="005E15F3"/>
    <w:rsid w:val="005E177A"/>
    <w:rsid w:val="006D3E9C"/>
    <w:rsid w:val="00710243"/>
    <w:rsid w:val="00737BC9"/>
    <w:rsid w:val="007B25D4"/>
    <w:rsid w:val="007C1E12"/>
    <w:rsid w:val="00863816"/>
    <w:rsid w:val="008E7A94"/>
    <w:rsid w:val="00A64B80"/>
    <w:rsid w:val="00AF46A8"/>
    <w:rsid w:val="00B1340B"/>
    <w:rsid w:val="00B7022A"/>
    <w:rsid w:val="00C94FFC"/>
    <w:rsid w:val="00D74F7C"/>
    <w:rsid w:val="00DE55A0"/>
    <w:rsid w:val="00E71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5AE0D8"/>
  <w15:chartTrackingRefBased/>
  <w15:docId w15:val="{189B0EAC-156C-0846-BEC0-E25DF1906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4F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94FFC"/>
    <w:rPr>
      <w:sz w:val="20"/>
      <w:szCs w:val="20"/>
    </w:rPr>
  </w:style>
  <w:style w:type="character" w:customStyle="1" w:styleId="FootnoteTextChar">
    <w:name w:val="Footnote Text Char"/>
    <w:basedOn w:val="DefaultParagraphFont"/>
    <w:link w:val="FootnoteText"/>
    <w:uiPriority w:val="99"/>
    <w:semiHidden/>
    <w:rsid w:val="00C94FFC"/>
    <w:rPr>
      <w:sz w:val="20"/>
      <w:szCs w:val="20"/>
    </w:rPr>
  </w:style>
  <w:style w:type="character" w:styleId="FootnoteReference">
    <w:name w:val="footnote reference"/>
    <w:basedOn w:val="DefaultParagraphFont"/>
    <w:uiPriority w:val="99"/>
    <w:semiHidden/>
    <w:unhideWhenUsed/>
    <w:rsid w:val="00C94F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3378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5005A-0118-2543-B577-C78CD3B7A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3</Pages>
  <Words>967</Words>
  <Characters>5516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6</cp:revision>
  <dcterms:created xsi:type="dcterms:W3CDTF">2018-05-12T14:47:00Z</dcterms:created>
  <dcterms:modified xsi:type="dcterms:W3CDTF">2018-05-14T16:40:00Z</dcterms:modified>
</cp:coreProperties>
</file>