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8C26FA" w14:textId="77777777" w:rsidR="005A0982" w:rsidRPr="00E31B90" w:rsidRDefault="005A0982" w:rsidP="005A0982">
      <w:pPr>
        <w:spacing w:line="360" w:lineRule="auto"/>
      </w:pPr>
    </w:p>
    <w:p w14:paraId="79C0495E" w14:textId="77777777" w:rsidR="005A0982" w:rsidRPr="00E31B90" w:rsidRDefault="005A0982" w:rsidP="005A0982">
      <w:pPr>
        <w:spacing w:line="360" w:lineRule="auto"/>
      </w:pPr>
      <w:r w:rsidRPr="00E31B90">
        <w:rPr>
          <w:noProof/>
        </w:rPr>
        <w:drawing>
          <wp:inline distT="0" distB="0" distL="0" distR="0" wp14:anchorId="6F81F19D" wp14:editId="671F0540">
            <wp:extent cx="3260723" cy="1238250"/>
            <wp:effectExtent l="0" t="0" r="0" b="0"/>
            <wp:docPr id="3074" name="Picture 2" descr="University of wales Logos">
              <a:extLst xmlns:a="http://schemas.openxmlformats.org/drawingml/2006/main">
                <a:ext uri="{FF2B5EF4-FFF2-40B4-BE49-F238E27FC236}">
                  <a16:creationId xmlns:a16="http://schemas.microsoft.com/office/drawing/2014/main" id="{EB2DB8C7-FBDE-53E9-BABD-14CE3F53CB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University of wales Logos">
                      <a:extLst>
                        <a:ext uri="{FF2B5EF4-FFF2-40B4-BE49-F238E27FC236}">
                          <a16:creationId xmlns:a16="http://schemas.microsoft.com/office/drawing/2014/main" id="{EB2DB8C7-FBDE-53E9-BABD-14CE3F53CB2E}"/>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7003" cy="1244432"/>
                    </a:xfrm>
                    <a:prstGeom prst="rect">
                      <a:avLst/>
                    </a:prstGeom>
                    <a:noFill/>
                  </pic:spPr>
                </pic:pic>
              </a:graphicData>
            </a:graphic>
          </wp:inline>
        </w:drawing>
      </w:r>
    </w:p>
    <w:p w14:paraId="60CB816D" w14:textId="77777777" w:rsidR="005A0982" w:rsidRPr="00527B8D" w:rsidRDefault="005A0982" w:rsidP="005A0982">
      <w:pPr>
        <w:spacing w:line="360" w:lineRule="auto"/>
        <w:rPr>
          <w:rFonts w:ascii="Arial" w:hAnsi="Arial" w:cs="Arial"/>
        </w:rPr>
      </w:pPr>
    </w:p>
    <w:p w14:paraId="7A310A30" w14:textId="77777777" w:rsidR="005A0982" w:rsidRPr="00527B8D" w:rsidRDefault="005A0982" w:rsidP="005A0982">
      <w:pPr>
        <w:spacing w:line="360" w:lineRule="auto"/>
        <w:rPr>
          <w:rFonts w:ascii="Arial" w:hAnsi="Arial" w:cs="Arial"/>
        </w:rPr>
      </w:pPr>
    </w:p>
    <w:p w14:paraId="4660BA3D" w14:textId="77777777" w:rsidR="005A0982" w:rsidRPr="00527B8D" w:rsidRDefault="005A0982" w:rsidP="005A0982">
      <w:pPr>
        <w:spacing w:line="360" w:lineRule="auto"/>
        <w:rPr>
          <w:rFonts w:ascii="Arial" w:hAnsi="Arial" w:cs="Arial"/>
        </w:rPr>
      </w:pPr>
    </w:p>
    <w:p w14:paraId="07D59818" w14:textId="58C3B0B0" w:rsidR="005A0982" w:rsidRPr="004E3279" w:rsidRDefault="00C177ED" w:rsidP="005A0982">
      <w:pPr>
        <w:spacing w:line="360" w:lineRule="auto"/>
        <w:jc w:val="center"/>
        <w:rPr>
          <w:rFonts w:ascii="Arial" w:hAnsi="Arial" w:cs="Arial"/>
          <w:b/>
          <w:bCs/>
          <w:sz w:val="36"/>
          <w:szCs w:val="36"/>
        </w:rPr>
      </w:pPr>
      <w:r>
        <w:rPr>
          <w:rFonts w:ascii="Arial" w:hAnsi="Arial" w:cs="Arial"/>
          <w:b/>
          <w:bCs/>
          <w:sz w:val="36"/>
          <w:szCs w:val="36"/>
        </w:rPr>
        <w:t>Changemakers</w:t>
      </w:r>
      <w:r w:rsidR="00D52D34">
        <w:rPr>
          <w:rFonts w:ascii="Arial" w:hAnsi="Arial" w:cs="Arial"/>
          <w:b/>
          <w:bCs/>
          <w:sz w:val="36"/>
          <w:szCs w:val="36"/>
        </w:rPr>
        <w:t xml:space="preserve"> Creativity and Value Creation</w:t>
      </w:r>
      <w:r>
        <w:rPr>
          <w:rFonts w:ascii="Arial" w:hAnsi="Arial" w:cs="Arial"/>
          <w:b/>
          <w:bCs/>
          <w:sz w:val="36"/>
          <w:szCs w:val="36"/>
        </w:rPr>
        <w:t xml:space="preserve"> </w:t>
      </w:r>
      <w:r w:rsidR="005A0982" w:rsidRPr="004E3279">
        <w:rPr>
          <w:rFonts w:ascii="Arial" w:hAnsi="Arial" w:cs="Arial"/>
          <w:b/>
          <w:bCs/>
          <w:sz w:val="36"/>
          <w:szCs w:val="36"/>
        </w:rPr>
        <w:t>in Health and Social Care</w:t>
      </w:r>
      <w:r w:rsidR="005A0982" w:rsidRPr="004E3279">
        <w:rPr>
          <w:rFonts w:ascii="Arial" w:hAnsi="Arial" w:cs="Arial"/>
          <w:b/>
          <w:bCs/>
          <w:sz w:val="36"/>
          <w:szCs w:val="36"/>
        </w:rPr>
        <w:br/>
      </w:r>
      <w:r w:rsidR="00D52D34">
        <w:rPr>
          <w:rFonts w:ascii="Arial" w:hAnsi="Arial" w:cs="Arial"/>
          <w:b/>
          <w:bCs/>
          <w:sz w:val="36"/>
          <w:szCs w:val="36"/>
        </w:rPr>
        <w:t>BMHP5014</w:t>
      </w:r>
      <w:r w:rsidR="005A0982" w:rsidRPr="004E3279">
        <w:rPr>
          <w:rFonts w:ascii="Arial" w:hAnsi="Arial" w:cs="Arial"/>
          <w:b/>
          <w:bCs/>
          <w:sz w:val="36"/>
          <w:szCs w:val="36"/>
        </w:rPr>
        <w:br/>
      </w:r>
      <w:r w:rsidR="005A0982" w:rsidRPr="004E3279">
        <w:rPr>
          <w:rFonts w:ascii="Arial" w:hAnsi="Arial" w:cs="Arial"/>
          <w:b/>
          <w:bCs/>
          <w:sz w:val="36"/>
          <w:szCs w:val="36"/>
        </w:rPr>
        <w:br/>
        <w:t xml:space="preserve">Component 2: </w:t>
      </w:r>
      <w:r>
        <w:rPr>
          <w:rFonts w:ascii="Arial" w:hAnsi="Arial" w:cs="Arial"/>
          <w:b/>
          <w:bCs/>
          <w:sz w:val="36"/>
          <w:szCs w:val="36"/>
        </w:rPr>
        <w:t>Poster and Pitch</w:t>
      </w:r>
    </w:p>
    <w:p w14:paraId="283893B5" w14:textId="77777777" w:rsidR="005A0982" w:rsidRPr="00527B8D" w:rsidRDefault="005A0982" w:rsidP="005A0982">
      <w:pPr>
        <w:spacing w:line="360" w:lineRule="auto"/>
        <w:rPr>
          <w:rFonts w:ascii="Arial" w:hAnsi="Arial" w:cs="Arial"/>
        </w:rPr>
      </w:pPr>
    </w:p>
    <w:p w14:paraId="1D874911" w14:textId="77777777" w:rsidR="005A0982" w:rsidRDefault="005A0982" w:rsidP="005A0982">
      <w:pPr>
        <w:spacing w:line="360" w:lineRule="auto"/>
        <w:jc w:val="center"/>
        <w:rPr>
          <w:rFonts w:ascii="Arial" w:hAnsi="Arial" w:cs="Arial"/>
        </w:rPr>
      </w:pPr>
    </w:p>
    <w:p w14:paraId="6A0AE17F" w14:textId="77777777" w:rsidR="005A0982" w:rsidRPr="00527B8D" w:rsidRDefault="005A0982" w:rsidP="005A0982">
      <w:pPr>
        <w:spacing w:line="360" w:lineRule="auto"/>
        <w:jc w:val="center"/>
        <w:rPr>
          <w:rFonts w:ascii="Arial" w:hAnsi="Arial" w:cs="Arial"/>
        </w:rPr>
      </w:pPr>
    </w:p>
    <w:p w14:paraId="3E79BA8D" w14:textId="77777777" w:rsidR="005A0982" w:rsidRPr="004E3279" w:rsidRDefault="005A0982" w:rsidP="005A0982">
      <w:pPr>
        <w:spacing w:line="360" w:lineRule="auto"/>
        <w:jc w:val="center"/>
        <w:rPr>
          <w:rFonts w:ascii="Arial" w:hAnsi="Arial" w:cs="Arial"/>
          <w:sz w:val="32"/>
          <w:szCs w:val="32"/>
        </w:rPr>
      </w:pPr>
      <w:r w:rsidRPr="004E3279">
        <w:rPr>
          <w:rFonts w:ascii="Arial" w:hAnsi="Arial" w:cs="Arial"/>
          <w:sz w:val="32"/>
          <w:szCs w:val="32"/>
        </w:rPr>
        <w:t>Student name: Erika Cabrera Lopez</w:t>
      </w:r>
    </w:p>
    <w:p w14:paraId="5EF67EE6" w14:textId="77777777" w:rsidR="005A0982" w:rsidRPr="004E3279" w:rsidRDefault="005A0982" w:rsidP="005A0982">
      <w:pPr>
        <w:spacing w:line="360" w:lineRule="auto"/>
        <w:jc w:val="center"/>
        <w:rPr>
          <w:rFonts w:ascii="Arial" w:hAnsi="Arial" w:cs="Arial"/>
          <w:sz w:val="32"/>
          <w:szCs w:val="32"/>
        </w:rPr>
      </w:pPr>
      <w:r w:rsidRPr="004E3279">
        <w:rPr>
          <w:rFonts w:ascii="Arial" w:hAnsi="Arial" w:cs="Arial"/>
          <w:sz w:val="32"/>
          <w:szCs w:val="32"/>
        </w:rPr>
        <w:t>Student ID: 2424586</w:t>
      </w:r>
    </w:p>
    <w:p w14:paraId="316F28EE" w14:textId="34F6DAEE" w:rsidR="005A0982" w:rsidRPr="004E3279" w:rsidRDefault="005A0982" w:rsidP="005A0982">
      <w:pPr>
        <w:spacing w:line="360" w:lineRule="auto"/>
        <w:jc w:val="center"/>
        <w:rPr>
          <w:rFonts w:ascii="Arial" w:hAnsi="Arial" w:cs="Arial"/>
          <w:sz w:val="32"/>
          <w:szCs w:val="32"/>
        </w:rPr>
      </w:pPr>
      <w:r w:rsidRPr="004E3279">
        <w:rPr>
          <w:rFonts w:ascii="Arial" w:hAnsi="Arial" w:cs="Arial"/>
          <w:sz w:val="32"/>
          <w:szCs w:val="32"/>
        </w:rPr>
        <w:t xml:space="preserve">Lecturer: </w:t>
      </w:r>
      <w:r w:rsidR="00C177ED">
        <w:rPr>
          <w:rFonts w:ascii="Arial" w:hAnsi="Arial" w:cs="Arial"/>
          <w:sz w:val="32"/>
          <w:szCs w:val="32"/>
        </w:rPr>
        <w:t>Laila</w:t>
      </w:r>
      <w:r w:rsidR="00B048E9">
        <w:rPr>
          <w:rFonts w:ascii="Arial" w:hAnsi="Arial" w:cs="Arial"/>
          <w:sz w:val="32"/>
          <w:szCs w:val="32"/>
        </w:rPr>
        <w:t xml:space="preserve"> Surani</w:t>
      </w:r>
    </w:p>
    <w:p w14:paraId="1081F11B" w14:textId="77777777" w:rsidR="005A0982" w:rsidRPr="00527B8D" w:rsidRDefault="005A0982" w:rsidP="005A0982">
      <w:pPr>
        <w:spacing w:line="360" w:lineRule="auto"/>
        <w:jc w:val="center"/>
        <w:rPr>
          <w:rFonts w:ascii="Arial" w:hAnsi="Arial" w:cs="Arial"/>
        </w:rPr>
      </w:pPr>
    </w:p>
    <w:p w14:paraId="640B4697" w14:textId="77777777" w:rsidR="005A0982" w:rsidRPr="00527B8D" w:rsidRDefault="005A0982" w:rsidP="005A0982">
      <w:pPr>
        <w:spacing w:line="360" w:lineRule="auto"/>
        <w:rPr>
          <w:rFonts w:ascii="Arial" w:hAnsi="Arial" w:cs="Arial"/>
        </w:rPr>
      </w:pPr>
    </w:p>
    <w:p w14:paraId="754DBFF7" w14:textId="21D950E0" w:rsidR="002B3AD3" w:rsidRDefault="002B3AD3">
      <w:pPr>
        <w:rPr>
          <w:b/>
          <w:bCs/>
        </w:rPr>
      </w:pPr>
      <w:r>
        <w:rPr>
          <w:b/>
          <w:bCs/>
        </w:rPr>
        <w:br w:type="page"/>
      </w:r>
    </w:p>
    <w:sdt>
      <w:sdtPr>
        <w:id w:val="421615852"/>
        <w:docPartObj>
          <w:docPartGallery w:val="Table of Contents"/>
          <w:docPartUnique/>
        </w:docPartObj>
      </w:sdtPr>
      <w:sdtEndPr>
        <w:rPr>
          <w:rFonts w:asciiTheme="minorHAnsi" w:eastAsiaTheme="minorHAnsi" w:hAnsiTheme="minorHAnsi" w:cstheme="minorBidi"/>
          <w:b/>
          <w:bCs/>
          <w:color w:val="auto"/>
          <w:kern w:val="2"/>
          <w:sz w:val="24"/>
          <w:szCs w:val="24"/>
          <w14:ligatures w14:val="standardContextual"/>
        </w:rPr>
      </w:sdtEndPr>
      <w:sdtContent>
        <w:p w14:paraId="73ACF7BF" w14:textId="7BB2E8EE" w:rsidR="00A87B11" w:rsidRDefault="00A87B11" w:rsidP="00A87B11">
          <w:pPr>
            <w:pStyle w:val="TOCHeading"/>
          </w:pPr>
        </w:p>
        <w:p w14:paraId="4DA93F3D" w14:textId="2B78F336" w:rsidR="00A87B11" w:rsidRDefault="00A87B11"/>
      </w:sdtContent>
    </w:sdt>
    <w:p w14:paraId="4E50E074" w14:textId="62BA4BBB" w:rsidR="00A87B11" w:rsidRDefault="00A87B11">
      <w:pPr>
        <w:pStyle w:val="TOCHeading"/>
      </w:pPr>
      <w:bookmarkStart w:id="0" w:name="_Toc237002725"/>
      <w:r>
        <w:t>Table of Contents</w:t>
      </w:r>
    </w:p>
    <w:p w14:paraId="1CE94197" w14:textId="60478C40" w:rsidR="00A87B11" w:rsidRDefault="00A87B11">
      <w:pPr>
        <w:pStyle w:val="TOC1"/>
        <w:tabs>
          <w:tab w:val="right" w:leader="dot" w:pos="9016"/>
        </w:tabs>
        <w:rPr>
          <w:rFonts w:eastAsiaTheme="minorEastAsia"/>
          <w:noProof/>
        </w:rPr>
      </w:pPr>
      <w:r>
        <w:fldChar w:fldCharType="begin"/>
      </w:r>
      <w:r>
        <w:instrText xml:space="preserve"> TOC \o "1-3" \h \z \u </w:instrText>
      </w:r>
      <w:r>
        <w:fldChar w:fldCharType="separate"/>
      </w:r>
    </w:p>
    <w:p w14:paraId="3B85EDA9" w14:textId="23550AD7" w:rsidR="00A87B11" w:rsidRDefault="00A87B11">
      <w:pPr>
        <w:pStyle w:val="TOC1"/>
        <w:tabs>
          <w:tab w:val="right" w:leader="dot" w:pos="9016"/>
        </w:tabs>
        <w:rPr>
          <w:rFonts w:eastAsiaTheme="minorEastAsia"/>
          <w:noProof/>
        </w:rPr>
      </w:pPr>
      <w:hyperlink w:anchor="_Toc237003063" w:history="1">
        <w:r w:rsidRPr="00C31789">
          <w:rPr>
            <w:rStyle w:val="Hyperlink"/>
            <w:noProof/>
          </w:rPr>
          <w:t>POSTER</w:t>
        </w:r>
        <w:r>
          <w:rPr>
            <w:noProof/>
            <w:webHidden/>
          </w:rPr>
          <w:tab/>
        </w:r>
        <w:r>
          <w:rPr>
            <w:noProof/>
            <w:webHidden/>
          </w:rPr>
          <w:fldChar w:fldCharType="begin"/>
        </w:r>
        <w:r>
          <w:rPr>
            <w:noProof/>
            <w:webHidden/>
          </w:rPr>
          <w:instrText xml:space="preserve"> PAGEREF _Toc237003063 \h </w:instrText>
        </w:r>
        <w:r>
          <w:rPr>
            <w:noProof/>
            <w:webHidden/>
          </w:rPr>
        </w:r>
        <w:r>
          <w:rPr>
            <w:noProof/>
            <w:webHidden/>
          </w:rPr>
          <w:fldChar w:fldCharType="separate"/>
        </w:r>
        <w:r w:rsidR="00F506F1">
          <w:rPr>
            <w:noProof/>
            <w:webHidden/>
          </w:rPr>
          <w:t>3</w:t>
        </w:r>
        <w:r>
          <w:rPr>
            <w:noProof/>
            <w:webHidden/>
          </w:rPr>
          <w:fldChar w:fldCharType="end"/>
        </w:r>
      </w:hyperlink>
    </w:p>
    <w:p w14:paraId="1BFB41E4" w14:textId="261AC9A6" w:rsidR="00A87B11" w:rsidRDefault="00A87B11">
      <w:pPr>
        <w:pStyle w:val="TOC1"/>
        <w:tabs>
          <w:tab w:val="right" w:leader="dot" w:pos="9016"/>
        </w:tabs>
        <w:rPr>
          <w:rFonts w:eastAsiaTheme="minorEastAsia"/>
          <w:noProof/>
        </w:rPr>
      </w:pPr>
      <w:hyperlink w:anchor="_Toc237003064" w:history="1">
        <w:r w:rsidRPr="00C31789">
          <w:rPr>
            <w:rStyle w:val="Hyperlink"/>
            <w:noProof/>
          </w:rPr>
          <w:t>CareConnect UK:</w:t>
        </w:r>
        <w:r>
          <w:rPr>
            <w:noProof/>
            <w:webHidden/>
          </w:rPr>
          <w:tab/>
        </w:r>
        <w:r>
          <w:rPr>
            <w:noProof/>
            <w:webHidden/>
          </w:rPr>
          <w:fldChar w:fldCharType="begin"/>
        </w:r>
        <w:r>
          <w:rPr>
            <w:noProof/>
            <w:webHidden/>
          </w:rPr>
          <w:instrText xml:space="preserve"> PAGEREF _Toc237003064 \h </w:instrText>
        </w:r>
        <w:r>
          <w:rPr>
            <w:noProof/>
            <w:webHidden/>
          </w:rPr>
        </w:r>
        <w:r>
          <w:rPr>
            <w:noProof/>
            <w:webHidden/>
          </w:rPr>
          <w:fldChar w:fldCharType="separate"/>
        </w:r>
        <w:r w:rsidR="00F506F1">
          <w:rPr>
            <w:noProof/>
            <w:webHidden/>
          </w:rPr>
          <w:t>4</w:t>
        </w:r>
        <w:r>
          <w:rPr>
            <w:noProof/>
            <w:webHidden/>
          </w:rPr>
          <w:fldChar w:fldCharType="end"/>
        </w:r>
      </w:hyperlink>
    </w:p>
    <w:p w14:paraId="111B84F9" w14:textId="38E12AD9" w:rsidR="00A87B11" w:rsidRDefault="00A87B11">
      <w:pPr>
        <w:pStyle w:val="TOC2"/>
        <w:tabs>
          <w:tab w:val="right" w:leader="dot" w:pos="9016"/>
        </w:tabs>
        <w:rPr>
          <w:rFonts w:eastAsiaTheme="minorEastAsia"/>
          <w:noProof/>
        </w:rPr>
      </w:pPr>
      <w:hyperlink w:anchor="_Toc237003065" w:history="1">
        <w:r w:rsidRPr="00C31789">
          <w:rPr>
            <w:rStyle w:val="Hyperlink"/>
            <w:noProof/>
          </w:rPr>
          <w:t>Improving Hospital Discharge Through Integrated Digital Care Coordination</w:t>
        </w:r>
        <w:r>
          <w:rPr>
            <w:noProof/>
            <w:webHidden/>
          </w:rPr>
          <w:tab/>
        </w:r>
        <w:r>
          <w:rPr>
            <w:noProof/>
            <w:webHidden/>
          </w:rPr>
          <w:fldChar w:fldCharType="begin"/>
        </w:r>
        <w:r>
          <w:rPr>
            <w:noProof/>
            <w:webHidden/>
          </w:rPr>
          <w:instrText xml:space="preserve"> PAGEREF _Toc237003065 \h </w:instrText>
        </w:r>
        <w:r>
          <w:rPr>
            <w:noProof/>
            <w:webHidden/>
          </w:rPr>
        </w:r>
        <w:r>
          <w:rPr>
            <w:noProof/>
            <w:webHidden/>
          </w:rPr>
          <w:fldChar w:fldCharType="separate"/>
        </w:r>
        <w:r w:rsidR="00F506F1">
          <w:rPr>
            <w:noProof/>
            <w:webHidden/>
          </w:rPr>
          <w:t>4</w:t>
        </w:r>
        <w:r>
          <w:rPr>
            <w:noProof/>
            <w:webHidden/>
          </w:rPr>
          <w:fldChar w:fldCharType="end"/>
        </w:r>
      </w:hyperlink>
    </w:p>
    <w:p w14:paraId="67C90053" w14:textId="70D7BE5C" w:rsidR="00A87B11" w:rsidRDefault="00A87B11">
      <w:pPr>
        <w:pStyle w:val="TOC3"/>
        <w:tabs>
          <w:tab w:val="right" w:leader="dot" w:pos="9016"/>
        </w:tabs>
        <w:rPr>
          <w:rFonts w:eastAsiaTheme="minorEastAsia"/>
          <w:noProof/>
        </w:rPr>
      </w:pPr>
      <w:hyperlink w:anchor="_Toc237003066" w:history="1">
        <w:r w:rsidRPr="00C31789">
          <w:rPr>
            <w:rStyle w:val="Hyperlink"/>
            <w:noProof/>
          </w:rPr>
          <w:t>Introduction</w:t>
        </w:r>
        <w:r>
          <w:rPr>
            <w:noProof/>
            <w:webHidden/>
          </w:rPr>
          <w:tab/>
        </w:r>
        <w:r>
          <w:rPr>
            <w:noProof/>
            <w:webHidden/>
          </w:rPr>
          <w:fldChar w:fldCharType="begin"/>
        </w:r>
        <w:r>
          <w:rPr>
            <w:noProof/>
            <w:webHidden/>
          </w:rPr>
          <w:instrText xml:space="preserve"> PAGEREF _Toc237003066 \h </w:instrText>
        </w:r>
        <w:r>
          <w:rPr>
            <w:noProof/>
            <w:webHidden/>
          </w:rPr>
        </w:r>
        <w:r>
          <w:rPr>
            <w:noProof/>
            <w:webHidden/>
          </w:rPr>
          <w:fldChar w:fldCharType="separate"/>
        </w:r>
        <w:r w:rsidR="00F506F1">
          <w:rPr>
            <w:noProof/>
            <w:webHidden/>
          </w:rPr>
          <w:t>4</w:t>
        </w:r>
        <w:r>
          <w:rPr>
            <w:noProof/>
            <w:webHidden/>
          </w:rPr>
          <w:fldChar w:fldCharType="end"/>
        </w:r>
      </w:hyperlink>
    </w:p>
    <w:p w14:paraId="251E4F03" w14:textId="1134B54E" w:rsidR="00A87B11" w:rsidRDefault="00A87B11">
      <w:pPr>
        <w:pStyle w:val="TOC3"/>
        <w:tabs>
          <w:tab w:val="right" w:leader="dot" w:pos="9016"/>
        </w:tabs>
        <w:rPr>
          <w:rFonts w:eastAsiaTheme="minorEastAsia"/>
          <w:noProof/>
        </w:rPr>
      </w:pPr>
      <w:hyperlink w:anchor="_Toc237003067" w:history="1">
        <w:r w:rsidRPr="00C31789">
          <w:rPr>
            <w:rStyle w:val="Hyperlink"/>
            <w:noProof/>
          </w:rPr>
          <w:t>Background and Rationale</w:t>
        </w:r>
        <w:r>
          <w:rPr>
            <w:noProof/>
            <w:webHidden/>
          </w:rPr>
          <w:tab/>
        </w:r>
        <w:r>
          <w:rPr>
            <w:noProof/>
            <w:webHidden/>
          </w:rPr>
          <w:fldChar w:fldCharType="begin"/>
        </w:r>
        <w:r>
          <w:rPr>
            <w:noProof/>
            <w:webHidden/>
          </w:rPr>
          <w:instrText xml:space="preserve"> PAGEREF _Toc237003067 \h </w:instrText>
        </w:r>
        <w:r>
          <w:rPr>
            <w:noProof/>
            <w:webHidden/>
          </w:rPr>
        </w:r>
        <w:r>
          <w:rPr>
            <w:noProof/>
            <w:webHidden/>
          </w:rPr>
          <w:fldChar w:fldCharType="separate"/>
        </w:r>
        <w:r w:rsidR="00F506F1">
          <w:rPr>
            <w:noProof/>
            <w:webHidden/>
          </w:rPr>
          <w:t>4</w:t>
        </w:r>
        <w:r>
          <w:rPr>
            <w:noProof/>
            <w:webHidden/>
          </w:rPr>
          <w:fldChar w:fldCharType="end"/>
        </w:r>
      </w:hyperlink>
    </w:p>
    <w:p w14:paraId="16C9FE49" w14:textId="0A01E2A0" w:rsidR="00A87B11" w:rsidRDefault="00A87B11">
      <w:pPr>
        <w:pStyle w:val="TOC2"/>
        <w:tabs>
          <w:tab w:val="right" w:leader="dot" w:pos="9016"/>
        </w:tabs>
        <w:rPr>
          <w:rFonts w:eastAsiaTheme="minorEastAsia"/>
          <w:noProof/>
        </w:rPr>
      </w:pPr>
      <w:hyperlink w:anchor="_Toc237003068" w:history="1">
        <w:r w:rsidRPr="00C31789">
          <w:rPr>
            <w:rStyle w:val="Hyperlink"/>
            <w:noProof/>
          </w:rPr>
          <w:t>Description of CareConnect UK</w:t>
        </w:r>
        <w:r>
          <w:rPr>
            <w:noProof/>
            <w:webHidden/>
          </w:rPr>
          <w:tab/>
        </w:r>
        <w:r>
          <w:rPr>
            <w:noProof/>
            <w:webHidden/>
          </w:rPr>
          <w:fldChar w:fldCharType="begin"/>
        </w:r>
        <w:r>
          <w:rPr>
            <w:noProof/>
            <w:webHidden/>
          </w:rPr>
          <w:instrText xml:space="preserve"> PAGEREF _Toc237003068 \h </w:instrText>
        </w:r>
        <w:r>
          <w:rPr>
            <w:noProof/>
            <w:webHidden/>
          </w:rPr>
        </w:r>
        <w:r>
          <w:rPr>
            <w:noProof/>
            <w:webHidden/>
          </w:rPr>
          <w:fldChar w:fldCharType="separate"/>
        </w:r>
        <w:r w:rsidR="00F506F1">
          <w:rPr>
            <w:noProof/>
            <w:webHidden/>
          </w:rPr>
          <w:t>5</w:t>
        </w:r>
        <w:r>
          <w:rPr>
            <w:noProof/>
            <w:webHidden/>
          </w:rPr>
          <w:fldChar w:fldCharType="end"/>
        </w:r>
      </w:hyperlink>
    </w:p>
    <w:p w14:paraId="5E2CE1FA" w14:textId="459BDA93" w:rsidR="00A87B11" w:rsidRDefault="00A87B11">
      <w:pPr>
        <w:pStyle w:val="TOC3"/>
        <w:tabs>
          <w:tab w:val="right" w:leader="dot" w:pos="9016"/>
        </w:tabs>
        <w:rPr>
          <w:rFonts w:eastAsiaTheme="minorEastAsia"/>
          <w:noProof/>
        </w:rPr>
      </w:pPr>
      <w:hyperlink w:anchor="_Toc237003069" w:history="1">
        <w:r w:rsidRPr="00C31789">
          <w:rPr>
            <w:rStyle w:val="Hyperlink"/>
            <w:noProof/>
          </w:rPr>
          <w:t>Key Features</w:t>
        </w:r>
        <w:r>
          <w:rPr>
            <w:noProof/>
            <w:webHidden/>
          </w:rPr>
          <w:tab/>
        </w:r>
        <w:r>
          <w:rPr>
            <w:noProof/>
            <w:webHidden/>
          </w:rPr>
          <w:fldChar w:fldCharType="begin"/>
        </w:r>
        <w:r>
          <w:rPr>
            <w:noProof/>
            <w:webHidden/>
          </w:rPr>
          <w:instrText xml:space="preserve"> PAGEREF _Toc237003069 \h </w:instrText>
        </w:r>
        <w:r>
          <w:rPr>
            <w:noProof/>
            <w:webHidden/>
          </w:rPr>
        </w:r>
        <w:r>
          <w:rPr>
            <w:noProof/>
            <w:webHidden/>
          </w:rPr>
          <w:fldChar w:fldCharType="separate"/>
        </w:r>
        <w:r w:rsidR="00F506F1">
          <w:rPr>
            <w:noProof/>
            <w:webHidden/>
          </w:rPr>
          <w:t>6</w:t>
        </w:r>
        <w:r>
          <w:rPr>
            <w:noProof/>
            <w:webHidden/>
          </w:rPr>
          <w:fldChar w:fldCharType="end"/>
        </w:r>
      </w:hyperlink>
    </w:p>
    <w:p w14:paraId="7AE61B25" w14:textId="02F65200" w:rsidR="00A87B11" w:rsidRDefault="00A87B11">
      <w:pPr>
        <w:pStyle w:val="TOC3"/>
        <w:tabs>
          <w:tab w:val="right" w:leader="dot" w:pos="9016"/>
        </w:tabs>
        <w:rPr>
          <w:rFonts w:eastAsiaTheme="minorEastAsia"/>
          <w:noProof/>
        </w:rPr>
      </w:pPr>
      <w:hyperlink w:anchor="_Toc237003070" w:history="1">
        <w:r w:rsidRPr="00C31789">
          <w:rPr>
            <w:rStyle w:val="Hyperlink"/>
            <w:noProof/>
          </w:rPr>
          <w:t>Theoretical Framework</w:t>
        </w:r>
        <w:r>
          <w:rPr>
            <w:noProof/>
            <w:webHidden/>
          </w:rPr>
          <w:tab/>
        </w:r>
        <w:r>
          <w:rPr>
            <w:noProof/>
            <w:webHidden/>
          </w:rPr>
          <w:fldChar w:fldCharType="begin"/>
        </w:r>
        <w:r>
          <w:rPr>
            <w:noProof/>
            <w:webHidden/>
          </w:rPr>
          <w:instrText xml:space="preserve"> PAGEREF _Toc237003070 \h </w:instrText>
        </w:r>
        <w:r>
          <w:rPr>
            <w:noProof/>
            <w:webHidden/>
          </w:rPr>
        </w:r>
        <w:r>
          <w:rPr>
            <w:noProof/>
            <w:webHidden/>
          </w:rPr>
          <w:fldChar w:fldCharType="separate"/>
        </w:r>
        <w:r w:rsidR="00F506F1">
          <w:rPr>
            <w:noProof/>
            <w:webHidden/>
          </w:rPr>
          <w:t>6</w:t>
        </w:r>
        <w:r>
          <w:rPr>
            <w:noProof/>
            <w:webHidden/>
          </w:rPr>
          <w:fldChar w:fldCharType="end"/>
        </w:r>
      </w:hyperlink>
    </w:p>
    <w:p w14:paraId="68AC46C9" w14:textId="2B86B6C8" w:rsidR="00A87B11" w:rsidRDefault="00A87B11">
      <w:pPr>
        <w:pStyle w:val="TOC3"/>
        <w:tabs>
          <w:tab w:val="right" w:leader="dot" w:pos="9016"/>
        </w:tabs>
        <w:rPr>
          <w:rFonts w:eastAsiaTheme="minorEastAsia"/>
          <w:noProof/>
        </w:rPr>
      </w:pPr>
      <w:hyperlink w:anchor="_Toc237003071" w:history="1">
        <w:r w:rsidRPr="00C31789">
          <w:rPr>
            <w:rStyle w:val="Hyperlink"/>
            <w:noProof/>
          </w:rPr>
          <w:t>Impact on Health and Wellbeing</w:t>
        </w:r>
        <w:r>
          <w:rPr>
            <w:noProof/>
            <w:webHidden/>
          </w:rPr>
          <w:tab/>
        </w:r>
        <w:r>
          <w:rPr>
            <w:noProof/>
            <w:webHidden/>
          </w:rPr>
          <w:fldChar w:fldCharType="begin"/>
        </w:r>
        <w:r>
          <w:rPr>
            <w:noProof/>
            <w:webHidden/>
          </w:rPr>
          <w:instrText xml:space="preserve"> PAGEREF _Toc237003071 \h </w:instrText>
        </w:r>
        <w:r>
          <w:rPr>
            <w:noProof/>
            <w:webHidden/>
          </w:rPr>
        </w:r>
        <w:r>
          <w:rPr>
            <w:noProof/>
            <w:webHidden/>
          </w:rPr>
          <w:fldChar w:fldCharType="separate"/>
        </w:r>
        <w:r w:rsidR="00F506F1">
          <w:rPr>
            <w:noProof/>
            <w:webHidden/>
          </w:rPr>
          <w:t>7</w:t>
        </w:r>
        <w:r>
          <w:rPr>
            <w:noProof/>
            <w:webHidden/>
          </w:rPr>
          <w:fldChar w:fldCharType="end"/>
        </w:r>
      </w:hyperlink>
    </w:p>
    <w:p w14:paraId="34248009" w14:textId="401F8842" w:rsidR="00A87B11" w:rsidRDefault="00A87B11">
      <w:pPr>
        <w:pStyle w:val="TOC2"/>
        <w:tabs>
          <w:tab w:val="right" w:leader="dot" w:pos="9016"/>
        </w:tabs>
        <w:rPr>
          <w:rFonts w:eastAsiaTheme="minorEastAsia"/>
          <w:noProof/>
        </w:rPr>
      </w:pPr>
      <w:hyperlink w:anchor="_Toc237003072" w:history="1">
        <w:r w:rsidRPr="00C31789">
          <w:rPr>
            <w:rStyle w:val="Hyperlink"/>
            <w:noProof/>
          </w:rPr>
          <w:t>Reduced Anxiety and Stress</w:t>
        </w:r>
        <w:r>
          <w:rPr>
            <w:noProof/>
            <w:webHidden/>
          </w:rPr>
          <w:tab/>
        </w:r>
        <w:r>
          <w:rPr>
            <w:noProof/>
            <w:webHidden/>
          </w:rPr>
          <w:fldChar w:fldCharType="begin"/>
        </w:r>
        <w:r>
          <w:rPr>
            <w:noProof/>
            <w:webHidden/>
          </w:rPr>
          <w:instrText xml:space="preserve"> PAGEREF _Toc237003072 \h </w:instrText>
        </w:r>
        <w:r>
          <w:rPr>
            <w:noProof/>
            <w:webHidden/>
          </w:rPr>
        </w:r>
        <w:r>
          <w:rPr>
            <w:noProof/>
            <w:webHidden/>
          </w:rPr>
          <w:fldChar w:fldCharType="separate"/>
        </w:r>
        <w:r w:rsidR="00F506F1">
          <w:rPr>
            <w:noProof/>
            <w:webHidden/>
          </w:rPr>
          <w:t>8</w:t>
        </w:r>
        <w:r>
          <w:rPr>
            <w:noProof/>
            <w:webHidden/>
          </w:rPr>
          <w:fldChar w:fldCharType="end"/>
        </w:r>
      </w:hyperlink>
    </w:p>
    <w:p w14:paraId="7750AC23" w14:textId="68EBE883" w:rsidR="00A87B11" w:rsidRDefault="00A87B11">
      <w:pPr>
        <w:pStyle w:val="TOC2"/>
        <w:tabs>
          <w:tab w:val="right" w:leader="dot" w:pos="9016"/>
        </w:tabs>
        <w:rPr>
          <w:rFonts w:eastAsiaTheme="minorEastAsia"/>
          <w:noProof/>
        </w:rPr>
      </w:pPr>
      <w:hyperlink w:anchor="_Toc237003073" w:history="1">
        <w:r w:rsidRPr="00C31789">
          <w:rPr>
            <w:rStyle w:val="Hyperlink"/>
            <w:noProof/>
          </w:rPr>
          <w:t>NHS Long Term Plan</w:t>
        </w:r>
        <w:r>
          <w:rPr>
            <w:noProof/>
            <w:webHidden/>
          </w:rPr>
          <w:tab/>
        </w:r>
        <w:r>
          <w:rPr>
            <w:noProof/>
            <w:webHidden/>
          </w:rPr>
          <w:fldChar w:fldCharType="begin"/>
        </w:r>
        <w:r>
          <w:rPr>
            <w:noProof/>
            <w:webHidden/>
          </w:rPr>
          <w:instrText xml:space="preserve"> PAGEREF _Toc237003073 \h </w:instrText>
        </w:r>
        <w:r>
          <w:rPr>
            <w:noProof/>
            <w:webHidden/>
          </w:rPr>
        </w:r>
        <w:r>
          <w:rPr>
            <w:noProof/>
            <w:webHidden/>
          </w:rPr>
          <w:fldChar w:fldCharType="separate"/>
        </w:r>
        <w:r w:rsidR="00F506F1">
          <w:rPr>
            <w:noProof/>
            <w:webHidden/>
          </w:rPr>
          <w:t>9</w:t>
        </w:r>
        <w:r>
          <w:rPr>
            <w:noProof/>
            <w:webHidden/>
          </w:rPr>
          <w:fldChar w:fldCharType="end"/>
        </w:r>
      </w:hyperlink>
    </w:p>
    <w:p w14:paraId="6CE8B6DE" w14:textId="6EBB0174" w:rsidR="00A87B11" w:rsidRDefault="00A87B11">
      <w:pPr>
        <w:pStyle w:val="TOC2"/>
        <w:tabs>
          <w:tab w:val="right" w:leader="dot" w:pos="9016"/>
        </w:tabs>
        <w:rPr>
          <w:rFonts w:eastAsiaTheme="minorEastAsia"/>
          <w:noProof/>
        </w:rPr>
      </w:pPr>
      <w:hyperlink w:anchor="_Toc237003074" w:history="1">
        <w:r w:rsidRPr="00C31789">
          <w:rPr>
            <w:rStyle w:val="Hyperlink"/>
            <w:noProof/>
          </w:rPr>
          <w:t>Potential Challenges and Solutions</w:t>
        </w:r>
        <w:r>
          <w:rPr>
            <w:noProof/>
            <w:webHidden/>
          </w:rPr>
          <w:tab/>
        </w:r>
        <w:r>
          <w:rPr>
            <w:noProof/>
            <w:webHidden/>
          </w:rPr>
          <w:fldChar w:fldCharType="begin"/>
        </w:r>
        <w:r>
          <w:rPr>
            <w:noProof/>
            <w:webHidden/>
          </w:rPr>
          <w:instrText xml:space="preserve"> PAGEREF _Toc237003074 \h </w:instrText>
        </w:r>
        <w:r>
          <w:rPr>
            <w:noProof/>
            <w:webHidden/>
          </w:rPr>
        </w:r>
        <w:r>
          <w:rPr>
            <w:noProof/>
            <w:webHidden/>
          </w:rPr>
          <w:fldChar w:fldCharType="separate"/>
        </w:r>
        <w:r w:rsidR="00F506F1">
          <w:rPr>
            <w:noProof/>
            <w:webHidden/>
          </w:rPr>
          <w:t>9</w:t>
        </w:r>
        <w:r>
          <w:rPr>
            <w:noProof/>
            <w:webHidden/>
          </w:rPr>
          <w:fldChar w:fldCharType="end"/>
        </w:r>
      </w:hyperlink>
    </w:p>
    <w:p w14:paraId="36BC621A" w14:textId="35ED33FA" w:rsidR="00A87B11" w:rsidRDefault="00A87B11">
      <w:pPr>
        <w:pStyle w:val="TOC3"/>
        <w:tabs>
          <w:tab w:val="right" w:leader="dot" w:pos="9016"/>
        </w:tabs>
        <w:rPr>
          <w:rFonts w:eastAsiaTheme="minorEastAsia"/>
          <w:noProof/>
        </w:rPr>
      </w:pPr>
      <w:hyperlink w:anchor="_Toc237003075" w:history="1">
        <w:r w:rsidRPr="00C31789">
          <w:rPr>
            <w:rStyle w:val="Hyperlink"/>
            <w:noProof/>
          </w:rPr>
          <w:t>Digital Exclusion</w:t>
        </w:r>
        <w:r>
          <w:rPr>
            <w:noProof/>
            <w:webHidden/>
          </w:rPr>
          <w:tab/>
        </w:r>
        <w:r>
          <w:rPr>
            <w:noProof/>
            <w:webHidden/>
          </w:rPr>
          <w:fldChar w:fldCharType="begin"/>
        </w:r>
        <w:r>
          <w:rPr>
            <w:noProof/>
            <w:webHidden/>
          </w:rPr>
          <w:instrText xml:space="preserve"> PAGEREF _Toc237003075 \h </w:instrText>
        </w:r>
        <w:r>
          <w:rPr>
            <w:noProof/>
            <w:webHidden/>
          </w:rPr>
        </w:r>
        <w:r>
          <w:rPr>
            <w:noProof/>
            <w:webHidden/>
          </w:rPr>
          <w:fldChar w:fldCharType="separate"/>
        </w:r>
        <w:r w:rsidR="00F506F1">
          <w:rPr>
            <w:noProof/>
            <w:webHidden/>
          </w:rPr>
          <w:t>9</w:t>
        </w:r>
        <w:r>
          <w:rPr>
            <w:noProof/>
            <w:webHidden/>
          </w:rPr>
          <w:fldChar w:fldCharType="end"/>
        </w:r>
      </w:hyperlink>
    </w:p>
    <w:p w14:paraId="740C583C" w14:textId="764E2A48" w:rsidR="00A87B11" w:rsidRDefault="00A87B11">
      <w:pPr>
        <w:pStyle w:val="TOC3"/>
        <w:tabs>
          <w:tab w:val="right" w:leader="dot" w:pos="9016"/>
        </w:tabs>
        <w:rPr>
          <w:rFonts w:eastAsiaTheme="minorEastAsia"/>
          <w:noProof/>
        </w:rPr>
      </w:pPr>
      <w:hyperlink w:anchor="_Toc237003076" w:history="1">
        <w:r w:rsidRPr="00C31789">
          <w:rPr>
            <w:rStyle w:val="Hyperlink"/>
            <w:noProof/>
          </w:rPr>
          <w:t>Staff Resistance</w:t>
        </w:r>
        <w:r>
          <w:rPr>
            <w:noProof/>
            <w:webHidden/>
          </w:rPr>
          <w:tab/>
        </w:r>
        <w:r>
          <w:rPr>
            <w:noProof/>
            <w:webHidden/>
          </w:rPr>
          <w:fldChar w:fldCharType="begin"/>
        </w:r>
        <w:r>
          <w:rPr>
            <w:noProof/>
            <w:webHidden/>
          </w:rPr>
          <w:instrText xml:space="preserve"> PAGEREF _Toc237003076 \h </w:instrText>
        </w:r>
        <w:r>
          <w:rPr>
            <w:noProof/>
            <w:webHidden/>
          </w:rPr>
        </w:r>
        <w:r>
          <w:rPr>
            <w:noProof/>
            <w:webHidden/>
          </w:rPr>
          <w:fldChar w:fldCharType="separate"/>
        </w:r>
        <w:r w:rsidR="00F506F1">
          <w:rPr>
            <w:noProof/>
            <w:webHidden/>
          </w:rPr>
          <w:t>9</w:t>
        </w:r>
        <w:r>
          <w:rPr>
            <w:noProof/>
            <w:webHidden/>
          </w:rPr>
          <w:fldChar w:fldCharType="end"/>
        </w:r>
      </w:hyperlink>
    </w:p>
    <w:p w14:paraId="18A1D901" w14:textId="6616BA08" w:rsidR="00A87B11" w:rsidRDefault="00A87B11">
      <w:pPr>
        <w:pStyle w:val="TOC3"/>
        <w:tabs>
          <w:tab w:val="right" w:leader="dot" w:pos="9016"/>
        </w:tabs>
        <w:rPr>
          <w:rFonts w:eastAsiaTheme="minorEastAsia"/>
          <w:noProof/>
        </w:rPr>
      </w:pPr>
      <w:hyperlink w:anchor="_Toc237003077" w:history="1">
        <w:r w:rsidRPr="00C31789">
          <w:rPr>
            <w:rStyle w:val="Hyperlink"/>
            <w:noProof/>
          </w:rPr>
          <w:t>Financial Costs</w:t>
        </w:r>
        <w:r>
          <w:rPr>
            <w:noProof/>
            <w:webHidden/>
          </w:rPr>
          <w:tab/>
        </w:r>
        <w:r>
          <w:rPr>
            <w:noProof/>
            <w:webHidden/>
          </w:rPr>
          <w:fldChar w:fldCharType="begin"/>
        </w:r>
        <w:r>
          <w:rPr>
            <w:noProof/>
            <w:webHidden/>
          </w:rPr>
          <w:instrText xml:space="preserve"> PAGEREF _Toc237003077 \h </w:instrText>
        </w:r>
        <w:r>
          <w:rPr>
            <w:noProof/>
            <w:webHidden/>
          </w:rPr>
        </w:r>
        <w:r>
          <w:rPr>
            <w:noProof/>
            <w:webHidden/>
          </w:rPr>
          <w:fldChar w:fldCharType="separate"/>
        </w:r>
        <w:r w:rsidR="00F506F1">
          <w:rPr>
            <w:noProof/>
            <w:webHidden/>
          </w:rPr>
          <w:t>10</w:t>
        </w:r>
        <w:r>
          <w:rPr>
            <w:noProof/>
            <w:webHidden/>
          </w:rPr>
          <w:fldChar w:fldCharType="end"/>
        </w:r>
      </w:hyperlink>
    </w:p>
    <w:p w14:paraId="140EC1B9" w14:textId="3BA2E6A2" w:rsidR="00A87B11" w:rsidRDefault="00A87B11">
      <w:pPr>
        <w:pStyle w:val="TOC3"/>
        <w:tabs>
          <w:tab w:val="right" w:leader="dot" w:pos="9016"/>
        </w:tabs>
        <w:rPr>
          <w:rFonts w:eastAsiaTheme="minorEastAsia"/>
          <w:noProof/>
        </w:rPr>
      </w:pPr>
      <w:hyperlink w:anchor="_Toc237003078" w:history="1">
        <w:r w:rsidRPr="00C31789">
          <w:rPr>
            <w:rStyle w:val="Hyperlink"/>
            <w:noProof/>
          </w:rPr>
          <w:t>Data Security Risks</w:t>
        </w:r>
        <w:r>
          <w:rPr>
            <w:noProof/>
            <w:webHidden/>
          </w:rPr>
          <w:tab/>
        </w:r>
        <w:r>
          <w:rPr>
            <w:noProof/>
            <w:webHidden/>
          </w:rPr>
          <w:fldChar w:fldCharType="begin"/>
        </w:r>
        <w:r>
          <w:rPr>
            <w:noProof/>
            <w:webHidden/>
          </w:rPr>
          <w:instrText xml:space="preserve"> PAGEREF _Toc237003078 \h </w:instrText>
        </w:r>
        <w:r>
          <w:rPr>
            <w:noProof/>
            <w:webHidden/>
          </w:rPr>
        </w:r>
        <w:r>
          <w:rPr>
            <w:noProof/>
            <w:webHidden/>
          </w:rPr>
          <w:fldChar w:fldCharType="separate"/>
        </w:r>
        <w:r w:rsidR="00F506F1">
          <w:rPr>
            <w:noProof/>
            <w:webHidden/>
          </w:rPr>
          <w:t>10</w:t>
        </w:r>
        <w:r>
          <w:rPr>
            <w:noProof/>
            <w:webHidden/>
          </w:rPr>
          <w:fldChar w:fldCharType="end"/>
        </w:r>
      </w:hyperlink>
    </w:p>
    <w:p w14:paraId="152A9F31" w14:textId="2D155715" w:rsidR="00A87B11" w:rsidRDefault="00A87B11">
      <w:pPr>
        <w:pStyle w:val="TOC3"/>
        <w:tabs>
          <w:tab w:val="right" w:leader="dot" w:pos="9016"/>
        </w:tabs>
        <w:rPr>
          <w:rFonts w:eastAsiaTheme="minorEastAsia"/>
          <w:noProof/>
        </w:rPr>
      </w:pPr>
      <w:hyperlink w:anchor="_Toc237003079" w:history="1">
        <w:r w:rsidRPr="00C31789">
          <w:rPr>
            <w:rStyle w:val="Hyperlink"/>
            <w:noProof/>
          </w:rPr>
          <w:t>Evaluation</w:t>
        </w:r>
        <w:r>
          <w:rPr>
            <w:noProof/>
            <w:webHidden/>
          </w:rPr>
          <w:tab/>
        </w:r>
        <w:r>
          <w:rPr>
            <w:noProof/>
            <w:webHidden/>
          </w:rPr>
          <w:fldChar w:fldCharType="begin"/>
        </w:r>
        <w:r>
          <w:rPr>
            <w:noProof/>
            <w:webHidden/>
          </w:rPr>
          <w:instrText xml:space="preserve"> PAGEREF _Toc237003079 \h </w:instrText>
        </w:r>
        <w:r>
          <w:rPr>
            <w:noProof/>
            <w:webHidden/>
          </w:rPr>
        </w:r>
        <w:r>
          <w:rPr>
            <w:noProof/>
            <w:webHidden/>
          </w:rPr>
          <w:fldChar w:fldCharType="separate"/>
        </w:r>
        <w:r w:rsidR="00F506F1">
          <w:rPr>
            <w:noProof/>
            <w:webHidden/>
          </w:rPr>
          <w:t>10</w:t>
        </w:r>
        <w:r>
          <w:rPr>
            <w:noProof/>
            <w:webHidden/>
          </w:rPr>
          <w:fldChar w:fldCharType="end"/>
        </w:r>
      </w:hyperlink>
    </w:p>
    <w:p w14:paraId="1F29CB22" w14:textId="5FA240D1" w:rsidR="00A87B11" w:rsidRDefault="00A87B11">
      <w:pPr>
        <w:pStyle w:val="TOC2"/>
        <w:tabs>
          <w:tab w:val="right" w:leader="dot" w:pos="9016"/>
        </w:tabs>
        <w:rPr>
          <w:rFonts w:eastAsiaTheme="minorEastAsia"/>
          <w:noProof/>
        </w:rPr>
      </w:pPr>
      <w:hyperlink w:anchor="_Toc237003080" w:history="1">
        <w:r w:rsidRPr="00C31789">
          <w:rPr>
            <w:rStyle w:val="Hyperlink"/>
            <w:noProof/>
          </w:rPr>
          <w:t>Conclusion</w:t>
        </w:r>
        <w:r>
          <w:rPr>
            <w:noProof/>
            <w:webHidden/>
          </w:rPr>
          <w:tab/>
        </w:r>
        <w:r>
          <w:rPr>
            <w:noProof/>
            <w:webHidden/>
          </w:rPr>
          <w:fldChar w:fldCharType="begin"/>
        </w:r>
        <w:r>
          <w:rPr>
            <w:noProof/>
            <w:webHidden/>
          </w:rPr>
          <w:instrText xml:space="preserve"> PAGEREF _Toc237003080 \h </w:instrText>
        </w:r>
        <w:r>
          <w:rPr>
            <w:noProof/>
            <w:webHidden/>
          </w:rPr>
        </w:r>
        <w:r>
          <w:rPr>
            <w:noProof/>
            <w:webHidden/>
          </w:rPr>
          <w:fldChar w:fldCharType="separate"/>
        </w:r>
        <w:r w:rsidR="00F506F1">
          <w:rPr>
            <w:noProof/>
            <w:webHidden/>
          </w:rPr>
          <w:t>12</w:t>
        </w:r>
        <w:r>
          <w:rPr>
            <w:noProof/>
            <w:webHidden/>
          </w:rPr>
          <w:fldChar w:fldCharType="end"/>
        </w:r>
      </w:hyperlink>
    </w:p>
    <w:p w14:paraId="216290E6" w14:textId="29D43D83" w:rsidR="00A87B11" w:rsidRDefault="00A87B11">
      <w:pPr>
        <w:pStyle w:val="TOC2"/>
        <w:tabs>
          <w:tab w:val="right" w:leader="dot" w:pos="9016"/>
        </w:tabs>
        <w:rPr>
          <w:rFonts w:eastAsiaTheme="minorEastAsia"/>
          <w:noProof/>
        </w:rPr>
      </w:pPr>
      <w:hyperlink w:anchor="_Toc237003081" w:history="1">
        <w:r w:rsidRPr="00C31789">
          <w:rPr>
            <w:rStyle w:val="Hyperlink"/>
            <w:noProof/>
          </w:rPr>
          <w:t>References</w:t>
        </w:r>
        <w:r>
          <w:rPr>
            <w:noProof/>
            <w:webHidden/>
          </w:rPr>
          <w:tab/>
        </w:r>
        <w:r>
          <w:rPr>
            <w:noProof/>
            <w:webHidden/>
          </w:rPr>
          <w:fldChar w:fldCharType="begin"/>
        </w:r>
        <w:r>
          <w:rPr>
            <w:noProof/>
            <w:webHidden/>
          </w:rPr>
          <w:instrText xml:space="preserve"> PAGEREF _Toc237003081 \h </w:instrText>
        </w:r>
        <w:r>
          <w:rPr>
            <w:noProof/>
            <w:webHidden/>
          </w:rPr>
        </w:r>
        <w:r>
          <w:rPr>
            <w:noProof/>
            <w:webHidden/>
          </w:rPr>
          <w:fldChar w:fldCharType="separate"/>
        </w:r>
        <w:r w:rsidR="00F506F1">
          <w:rPr>
            <w:noProof/>
            <w:webHidden/>
          </w:rPr>
          <w:t>13</w:t>
        </w:r>
        <w:r>
          <w:rPr>
            <w:noProof/>
            <w:webHidden/>
          </w:rPr>
          <w:fldChar w:fldCharType="end"/>
        </w:r>
      </w:hyperlink>
    </w:p>
    <w:p w14:paraId="0FBF8F8B" w14:textId="5D5D8E36" w:rsidR="00A87B11" w:rsidRDefault="00A87B11">
      <w:r>
        <w:rPr>
          <w:b/>
          <w:bCs/>
        </w:rPr>
        <w:fldChar w:fldCharType="end"/>
      </w:r>
    </w:p>
    <w:p w14:paraId="325A46F9" w14:textId="25989321" w:rsidR="00480301" w:rsidRPr="002B3AD3" w:rsidRDefault="00F506F1" w:rsidP="002B3AD3">
      <w:pPr>
        <w:pStyle w:val="Heading1"/>
        <w:rPr>
          <w14:textOutline w14:w="9525" w14:cap="rnd" w14:cmpd="sng" w14:algn="ctr">
            <w14:solidFill>
              <w14:srgbClr w14:val="000000"/>
            </w14:solidFill>
            <w14:prstDash w14:val="solid"/>
            <w14:bevel/>
          </w14:textOutline>
        </w:rPr>
      </w:pPr>
      <w:bookmarkStart w:id="1" w:name="_Toc237002753"/>
      <w:bookmarkStart w:id="2" w:name="_Toc237003062"/>
      <w:r>
        <w:rPr>
          <w:noProof/>
        </w:rPr>
        <w:lastRenderedPageBreak/>
        <w:drawing>
          <wp:inline distT="0" distB="0" distL="0" distR="0" wp14:anchorId="6951160D" wp14:editId="0FF3F00B">
            <wp:extent cx="5731510" cy="8107616"/>
            <wp:effectExtent l="0" t="0" r="2540" b="8255"/>
            <wp:docPr id="5321976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197687" name="Picture 53219768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7616"/>
                    </a:xfrm>
                    <a:prstGeom prst="rect">
                      <a:avLst/>
                    </a:prstGeom>
                  </pic:spPr>
                </pic:pic>
              </a:graphicData>
            </a:graphic>
          </wp:inline>
        </w:drawing>
      </w:r>
      <w:r w:rsidR="002B3AD3">
        <w:rPr>
          <w:noProof/>
        </w:rPr>
        <mc:AlternateContent>
          <mc:Choice Requires="wps">
            <w:drawing>
              <wp:anchor distT="0" distB="0" distL="114300" distR="114300" simplePos="0" relativeHeight="251659264" behindDoc="0" locked="0" layoutInCell="1" allowOverlap="1" wp14:anchorId="0C374995" wp14:editId="436E4AFC">
                <wp:simplePos x="0" y="0"/>
                <wp:positionH relativeFrom="column">
                  <wp:posOffset>-268514</wp:posOffset>
                </wp:positionH>
                <wp:positionV relativeFrom="paragraph">
                  <wp:posOffset>-370114</wp:posOffset>
                </wp:positionV>
                <wp:extent cx="740228" cy="297543"/>
                <wp:effectExtent l="0" t="0" r="3175" b="7620"/>
                <wp:wrapNone/>
                <wp:docPr id="816415810" name="Text Box 1"/>
                <wp:cNvGraphicFramePr/>
                <a:graphic xmlns:a="http://schemas.openxmlformats.org/drawingml/2006/main">
                  <a:graphicData uri="http://schemas.microsoft.com/office/word/2010/wordprocessingShape">
                    <wps:wsp>
                      <wps:cNvSpPr txBox="1"/>
                      <wps:spPr>
                        <a:xfrm>
                          <a:off x="0" y="0"/>
                          <a:ext cx="740228" cy="297543"/>
                        </a:xfrm>
                        <a:prstGeom prst="rect">
                          <a:avLst/>
                        </a:prstGeom>
                        <a:solidFill>
                          <a:schemeClr val="lt1"/>
                        </a:solidFill>
                        <a:ln w="6350">
                          <a:noFill/>
                        </a:ln>
                      </wps:spPr>
                      <wps:txbx>
                        <w:txbxContent>
                          <w:p w14:paraId="1F5C62D5" w14:textId="5A965CCC" w:rsidR="002B3AD3" w:rsidRPr="002B3AD3" w:rsidRDefault="002B3AD3" w:rsidP="002B3AD3">
                            <w:pPr>
                              <w:pStyle w:val="Heading1"/>
                              <w:rPr>
                                <w:color w:val="000000" w:themeColor="text1"/>
                              </w:rPr>
                            </w:pPr>
                            <w:bookmarkStart w:id="3" w:name="_Toc237002726"/>
                            <w:bookmarkStart w:id="4" w:name="_Toc237003063"/>
                            <w:r w:rsidRPr="002B3AD3">
                              <w:rPr>
                                <w:color w:val="000000" w:themeColor="text1"/>
                              </w:rPr>
                              <w:t>POSTER</w:t>
                            </w:r>
                            <w:bookmarkEnd w:id="3"/>
                            <w:bookmarkEnd w:id="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374995" id="_x0000_t202" coordsize="21600,21600" o:spt="202" path="m,l,21600r21600,l21600,xe">
                <v:stroke joinstyle="miter"/>
                <v:path gradientshapeok="t" o:connecttype="rect"/>
              </v:shapetype>
              <v:shape id="Text Box 1" o:spid="_x0000_s1026" type="#_x0000_t202" style="position:absolute;margin-left:-21.15pt;margin-top:-29.15pt;width:58.3pt;height:2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" fillcolor="white [3201]" stroked="f" strokeweight=".5pt">
                <v:textbox>
                  <w:txbxContent>
                    <w:p w14:paraId="1F5C62D5" w14:textId="5A965CCC" w:rsidR="002B3AD3" w:rsidRPr="002B3AD3" w:rsidRDefault="002B3AD3" w:rsidP="002B3AD3">
                      <w:pPr>
                        <w:pStyle w:val="Heading1"/>
                        <w:rPr>
                          <w:color w:val="000000" w:themeColor="text1"/>
                        </w:rPr>
                      </w:pPr>
                      <w:bookmarkStart w:id="5" w:name="_Toc237002726"/>
                      <w:bookmarkStart w:id="6" w:name="_Toc237003063"/>
                      <w:r w:rsidRPr="002B3AD3">
                        <w:rPr>
                          <w:color w:val="000000" w:themeColor="text1"/>
                        </w:rPr>
                        <w:t>POSTER</w:t>
                      </w:r>
                      <w:bookmarkEnd w:id="5"/>
                      <w:bookmarkEnd w:id="6"/>
                    </w:p>
                  </w:txbxContent>
                </v:textbox>
              </v:shape>
            </w:pict>
          </mc:Fallback>
        </mc:AlternateContent>
      </w:r>
      <w:bookmarkEnd w:id="0"/>
      <w:bookmarkEnd w:id="1"/>
      <w:bookmarkEnd w:id="2"/>
    </w:p>
    <w:p w14:paraId="55E6BD2B" w14:textId="77777777" w:rsidR="00F506F1" w:rsidRDefault="00F506F1" w:rsidP="002B3AD3">
      <w:pPr>
        <w:pStyle w:val="Heading1"/>
      </w:pPr>
      <w:bookmarkStart w:id="7" w:name="_Toc237002727"/>
      <w:bookmarkStart w:id="8" w:name="_Toc237003064"/>
    </w:p>
    <w:p w14:paraId="08EFED14" w14:textId="52CB2211" w:rsidR="00512FDB" w:rsidRPr="00480301" w:rsidRDefault="00CF492C" w:rsidP="002B3AD3">
      <w:pPr>
        <w:pStyle w:val="Heading1"/>
      </w:pPr>
      <w:proofErr w:type="spellStart"/>
      <w:r w:rsidRPr="00480301">
        <w:lastRenderedPageBreak/>
        <w:t>CareConnect</w:t>
      </w:r>
      <w:proofErr w:type="spellEnd"/>
      <w:r w:rsidRPr="00480301">
        <w:t xml:space="preserve"> UK:</w:t>
      </w:r>
      <w:bookmarkEnd w:id="7"/>
      <w:bookmarkEnd w:id="8"/>
    </w:p>
    <w:p w14:paraId="320A801F" w14:textId="7766BBB4" w:rsidR="00985462" w:rsidRPr="00480301" w:rsidRDefault="00CF492C" w:rsidP="002B3AD3">
      <w:pPr>
        <w:pStyle w:val="Heading2"/>
      </w:pPr>
      <w:bookmarkStart w:id="9" w:name="_Toc237002728"/>
      <w:bookmarkStart w:id="10" w:name="_Toc237003065"/>
      <w:r w:rsidRPr="00480301">
        <w:t>Improving Hospital Discharge Through Integrated Digital Care Coordination</w:t>
      </w:r>
      <w:bookmarkEnd w:id="9"/>
      <w:bookmarkEnd w:id="10"/>
    </w:p>
    <w:p w14:paraId="6C165305" w14:textId="77777777" w:rsidR="005D6756" w:rsidRPr="005D6756" w:rsidRDefault="005D6756" w:rsidP="005D6756">
      <w:pPr>
        <w:spacing w:line="360" w:lineRule="auto"/>
        <w:rPr>
          <w:rFonts w:ascii="Arial" w:hAnsi="Arial" w:cs="Arial"/>
          <w:b/>
          <w:bCs/>
          <w:sz w:val="22"/>
          <w:szCs w:val="22"/>
        </w:rPr>
      </w:pPr>
    </w:p>
    <w:p w14:paraId="6CEB1E22" w14:textId="30C76264" w:rsidR="00985462" w:rsidRPr="00480301" w:rsidRDefault="00985462" w:rsidP="002B3AD3">
      <w:pPr>
        <w:pStyle w:val="Heading3"/>
      </w:pPr>
      <w:bookmarkStart w:id="11" w:name="_Toc237002729"/>
      <w:bookmarkStart w:id="12" w:name="_Toc237003066"/>
      <w:r w:rsidRPr="00480301">
        <w:t>Introduction</w:t>
      </w:r>
      <w:bookmarkEnd w:id="11"/>
      <w:bookmarkEnd w:id="12"/>
    </w:p>
    <w:p w14:paraId="3F75445E" w14:textId="10F39D6D" w:rsidR="00985462" w:rsidRPr="005D6756" w:rsidRDefault="00985462" w:rsidP="005D6756">
      <w:pPr>
        <w:spacing w:line="360" w:lineRule="auto"/>
        <w:rPr>
          <w:rFonts w:ascii="Arial" w:hAnsi="Arial" w:cs="Arial"/>
          <w:b/>
          <w:bCs/>
          <w:sz w:val="22"/>
          <w:szCs w:val="22"/>
        </w:rPr>
      </w:pPr>
      <w:r w:rsidRPr="005D6756">
        <w:rPr>
          <w:rFonts w:ascii="Arial" w:hAnsi="Arial" w:cs="Arial"/>
          <w:sz w:val="22"/>
          <w:szCs w:val="22"/>
        </w:rPr>
        <w:t>Hospital discharge is a critical stage in the patient care pathway, particularly for older adults who often require ongoing support from multiple health and social care professionals. Ineffective discharge planning can result in fragmented care, delayed support services, medication errors, reduced patient independence, and avoidable hospital readmissions (NHS England, 2022). These issues place additional pressure on already stretched NHS resources and negatively affect patient wellbeing.</w:t>
      </w:r>
    </w:p>
    <w:p w14:paraId="10CCB0BA"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 xml:space="preserve">As the UK's ageing population continues to increase, health and social care services must develop innovative solutions that improve communication, coordination, and continuity of care. This pitch proposes </w:t>
      </w: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an integrated digital platform that uses artificial intelligence (AI), secure information sharing, and remote monitoring technologies to coordinate care during and after hospital discharge. The platform aims to support collaboration between healthcare professionals, social care providers, patients, and family carers, ensuring that individuals receive appropriate and timely support when returning home.</w:t>
      </w:r>
    </w:p>
    <w:p w14:paraId="211868EF" w14:textId="1C335D44"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 xml:space="preserve">This innovation aligns with current government policies promoting digital transformation, integrated care systems, and person-centred healthcare. Through enhanced communication and multidisciplinary collaboration, </w:t>
      </w: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has the potential to improve patient outcomes, reduce hospital readmissions, and increase efficiency across health and social care services.</w:t>
      </w:r>
    </w:p>
    <w:p w14:paraId="1FCB06D7" w14:textId="77777777" w:rsidR="00325A05" w:rsidRPr="005D6756" w:rsidRDefault="00325A05" w:rsidP="005D6756">
      <w:pPr>
        <w:spacing w:line="360" w:lineRule="auto"/>
        <w:rPr>
          <w:rFonts w:ascii="Arial" w:hAnsi="Arial" w:cs="Arial"/>
          <w:sz w:val="22"/>
          <w:szCs w:val="22"/>
        </w:rPr>
      </w:pPr>
    </w:p>
    <w:p w14:paraId="407E5A03" w14:textId="77777777" w:rsidR="00985462" w:rsidRPr="00480301" w:rsidRDefault="00985462" w:rsidP="002B3AD3">
      <w:pPr>
        <w:pStyle w:val="Heading3"/>
      </w:pPr>
      <w:bookmarkStart w:id="13" w:name="_Toc237002730"/>
      <w:bookmarkStart w:id="14" w:name="_Toc237003067"/>
      <w:r w:rsidRPr="00480301">
        <w:t>Background and Rationale</w:t>
      </w:r>
      <w:bookmarkEnd w:id="13"/>
      <w:bookmarkEnd w:id="14"/>
    </w:p>
    <w:p w14:paraId="4A4FFFFA"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Hospital discharge remains a major challenge across the NHS. Delayed discharges contribute to hospital overcrowding, increased healthcare costs, and reduced patient satisfaction. NHS England's Home First approach recognises that many patients recover more effectively within their own homes when appropriate support systems are available (NHS England, 2022).</w:t>
      </w:r>
    </w:p>
    <w:p w14:paraId="7A1C0052"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lastRenderedPageBreak/>
        <w:t>However, many older adults require coordinated input from several professionals including doctors, nurses, pharmacists, physiotherapists, occupational therapists, social workers, and community care providers. Information is often stored across different systems and organisations, resulting in poor communication and fragmented care delivery.</w:t>
      </w:r>
    </w:p>
    <w:p w14:paraId="1F453636"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For example, an elderly patient recovering from a hip fracture may require physiotherapy rehabilitation, social care support, medication management, home adaptations, and follow-up nursing care. If professionals cannot effectively share information, delays and misunderstandings can occur, increasing the risk of deterioration and hospital readmission.</w:t>
      </w:r>
    </w:p>
    <w:p w14:paraId="7CC3D809" w14:textId="4DD19182"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 xml:space="preserve">The King's Fund (2022) highlights integrated care as a key strategy for improving patient outcomes and reducing inefficiencies. </w:t>
      </w: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responds directly to this challenge by creating a unified digital platform that enables all stakeholders to access and update care information in real time.</w:t>
      </w:r>
    </w:p>
    <w:p w14:paraId="4651043F" w14:textId="77777777" w:rsidR="00253BBE" w:rsidRPr="005D6756" w:rsidRDefault="00253BBE" w:rsidP="005D6756">
      <w:pPr>
        <w:spacing w:line="360" w:lineRule="auto"/>
        <w:rPr>
          <w:rFonts w:ascii="Arial" w:hAnsi="Arial" w:cs="Arial"/>
          <w:sz w:val="22"/>
          <w:szCs w:val="22"/>
        </w:rPr>
      </w:pPr>
    </w:p>
    <w:p w14:paraId="0043D1ED" w14:textId="65AA0364" w:rsidR="00985462" w:rsidRPr="00480301" w:rsidRDefault="00985462" w:rsidP="002B3AD3">
      <w:pPr>
        <w:pStyle w:val="Heading2"/>
      </w:pPr>
      <w:bookmarkStart w:id="15" w:name="_Toc237002731"/>
      <w:bookmarkStart w:id="16" w:name="_Toc237003068"/>
      <w:r w:rsidRPr="00480301">
        <w:t xml:space="preserve">Description of </w:t>
      </w:r>
      <w:proofErr w:type="spellStart"/>
      <w:r w:rsidRPr="00480301">
        <w:t>CareConnect</w:t>
      </w:r>
      <w:proofErr w:type="spellEnd"/>
      <w:r w:rsidRPr="00480301">
        <w:t xml:space="preserve"> UK</w:t>
      </w:r>
      <w:bookmarkEnd w:id="15"/>
      <w:bookmarkEnd w:id="16"/>
    </w:p>
    <w:p w14:paraId="44D91FEE" w14:textId="77777777" w:rsidR="00985462" w:rsidRPr="005D6756" w:rsidRDefault="00985462" w:rsidP="005D6756">
      <w:pPr>
        <w:spacing w:line="360" w:lineRule="auto"/>
        <w:rPr>
          <w:rFonts w:ascii="Arial" w:hAnsi="Arial" w:cs="Arial"/>
          <w:sz w:val="22"/>
          <w:szCs w:val="22"/>
        </w:rPr>
      </w:pP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is a cloud-based integrated care coordination platform designed to support safe hospital discharge and ongoing community-based care.</w:t>
      </w:r>
    </w:p>
    <w:p w14:paraId="58AAB518"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When a patient is approaching discharge, healthcare professionals enter relevant assessment data into the system. Using AI-supported technology, the platform generates a personalised care plan that identifies healthcare, rehabilitation, and social care needs.</w:t>
      </w:r>
    </w:p>
    <w:p w14:paraId="27F23475"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The care plan can be securely accessed by:</w:t>
      </w:r>
    </w:p>
    <w:p w14:paraId="11D34513"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t>Hospital clinicians</w:t>
      </w:r>
    </w:p>
    <w:p w14:paraId="710D91D6"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t>General Practitioners (GPs)</w:t>
      </w:r>
    </w:p>
    <w:p w14:paraId="30A0B7D4"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t>Social workers</w:t>
      </w:r>
    </w:p>
    <w:p w14:paraId="20B907E0"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t>Community nurses</w:t>
      </w:r>
    </w:p>
    <w:p w14:paraId="756FD744"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t>Physiotherapists</w:t>
      </w:r>
    </w:p>
    <w:p w14:paraId="5EA24310"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t>Occupational therapists</w:t>
      </w:r>
    </w:p>
    <w:p w14:paraId="11F3A44B"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t>Pharmacists</w:t>
      </w:r>
    </w:p>
    <w:p w14:paraId="4AF27ECD"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t>Home care providers</w:t>
      </w:r>
    </w:p>
    <w:p w14:paraId="53F76918"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t>Family carers</w:t>
      </w:r>
    </w:p>
    <w:p w14:paraId="5587A9C4" w14:textId="77777777" w:rsidR="00985462" w:rsidRPr="005D6756" w:rsidRDefault="00985462">
      <w:pPr>
        <w:numPr>
          <w:ilvl w:val="0"/>
          <w:numId w:val="1"/>
        </w:numPr>
        <w:spacing w:line="360" w:lineRule="auto"/>
        <w:rPr>
          <w:rFonts w:ascii="Arial" w:hAnsi="Arial" w:cs="Arial"/>
          <w:sz w:val="22"/>
          <w:szCs w:val="22"/>
        </w:rPr>
      </w:pPr>
      <w:r w:rsidRPr="005D6756">
        <w:rPr>
          <w:rFonts w:ascii="Arial" w:hAnsi="Arial" w:cs="Arial"/>
          <w:sz w:val="22"/>
          <w:szCs w:val="22"/>
        </w:rPr>
        <w:lastRenderedPageBreak/>
        <w:t>Patients</w:t>
      </w:r>
    </w:p>
    <w:p w14:paraId="50889B32"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The platform ensures all stakeholders work from the same information source, improving accountability and reducing communication failures.</w:t>
      </w:r>
    </w:p>
    <w:p w14:paraId="4091DEDA" w14:textId="77777777" w:rsidR="00325A05" w:rsidRPr="005D6756" w:rsidRDefault="00325A05" w:rsidP="005D6756">
      <w:pPr>
        <w:spacing w:line="360" w:lineRule="auto"/>
        <w:rPr>
          <w:rFonts w:ascii="Arial" w:hAnsi="Arial" w:cs="Arial"/>
          <w:b/>
          <w:bCs/>
          <w:sz w:val="22"/>
          <w:szCs w:val="22"/>
        </w:rPr>
      </w:pPr>
    </w:p>
    <w:p w14:paraId="23B6A296" w14:textId="716EBE92" w:rsidR="00985462" w:rsidRPr="00480301" w:rsidRDefault="00985462" w:rsidP="002B3AD3">
      <w:pPr>
        <w:pStyle w:val="Heading3"/>
      </w:pPr>
      <w:bookmarkStart w:id="17" w:name="_Toc237002732"/>
      <w:bookmarkStart w:id="18" w:name="_Toc237003069"/>
      <w:r w:rsidRPr="00480301">
        <w:t>Key Features</w:t>
      </w:r>
      <w:bookmarkEnd w:id="17"/>
      <w:bookmarkEnd w:id="18"/>
    </w:p>
    <w:p w14:paraId="30880AAB"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AI-assisted discharge planning</w:t>
      </w:r>
    </w:p>
    <w:p w14:paraId="6E0E021B"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Real-time care coordination</w:t>
      </w:r>
    </w:p>
    <w:p w14:paraId="2A73CAA8"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Secure messaging systems</w:t>
      </w:r>
    </w:p>
    <w:p w14:paraId="37326AD2"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Electronic document sharing</w:t>
      </w:r>
    </w:p>
    <w:p w14:paraId="2438C153"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Medication reminders</w:t>
      </w:r>
    </w:p>
    <w:p w14:paraId="305D481F"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Appointment scheduling</w:t>
      </w:r>
    </w:p>
    <w:p w14:paraId="05A4A53B"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Remote wellbeing monitoring</w:t>
      </w:r>
    </w:p>
    <w:p w14:paraId="1863855A"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Emergency alerts</w:t>
      </w:r>
    </w:p>
    <w:p w14:paraId="3CFF9B06"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Care package tracking</w:t>
      </w:r>
    </w:p>
    <w:p w14:paraId="34EAFA0A"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Family carer access portal</w:t>
      </w:r>
    </w:p>
    <w:p w14:paraId="358728B3" w14:textId="77777777" w:rsidR="00985462" w:rsidRPr="005D6756" w:rsidRDefault="00985462">
      <w:pPr>
        <w:numPr>
          <w:ilvl w:val="0"/>
          <w:numId w:val="2"/>
        </w:numPr>
        <w:spacing w:line="360" w:lineRule="auto"/>
        <w:rPr>
          <w:rFonts w:ascii="Arial" w:hAnsi="Arial" w:cs="Arial"/>
          <w:sz w:val="22"/>
          <w:szCs w:val="22"/>
        </w:rPr>
      </w:pPr>
      <w:r w:rsidRPr="005D6756">
        <w:rPr>
          <w:rFonts w:ascii="Arial" w:hAnsi="Arial" w:cs="Arial"/>
          <w:sz w:val="22"/>
          <w:szCs w:val="22"/>
        </w:rPr>
        <w:t>Patient education resources</w:t>
      </w:r>
    </w:p>
    <w:p w14:paraId="0427B5ED" w14:textId="24C7915D"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 xml:space="preserve">By integrating these functions into one platform, </w:t>
      </w: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promotes continuity of care and enables proactive intervention when problems arise.</w:t>
      </w:r>
    </w:p>
    <w:p w14:paraId="3E926EAC" w14:textId="77777777" w:rsidR="00325A05" w:rsidRPr="005D6756" w:rsidRDefault="00325A05" w:rsidP="005D6756">
      <w:pPr>
        <w:spacing w:line="360" w:lineRule="auto"/>
        <w:rPr>
          <w:rFonts w:ascii="Arial" w:hAnsi="Arial" w:cs="Arial"/>
          <w:b/>
          <w:bCs/>
          <w:sz w:val="22"/>
          <w:szCs w:val="22"/>
        </w:rPr>
      </w:pPr>
    </w:p>
    <w:p w14:paraId="027B0577" w14:textId="371F15C1" w:rsidR="00985462" w:rsidRPr="005D6756" w:rsidRDefault="00985462" w:rsidP="002B3AD3">
      <w:pPr>
        <w:pStyle w:val="Heading3"/>
      </w:pPr>
      <w:bookmarkStart w:id="19" w:name="_Toc237002733"/>
      <w:bookmarkStart w:id="20" w:name="_Toc237003070"/>
      <w:r w:rsidRPr="005D6756">
        <w:t>Theoretical Framework</w:t>
      </w:r>
      <w:bookmarkEnd w:id="19"/>
      <w:bookmarkEnd w:id="20"/>
    </w:p>
    <w:p w14:paraId="448D5AD5"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The innovation is underpinned by Rogers' Diffusion of Innovation Theory (Rogers, 2003), which explains how new ideas and technologies are adopted within organisations.</w:t>
      </w:r>
    </w:p>
    <w:p w14:paraId="7DE2647C"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According to Rogers, successful adoption depends on five elements:</w:t>
      </w:r>
    </w:p>
    <w:p w14:paraId="7135E859"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Relative Advantage</w:t>
      </w:r>
    </w:p>
    <w:p w14:paraId="3C1F8F8D" w14:textId="77777777" w:rsidR="00985462" w:rsidRPr="005D6756" w:rsidRDefault="00985462" w:rsidP="005D6756">
      <w:pPr>
        <w:spacing w:line="360" w:lineRule="auto"/>
        <w:rPr>
          <w:rFonts w:ascii="Arial" w:hAnsi="Arial" w:cs="Arial"/>
          <w:sz w:val="22"/>
          <w:szCs w:val="22"/>
        </w:rPr>
      </w:pP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offers clear benefits compared with current fragmented discharge systems by improving communication, reducing duplication, and supporting better patient outcomes.</w:t>
      </w:r>
    </w:p>
    <w:p w14:paraId="21D2D962"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Compatibility</w:t>
      </w:r>
    </w:p>
    <w:p w14:paraId="30EA512E"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lastRenderedPageBreak/>
        <w:t>The platform aligns with NHS priorities, Integrated Care Systems (ICSs), and current policy objectives around digital transformation and integrated working.</w:t>
      </w:r>
    </w:p>
    <w:p w14:paraId="28391D9D"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Complexity</w:t>
      </w:r>
    </w:p>
    <w:p w14:paraId="3231E9F3"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A simple, user-friendly interface ensures accessibility for both professionals and older adults, reducing barriers to adoption.</w:t>
      </w:r>
    </w:p>
    <w:p w14:paraId="3FE8E7EB"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Trialability</w:t>
      </w:r>
    </w:p>
    <w:p w14:paraId="6515F7A3"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The system can initially be piloted within selected NHS Trusts and ICS regions before wider implementation.</w:t>
      </w:r>
    </w:p>
    <w:p w14:paraId="16CA1D2E"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Observability</w:t>
      </w:r>
    </w:p>
    <w:p w14:paraId="62CE35F1"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Positive outcomes such as reduced readmissions, improved patient satisfaction, and shorter discharge delays provide visible evidence of effectiveness.</w:t>
      </w:r>
    </w:p>
    <w:p w14:paraId="1D2D9F47" w14:textId="4A6D3246"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 xml:space="preserve">The theory demonstrates how </w:t>
      </w: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can achieve successful implementation across health and social care organisations.</w:t>
      </w:r>
    </w:p>
    <w:p w14:paraId="44D1895C" w14:textId="77777777" w:rsidR="00985462" w:rsidRPr="005D6756" w:rsidRDefault="00985462" w:rsidP="005D6756">
      <w:pPr>
        <w:spacing w:line="360" w:lineRule="auto"/>
        <w:rPr>
          <w:rFonts w:ascii="Arial" w:hAnsi="Arial" w:cs="Arial"/>
          <w:sz w:val="22"/>
          <w:szCs w:val="22"/>
        </w:rPr>
      </w:pPr>
    </w:p>
    <w:p w14:paraId="7A4429B3" w14:textId="77777777" w:rsidR="00985462" w:rsidRPr="00480301" w:rsidRDefault="00985462" w:rsidP="00A87B11">
      <w:pPr>
        <w:pStyle w:val="Heading3"/>
      </w:pPr>
      <w:bookmarkStart w:id="21" w:name="_Toc237002734"/>
      <w:bookmarkStart w:id="22" w:name="_Toc237003071"/>
      <w:r w:rsidRPr="00480301">
        <w:t>Impact on Health and Wellbeing</w:t>
      </w:r>
      <w:bookmarkEnd w:id="21"/>
      <w:bookmarkEnd w:id="22"/>
    </w:p>
    <w:p w14:paraId="2400C019"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 xml:space="preserve">The primary users of </w:t>
      </w: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are adults aged 65 years and over.</w:t>
      </w:r>
    </w:p>
    <w:p w14:paraId="4BD65387"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Improved Continuity of Care</w:t>
      </w:r>
    </w:p>
    <w:p w14:paraId="784F30B7"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Patients often report feeling unsupported after discharge. The platform allows all care providers to access the same care plan and patient information, improving communication and continuity.</w:t>
      </w:r>
    </w:p>
    <w:p w14:paraId="110CD20C"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Better Medication Management</w:t>
      </w:r>
    </w:p>
    <w:p w14:paraId="33E2C9B0"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Older adults frequently manage multiple prescriptions. Medication reminders and monitoring features can improve adherence and reduce medication errors.</w:t>
      </w:r>
    </w:p>
    <w:p w14:paraId="1E6028AD"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Increased Independence</w:t>
      </w:r>
    </w:p>
    <w:p w14:paraId="6A05301D"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The platform empowers patients by providing access to recovery goals, care plans, appointments, and health information, supporting self-management.</w:t>
      </w:r>
    </w:p>
    <w:p w14:paraId="5999E445" w14:textId="77777777" w:rsidR="00985462" w:rsidRPr="005D6756" w:rsidRDefault="00985462" w:rsidP="005D6756">
      <w:pPr>
        <w:spacing w:line="360" w:lineRule="auto"/>
        <w:rPr>
          <w:rFonts w:ascii="Arial" w:hAnsi="Arial" w:cs="Arial"/>
          <w:sz w:val="22"/>
          <w:szCs w:val="22"/>
        </w:rPr>
      </w:pPr>
    </w:p>
    <w:p w14:paraId="0ABD799F" w14:textId="77777777" w:rsidR="005D6756" w:rsidRDefault="005D6756" w:rsidP="005D6756">
      <w:pPr>
        <w:spacing w:line="360" w:lineRule="auto"/>
        <w:rPr>
          <w:rFonts w:ascii="Arial" w:hAnsi="Arial" w:cs="Arial"/>
          <w:b/>
          <w:bCs/>
        </w:rPr>
      </w:pPr>
    </w:p>
    <w:p w14:paraId="6413BC5F" w14:textId="5690C409" w:rsidR="00985462" w:rsidRPr="00480301" w:rsidRDefault="00985462" w:rsidP="00A87B11">
      <w:pPr>
        <w:pStyle w:val="Heading2"/>
      </w:pPr>
      <w:bookmarkStart w:id="23" w:name="_Toc237002735"/>
      <w:bookmarkStart w:id="24" w:name="_Toc237003072"/>
      <w:r w:rsidRPr="00480301">
        <w:lastRenderedPageBreak/>
        <w:t>Reduced Anxiety and Stress</w:t>
      </w:r>
      <w:bookmarkEnd w:id="23"/>
      <w:bookmarkEnd w:id="24"/>
    </w:p>
    <w:p w14:paraId="642E81AB"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Easy communication channels and access to support can reduce uncertainty during the transition from hospital to home, improving emotional wellbeing.</w:t>
      </w:r>
    </w:p>
    <w:p w14:paraId="6731724F"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Support for Family Carers</w:t>
      </w:r>
    </w:p>
    <w:p w14:paraId="6EFB1DD5"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Carers can view care information, receive updates, and communicate with professionals, enabling them to provide more effective support.</w:t>
      </w:r>
    </w:p>
    <w:p w14:paraId="4EA47890" w14:textId="71F9B3CE"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Collectively, these benefits contribute to improved health outcomes, greater patient satisfaction, and enhanced quality of life.</w:t>
      </w:r>
    </w:p>
    <w:p w14:paraId="16B218F6"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Value Creation</w:t>
      </w:r>
    </w:p>
    <w:p w14:paraId="49745761"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Porter (2010) argues that value in healthcare is achieved when better outcomes are delivered at lower overall costs.</w:t>
      </w:r>
    </w:p>
    <w:p w14:paraId="0F48FF0E" w14:textId="77777777" w:rsidR="00985462" w:rsidRPr="005D6756" w:rsidRDefault="00985462" w:rsidP="005D6756">
      <w:pPr>
        <w:spacing w:line="360" w:lineRule="auto"/>
        <w:rPr>
          <w:rFonts w:ascii="Arial" w:hAnsi="Arial" w:cs="Arial"/>
          <w:sz w:val="22"/>
          <w:szCs w:val="22"/>
        </w:rPr>
      </w:pP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creates value in several ways.</w:t>
      </w:r>
    </w:p>
    <w:p w14:paraId="7E6D7541"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Improved Patient Outcomes</w:t>
      </w:r>
    </w:p>
    <w:p w14:paraId="48382F28"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Integrated discharge planning can reduce complications and support successful recovery.</w:t>
      </w:r>
    </w:p>
    <w:p w14:paraId="2E75E4C7"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Reduced Hospital Readmissions</w:t>
      </w:r>
    </w:p>
    <w:p w14:paraId="7BD67890"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Enhanced monitoring and communication allow problems to be identified and addressed before hospitalisation becomes necessary.</w:t>
      </w:r>
    </w:p>
    <w:p w14:paraId="6DDC1715"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Increased Efficiency</w:t>
      </w:r>
    </w:p>
    <w:p w14:paraId="2F6E7AB0"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The platform reduces duplication of administrative tasks and information gathering, freeing staff time for direct patient care.</w:t>
      </w:r>
    </w:p>
    <w:p w14:paraId="3C6587BB"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Better Resource Allocation</w:t>
      </w:r>
    </w:p>
    <w:p w14:paraId="1E14E9F3"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Community support services can prepare interventions earlier, reducing service delays and improving productivity.</w:t>
      </w:r>
    </w:p>
    <w:p w14:paraId="235FE107"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Long-Term Financial Benefits</w:t>
      </w:r>
    </w:p>
    <w:p w14:paraId="3048838A"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Although implementation requires initial investment, reductions in delayed discharges and avoidable admissions may generate significant cost savings.</w:t>
      </w:r>
    </w:p>
    <w:p w14:paraId="1CB4634A"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Policy and Legislative Alignment</w:t>
      </w:r>
    </w:p>
    <w:p w14:paraId="4F51D656"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Care Act 2014</w:t>
      </w:r>
    </w:p>
    <w:p w14:paraId="119893E3"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lastRenderedPageBreak/>
        <w:t xml:space="preserve">The Care Act promotes wellbeing, prevention, integrated working, and person-centred care. </w:t>
      </w: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directly supports these principles through collaborative care planning.</w:t>
      </w:r>
    </w:p>
    <w:p w14:paraId="256E1B7F"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Health and Care Act 2022</w:t>
      </w:r>
    </w:p>
    <w:p w14:paraId="0C219B2D"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The Act established Integrated Care Systems to improve cooperation between NHS organisations and local authorities. The platform strengthens such collaboration through shared digital communication.</w:t>
      </w:r>
    </w:p>
    <w:p w14:paraId="0E2A9AEC" w14:textId="77777777" w:rsidR="00512FDB" w:rsidRPr="005D6756" w:rsidRDefault="00512FDB" w:rsidP="005D6756">
      <w:pPr>
        <w:spacing w:line="360" w:lineRule="auto"/>
        <w:rPr>
          <w:rFonts w:ascii="Arial" w:hAnsi="Arial" w:cs="Arial"/>
          <w:sz w:val="22"/>
          <w:szCs w:val="22"/>
        </w:rPr>
      </w:pPr>
    </w:p>
    <w:p w14:paraId="004ABE21" w14:textId="03DB4675" w:rsidR="00985462" w:rsidRPr="00480301" w:rsidRDefault="00985462" w:rsidP="00A87B11">
      <w:pPr>
        <w:pStyle w:val="Heading2"/>
      </w:pPr>
      <w:bookmarkStart w:id="25" w:name="_Toc237002736"/>
      <w:bookmarkStart w:id="26" w:name="_Toc237003073"/>
      <w:r w:rsidRPr="00480301">
        <w:t>NHS Long Term Plan</w:t>
      </w:r>
      <w:bookmarkEnd w:id="25"/>
      <w:bookmarkEnd w:id="26"/>
    </w:p>
    <w:p w14:paraId="4E6CB4FB"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 xml:space="preserve">The NHS Long Term Plan emphasises digital innovation and integrated care delivery (NHS England, 2019). </w:t>
      </w: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supports both objectives.</w:t>
      </w:r>
    </w:p>
    <w:p w14:paraId="3B67D57B"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Hospital Discharge Guidance</w:t>
      </w:r>
    </w:p>
    <w:p w14:paraId="505A3DD8" w14:textId="18CE2DED"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National discharge guidance highlights multidisciplinary working, personalised care planning, and coordinated support (Department of Health and Social Care, 2020). The platform operationalises these requirements through a single integrated system.</w:t>
      </w:r>
    </w:p>
    <w:p w14:paraId="6C23F872" w14:textId="77777777" w:rsidR="00512FDB" w:rsidRPr="005D6756" w:rsidRDefault="00512FDB" w:rsidP="005D6756">
      <w:pPr>
        <w:spacing w:line="360" w:lineRule="auto"/>
        <w:rPr>
          <w:rFonts w:ascii="Arial" w:hAnsi="Arial" w:cs="Arial"/>
          <w:sz w:val="22"/>
          <w:szCs w:val="22"/>
        </w:rPr>
      </w:pPr>
    </w:p>
    <w:p w14:paraId="31036EB9" w14:textId="77777777" w:rsidR="00985462" w:rsidRPr="005D6756" w:rsidRDefault="00985462" w:rsidP="00A87B11">
      <w:pPr>
        <w:pStyle w:val="Heading2"/>
      </w:pPr>
      <w:bookmarkStart w:id="27" w:name="_Toc237002737"/>
      <w:bookmarkStart w:id="28" w:name="_Toc237003074"/>
      <w:r w:rsidRPr="005D6756">
        <w:t>Potential Challenges and Solutions</w:t>
      </w:r>
      <w:bookmarkEnd w:id="27"/>
      <w:bookmarkEnd w:id="28"/>
    </w:p>
    <w:p w14:paraId="6BBB6E38" w14:textId="77777777" w:rsidR="00985462" w:rsidRPr="005D6756" w:rsidRDefault="00985462" w:rsidP="00A87B11">
      <w:pPr>
        <w:pStyle w:val="Heading3"/>
      </w:pPr>
      <w:bookmarkStart w:id="29" w:name="_Toc237002738"/>
      <w:bookmarkStart w:id="30" w:name="_Toc237003075"/>
      <w:r w:rsidRPr="005D6756">
        <w:t>Digital Exclusion</w:t>
      </w:r>
      <w:bookmarkEnd w:id="29"/>
      <w:bookmarkEnd w:id="30"/>
    </w:p>
    <w:p w14:paraId="10805155"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Some older adults may have limited technological skills.</w:t>
      </w:r>
    </w:p>
    <w:p w14:paraId="25BCEE71"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Solutions:</w:t>
      </w:r>
    </w:p>
    <w:p w14:paraId="5C14203E" w14:textId="77777777" w:rsidR="00985462" w:rsidRPr="005D6756" w:rsidRDefault="00985462">
      <w:pPr>
        <w:numPr>
          <w:ilvl w:val="0"/>
          <w:numId w:val="3"/>
        </w:numPr>
        <w:spacing w:line="360" w:lineRule="auto"/>
        <w:rPr>
          <w:rFonts w:ascii="Arial" w:hAnsi="Arial" w:cs="Arial"/>
          <w:sz w:val="22"/>
          <w:szCs w:val="22"/>
        </w:rPr>
      </w:pPr>
      <w:r w:rsidRPr="005D6756">
        <w:rPr>
          <w:rFonts w:ascii="Arial" w:hAnsi="Arial" w:cs="Arial"/>
          <w:sz w:val="22"/>
          <w:szCs w:val="22"/>
        </w:rPr>
        <w:t>Simplified platform design</w:t>
      </w:r>
    </w:p>
    <w:p w14:paraId="0B25D766" w14:textId="77777777" w:rsidR="00985462" w:rsidRPr="005D6756" w:rsidRDefault="00985462">
      <w:pPr>
        <w:numPr>
          <w:ilvl w:val="0"/>
          <w:numId w:val="3"/>
        </w:numPr>
        <w:spacing w:line="360" w:lineRule="auto"/>
        <w:rPr>
          <w:rFonts w:ascii="Arial" w:hAnsi="Arial" w:cs="Arial"/>
          <w:sz w:val="22"/>
          <w:szCs w:val="22"/>
        </w:rPr>
      </w:pPr>
      <w:r w:rsidRPr="005D6756">
        <w:rPr>
          <w:rFonts w:ascii="Arial" w:hAnsi="Arial" w:cs="Arial"/>
          <w:sz w:val="22"/>
          <w:szCs w:val="22"/>
        </w:rPr>
        <w:t>Digital literacy training</w:t>
      </w:r>
    </w:p>
    <w:p w14:paraId="45C5149C" w14:textId="77777777" w:rsidR="00985462" w:rsidRPr="005D6756" w:rsidRDefault="00985462">
      <w:pPr>
        <w:numPr>
          <w:ilvl w:val="0"/>
          <w:numId w:val="3"/>
        </w:numPr>
        <w:spacing w:line="360" w:lineRule="auto"/>
        <w:rPr>
          <w:rFonts w:ascii="Arial" w:hAnsi="Arial" w:cs="Arial"/>
          <w:sz w:val="22"/>
          <w:szCs w:val="22"/>
        </w:rPr>
      </w:pPr>
      <w:r w:rsidRPr="005D6756">
        <w:rPr>
          <w:rFonts w:ascii="Arial" w:hAnsi="Arial" w:cs="Arial"/>
          <w:sz w:val="22"/>
          <w:szCs w:val="22"/>
        </w:rPr>
        <w:t>Carer support</w:t>
      </w:r>
    </w:p>
    <w:p w14:paraId="34B4731F" w14:textId="77777777" w:rsidR="00985462" w:rsidRPr="005D6756" w:rsidRDefault="00985462">
      <w:pPr>
        <w:numPr>
          <w:ilvl w:val="0"/>
          <w:numId w:val="3"/>
        </w:numPr>
        <w:spacing w:line="360" w:lineRule="auto"/>
        <w:rPr>
          <w:rFonts w:ascii="Arial" w:hAnsi="Arial" w:cs="Arial"/>
          <w:sz w:val="22"/>
          <w:szCs w:val="22"/>
        </w:rPr>
      </w:pPr>
      <w:r w:rsidRPr="005D6756">
        <w:rPr>
          <w:rFonts w:ascii="Arial" w:hAnsi="Arial" w:cs="Arial"/>
          <w:sz w:val="22"/>
          <w:szCs w:val="22"/>
        </w:rPr>
        <w:t>Telephone-based alternatives</w:t>
      </w:r>
    </w:p>
    <w:p w14:paraId="6835B2C9" w14:textId="77777777" w:rsidR="00512FDB" w:rsidRPr="005D6756" w:rsidRDefault="00512FDB" w:rsidP="005D6756">
      <w:pPr>
        <w:spacing w:line="360" w:lineRule="auto"/>
        <w:rPr>
          <w:rFonts w:ascii="Arial" w:hAnsi="Arial" w:cs="Arial"/>
          <w:sz w:val="22"/>
          <w:szCs w:val="22"/>
        </w:rPr>
      </w:pPr>
    </w:p>
    <w:p w14:paraId="09B14CEC" w14:textId="3AFF1E2F" w:rsidR="00985462" w:rsidRPr="00480301" w:rsidRDefault="00985462" w:rsidP="00A87B11">
      <w:pPr>
        <w:pStyle w:val="Heading3"/>
      </w:pPr>
      <w:bookmarkStart w:id="31" w:name="_Toc237002739"/>
      <w:bookmarkStart w:id="32" w:name="_Toc237003076"/>
      <w:r w:rsidRPr="00480301">
        <w:t>Staff Resistance</w:t>
      </w:r>
      <w:bookmarkEnd w:id="31"/>
      <w:bookmarkEnd w:id="32"/>
    </w:p>
    <w:p w14:paraId="71E0B959"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Some staff may be reluctant to adopt new systems.</w:t>
      </w:r>
    </w:p>
    <w:p w14:paraId="55336D56"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Solutions:</w:t>
      </w:r>
    </w:p>
    <w:p w14:paraId="30F66C90" w14:textId="77777777" w:rsidR="00985462" w:rsidRPr="005D6756" w:rsidRDefault="00985462">
      <w:pPr>
        <w:numPr>
          <w:ilvl w:val="0"/>
          <w:numId w:val="4"/>
        </w:numPr>
        <w:spacing w:line="360" w:lineRule="auto"/>
        <w:rPr>
          <w:rFonts w:ascii="Arial" w:hAnsi="Arial" w:cs="Arial"/>
          <w:sz w:val="22"/>
          <w:szCs w:val="22"/>
        </w:rPr>
      </w:pPr>
      <w:r w:rsidRPr="005D6756">
        <w:rPr>
          <w:rFonts w:ascii="Arial" w:hAnsi="Arial" w:cs="Arial"/>
          <w:sz w:val="22"/>
          <w:szCs w:val="22"/>
        </w:rPr>
        <w:t>Training programmes</w:t>
      </w:r>
    </w:p>
    <w:p w14:paraId="78AF8E80" w14:textId="77777777" w:rsidR="00985462" w:rsidRPr="005D6756" w:rsidRDefault="00985462">
      <w:pPr>
        <w:numPr>
          <w:ilvl w:val="0"/>
          <w:numId w:val="4"/>
        </w:numPr>
        <w:spacing w:line="360" w:lineRule="auto"/>
        <w:rPr>
          <w:rFonts w:ascii="Arial" w:hAnsi="Arial" w:cs="Arial"/>
          <w:sz w:val="22"/>
          <w:szCs w:val="22"/>
        </w:rPr>
      </w:pPr>
      <w:r w:rsidRPr="005D6756">
        <w:rPr>
          <w:rFonts w:ascii="Arial" w:hAnsi="Arial" w:cs="Arial"/>
          <w:sz w:val="22"/>
          <w:szCs w:val="22"/>
        </w:rPr>
        <w:lastRenderedPageBreak/>
        <w:t>Staff engagement initiatives</w:t>
      </w:r>
    </w:p>
    <w:p w14:paraId="01FABB91" w14:textId="77777777" w:rsidR="00985462" w:rsidRPr="005D6756" w:rsidRDefault="00985462">
      <w:pPr>
        <w:numPr>
          <w:ilvl w:val="0"/>
          <w:numId w:val="4"/>
        </w:numPr>
        <w:spacing w:line="360" w:lineRule="auto"/>
        <w:rPr>
          <w:rFonts w:ascii="Arial" w:hAnsi="Arial" w:cs="Arial"/>
          <w:sz w:val="22"/>
          <w:szCs w:val="22"/>
        </w:rPr>
      </w:pPr>
      <w:r w:rsidRPr="005D6756">
        <w:rPr>
          <w:rFonts w:ascii="Arial" w:hAnsi="Arial" w:cs="Arial"/>
          <w:sz w:val="22"/>
          <w:szCs w:val="22"/>
        </w:rPr>
        <w:t>Pilot testing</w:t>
      </w:r>
    </w:p>
    <w:p w14:paraId="0AFA4EEB" w14:textId="77777777" w:rsidR="00985462" w:rsidRPr="005D6756" w:rsidRDefault="00985462">
      <w:pPr>
        <w:numPr>
          <w:ilvl w:val="0"/>
          <w:numId w:val="4"/>
        </w:numPr>
        <w:spacing w:line="360" w:lineRule="auto"/>
        <w:rPr>
          <w:rFonts w:ascii="Arial" w:hAnsi="Arial" w:cs="Arial"/>
          <w:sz w:val="22"/>
          <w:szCs w:val="22"/>
        </w:rPr>
      </w:pPr>
      <w:r w:rsidRPr="005D6756">
        <w:rPr>
          <w:rFonts w:ascii="Arial" w:hAnsi="Arial" w:cs="Arial"/>
          <w:sz w:val="22"/>
          <w:szCs w:val="22"/>
        </w:rPr>
        <w:t>Change management support</w:t>
      </w:r>
    </w:p>
    <w:p w14:paraId="7F2A2130" w14:textId="77777777" w:rsidR="00325A05" w:rsidRPr="005D6756" w:rsidRDefault="00325A05" w:rsidP="005D6756">
      <w:pPr>
        <w:spacing w:line="360" w:lineRule="auto"/>
        <w:rPr>
          <w:rFonts w:ascii="Arial" w:hAnsi="Arial" w:cs="Arial"/>
          <w:b/>
          <w:bCs/>
          <w:sz w:val="22"/>
          <w:szCs w:val="22"/>
        </w:rPr>
      </w:pPr>
    </w:p>
    <w:p w14:paraId="3FB24B6A" w14:textId="12AC82FF" w:rsidR="00985462" w:rsidRPr="00480301" w:rsidRDefault="00985462" w:rsidP="00A87B11">
      <w:pPr>
        <w:pStyle w:val="Heading3"/>
      </w:pPr>
      <w:bookmarkStart w:id="33" w:name="_Toc237002740"/>
      <w:bookmarkStart w:id="34" w:name="_Toc237003077"/>
      <w:r w:rsidRPr="00480301">
        <w:t>Financial Costs</w:t>
      </w:r>
      <w:bookmarkEnd w:id="33"/>
      <w:bookmarkEnd w:id="34"/>
    </w:p>
    <w:p w14:paraId="3603FB43"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Technology implementation can be expensive.</w:t>
      </w:r>
    </w:p>
    <w:p w14:paraId="51CB1B1F"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Solutions:</w:t>
      </w:r>
    </w:p>
    <w:p w14:paraId="77DC4FAC" w14:textId="77777777" w:rsidR="00985462" w:rsidRPr="005D6756" w:rsidRDefault="00985462">
      <w:pPr>
        <w:numPr>
          <w:ilvl w:val="0"/>
          <w:numId w:val="5"/>
        </w:numPr>
        <w:spacing w:line="360" w:lineRule="auto"/>
        <w:rPr>
          <w:rFonts w:ascii="Arial" w:hAnsi="Arial" w:cs="Arial"/>
          <w:sz w:val="22"/>
          <w:szCs w:val="22"/>
        </w:rPr>
      </w:pPr>
      <w:r w:rsidRPr="005D6756">
        <w:rPr>
          <w:rFonts w:ascii="Arial" w:hAnsi="Arial" w:cs="Arial"/>
          <w:sz w:val="22"/>
          <w:szCs w:val="22"/>
        </w:rPr>
        <w:t>Phased rollout</w:t>
      </w:r>
    </w:p>
    <w:p w14:paraId="59E96A66" w14:textId="77777777" w:rsidR="00985462" w:rsidRPr="005D6756" w:rsidRDefault="00985462">
      <w:pPr>
        <w:numPr>
          <w:ilvl w:val="0"/>
          <w:numId w:val="5"/>
        </w:numPr>
        <w:spacing w:line="360" w:lineRule="auto"/>
        <w:rPr>
          <w:rFonts w:ascii="Arial" w:hAnsi="Arial" w:cs="Arial"/>
          <w:sz w:val="22"/>
          <w:szCs w:val="22"/>
        </w:rPr>
      </w:pPr>
      <w:r w:rsidRPr="005D6756">
        <w:rPr>
          <w:rFonts w:ascii="Arial" w:hAnsi="Arial" w:cs="Arial"/>
          <w:sz w:val="22"/>
          <w:szCs w:val="22"/>
        </w:rPr>
        <w:t>Government digital funding</w:t>
      </w:r>
    </w:p>
    <w:p w14:paraId="44D718CA" w14:textId="619FCDC4" w:rsidR="00512FDB" w:rsidRPr="005D6756" w:rsidRDefault="00985462">
      <w:pPr>
        <w:numPr>
          <w:ilvl w:val="0"/>
          <w:numId w:val="5"/>
        </w:numPr>
        <w:spacing w:line="360" w:lineRule="auto"/>
        <w:rPr>
          <w:rFonts w:ascii="Arial" w:hAnsi="Arial" w:cs="Arial"/>
          <w:sz w:val="22"/>
          <w:szCs w:val="22"/>
        </w:rPr>
      </w:pPr>
      <w:r w:rsidRPr="005D6756">
        <w:rPr>
          <w:rFonts w:ascii="Arial" w:hAnsi="Arial" w:cs="Arial"/>
          <w:sz w:val="22"/>
          <w:szCs w:val="22"/>
        </w:rPr>
        <w:t>Cost-benefit evaluation</w:t>
      </w:r>
    </w:p>
    <w:p w14:paraId="050E0DC5" w14:textId="77777777" w:rsidR="00AC41B3" w:rsidRPr="005D6756" w:rsidRDefault="00AC41B3" w:rsidP="005D6756">
      <w:pPr>
        <w:spacing w:line="360" w:lineRule="auto"/>
        <w:rPr>
          <w:rFonts w:ascii="Arial" w:hAnsi="Arial" w:cs="Arial"/>
          <w:b/>
          <w:bCs/>
          <w:sz w:val="22"/>
          <w:szCs w:val="22"/>
        </w:rPr>
      </w:pPr>
    </w:p>
    <w:p w14:paraId="2732863D" w14:textId="02AB69FF" w:rsidR="00985462" w:rsidRPr="00480301" w:rsidRDefault="00985462" w:rsidP="00A87B11">
      <w:pPr>
        <w:pStyle w:val="Heading3"/>
      </w:pPr>
      <w:bookmarkStart w:id="35" w:name="_Toc237002741"/>
      <w:bookmarkStart w:id="36" w:name="_Toc237003078"/>
      <w:r w:rsidRPr="00480301">
        <w:t>Data Security Risks</w:t>
      </w:r>
      <w:bookmarkEnd w:id="35"/>
      <w:bookmarkEnd w:id="36"/>
    </w:p>
    <w:p w14:paraId="29E47127" w14:textId="77777777" w:rsidR="00253BBE" w:rsidRPr="005D6756" w:rsidRDefault="00985462" w:rsidP="005D6756">
      <w:pPr>
        <w:spacing w:line="360" w:lineRule="auto"/>
        <w:rPr>
          <w:rFonts w:ascii="Arial" w:hAnsi="Arial" w:cs="Arial"/>
          <w:sz w:val="22"/>
          <w:szCs w:val="22"/>
        </w:rPr>
      </w:pPr>
      <w:r w:rsidRPr="005D6756">
        <w:rPr>
          <w:rFonts w:ascii="Arial" w:hAnsi="Arial" w:cs="Arial"/>
          <w:sz w:val="22"/>
          <w:szCs w:val="22"/>
        </w:rPr>
        <w:t>Sharing data across organisations increases cybersecurity concerns.</w:t>
      </w:r>
    </w:p>
    <w:p w14:paraId="41072850" w14:textId="0C8D7594"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Solutions:</w:t>
      </w:r>
    </w:p>
    <w:p w14:paraId="4AA26366" w14:textId="77777777" w:rsidR="00985462" w:rsidRPr="005D6756" w:rsidRDefault="00985462">
      <w:pPr>
        <w:numPr>
          <w:ilvl w:val="0"/>
          <w:numId w:val="6"/>
        </w:numPr>
        <w:spacing w:line="360" w:lineRule="auto"/>
        <w:rPr>
          <w:rFonts w:ascii="Arial" w:hAnsi="Arial" w:cs="Arial"/>
          <w:sz w:val="22"/>
          <w:szCs w:val="22"/>
        </w:rPr>
      </w:pPr>
      <w:r w:rsidRPr="005D6756">
        <w:rPr>
          <w:rFonts w:ascii="Arial" w:hAnsi="Arial" w:cs="Arial"/>
          <w:sz w:val="22"/>
          <w:szCs w:val="22"/>
        </w:rPr>
        <w:t>Encryption</w:t>
      </w:r>
    </w:p>
    <w:p w14:paraId="52CC0DD4" w14:textId="77777777" w:rsidR="00985462" w:rsidRPr="005D6756" w:rsidRDefault="00985462">
      <w:pPr>
        <w:numPr>
          <w:ilvl w:val="0"/>
          <w:numId w:val="6"/>
        </w:numPr>
        <w:spacing w:line="360" w:lineRule="auto"/>
        <w:rPr>
          <w:rFonts w:ascii="Arial" w:hAnsi="Arial" w:cs="Arial"/>
          <w:sz w:val="22"/>
          <w:szCs w:val="22"/>
        </w:rPr>
      </w:pPr>
      <w:r w:rsidRPr="005D6756">
        <w:rPr>
          <w:rFonts w:ascii="Arial" w:hAnsi="Arial" w:cs="Arial"/>
          <w:sz w:val="22"/>
          <w:szCs w:val="22"/>
        </w:rPr>
        <w:t>Multi-factor authentication</w:t>
      </w:r>
    </w:p>
    <w:p w14:paraId="793B6CAE" w14:textId="77777777" w:rsidR="00985462" w:rsidRPr="005D6756" w:rsidRDefault="00985462">
      <w:pPr>
        <w:numPr>
          <w:ilvl w:val="0"/>
          <w:numId w:val="6"/>
        </w:numPr>
        <w:spacing w:line="360" w:lineRule="auto"/>
        <w:rPr>
          <w:rFonts w:ascii="Arial" w:hAnsi="Arial" w:cs="Arial"/>
          <w:sz w:val="22"/>
          <w:szCs w:val="22"/>
        </w:rPr>
      </w:pPr>
      <w:r w:rsidRPr="005D6756">
        <w:rPr>
          <w:rFonts w:ascii="Arial" w:hAnsi="Arial" w:cs="Arial"/>
          <w:sz w:val="22"/>
          <w:szCs w:val="22"/>
        </w:rPr>
        <w:t>Role-based access controls</w:t>
      </w:r>
    </w:p>
    <w:p w14:paraId="77C55A46" w14:textId="77777777" w:rsidR="00985462" w:rsidRPr="005D6756" w:rsidRDefault="00985462">
      <w:pPr>
        <w:numPr>
          <w:ilvl w:val="0"/>
          <w:numId w:val="6"/>
        </w:numPr>
        <w:spacing w:line="360" w:lineRule="auto"/>
        <w:rPr>
          <w:rFonts w:ascii="Arial" w:hAnsi="Arial" w:cs="Arial"/>
          <w:sz w:val="22"/>
          <w:szCs w:val="22"/>
        </w:rPr>
      </w:pPr>
      <w:r w:rsidRPr="005D6756">
        <w:rPr>
          <w:rFonts w:ascii="Arial" w:hAnsi="Arial" w:cs="Arial"/>
          <w:sz w:val="22"/>
          <w:szCs w:val="22"/>
        </w:rPr>
        <w:t>Regular security audits</w:t>
      </w:r>
    </w:p>
    <w:p w14:paraId="6925346D" w14:textId="0ADEE9CF" w:rsidR="00985462" w:rsidRPr="005D6756" w:rsidRDefault="00985462" w:rsidP="005D6756">
      <w:pPr>
        <w:spacing w:line="360" w:lineRule="auto"/>
        <w:rPr>
          <w:rFonts w:ascii="Arial" w:hAnsi="Arial" w:cs="Arial"/>
          <w:sz w:val="22"/>
          <w:szCs w:val="22"/>
        </w:rPr>
      </w:pPr>
    </w:p>
    <w:p w14:paraId="53592352" w14:textId="77777777" w:rsidR="00985462" w:rsidRPr="00480301" w:rsidRDefault="00985462" w:rsidP="00A87B11">
      <w:pPr>
        <w:pStyle w:val="Heading3"/>
      </w:pPr>
      <w:bookmarkStart w:id="37" w:name="_Toc237002742"/>
      <w:bookmarkStart w:id="38" w:name="_Toc237003079"/>
      <w:r w:rsidRPr="00480301">
        <w:t>Evaluation</w:t>
      </w:r>
      <w:bookmarkEnd w:id="37"/>
      <w:bookmarkEnd w:id="38"/>
    </w:p>
    <w:p w14:paraId="1DACE5F2"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Success should be measured using:</w:t>
      </w:r>
    </w:p>
    <w:p w14:paraId="0CFE30A3" w14:textId="77777777" w:rsidR="00985462" w:rsidRPr="005D6756" w:rsidRDefault="00985462">
      <w:pPr>
        <w:numPr>
          <w:ilvl w:val="0"/>
          <w:numId w:val="7"/>
        </w:numPr>
        <w:spacing w:line="360" w:lineRule="auto"/>
        <w:rPr>
          <w:rFonts w:ascii="Arial" w:hAnsi="Arial" w:cs="Arial"/>
          <w:sz w:val="22"/>
          <w:szCs w:val="22"/>
        </w:rPr>
      </w:pPr>
      <w:r w:rsidRPr="005D6756">
        <w:rPr>
          <w:rFonts w:ascii="Arial" w:hAnsi="Arial" w:cs="Arial"/>
          <w:sz w:val="22"/>
          <w:szCs w:val="22"/>
        </w:rPr>
        <w:t>Hospital readmission rates</w:t>
      </w:r>
    </w:p>
    <w:p w14:paraId="0E9C87C7" w14:textId="77777777" w:rsidR="00985462" w:rsidRPr="005D6756" w:rsidRDefault="00985462">
      <w:pPr>
        <w:numPr>
          <w:ilvl w:val="0"/>
          <w:numId w:val="7"/>
        </w:numPr>
        <w:spacing w:line="360" w:lineRule="auto"/>
        <w:rPr>
          <w:rFonts w:ascii="Arial" w:hAnsi="Arial" w:cs="Arial"/>
          <w:sz w:val="22"/>
          <w:szCs w:val="22"/>
        </w:rPr>
      </w:pPr>
      <w:r w:rsidRPr="005D6756">
        <w:rPr>
          <w:rFonts w:ascii="Arial" w:hAnsi="Arial" w:cs="Arial"/>
          <w:sz w:val="22"/>
          <w:szCs w:val="22"/>
        </w:rPr>
        <w:t>Delayed discharge rates</w:t>
      </w:r>
    </w:p>
    <w:p w14:paraId="2611975D" w14:textId="77777777" w:rsidR="00985462" w:rsidRPr="005D6756" w:rsidRDefault="00985462">
      <w:pPr>
        <w:numPr>
          <w:ilvl w:val="0"/>
          <w:numId w:val="7"/>
        </w:numPr>
        <w:spacing w:line="360" w:lineRule="auto"/>
        <w:rPr>
          <w:rFonts w:ascii="Arial" w:hAnsi="Arial" w:cs="Arial"/>
          <w:sz w:val="22"/>
          <w:szCs w:val="22"/>
        </w:rPr>
      </w:pPr>
      <w:r w:rsidRPr="005D6756">
        <w:rPr>
          <w:rFonts w:ascii="Arial" w:hAnsi="Arial" w:cs="Arial"/>
          <w:sz w:val="22"/>
          <w:szCs w:val="22"/>
        </w:rPr>
        <w:t>Patient satisfaction scores</w:t>
      </w:r>
    </w:p>
    <w:p w14:paraId="0BE89BDC" w14:textId="77777777" w:rsidR="00985462" w:rsidRPr="005D6756" w:rsidRDefault="00985462">
      <w:pPr>
        <w:numPr>
          <w:ilvl w:val="0"/>
          <w:numId w:val="7"/>
        </w:numPr>
        <w:spacing w:line="360" w:lineRule="auto"/>
        <w:rPr>
          <w:rFonts w:ascii="Arial" w:hAnsi="Arial" w:cs="Arial"/>
          <w:sz w:val="22"/>
          <w:szCs w:val="22"/>
        </w:rPr>
      </w:pPr>
      <w:r w:rsidRPr="005D6756">
        <w:rPr>
          <w:rFonts w:ascii="Arial" w:hAnsi="Arial" w:cs="Arial"/>
          <w:sz w:val="22"/>
          <w:szCs w:val="22"/>
        </w:rPr>
        <w:t>Carer satisfaction scores</w:t>
      </w:r>
    </w:p>
    <w:p w14:paraId="75B00EED" w14:textId="77777777" w:rsidR="00985462" w:rsidRPr="005D6756" w:rsidRDefault="00985462">
      <w:pPr>
        <w:numPr>
          <w:ilvl w:val="0"/>
          <w:numId w:val="7"/>
        </w:numPr>
        <w:spacing w:line="360" w:lineRule="auto"/>
        <w:rPr>
          <w:rFonts w:ascii="Arial" w:hAnsi="Arial" w:cs="Arial"/>
          <w:sz w:val="22"/>
          <w:szCs w:val="22"/>
        </w:rPr>
      </w:pPr>
      <w:r w:rsidRPr="005D6756">
        <w:rPr>
          <w:rFonts w:ascii="Arial" w:hAnsi="Arial" w:cs="Arial"/>
          <w:sz w:val="22"/>
          <w:szCs w:val="22"/>
        </w:rPr>
        <w:t>Staff engagement levels</w:t>
      </w:r>
    </w:p>
    <w:p w14:paraId="7E39894A" w14:textId="77777777" w:rsidR="00985462" w:rsidRPr="005D6756" w:rsidRDefault="00985462">
      <w:pPr>
        <w:numPr>
          <w:ilvl w:val="0"/>
          <w:numId w:val="7"/>
        </w:numPr>
        <w:spacing w:line="360" w:lineRule="auto"/>
        <w:rPr>
          <w:rFonts w:ascii="Arial" w:hAnsi="Arial" w:cs="Arial"/>
          <w:sz w:val="22"/>
          <w:szCs w:val="22"/>
        </w:rPr>
      </w:pPr>
      <w:r w:rsidRPr="005D6756">
        <w:rPr>
          <w:rFonts w:ascii="Arial" w:hAnsi="Arial" w:cs="Arial"/>
          <w:sz w:val="22"/>
          <w:szCs w:val="22"/>
        </w:rPr>
        <w:lastRenderedPageBreak/>
        <w:t>Service coordination indicators</w:t>
      </w:r>
    </w:p>
    <w:p w14:paraId="0054CB01" w14:textId="77777777" w:rsidR="00985462" w:rsidRPr="005D6756" w:rsidRDefault="00985462">
      <w:pPr>
        <w:numPr>
          <w:ilvl w:val="0"/>
          <w:numId w:val="7"/>
        </w:numPr>
        <w:spacing w:line="360" w:lineRule="auto"/>
        <w:rPr>
          <w:rFonts w:ascii="Arial" w:hAnsi="Arial" w:cs="Arial"/>
          <w:sz w:val="22"/>
          <w:szCs w:val="22"/>
        </w:rPr>
      </w:pPr>
      <w:r w:rsidRPr="005D6756">
        <w:rPr>
          <w:rFonts w:ascii="Arial" w:hAnsi="Arial" w:cs="Arial"/>
          <w:sz w:val="22"/>
          <w:szCs w:val="22"/>
        </w:rPr>
        <w:t>Cost-effectiveness outcomes</w:t>
      </w:r>
    </w:p>
    <w:p w14:paraId="4FFCA739"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Both qualitative and quantitative evaluation methods should be used to assess impact and support continuous improvement.</w:t>
      </w:r>
    </w:p>
    <w:p w14:paraId="2AA828F3" w14:textId="24BC574F" w:rsidR="00985462" w:rsidRPr="005D6756" w:rsidRDefault="00985462" w:rsidP="005D6756">
      <w:pPr>
        <w:spacing w:line="360" w:lineRule="auto"/>
        <w:rPr>
          <w:rFonts w:ascii="Arial" w:hAnsi="Arial" w:cs="Arial"/>
          <w:sz w:val="22"/>
          <w:szCs w:val="22"/>
        </w:rPr>
      </w:pPr>
    </w:p>
    <w:p w14:paraId="3C64680D" w14:textId="77777777" w:rsidR="00CE2688" w:rsidRPr="005D6756" w:rsidRDefault="00CE2688" w:rsidP="005D6756">
      <w:pPr>
        <w:spacing w:line="360" w:lineRule="auto"/>
        <w:rPr>
          <w:rFonts w:ascii="Arial" w:hAnsi="Arial" w:cs="Arial"/>
          <w:b/>
          <w:bCs/>
          <w:sz w:val="22"/>
          <w:szCs w:val="22"/>
        </w:rPr>
      </w:pPr>
      <w:r w:rsidRPr="005D6756">
        <w:rPr>
          <w:rFonts w:ascii="Arial" w:hAnsi="Arial" w:cs="Arial"/>
          <w:b/>
          <w:bCs/>
          <w:sz w:val="22"/>
          <w:szCs w:val="22"/>
        </w:rPr>
        <w:br w:type="page"/>
      </w:r>
    </w:p>
    <w:p w14:paraId="1037C214" w14:textId="4A0BA922" w:rsidR="00985462" w:rsidRPr="00480301" w:rsidRDefault="00985462" w:rsidP="00A87B11">
      <w:pPr>
        <w:pStyle w:val="Heading2"/>
      </w:pPr>
      <w:bookmarkStart w:id="39" w:name="_Toc237002743"/>
      <w:bookmarkStart w:id="40" w:name="_Toc237003080"/>
      <w:r w:rsidRPr="00480301">
        <w:lastRenderedPageBreak/>
        <w:t>Conclusion</w:t>
      </w:r>
      <w:bookmarkEnd w:id="39"/>
      <w:bookmarkEnd w:id="40"/>
    </w:p>
    <w:p w14:paraId="461D3DE6" w14:textId="77777777" w:rsidR="00985462" w:rsidRPr="005D6756" w:rsidRDefault="00985462" w:rsidP="005D6756">
      <w:pPr>
        <w:spacing w:line="360" w:lineRule="auto"/>
        <w:rPr>
          <w:rFonts w:ascii="Arial" w:hAnsi="Arial" w:cs="Arial"/>
          <w:sz w:val="22"/>
          <w:szCs w:val="22"/>
        </w:rPr>
      </w:pP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offers a practical and innovative solution to longstanding challenges within hospital discharge and community care. Through AI-supported planning, secure communication systems, and integrated care coordination, the platform addresses service fragmentation and promotes safer transitions from hospital to home.</w:t>
      </w:r>
    </w:p>
    <w:p w14:paraId="6ADC8914" w14:textId="77777777" w:rsidR="00985462" w:rsidRPr="005D6756" w:rsidRDefault="00985462" w:rsidP="005D6756">
      <w:pPr>
        <w:spacing w:line="360" w:lineRule="auto"/>
        <w:rPr>
          <w:rFonts w:ascii="Arial" w:hAnsi="Arial" w:cs="Arial"/>
          <w:sz w:val="22"/>
          <w:szCs w:val="22"/>
        </w:rPr>
      </w:pPr>
      <w:r w:rsidRPr="005D6756">
        <w:rPr>
          <w:rFonts w:ascii="Arial" w:hAnsi="Arial" w:cs="Arial"/>
          <w:sz w:val="22"/>
          <w:szCs w:val="22"/>
        </w:rPr>
        <w:t xml:space="preserve">The innovation supports government policy, enhances multidisciplinary collaboration, and places patients and carers at the centre of care planning. By reducing hospital readmissions, improving patient wellbeing, and increasing service efficiency, </w:t>
      </w:r>
      <w:proofErr w:type="spellStart"/>
      <w:r w:rsidRPr="005D6756">
        <w:rPr>
          <w:rFonts w:ascii="Arial" w:hAnsi="Arial" w:cs="Arial"/>
          <w:sz w:val="22"/>
          <w:szCs w:val="22"/>
        </w:rPr>
        <w:t>CareConnect</w:t>
      </w:r>
      <w:proofErr w:type="spellEnd"/>
      <w:r w:rsidRPr="005D6756">
        <w:rPr>
          <w:rFonts w:ascii="Arial" w:hAnsi="Arial" w:cs="Arial"/>
          <w:sz w:val="22"/>
          <w:szCs w:val="22"/>
        </w:rPr>
        <w:t xml:space="preserve"> UK has the potential to create significant value across the UK health and social care sector.</w:t>
      </w:r>
    </w:p>
    <w:p w14:paraId="540725AF" w14:textId="77777777" w:rsidR="00B64E77" w:rsidRPr="005D6756" w:rsidRDefault="00F01413" w:rsidP="005D6756">
      <w:pPr>
        <w:spacing w:line="360" w:lineRule="auto"/>
        <w:rPr>
          <w:rFonts w:ascii="Arial" w:hAnsi="Arial" w:cs="Arial"/>
          <w:sz w:val="22"/>
          <w:szCs w:val="22"/>
        </w:rPr>
      </w:pPr>
      <w:r w:rsidRPr="005D6756">
        <w:rPr>
          <w:rFonts w:ascii="Arial" w:hAnsi="Arial" w:cs="Arial"/>
          <w:sz w:val="22"/>
          <w:szCs w:val="22"/>
        </w:rPr>
        <w:t xml:space="preserve">By combining artificial intelligence, secure data sharing, and digital monitoring tools, the platform aims to streamline discharge planning and provide ongoing support after patients return home. This innovation aligns with current UK policies promoting integrated care, digital transformation, and improved patient outcomes (NHS England, 2019; Health and Care Act 2022). </w:t>
      </w:r>
    </w:p>
    <w:p w14:paraId="70EB9B7C" w14:textId="77777777" w:rsidR="00AC41B3" w:rsidRPr="005D6756" w:rsidRDefault="00AC41B3" w:rsidP="005D6756">
      <w:pPr>
        <w:spacing w:line="360" w:lineRule="auto"/>
        <w:rPr>
          <w:rFonts w:ascii="Arial" w:hAnsi="Arial" w:cs="Arial"/>
          <w:sz w:val="22"/>
          <w:szCs w:val="22"/>
        </w:rPr>
      </w:pPr>
    </w:p>
    <w:p w14:paraId="780B04EC" w14:textId="02EA786C" w:rsidR="00266F74" w:rsidRDefault="00266F74">
      <w:pPr>
        <w:rPr>
          <w:rFonts w:ascii="Arial" w:hAnsi="Arial" w:cs="Arial"/>
          <w:b/>
          <w:bCs/>
          <w:sz w:val="22"/>
          <w:szCs w:val="22"/>
        </w:rPr>
      </w:pPr>
    </w:p>
    <w:p w14:paraId="2A3031D0" w14:textId="77777777" w:rsidR="00266F74" w:rsidRDefault="00266F74">
      <w:pPr>
        <w:rPr>
          <w:rFonts w:ascii="Arial" w:hAnsi="Arial" w:cs="Arial"/>
          <w:b/>
          <w:bCs/>
          <w:sz w:val="22"/>
          <w:szCs w:val="22"/>
        </w:rPr>
      </w:pPr>
      <w:r>
        <w:rPr>
          <w:rFonts w:ascii="Arial" w:hAnsi="Arial" w:cs="Arial"/>
          <w:b/>
          <w:bCs/>
          <w:sz w:val="22"/>
          <w:szCs w:val="22"/>
        </w:rPr>
        <w:br w:type="page"/>
      </w:r>
    </w:p>
    <w:p w14:paraId="3BC81C34" w14:textId="104E0C6C" w:rsidR="00AC41B3" w:rsidRPr="00AC41B3" w:rsidRDefault="00AC41B3" w:rsidP="00A87B11">
      <w:pPr>
        <w:pStyle w:val="Heading2"/>
      </w:pPr>
      <w:bookmarkStart w:id="41" w:name="_Toc237002744"/>
      <w:bookmarkStart w:id="42" w:name="_Toc237003081"/>
      <w:r w:rsidRPr="00AC41B3">
        <w:lastRenderedPageBreak/>
        <w:t>References</w:t>
      </w:r>
      <w:bookmarkEnd w:id="41"/>
      <w:bookmarkEnd w:id="42"/>
      <w:r w:rsidRPr="00AC41B3">
        <w:t xml:space="preserve"> </w:t>
      </w:r>
    </w:p>
    <w:p w14:paraId="06EEC2CC" w14:textId="77777777" w:rsidR="00AC41B3" w:rsidRPr="00AC41B3" w:rsidRDefault="00AC41B3" w:rsidP="00AC41B3">
      <w:pPr>
        <w:rPr>
          <w:rFonts w:ascii="Arial" w:hAnsi="Arial" w:cs="Arial"/>
          <w:sz w:val="22"/>
          <w:szCs w:val="22"/>
        </w:rPr>
      </w:pPr>
      <w:r w:rsidRPr="00AC41B3">
        <w:rPr>
          <w:rFonts w:ascii="Arial" w:hAnsi="Arial" w:cs="Arial"/>
          <w:sz w:val="22"/>
          <w:szCs w:val="22"/>
        </w:rPr>
        <w:t xml:space="preserve">Department of Health and Social Care (2020) </w:t>
      </w:r>
      <w:r w:rsidRPr="00AC41B3">
        <w:rPr>
          <w:rFonts w:ascii="Arial" w:hAnsi="Arial" w:cs="Arial"/>
          <w:i/>
          <w:iCs/>
          <w:sz w:val="22"/>
          <w:szCs w:val="22"/>
        </w:rPr>
        <w:t>Hospital discharge service: policy and operating model</w:t>
      </w:r>
      <w:r w:rsidRPr="00AC41B3">
        <w:rPr>
          <w:rFonts w:ascii="Arial" w:hAnsi="Arial" w:cs="Arial"/>
          <w:sz w:val="22"/>
          <w:szCs w:val="22"/>
        </w:rPr>
        <w:t>. London: DHSC.</w:t>
      </w:r>
    </w:p>
    <w:p w14:paraId="10B3BFAA" w14:textId="77777777" w:rsidR="00AC41B3" w:rsidRPr="00AC41B3" w:rsidRDefault="00AC41B3" w:rsidP="00AC41B3">
      <w:pPr>
        <w:rPr>
          <w:rFonts w:ascii="Arial" w:hAnsi="Arial" w:cs="Arial"/>
          <w:sz w:val="22"/>
          <w:szCs w:val="22"/>
        </w:rPr>
      </w:pPr>
      <w:r w:rsidRPr="00AC41B3">
        <w:rPr>
          <w:rFonts w:ascii="Arial" w:hAnsi="Arial" w:cs="Arial"/>
          <w:sz w:val="22"/>
          <w:szCs w:val="22"/>
        </w:rPr>
        <w:t>Health and Care Act 2022 (c.31). London: The Stationery Office.</w:t>
      </w:r>
    </w:p>
    <w:p w14:paraId="5ACC8F09" w14:textId="77777777" w:rsidR="00AC41B3" w:rsidRPr="00AC41B3" w:rsidRDefault="00AC41B3" w:rsidP="00AC41B3">
      <w:pPr>
        <w:rPr>
          <w:rFonts w:ascii="Arial" w:hAnsi="Arial" w:cs="Arial"/>
          <w:sz w:val="22"/>
          <w:szCs w:val="22"/>
        </w:rPr>
      </w:pPr>
      <w:r w:rsidRPr="00AC41B3">
        <w:rPr>
          <w:rFonts w:ascii="Arial" w:hAnsi="Arial" w:cs="Arial"/>
          <w:sz w:val="22"/>
          <w:szCs w:val="22"/>
        </w:rPr>
        <w:t xml:space="preserve">King's Fund (2022) </w:t>
      </w:r>
      <w:r w:rsidRPr="00AC41B3">
        <w:rPr>
          <w:rFonts w:ascii="Arial" w:hAnsi="Arial" w:cs="Arial"/>
          <w:i/>
          <w:iCs/>
          <w:sz w:val="22"/>
          <w:szCs w:val="22"/>
        </w:rPr>
        <w:t>What is integrated care?</w:t>
      </w:r>
      <w:r w:rsidRPr="00AC41B3">
        <w:rPr>
          <w:rFonts w:ascii="Arial" w:hAnsi="Arial" w:cs="Arial"/>
          <w:sz w:val="22"/>
          <w:szCs w:val="22"/>
        </w:rPr>
        <w:t xml:space="preserve"> London: The King's Fund.</w:t>
      </w:r>
    </w:p>
    <w:p w14:paraId="74982189" w14:textId="77777777" w:rsidR="00AC41B3" w:rsidRPr="00AC41B3" w:rsidRDefault="00AC41B3" w:rsidP="00AC41B3">
      <w:pPr>
        <w:rPr>
          <w:rFonts w:ascii="Arial" w:hAnsi="Arial" w:cs="Arial"/>
          <w:sz w:val="22"/>
          <w:szCs w:val="22"/>
        </w:rPr>
      </w:pPr>
      <w:r w:rsidRPr="00AC41B3">
        <w:rPr>
          <w:rFonts w:ascii="Arial" w:hAnsi="Arial" w:cs="Arial"/>
          <w:sz w:val="22"/>
          <w:szCs w:val="22"/>
        </w:rPr>
        <w:t xml:space="preserve">NHS England (2019) </w:t>
      </w:r>
      <w:r w:rsidRPr="00AC41B3">
        <w:rPr>
          <w:rFonts w:ascii="Arial" w:hAnsi="Arial" w:cs="Arial"/>
          <w:i/>
          <w:iCs/>
          <w:sz w:val="22"/>
          <w:szCs w:val="22"/>
        </w:rPr>
        <w:t>The NHS Long Term Plan</w:t>
      </w:r>
      <w:r w:rsidRPr="00AC41B3">
        <w:rPr>
          <w:rFonts w:ascii="Arial" w:hAnsi="Arial" w:cs="Arial"/>
          <w:sz w:val="22"/>
          <w:szCs w:val="22"/>
        </w:rPr>
        <w:t>. London: NHS England.</w:t>
      </w:r>
    </w:p>
    <w:p w14:paraId="0B4B79BC" w14:textId="77777777" w:rsidR="00AC41B3" w:rsidRPr="00AC41B3" w:rsidRDefault="00AC41B3" w:rsidP="00AC41B3">
      <w:pPr>
        <w:rPr>
          <w:rFonts w:ascii="Arial" w:hAnsi="Arial" w:cs="Arial"/>
          <w:sz w:val="22"/>
          <w:szCs w:val="22"/>
        </w:rPr>
      </w:pPr>
      <w:r w:rsidRPr="00AC41B3">
        <w:rPr>
          <w:rFonts w:ascii="Arial" w:hAnsi="Arial" w:cs="Arial"/>
          <w:sz w:val="22"/>
          <w:szCs w:val="22"/>
        </w:rPr>
        <w:t xml:space="preserve">NHS England (2022) </w:t>
      </w:r>
      <w:r w:rsidRPr="00AC41B3">
        <w:rPr>
          <w:rFonts w:ascii="Arial" w:hAnsi="Arial" w:cs="Arial"/>
          <w:i/>
          <w:iCs/>
          <w:sz w:val="22"/>
          <w:szCs w:val="22"/>
        </w:rPr>
        <w:t>Hospital discharge and community support guidance</w:t>
      </w:r>
      <w:r w:rsidRPr="00AC41B3">
        <w:rPr>
          <w:rFonts w:ascii="Arial" w:hAnsi="Arial" w:cs="Arial"/>
          <w:sz w:val="22"/>
          <w:szCs w:val="22"/>
        </w:rPr>
        <w:t>. London: NHS England.</w:t>
      </w:r>
    </w:p>
    <w:p w14:paraId="6989E99A" w14:textId="77777777" w:rsidR="00AC41B3" w:rsidRPr="00AC41B3" w:rsidRDefault="00AC41B3" w:rsidP="00AC41B3">
      <w:pPr>
        <w:rPr>
          <w:rFonts w:ascii="Arial" w:hAnsi="Arial" w:cs="Arial"/>
          <w:sz w:val="22"/>
          <w:szCs w:val="22"/>
        </w:rPr>
      </w:pPr>
      <w:r w:rsidRPr="00AC41B3">
        <w:rPr>
          <w:rFonts w:ascii="Arial" w:hAnsi="Arial" w:cs="Arial"/>
          <w:sz w:val="22"/>
          <w:szCs w:val="22"/>
        </w:rPr>
        <w:t xml:space="preserve">Porter, M.E. (2010) 'What is value in health care?', </w:t>
      </w:r>
      <w:r w:rsidRPr="00AC41B3">
        <w:rPr>
          <w:rFonts w:ascii="Arial" w:hAnsi="Arial" w:cs="Arial"/>
          <w:i/>
          <w:iCs/>
          <w:sz w:val="22"/>
          <w:szCs w:val="22"/>
        </w:rPr>
        <w:t>New England Journal of Medicine</w:t>
      </w:r>
      <w:r w:rsidRPr="00AC41B3">
        <w:rPr>
          <w:rFonts w:ascii="Arial" w:hAnsi="Arial" w:cs="Arial"/>
          <w:sz w:val="22"/>
          <w:szCs w:val="22"/>
        </w:rPr>
        <w:t>, 363(26), pp. 2477-2481.</w:t>
      </w:r>
    </w:p>
    <w:p w14:paraId="6AD39DA6" w14:textId="77777777" w:rsidR="00AC41B3" w:rsidRPr="00AC41B3" w:rsidRDefault="00AC41B3" w:rsidP="00AC41B3">
      <w:pPr>
        <w:rPr>
          <w:rFonts w:ascii="Arial" w:hAnsi="Arial" w:cs="Arial"/>
          <w:sz w:val="22"/>
          <w:szCs w:val="22"/>
        </w:rPr>
      </w:pPr>
      <w:r w:rsidRPr="00AC41B3">
        <w:rPr>
          <w:rFonts w:ascii="Arial" w:hAnsi="Arial" w:cs="Arial"/>
          <w:sz w:val="22"/>
          <w:szCs w:val="22"/>
        </w:rPr>
        <w:t xml:space="preserve">Rogers, E.M. (2003) </w:t>
      </w:r>
      <w:r w:rsidRPr="00AC41B3">
        <w:rPr>
          <w:rFonts w:ascii="Arial" w:hAnsi="Arial" w:cs="Arial"/>
          <w:i/>
          <w:iCs/>
          <w:sz w:val="22"/>
          <w:szCs w:val="22"/>
        </w:rPr>
        <w:t>Diffusion of Innovations</w:t>
      </w:r>
      <w:r w:rsidRPr="00AC41B3">
        <w:rPr>
          <w:rFonts w:ascii="Arial" w:hAnsi="Arial" w:cs="Arial"/>
          <w:sz w:val="22"/>
          <w:szCs w:val="22"/>
        </w:rPr>
        <w:t xml:space="preserve">. 5th </w:t>
      </w:r>
      <w:proofErr w:type="spellStart"/>
      <w:r w:rsidRPr="00AC41B3">
        <w:rPr>
          <w:rFonts w:ascii="Arial" w:hAnsi="Arial" w:cs="Arial"/>
          <w:sz w:val="22"/>
          <w:szCs w:val="22"/>
        </w:rPr>
        <w:t>edn</w:t>
      </w:r>
      <w:proofErr w:type="spellEnd"/>
      <w:r w:rsidRPr="00AC41B3">
        <w:rPr>
          <w:rFonts w:ascii="Arial" w:hAnsi="Arial" w:cs="Arial"/>
          <w:sz w:val="22"/>
          <w:szCs w:val="22"/>
        </w:rPr>
        <w:t>. New York: Free Press.</w:t>
      </w:r>
    </w:p>
    <w:p w14:paraId="5353C7F0" w14:textId="77777777" w:rsidR="00AC41B3" w:rsidRPr="00AC41B3" w:rsidRDefault="00AC41B3" w:rsidP="00AC41B3">
      <w:pPr>
        <w:rPr>
          <w:rFonts w:ascii="Arial" w:hAnsi="Arial" w:cs="Arial"/>
          <w:sz w:val="22"/>
          <w:szCs w:val="22"/>
        </w:rPr>
      </w:pPr>
      <w:r w:rsidRPr="00AC41B3">
        <w:rPr>
          <w:rFonts w:ascii="Arial" w:hAnsi="Arial" w:cs="Arial"/>
          <w:sz w:val="22"/>
          <w:szCs w:val="22"/>
        </w:rPr>
        <w:t>The Care Act 2014 (c.23). London: The Stationery Office.</w:t>
      </w:r>
    </w:p>
    <w:p w14:paraId="502A2BE9" w14:textId="77777777" w:rsidR="00AC41B3" w:rsidRDefault="00AC41B3" w:rsidP="00AC41B3">
      <w:pPr>
        <w:rPr>
          <w:rFonts w:ascii="Arial" w:hAnsi="Arial" w:cs="Arial"/>
          <w:sz w:val="22"/>
          <w:szCs w:val="22"/>
        </w:rPr>
      </w:pPr>
      <w:r w:rsidRPr="00AC41B3">
        <w:rPr>
          <w:rFonts w:ascii="Arial" w:hAnsi="Arial" w:cs="Arial"/>
          <w:sz w:val="22"/>
          <w:szCs w:val="22"/>
        </w:rPr>
        <w:t xml:space="preserve">UK Government (2018) </w:t>
      </w:r>
      <w:r w:rsidRPr="00AC41B3">
        <w:rPr>
          <w:rFonts w:ascii="Arial" w:hAnsi="Arial" w:cs="Arial"/>
          <w:i/>
          <w:iCs/>
          <w:sz w:val="22"/>
          <w:szCs w:val="22"/>
        </w:rPr>
        <w:t>Data Protection Act 2018</w:t>
      </w:r>
      <w:r w:rsidRPr="00AC41B3">
        <w:rPr>
          <w:rFonts w:ascii="Arial" w:hAnsi="Arial" w:cs="Arial"/>
          <w:sz w:val="22"/>
          <w:szCs w:val="22"/>
        </w:rPr>
        <w:t>. London: The Stationery Office.</w:t>
      </w:r>
    </w:p>
    <w:p w14:paraId="61447AC7" w14:textId="1873E290" w:rsidR="005D6756" w:rsidRPr="00AC41B3" w:rsidRDefault="005D6756" w:rsidP="00AC41B3">
      <w:pPr>
        <w:rPr>
          <w:rFonts w:ascii="Arial" w:hAnsi="Arial" w:cs="Arial"/>
          <w:sz w:val="22"/>
          <w:szCs w:val="22"/>
        </w:rPr>
      </w:pPr>
      <w:r w:rsidRPr="005D6756">
        <w:rPr>
          <w:rFonts w:ascii="Arial" w:hAnsi="Arial" w:cs="Arial"/>
          <w:sz w:val="22"/>
          <w:szCs w:val="22"/>
        </w:rPr>
        <w:t>https://peopleshistorynhs.org/encyclopaedia/branding/</w:t>
      </w:r>
    </w:p>
    <w:p w14:paraId="3C1E6A31" w14:textId="0931A9DB" w:rsidR="00AC41B3" w:rsidRPr="005E2E05" w:rsidRDefault="00AC41B3" w:rsidP="00AC41B3">
      <w:pPr>
        <w:rPr>
          <w:rFonts w:ascii="Arial" w:hAnsi="Arial" w:cs="Arial"/>
          <w:b/>
          <w:bCs/>
          <w:sz w:val="22"/>
          <w:szCs w:val="22"/>
        </w:rPr>
      </w:pPr>
    </w:p>
    <w:p w14:paraId="2E5CA3E1" w14:textId="01AC6829" w:rsidR="00FB59CB" w:rsidRPr="00985462" w:rsidRDefault="00FB59CB">
      <w:pPr>
        <w:rPr>
          <w:rFonts w:ascii="Arial" w:hAnsi="Arial" w:cs="Arial"/>
          <w:sz w:val="22"/>
          <w:szCs w:val="22"/>
        </w:rPr>
      </w:pPr>
    </w:p>
    <w:sectPr w:rsidR="00FB59CB" w:rsidRPr="009854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1CE35" w14:textId="77777777" w:rsidR="00645879" w:rsidRDefault="00645879" w:rsidP="005D6756">
      <w:pPr>
        <w:spacing w:after="0" w:line="240" w:lineRule="auto"/>
      </w:pPr>
      <w:r>
        <w:separator/>
      </w:r>
    </w:p>
  </w:endnote>
  <w:endnote w:type="continuationSeparator" w:id="0">
    <w:p w14:paraId="18613403" w14:textId="77777777" w:rsidR="00645879" w:rsidRDefault="00645879" w:rsidP="005D6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CF04B" w14:textId="77777777" w:rsidR="00645879" w:rsidRDefault="00645879" w:rsidP="005D6756">
      <w:pPr>
        <w:spacing w:after="0" w:line="240" w:lineRule="auto"/>
      </w:pPr>
      <w:r>
        <w:separator/>
      </w:r>
    </w:p>
  </w:footnote>
  <w:footnote w:type="continuationSeparator" w:id="0">
    <w:p w14:paraId="6C334E7C" w14:textId="77777777" w:rsidR="00645879" w:rsidRDefault="00645879" w:rsidP="005D67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A0011"/>
    <w:multiLevelType w:val="multilevel"/>
    <w:tmpl w:val="8EAE1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417AC8"/>
    <w:multiLevelType w:val="multilevel"/>
    <w:tmpl w:val="59F0B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9B6190"/>
    <w:multiLevelType w:val="multilevel"/>
    <w:tmpl w:val="3B9EA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9E6D59"/>
    <w:multiLevelType w:val="multilevel"/>
    <w:tmpl w:val="69B23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F2F3644"/>
    <w:multiLevelType w:val="multilevel"/>
    <w:tmpl w:val="2BFCC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9C4C70"/>
    <w:multiLevelType w:val="multilevel"/>
    <w:tmpl w:val="6F1CD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DB3FE1"/>
    <w:multiLevelType w:val="multilevel"/>
    <w:tmpl w:val="BDF29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9710007">
    <w:abstractNumId w:val="0"/>
  </w:num>
  <w:num w:numId="2" w16cid:durableId="1569531033">
    <w:abstractNumId w:val="6"/>
  </w:num>
  <w:num w:numId="3" w16cid:durableId="1273250081">
    <w:abstractNumId w:val="4"/>
  </w:num>
  <w:num w:numId="4" w16cid:durableId="19476390">
    <w:abstractNumId w:val="5"/>
  </w:num>
  <w:num w:numId="5" w16cid:durableId="2020352163">
    <w:abstractNumId w:val="2"/>
  </w:num>
  <w:num w:numId="6" w16cid:durableId="177473290">
    <w:abstractNumId w:val="3"/>
  </w:num>
  <w:num w:numId="7" w16cid:durableId="1287349208">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DBE"/>
    <w:rsid w:val="00013B54"/>
    <w:rsid w:val="0003104E"/>
    <w:rsid w:val="001A5F67"/>
    <w:rsid w:val="001B121A"/>
    <w:rsid w:val="001B6B2A"/>
    <w:rsid w:val="001D00A1"/>
    <w:rsid w:val="001E0F59"/>
    <w:rsid w:val="00253BBE"/>
    <w:rsid w:val="00266F74"/>
    <w:rsid w:val="002B3AD3"/>
    <w:rsid w:val="002C6D12"/>
    <w:rsid w:val="00303278"/>
    <w:rsid w:val="00325A05"/>
    <w:rsid w:val="00387D59"/>
    <w:rsid w:val="00480301"/>
    <w:rsid w:val="00512FDB"/>
    <w:rsid w:val="00543560"/>
    <w:rsid w:val="005A0982"/>
    <w:rsid w:val="005D32D2"/>
    <w:rsid w:val="005D6756"/>
    <w:rsid w:val="005E2E05"/>
    <w:rsid w:val="0061183F"/>
    <w:rsid w:val="00645879"/>
    <w:rsid w:val="00656A01"/>
    <w:rsid w:val="00755CC0"/>
    <w:rsid w:val="008448AF"/>
    <w:rsid w:val="00862BFC"/>
    <w:rsid w:val="0089511F"/>
    <w:rsid w:val="008B6BC8"/>
    <w:rsid w:val="008E620E"/>
    <w:rsid w:val="00927DBE"/>
    <w:rsid w:val="00980042"/>
    <w:rsid w:val="00985462"/>
    <w:rsid w:val="00A87B11"/>
    <w:rsid w:val="00AC41B3"/>
    <w:rsid w:val="00B048E9"/>
    <w:rsid w:val="00B64E77"/>
    <w:rsid w:val="00B843FE"/>
    <w:rsid w:val="00C177ED"/>
    <w:rsid w:val="00C36422"/>
    <w:rsid w:val="00CE2688"/>
    <w:rsid w:val="00CF492C"/>
    <w:rsid w:val="00D006A5"/>
    <w:rsid w:val="00D228F4"/>
    <w:rsid w:val="00D359CB"/>
    <w:rsid w:val="00D52D34"/>
    <w:rsid w:val="00DC4CD7"/>
    <w:rsid w:val="00E84204"/>
    <w:rsid w:val="00F01413"/>
    <w:rsid w:val="00F24EC7"/>
    <w:rsid w:val="00F506F1"/>
    <w:rsid w:val="00F7155E"/>
    <w:rsid w:val="00F77118"/>
    <w:rsid w:val="00FA2FDA"/>
    <w:rsid w:val="00FB5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0AFC8"/>
  <w15:chartTrackingRefBased/>
  <w15:docId w15:val="{53E6A7D8-643C-4A8F-BE73-B4AC445DC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7D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27D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27D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7D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7D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7D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7D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7D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7D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D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27D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27D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7D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7D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7D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7D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7D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7DBE"/>
    <w:rPr>
      <w:rFonts w:eastAsiaTheme="majorEastAsia" w:cstheme="majorBidi"/>
      <w:color w:val="272727" w:themeColor="text1" w:themeTint="D8"/>
    </w:rPr>
  </w:style>
  <w:style w:type="paragraph" w:styleId="Title">
    <w:name w:val="Title"/>
    <w:basedOn w:val="Normal"/>
    <w:next w:val="Normal"/>
    <w:link w:val="TitleChar"/>
    <w:uiPriority w:val="10"/>
    <w:qFormat/>
    <w:rsid w:val="00927D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7D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7D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7D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7DBE"/>
    <w:pPr>
      <w:spacing w:before="160"/>
      <w:jc w:val="center"/>
    </w:pPr>
    <w:rPr>
      <w:i/>
      <w:iCs/>
      <w:color w:val="404040" w:themeColor="text1" w:themeTint="BF"/>
    </w:rPr>
  </w:style>
  <w:style w:type="character" w:customStyle="1" w:styleId="QuoteChar">
    <w:name w:val="Quote Char"/>
    <w:basedOn w:val="DefaultParagraphFont"/>
    <w:link w:val="Quote"/>
    <w:uiPriority w:val="29"/>
    <w:rsid w:val="00927DBE"/>
    <w:rPr>
      <w:i/>
      <w:iCs/>
      <w:color w:val="404040" w:themeColor="text1" w:themeTint="BF"/>
    </w:rPr>
  </w:style>
  <w:style w:type="paragraph" w:styleId="ListParagraph">
    <w:name w:val="List Paragraph"/>
    <w:basedOn w:val="Normal"/>
    <w:uiPriority w:val="34"/>
    <w:qFormat/>
    <w:rsid w:val="00927DBE"/>
    <w:pPr>
      <w:ind w:left="720"/>
      <w:contextualSpacing/>
    </w:pPr>
  </w:style>
  <w:style w:type="character" w:styleId="IntenseEmphasis">
    <w:name w:val="Intense Emphasis"/>
    <w:basedOn w:val="DefaultParagraphFont"/>
    <w:uiPriority w:val="21"/>
    <w:qFormat/>
    <w:rsid w:val="00927DBE"/>
    <w:rPr>
      <w:i/>
      <w:iCs/>
      <w:color w:val="0F4761" w:themeColor="accent1" w:themeShade="BF"/>
    </w:rPr>
  </w:style>
  <w:style w:type="paragraph" w:styleId="IntenseQuote">
    <w:name w:val="Intense Quote"/>
    <w:basedOn w:val="Normal"/>
    <w:next w:val="Normal"/>
    <w:link w:val="IntenseQuoteChar"/>
    <w:uiPriority w:val="30"/>
    <w:qFormat/>
    <w:rsid w:val="00927D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7DBE"/>
    <w:rPr>
      <w:i/>
      <w:iCs/>
      <w:color w:val="0F4761" w:themeColor="accent1" w:themeShade="BF"/>
    </w:rPr>
  </w:style>
  <w:style w:type="character" w:styleId="IntenseReference">
    <w:name w:val="Intense Reference"/>
    <w:basedOn w:val="DefaultParagraphFont"/>
    <w:uiPriority w:val="32"/>
    <w:qFormat/>
    <w:rsid w:val="00927DBE"/>
    <w:rPr>
      <w:b/>
      <w:bCs/>
      <w:smallCaps/>
      <w:color w:val="0F4761" w:themeColor="accent1" w:themeShade="BF"/>
      <w:spacing w:val="5"/>
    </w:rPr>
  </w:style>
  <w:style w:type="character" w:styleId="Hyperlink">
    <w:name w:val="Hyperlink"/>
    <w:basedOn w:val="DefaultParagraphFont"/>
    <w:uiPriority w:val="99"/>
    <w:unhideWhenUsed/>
    <w:rsid w:val="00862BFC"/>
    <w:rPr>
      <w:color w:val="467886" w:themeColor="hyperlink"/>
      <w:u w:val="single"/>
    </w:rPr>
  </w:style>
  <w:style w:type="character" w:styleId="UnresolvedMention">
    <w:name w:val="Unresolved Mention"/>
    <w:basedOn w:val="DefaultParagraphFont"/>
    <w:uiPriority w:val="99"/>
    <w:semiHidden/>
    <w:unhideWhenUsed/>
    <w:rsid w:val="00862BFC"/>
    <w:rPr>
      <w:color w:val="605E5C"/>
      <w:shd w:val="clear" w:color="auto" w:fill="E1DFDD"/>
    </w:rPr>
  </w:style>
  <w:style w:type="paragraph" w:styleId="Header">
    <w:name w:val="header"/>
    <w:basedOn w:val="Normal"/>
    <w:link w:val="HeaderChar"/>
    <w:uiPriority w:val="99"/>
    <w:unhideWhenUsed/>
    <w:rsid w:val="005D67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6756"/>
  </w:style>
  <w:style w:type="paragraph" w:styleId="Footer">
    <w:name w:val="footer"/>
    <w:basedOn w:val="Normal"/>
    <w:link w:val="FooterChar"/>
    <w:uiPriority w:val="99"/>
    <w:unhideWhenUsed/>
    <w:rsid w:val="005D67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6756"/>
  </w:style>
  <w:style w:type="paragraph" w:styleId="TOCHeading">
    <w:name w:val="TOC Heading"/>
    <w:basedOn w:val="Heading1"/>
    <w:next w:val="Normal"/>
    <w:uiPriority w:val="39"/>
    <w:unhideWhenUsed/>
    <w:qFormat/>
    <w:rsid w:val="00D359C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87B11"/>
    <w:pPr>
      <w:spacing w:after="100"/>
    </w:pPr>
  </w:style>
  <w:style w:type="paragraph" w:styleId="TOC2">
    <w:name w:val="toc 2"/>
    <w:basedOn w:val="Normal"/>
    <w:next w:val="Normal"/>
    <w:autoRedefine/>
    <w:uiPriority w:val="39"/>
    <w:unhideWhenUsed/>
    <w:rsid w:val="00A87B11"/>
    <w:pPr>
      <w:spacing w:after="100"/>
      <w:ind w:left="240"/>
    </w:pPr>
  </w:style>
  <w:style w:type="paragraph" w:styleId="TOC3">
    <w:name w:val="toc 3"/>
    <w:basedOn w:val="Normal"/>
    <w:next w:val="Normal"/>
    <w:autoRedefine/>
    <w:uiPriority w:val="39"/>
    <w:unhideWhenUsed/>
    <w:rsid w:val="00A87B1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F424B-E2D6-426C-9FFD-52675F5959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1969</Words>
  <Characters>11227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Lopez</dc:creator>
  <cp:keywords/>
  <dc:description/>
  <cp:lastModifiedBy>Erika Lopez</cp:lastModifiedBy>
  <cp:revision>28</cp:revision>
  <dcterms:created xsi:type="dcterms:W3CDTF">2026-07-29T00:14:00Z</dcterms:created>
  <dcterms:modified xsi:type="dcterms:W3CDTF">2026-08-07T12:54:00Z</dcterms:modified>
</cp:coreProperties>
</file>