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111D7" w14:textId="77777777" w:rsidR="004D4026" w:rsidRDefault="004D4026" w:rsidP="004D4026">
      <w:pPr>
        <w:spacing w:line="360" w:lineRule="auto"/>
        <w:rPr>
          <w:rFonts w:ascii="Times New Roman" w:hAnsi="Times New Roman"/>
          <w:b/>
          <w:bCs/>
          <w:sz w:val="32"/>
          <w:szCs w:val="32"/>
        </w:rPr>
      </w:pPr>
    </w:p>
    <w:p w14:paraId="7EF63965" w14:textId="77777777" w:rsidR="004D4026" w:rsidRDefault="004D4026" w:rsidP="004D4026">
      <w:pPr>
        <w:spacing w:line="360" w:lineRule="auto"/>
      </w:pPr>
      <w:r>
        <w:rPr>
          <w:noProof/>
        </w:rPr>
        <w:drawing>
          <wp:inline distT="0" distB="0" distL="0" distR="0" wp14:anchorId="4E4242F0" wp14:editId="5F0EDF08">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4704E528" w14:textId="77777777" w:rsidR="004D4026" w:rsidRDefault="004D4026" w:rsidP="004D4026">
      <w:pPr>
        <w:spacing w:line="360" w:lineRule="auto"/>
        <w:rPr>
          <w:rStyle w:val="Strong"/>
          <w:rFonts w:ascii="Segoe UI" w:hAnsi="Segoe UI" w:cs="Segoe UI"/>
          <w:color w:val="1D2125"/>
        </w:rPr>
      </w:pPr>
    </w:p>
    <w:p w14:paraId="21D806FA" w14:textId="77777777" w:rsidR="004D4026" w:rsidRDefault="004D4026" w:rsidP="004D4026">
      <w:pPr>
        <w:spacing w:line="360" w:lineRule="auto"/>
        <w:rPr>
          <w:rStyle w:val="Strong"/>
          <w:rFonts w:ascii="Arial" w:hAnsi="Arial" w:cs="Arial"/>
          <w:color w:val="1D2125"/>
          <w:sz w:val="36"/>
          <w:szCs w:val="36"/>
        </w:rPr>
      </w:pPr>
    </w:p>
    <w:p w14:paraId="77905752" w14:textId="77777777" w:rsidR="004D4026" w:rsidRDefault="004D4026" w:rsidP="004D4026">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7772CEF6" w14:textId="77777777" w:rsidR="004D4026" w:rsidRDefault="004D4026" w:rsidP="004D4026">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0A7A9C0C" w14:textId="77777777" w:rsidR="004D4026" w:rsidRDefault="004D4026" w:rsidP="004D4026">
      <w:pPr>
        <w:spacing w:line="360" w:lineRule="auto"/>
        <w:jc w:val="center"/>
        <w:rPr>
          <w:rStyle w:val="Strong"/>
          <w:rFonts w:ascii="Arial" w:hAnsi="Arial" w:cs="Arial"/>
          <w:color w:val="1D2125"/>
          <w:sz w:val="36"/>
          <w:szCs w:val="36"/>
        </w:rPr>
      </w:pPr>
    </w:p>
    <w:p w14:paraId="1CC12266" w14:textId="77777777" w:rsidR="004D4026" w:rsidRDefault="004D4026" w:rsidP="004D4026">
      <w:pPr>
        <w:spacing w:line="360" w:lineRule="auto"/>
        <w:jc w:val="center"/>
        <w:rPr>
          <w:rStyle w:val="Strong"/>
          <w:rFonts w:ascii="Arial" w:hAnsi="Arial" w:cs="Arial"/>
          <w:color w:val="1D2125"/>
          <w:sz w:val="36"/>
          <w:szCs w:val="36"/>
        </w:rPr>
      </w:pPr>
    </w:p>
    <w:p w14:paraId="385152B6" w14:textId="12CD169F" w:rsidR="004D4026" w:rsidRDefault="004D4026" w:rsidP="004D4026">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rPr>
          <w:rFonts w:ascii="Arial" w:hAnsi="Arial" w:cs="Arial"/>
          <w:b/>
          <w:bCs/>
          <w:color w:val="000000"/>
          <w:sz w:val="32"/>
          <w:szCs w:val="32"/>
        </w:rPr>
        <w:t xml:space="preserve"> </w:t>
      </w:r>
      <w:r w:rsidR="00E36578">
        <w:rPr>
          <w:rFonts w:ascii="Arial" w:hAnsi="Arial" w:cs="Arial"/>
          <w:b/>
          <w:bCs/>
          <w:color w:val="000000"/>
          <w:sz w:val="32"/>
          <w:szCs w:val="32"/>
        </w:rPr>
        <w:t>P</w:t>
      </w:r>
      <w:r w:rsidRPr="00871C29">
        <w:rPr>
          <w:rFonts w:ascii="Arial" w:hAnsi="Arial" w:cs="Arial"/>
          <w:b/>
          <w:bCs/>
          <w:color w:val="000000"/>
          <w:sz w:val="32"/>
          <w:szCs w:val="32"/>
        </w:rPr>
        <w:t xml:space="preserve">ortfolio </w:t>
      </w:r>
    </w:p>
    <w:p w14:paraId="22DED7AD" w14:textId="77777777" w:rsidR="004D4026" w:rsidRDefault="004D4026" w:rsidP="004D4026">
      <w:pPr>
        <w:spacing w:line="360" w:lineRule="auto"/>
        <w:rPr>
          <w:rStyle w:val="Strong"/>
          <w:rFonts w:ascii="Arial" w:hAnsi="Arial" w:cs="Arial"/>
          <w:color w:val="1D2125"/>
          <w:sz w:val="32"/>
          <w:szCs w:val="32"/>
        </w:rPr>
      </w:pPr>
    </w:p>
    <w:p w14:paraId="5A04CD3B" w14:textId="77777777" w:rsidR="004D4026" w:rsidRDefault="004D4026" w:rsidP="004D4026">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 Dan-Matei Voiculescu</w:t>
      </w:r>
    </w:p>
    <w:p w14:paraId="054231EB" w14:textId="77777777" w:rsidR="004D4026" w:rsidRDefault="004D4026" w:rsidP="004D4026">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 2411572</w:t>
      </w:r>
    </w:p>
    <w:p w14:paraId="5781C3E9" w14:textId="77777777" w:rsidR="004D4026" w:rsidRDefault="004D4026" w:rsidP="004D4026">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 Dr. Soban Sadiq</w:t>
      </w:r>
    </w:p>
    <w:p w14:paraId="28459CAF" w14:textId="77777777" w:rsidR="004D4026" w:rsidRDefault="004D4026" w:rsidP="004D4026">
      <w:pPr>
        <w:spacing w:line="360" w:lineRule="auto"/>
        <w:rPr>
          <w:rStyle w:val="Strong"/>
          <w:rFonts w:ascii="Arial" w:hAnsi="Arial" w:cs="Arial"/>
          <w:color w:val="1D2125"/>
          <w:sz w:val="32"/>
          <w:szCs w:val="32"/>
        </w:rPr>
      </w:pPr>
    </w:p>
    <w:p w14:paraId="1198B3A7" w14:textId="77777777" w:rsidR="004D4026" w:rsidRDefault="004D4026" w:rsidP="004D4026">
      <w:pPr>
        <w:spacing w:line="360" w:lineRule="auto"/>
        <w:rPr>
          <w:rStyle w:val="Strong"/>
          <w:rFonts w:ascii="Arial" w:hAnsi="Arial" w:cs="Arial"/>
          <w:color w:val="1D2125"/>
          <w:sz w:val="32"/>
          <w:szCs w:val="32"/>
        </w:rPr>
      </w:pPr>
    </w:p>
    <w:p w14:paraId="2A30CB7C" w14:textId="77777777" w:rsidR="004D4026" w:rsidRDefault="004D4026" w:rsidP="004D4026">
      <w:pPr>
        <w:spacing w:line="360" w:lineRule="auto"/>
        <w:rPr>
          <w:rStyle w:val="Strong"/>
          <w:rFonts w:ascii="Arial" w:hAnsi="Arial" w:cs="Arial"/>
          <w:color w:val="1D2125"/>
        </w:rPr>
      </w:pPr>
      <w:r>
        <w:rPr>
          <w:rStyle w:val="Strong"/>
          <w:rFonts w:ascii="Arial" w:hAnsi="Arial" w:cs="Arial"/>
          <w:color w:val="1D2125"/>
          <w:sz w:val="32"/>
          <w:szCs w:val="32"/>
        </w:rPr>
        <w:tab/>
      </w:r>
      <w:r>
        <w:rPr>
          <w:rStyle w:val="Strong"/>
          <w:rFonts w:ascii="Arial" w:hAnsi="Arial" w:cs="Arial"/>
          <w:color w:val="1D2125"/>
          <w:sz w:val="32"/>
          <w:szCs w:val="32"/>
        </w:rPr>
        <w:tab/>
      </w:r>
      <w:r>
        <w:rPr>
          <w:rStyle w:val="Strong"/>
          <w:rFonts w:ascii="Arial" w:hAnsi="Arial" w:cs="Arial"/>
          <w:color w:val="1D2125"/>
          <w:sz w:val="32"/>
          <w:szCs w:val="32"/>
        </w:rPr>
        <w:tab/>
      </w:r>
      <w:r>
        <w:rPr>
          <w:rStyle w:val="Strong"/>
          <w:rFonts w:ascii="Arial" w:hAnsi="Arial" w:cs="Arial"/>
          <w:color w:val="1D2125"/>
          <w:sz w:val="32"/>
          <w:szCs w:val="32"/>
        </w:rPr>
        <w:tab/>
        <w:t xml:space="preserve">          </w:t>
      </w:r>
      <w:r w:rsidRPr="00E3787A">
        <w:rPr>
          <w:rStyle w:val="Strong"/>
          <w:rFonts w:ascii="Arial" w:hAnsi="Arial" w:cs="Arial"/>
          <w:color w:val="1D2125"/>
        </w:rPr>
        <w:t>30.07.2026</w:t>
      </w:r>
    </w:p>
    <w:p w14:paraId="2CFB2845" w14:textId="77777777" w:rsidR="004D4026" w:rsidRPr="00D94C19" w:rsidRDefault="004D4026" w:rsidP="004D4026">
      <w:pPr>
        <w:spacing w:line="360" w:lineRule="auto"/>
        <w:rPr>
          <w:rFonts w:ascii="Arial" w:hAnsi="Arial" w:cs="Arial"/>
          <w:b/>
          <w:bCs/>
          <w:color w:val="1D2125"/>
        </w:rPr>
      </w:pPr>
    </w:p>
    <w:p w14:paraId="3A4498D6" w14:textId="77777777" w:rsidR="004D4026" w:rsidRDefault="004D4026" w:rsidP="004D4026">
      <w:pPr>
        <w:spacing w:line="360" w:lineRule="auto"/>
        <w:rPr>
          <w:rFonts w:ascii="Arial" w:hAnsi="Arial" w:cs="Arial"/>
          <w:sz w:val="36"/>
          <w:szCs w:val="36"/>
        </w:rPr>
      </w:pPr>
    </w:p>
    <w:p w14:paraId="74A8254D" w14:textId="77777777" w:rsidR="004D4026" w:rsidRDefault="004D4026" w:rsidP="004D4026">
      <w:pPr>
        <w:pStyle w:val="NormalWeb"/>
        <w:spacing w:line="360" w:lineRule="auto"/>
        <w:rPr>
          <w:rFonts w:ascii="Arial" w:hAnsi="Arial" w:cs="Arial"/>
          <w:b/>
          <w:bCs/>
          <w:color w:val="000000"/>
          <w:sz w:val="28"/>
          <w:szCs w:val="28"/>
        </w:rPr>
      </w:pPr>
      <w:r>
        <w:rPr>
          <w:rFonts w:ascii="Arial" w:hAnsi="Arial" w:cs="Arial"/>
          <w:b/>
          <w:bCs/>
          <w:color w:val="000000"/>
          <w:sz w:val="28"/>
          <w:szCs w:val="28"/>
        </w:rPr>
        <w:t xml:space="preserve">                                      </w:t>
      </w:r>
      <w:r w:rsidRPr="008375B5">
        <w:rPr>
          <w:rFonts w:ascii="Arial" w:hAnsi="Arial" w:cs="Arial"/>
          <w:b/>
          <w:bCs/>
          <w:color w:val="000000"/>
          <w:sz w:val="28"/>
          <w:szCs w:val="28"/>
        </w:rPr>
        <w:t>Table of contents</w:t>
      </w:r>
    </w:p>
    <w:p w14:paraId="71ABF9D3" w14:textId="77777777" w:rsidR="004D4026" w:rsidRDefault="004D4026" w:rsidP="004D4026">
      <w:pPr>
        <w:pStyle w:val="NormalWeb"/>
        <w:spacing w:line="360" w:lineRule="auto"/>
        <w:rPr>
          <w:rFonts w:ascii="Arial" w:hAnsi="Arial" w:cs="Arial"/>
          <w:b/>
          <w:bCs/>
          <w:color w:val="000000"/>
          <w:sz w:val="28"/>
          <w:szCs w:val="28"/>
        </w:rPr>
      </w:pPr>
    </w:p>
    <w:p w14:paraId="6D9C016B" w14:textId="77777777" w:rsidR="004D4026" w:rsidRDefault="004D4026" w:rsidP="004D4026">
      <w:pPr>
        <w:pStyle w:val="NormalWeb"/>
        <w:spacing w:line="360" w:lineRule="auto"/>
        <w:rPr>
          <w:rFonts w:ascii="Arial" w:hAnsi="Arial" w:cs="Arial"/>
          <w:b/>
          <w:bCs/>
          <w:color w:val="000000"/>
          <w:sz w:val="28"/>
          <w:szCs w:val="28"/>
        </w:rPr>
      </w:pPr>
    </w:p>
    <w:p w14:paraId="14EF6A1F" w14:textId="77777777" w:rsidR="004D4026" w:rsidRDefault="004D4026" w:rsidP="004D4026">
      <w:pPr>
        <w:pStyle w:val="NormalWeb"/>
        <w:spacing w:line="360" w:lineRule="auto"/>
        <w:rPr>
          <w:rFonts w:ascii="Arial" w:hAnsi="Arial" w:cs="Arial"/>
          <w:b/>
          <w:bCs/>
          <w:color w:val="000000"/>
          <w:sz w:val="28"/>
          <w:szCs w:val="28"/>
        </w:rPr>
      </w:pPr>
    </w:p>
    <w:p w14:paraId="3FC6F1AA" w14:textId="77777777" w:rsidR="004D4026" w:rsidRPr="00F354EF" w:rsidRDefault="004D4026" w:rsidP="004D4026">
      <w:pPr>
        <w:pStyle w:val="NormalWeb"/>
        <w:numPr>
          <w:ilvl w:val="0"/>
          <w:numId w:val="1"/>
        </w:numPr>
        <w:spacing w:line="600" w:lineRule="auto"/>
        <w:rPr>
          <w:rFonts w:ascii="Arial" w:hAnsi="Arial" w:cs="Arial"/>
          <w:b/>
          <w:bCs/>
          <w:color w:val="000000" w:themeColor="text1"/>
        </w:rPr>
      </w:pPr>
      <w:r w:rsidRPr="0022041B">
        <w:rPr>
          <w:rFonts w:ascii="Arial" w:hAnsi="Arial" w:cs="Arial"/>
          <w:b/>
          <w:bCs/>
          <w:color w:val="000000" w:themeColor="text1"/>
        </w:rPr>
        <w:t>Introduction</w:t>
      </w:r>
      <w:r>
        <w:rPr>
          <w:rFonts w:ascii="Arial" w:hAnsi="Arial" w:cs="Arial"/>
          <w:b/>
          <w:bCs/>
          <w:color w:val="000000" w:themeColor="text1"/>
        </w:rPr>
        <w:t>…………………………………………………………….3</w:t>
      </w:r>
    </w:p>
    <w:p w14:paraId="4E31EEC2" w14:textId="77777777" w:rsidR="004D4026" w:rsidRPr="0022041B" w:rsidRDefault="004D4026" w:rsidP="004D4026">
      <w:pPr>
        <w:pStyle w:val="NormalWeb"/>
        <w:numPr>
          <w:ilvl w:val="0"/>
          <w:numId w:val="1"/>
        </w:numPr>
        <w:spacing w:line="600" w:lineRule="auto"/>
        <w:rPr>
          <w:rFonts w:ascii="Arial" w:hAnsi="Arial" w:cs="Arial"/>
          <w:b/>
          <w:bCs/>
          <w:color w:val="000000" w:themeColor="text1"/>
        </w:rPr>
      </w:pPr>
      <w:r w:rsidRPr="0022041B">
        <w:rPr>
          <w:rFonts w:ascii="Arial" w:hAnsi="Arial" w:cs="Arial"/>
          <w:b/>
          <w:bCs/>
          <w:color w:val="000000" w:themeColor="text1"/>
        </w:rPr>
        <w:t>Defining Key Concepts in Practice</w:t>
      </w:r>
      <w:r>
        <w:rPr>
          <w:rFonts w:ascii="Arial" w:hAnsi="Arial" w:cs="Arial"/>
          <w:b/>
          <w:bCs/>
          <w:color w:val="000000" w:themeColor="text1"/>
        </w:rPr>
        <w:t>…………………………………3</w:t>
      </w:r>
    </w:p>
    <w:p w14:paraId="6CA166CF" w14:textId="77777777" w:rsidR="004D4026" w:rsidRPr="0022041B" w:rsidRDefault="004D4026" w:rsidP="004D4026">
      <w:pPr>
        <w:pStyle w:val="NormalWeb"/>
        <w:numPr>
          <w:ilvl w:val="0"/>
          <w:numId w:val="1"/>
        </w:numPr>
        <w:spacing w:line="600" w:lineRule="auto"/>
        <w:rPr>
          <w:rFonts w:ascii="Arial" w:hAnsi="Arial" w:cs="Arial"/>
          <w:b/>
          <w:bCs/>
          <w:color w:val="000000"/>
        </w:rPr>
      </w:pPr>
      <w:r w:rsidRPr="0022041B">
        <w:rPr>
          <w:rFonts w:ascii="Arial" w:hAnsi="Arial" w:cs="Arial"/>
          <w:b/>
          <w:bCs/>
          <w:color w:val="000000"/>
        </w:rPr>
        <w:t>Mind Map: Long Wait Times in Health and Social Care</w:t>
      </w:r>
      <w:r>
        <w:rPr>
          <w:rFonts w:ascii="Arial" w:hAnsi="Arial" w:cs="Arial"/>
          <w:b/>
          <w:bCs/>
          <w:color w:val="000000"/>
        </w:rPr>
        <w:t>………...4</w:t>
      </w:r>
    </w:p>
    <w:p w14:paraId="06F20758" w14:textId="77777777" w:rsidR="004D4026" w:rsidRPr="0022041B" w:rsidRDefault="004D4026" w:rsidP="004D4026">
      <w:pPr>
        <w:pStyle w:val="NormalWeb"/>
        <w:numPr>
          <w:ilvl w:val="0"/>
          <w:numId w:val="1"/>
        </w:numPr>
        <w:spacing w:line="600" w:lineRule="auto"/>
        <w:rPr>
          <w:rFonts w:ascii="Arial" w:hAnsi="Arial" w:cs="Arial"/>
          <w:b/>
          <w:bCs/>
          <w:color w:val="000000"/>
        </w:rPr>
      </w:pPr>
      <w:r w:rsidRPr="0022041B">
        <w:rPr>
          <w:rFonts w:ascii="Arial" w:hAnsi="Arial" w:cs="Arial"/>
          <w:b/>
          <w:bCs/>
          <w:lang w:val="en-US"/>
        </w:rPr>
        <w:t>Self-Reflection of Group Activity</w:t>
      </w:r>
      <w:r>
        <w:rPr>
          <w:rFonts w:ascii="Arial" w:hAnsi="Arial" w:cs="Arial"/>
          <w:b/>
          <w:bCs/>
          <w:lang w:val="en-US"/>
        </w:rPr>
        <w:t>…………………………………….5</w:t>
      </w:r>
    </w:p>
    <w:p w14:paraId="0E105D11" w14:textId="77777777" w:rsidR="004D4026" w:rsidRPr="0022041B" w:rsidRDefault="004D4026" w:rsidP="004D4026">
      <w:pPr>
        <w:pStyle w:val="NormalWeb"/>
        <w:numPr>
          <w:ilvl w:val="0"/>
          <w:numId w:val="1"/>
        </w:numPr>
        <w:spacing w:line="600" w:lineRule="auto"/>
        <w:rPr>
          <w:rFonts w:ascii="Arial" w:hAnsi="Arial" w:cs="Arial"/>
          <w:b/>
          <w:bCs/>
          <w:color w:val="000000"/>
        </w:rPr>
      </w:pPr>
      <w:r w:rsidRPr="0022041B">
        <w:rPr>
          <w:rFonts w:ascii="Arial" w:hAnsi="Arial" w:cs="Arial"/>
          <w:b/>
          <w:bCs/>
        </w:rPr>
        <w:t>Case Study</w:t>
      </w:r>
      <w:r>
        <w:rPr>
          <w:rFonts w:ascii="Arial" w:hAnsi="Arial" w:cs="Arial"/>
          <w:b/>
          <w:bCs/>
        </w:rPr>
        <w:t xml:space="preserve">: </w:t>
      </w:r>
      <w:r w:rsidRPr="0022041B">
        <w:rPr>
          <w:rFonts w:ascii="Arial" w:hAnsi="Arial" w:cs="Arial"/>
          <w:b/>
          <w:bCs/>
        </w:rPr>
        <w:t>Analysis of a UK Innovation</w:t>
      </w:r>
      <w:r>
        <w:rPr>
          <w:rFonts w:ascii="Arial" w:hAnsi="Arial" w:cs="Arial"/>
          <w:b/>
          <w:bCs/>
        </w:rPr>
        <w:t>………………………….6</w:t>
      </w:r>
    </w:p>
    <w:p w14:paraId="24CEFB17" w14:textId="77777777" w:rsidR="004D4026" w:rsidRPr="0022041B" w:rsidRDefault="004D4026" w:rsidP="004D4026">
      <w:pPr>
        <w:pStyle w:val="NormalWeb"/>
        <w:numPr>
          <w:ilvl w:val="0"/>
          <w:numId w:val="1"/>
        </w:numPr>
        <w:spacing w:line="600" w:lineRule="auto"/>
        <w:rPr>
          <w:rFonts w:ascii="Arial" w:hAnsi="Arial" w:cs="Arial"/>
          <w:b/>
          <w:bCs/>
        </w:rPr>
      </w:pPr>
      <w:r w:rsidRPr="0022041B">
        <w:rPr>
          <w:rFonts w:ascii="Arial" w:hAnsi="Arial" w:cs="Arial"/>
          <w:b/>
          <w:bCs/>
        </w:rPr>
        <w:t>Research Task: Staff Stress in Health and Social Care</w:t>
      </w:r>
      <w:r>
        <w:rPr>
          <w:rFonts w:ascii="Arial" w:hAnsi="Arial" w:cs="Arial"/>
          <w:b/>
          <w:bCs/>
        </w:rPr>
        <w:t>………….6</w:t>
      </w:r>
    </w:p>
    <w:p w14:paraId="338377C0" w14:textId="77777777" w:rsidR="004D4026" w:rsidRPr="0022041B" w:rsidRDefault="004D4026" w:rsidP="004D4026">
      <w:pPr>
        <w:pStyle w:val="NoSpacing"/>
        <w:numPr>
          <w:ilvl w:val="0"/>
          <w:numId w:val="1"/>
        </w:numPr>
        <w:spacing w:line="600" w:lineRule="auto"/>
        <w:rPr>
          <w:rFonts w:ascii="Arial" w:hAnsi="Arial" w:cs="Arial"/>
          <w:b/>
          <w:bCs/>
        </w:rPr>
      </w:pPr>
      <w:r w:rsidRPr="0022041B">
        <w:rPr>
          <w:rFonts w:ascii="Arial" w:hAnsi="Arial" w:cs="Arial"/>
          <w:b/>
          <w:bCs/>
          <w:lang w:val="en-US" w:eastAsia="en-GB"/>
        </w:rPr>
        <w:t>Digital Innovation in Health and Social Care</w:t>
      </w:r>
      <w:r>
        <w:rPr>
          <w:rFonts w:ascii="Arial" w:hAnsi="Arial" w:cs="Arial"/>
          <w:b/>
          <w:bCs/>
          <w:lang w:val="en-US" w:eastAsia="en-GB"/>
        </w:rPr>
        <w:t>……………………….7</w:t>
      </w:r>
    </w:p>
    <w:p w14:paraId="5595C4C9" w14:textId="77777777" w:rsidR="004D4026" w:rsidRPr="0022041B" w:rsidRDefault="004D4026" w:rsidP="004D4026">
      <w:pPr>
        <w:pStyle w:val="NormalWeb"/>
        <w:numPr>
          <w:ilvl w:val="0"/>
          <w:numId w:val="1"/>
        </w:numPr>
        <w:spacing w:line="600" w:lineRule="auto"/>
        <w:rPr>
          <w:rFonts w:ascii="Arial" w:hAnsi="Arial" w:cs="Arial"/>
          <w:b/>
          <w:bCs/>
          <w:lang w:val="en-US"/>
        </w:rPr>
      </w:pPr>
      <w:r w:rsidRPr="0022041B">
        <w:rPr>
          <w:rFonts w:ascii="Arial" w:hAnsi="Arial" w:cs="Arial"/>
          <w:b/>
          <w:bCs/>
          <w:lang w:val="en-US"/>
        </w:rPr>
        <w:t>Understanding the NHS Leadership Framework</w:t>
      </w:r>
      <w:r>
        <w:rPr>
          <w:rFonts w:ascii="Arial" w:hAnsi="Arial" w:cs="Arial"/>
          <w:b/>
          <w:bCs/>
          <w:lang w:val="en-US"/>
        </w:rPr>
        <w:t>………………….8</w:t>
      </w:r>
    </w:p>
    <w:p w14:paraId="6DAB2A29" w14:textId="77777777" w:rsidR="004D4026" w:rsidRDefault="004D4026" w:rsidP="004D4026">
      <w:pPr>
        <w:pStyle w:val="NormalWeb"/>
        <w:numPr>
          <w:ilvl w:val="0"/>
          <w:numId w:val="1"/>
        </w:numPr>
        <w:spacing w:line="600" w:lineRule="auto"/>
        <w:rPr>
          <w:rFonts w:ascii="Arial" w:hAnsi="Arial" w:cs="Arial"/>
          <w:b/>
          <w:bCs/>
        </w:rPr>
      </w:pPr>
      <w:r w:rsidRPr="0022041B">
        <w:rPr>
          <w:rFonts w:ascii="Arial" w:hAnsi="Arial" w:cs="Arial"/>
          <w:b/>
          <w:bCs/>
        </w:rPr>
        <w:t>Self-Reflection</w:t>
      </w:r>
      <w:r>
        <w:rPr>
          <w:rFonts w:ascii="Arial" w:hAnsi="Arial" w:cs="Arial"/>
          <w:b/>
          <w:bCs/>
        </w:rPr>
        <w:t>……………………………………………………………9</w:t>
      </w:r>
    </w:p>
    <w:p w14:paraId="5A7D4A40" w14:textId="77777777" w:rsidR="004D4026" w:rsidRPr="0022041B" w:rsidRDefault="004D4026" w:rsidP="004D4026">
      <w:pPr>
        <w:pStyle w:val="NormalWeb"/>
        <w:numPr>
          <w:ilvl w:val="0"/>
          <w:numId w:val="1"/>
        </w:numPr>
        <w:spacing w:line="600" w:lineRule="auto"/>
        <w:rPr>
          <w:rFonts w:ascii="Arial" w:hAnsi="Arial" w:cs="Arial"/>
          <w:b/>
          <w:bCs/>
        </w:rPr>
      </w:pPr>
      <w:r>
        <w:rPr>
          <w:rFonts w:ascii="Arial" w:hAnsi="Arial" w:cs="Arial"/>
          <w:b/>
          <w:bCs/>
        </w:rPr>
        <w:t>References……………………………………………………………….10</w:t>
      </w:r>
    </w:p>
    <w:p w14:paraId="13964DB2" w14:textId="77777777" w:rsidR="004D4026" w:rsidRDefault="004D4026" w:rsidP="004D4026">
      <w:pPr>
        <w:pStyle w:val="NormalWeb"/>
        <w:spacing w:line="360" w:lineRule="auto"/>
        <w:ind w:left="360"/>
        <w:rPr>
          <w:rFonts w:ascii="Arial" w:hAnsi="Arial" w:cs="Arial"/>
          <w:b/>
          <w:bCs/>
          <w:color w:val="000000"/>
        </w:rPr>
      </w:pPr>
    </w:p>
    <w:p w14:paraId="082F7458" w14:textId="77777777" w:rsidR="004D4026" w:rsidRDefault="004D4026" w:rsidP="004D4026">
      <w:pPr>
        <w:pStyle w:val="NormalWeb"/>
        <w:spacing w:line="360" w:lineRule="auto"/>
        <w:ind w:left="360"/>
        <w:rPr>
          <w:rFonts w:ascii="Arial" w:hAnsi="Arial" w:cs="Arial"/>
          <w:b/>
          <w:bCs/>
          <w:color w:val="000000"/>
        </w:rPr>
      </w:pPr>
    </w:p>
    <w:p w14:paraId="1F8EFCCF" w14:textId="77777777" w:rsidR="004D4026" w:rsidRDefault="004D4026" w:rsidP="004D4026">
      <w:pPr>
        <w:pStyle w:val="NormalWeb"/>
        <w:spacing w:line="360" w:lineRule="auto"/>
        <w:ind w:left="360"/>
        <w:rPr>
          <w:rFonts w:ascii="Arial" w:hAnsi="Arial" w:cs="Arial"/>
          <w:b/>
          <w:bCs/>
          <w:color w:val="000000"/>
        </w:rPr>
      </w:pPr>
    </w:p>
    <w:p w14:paraId="529FD2E8" w14:textId="77777777" w:rsidR="004D4026" w:rsidRDefault="004D4026" w:rsidP="00C169B3">
      <w:pPr>
        <w:pStyle w:val="NormalWeb"/>
        <w:spacing w:line="360" w:lineRule="auto"/>
        <w:rPr>
          <w:rFonts w:ascii="Arial" w:hAnsi="Arial" w:cs="Arial"/>
          <w:b/>
          <w:bCs/>
          <w:color w:val="000000"/>
        </w:rPr>
      </w:pPr>
    </w:p>
    <w:p w14:paraId="586AF408" w14:textId="77777777" w:rsidR="004D4026" w:rsidRPr="0022041B" w:rsidRDefault="004D4026" w:rsidP="004D4026">
      <w:pPr>
        <w:pStyle w:val="NormalWeb"/>
        <w:spacing w:line="360" w:lineRule="auto"/>
        <w:ind w:left="360"/>
        <w:rPr>
          <w:rFonts w:ascii="Arial" w:hAnsi="Arial" w:cs="Arial"/>
          <w:b/>
          <w:bCs/>
          <w:color w:val="000000"/>
        </w:rPr>
      </w:pPr>
    </w:p>
    <w:p w14:paraId="1A20CA60" w14:textId="77777777" w:rsidR="004D4026" w:rsidRDefault="004D4026" w:rsidP="004D4026">
      <w:pPr>
        <w:pStyle w:val="NormalWeb"/>
        <w:numPr>
          <w:ilvl w:val="0"/>
          <w:numId w:val="3"/>
        </w:numPr>
        <w:spacing w:line="360" w:lineRule="auto"/>
        <w:rPr>
          <w:rFonts w:ascii="Arial" w:hAnsi="Arial" w:cs="Arial"/>
          <w:b/>
          <w:bCs/>
          <w:color w:val="000000" w:themeColor="text1"/>
          <w:lang w:val="en-US"/>
        </w:rPr>
      </w:pPr>
      <w:r w:rsidRPr="0022041B">
        <w:rPr>
          <w:rFonts w:ascii="Arial" w:hAnsi="Arial" w:cs="Arial"/>
          <w:b/>
          <w:bCs/>
          <w:color w:val="000000" w:themeColor="text1"/>
          <w:lang w:val="en-US"/>
        </w:rPr>
        <w:t>Introduction</w:t>
      </w:r>
    </w:p>
    <w:p w14:paraId="770074D3" w14:textId="77777777" w:rsidR="004D4026" w:rsidRDefault="004D4026" w:rsidP="004D4026">
      <w:pPr>
        <w:pStyle w:val="NormalWeb"/>
        <w:spacing w:line="360" w:lineRule="auto"/>
        <w:rPr>
          <w:rFonts w:ascii="Arial" w:hAnsi="Arial" w:cs="Arial"/>
          <w:color w:val="000000" w:themeColor="text1"/>
          <w:sz w:val="22"/>
          <w:szCs w:val="22"/>
          <w:lang w:val="en-US"/>
        </w:rPr>
      </w:pPr>
      <w:r w:rsidRPr="006469F0">
        <w:rPr>
          <w:rFonts w:ascii="Arial" w:hAnsi="Arial" w:cs="Arial"/>
          <w:color w:val="000000" w:themeColor="text1"/>
          <w:sz w:val="22"/>
          <w:szCs w:val="22"/>
          <w:lang w:val="en-US"/>
        </w:rPr>
        <w:t xml:space="preserve">Modern health and social care depend significantly on creativity, innovation, value creation, and change, as services deal with increased demands, shortages of staff, and digitization. </w:t>
      </w:r>
      <w:r>
        <w:rPr>
          <w:rFonts w:ascii="Arial" w:hAnsi="Arial" w:cs="Arial"/>
          <w:color w:val="000000" w:themeColor="text1"/>
          <w:sz w:val="22"/>
          <w:szCs w:val="22"/>
          <w:lang w:val="en-US"/>
        </w:rPr>
        <w:t>Gaining knowledge of this concept enables health care professionals to develop solutions that advance person-centered care, boost efficiency, and enhance patient’s outcomes.</w:t>
      </w:r>
    </w:p>
    <w:p w14:paraId="678ECC72" w14:textId="77777777" w:rsidR="004D4026" w:rsidRDefault="004D4026" w:rsidP="004D4026">
      <w:pPr>
        <w:pStyle w:val="NormalWeb"/>
        <w:spacing w:line="360" w:lineRule="auto"/>
        <w:rPr>
          <w:rFonts w:ascii="Arial" w:hAnsi="Arial" w:cs="Arial"/>
          <w:sz w:val="22"/>
          <w:szCs w:val="22"/>
        </w:rPr>
      </w:pPr>
      <w:r w:rsidRPr="006A77D1">
        <w:rPr>
          <w:rFonts w:ascii="Arial" w:hAnsi="Arial" w:cs="Arial"/>
          <w:sz w:val="22"/>
          <w:szCs w:val="22"/>
        </w:rPr>
        <w:t>Throughout this assignment, each task explores how these ideas operate in real practice</w:t>
      </w:r>
      <w:r>
        <w:rPr>
          <w:rFonts w:ascii="Arial" w:hAnsi="Arial" w:cs="Arial"/>
          <w:sz w:val="22"/>
          <w:szCs w:val="22"/>
        </w:rPr>
        <w:t xml:space="preserve">, </w:t>
      </w:r>
      <w:r w:rsidRPr="006A77D1">
        <w:rPr>
          <w:rFonts w:ascii="Arial" w:hAnsi="Arial" w:cs="Arial"/>
          <w:sz w:val="22"/>
          <w:szCs w:val="22"/>
        </w:rPr>
        <w:t>ranging from defining key concepts, analysing NHS innovations, reflecting on learning activities, and examining current issues in the sector. Academic theories and frameworks such as Rogers’ Diffusion of Innovation, Lewin’s Change Model, and the Technology Acceptance Model are used to ground the discussion in recognised scholarship. By linking theory to practice, the work demonstrates how creative thinking and structured approaches to change can support better decision</w:t>
      </w:r>
      <w:r w:rsidRPr="006A77D1">
        <w:rPr>
          <w:rFonts w:ascii="Arial" w:hAnsi="Arial" w:cs="Arial"/>
          <w:sz w:val="22"/>
          <w:szCs w:val="22"/>
        </w:rPr>
        <w:noBreakHyphen/>
        <w:t>making, collaborative working, and improved care experiences for service users.</w:t>
      </w:r>
    </w:p>
    <w:p w14:paraId="6C460CC0" w14:textId="77777777" w:rsidR="004D4026" w:rsidRPr="006A77D1" w:rsidRDefault="004D4026" w:rsidP="004D4026">
      <w:pPr>
        <w:pStyle w:val="NormalWeb"/>
        <w:spacing w:line="360" w:lineRule="auto"/>
        <w:rPr>
          <w:rFonts w:ascii="Arial" w:hAnsi="Arial" w:cs="Arial"/>
          <w:b/>
          <w:bCs/>
          <w:color w:val="000000" w:themeColor="text1"/>
          <w:sz w:val="22"/>
          <w:szCs w:val="22"/>
          <w:lang w:val="en-US"/>
        </w:rPr>
      </w:pPr>
    </w:p>
    <w:p w14:paraId="56640BB3" w14:textId="77777777" w:rsidR="004D4026" w:rsidRDefault="004D4026" w:rsidP="004D4026">
      <w:pPr>
        <w:pStyle w:val="NoSpacing"/>
        <w:numPr>
          <w:ilvl w:val="0"/>
          <w:numId w:val="3"/>
        </w:numPr>
        <w:rPr>
          <w:rFonts w:ascii="Arial" w:hAnsi="Arial" w:cs="Arial"/>
          <w:b/>
          <w:bCs/>
          <w:color w:val="000000" w:themeColor="text1"/>
        </w:rPr>
      </w:pPr>
      <w:r w:rsidRPr="00CE3D22">
        <w:rPr>
          <w:rFonts w:ascii="Arial" w:hAnsi="Arial" w:cs="Arial"/>
          <w:b/>
          <w:bCs/>
          <w:color w:val="000000" w:themeColor="text1"/>
        </w:rPr>
        <w:t>Defining Key Concepts in Practice</w:t>
      </w:r>
    </w:p>
    <w:p w14:paraId="5721A5DF" w14:textId="77777777" w:rsidR="004D4026" w:rsidRPr="00F971F0" w:rsidRDefault="004D4026" w:rsidP="004D4026">
      <w:pPr>
        <w:rPr>
          <w:b/>
          <w:bCs/>
        </w:rPr>
      </w:pPr>
    </w:p>
    <w:p w14:paraId="40E53FAB" w14:textId="77777777" w:rsidR="004D4026" w:rsidRPr="00204D46" w:rsidRDefault="004D4026" w:rsidP="004D4026">
      <w:r w:rsidRPr="00204D46">
        <w:rPr>
          <w:b/>
          <w:bCs/>
        </w:rPr>
        <w:t>Innovation</w:t>
      </w:r>
      <w:r w:rsidRPr="00F971F0">
        <w:t xml:space="preserve"> refers to introducing new ideas, technologies, or methods that improve existing practice or create more effective ways of delivering care. Rogers’ </w:t>
      </w:r>
      <w:r w:rsidRPr="00F971F0">
        <w:rPr>
          <w:i/>
          <w:iCs/>
        </w:rPr>
        <w:t>Diffusion of Innovation Theory</w:t>
      </w:r>
      <w:r w:rsidRPr="00F971F0">
        <w:t xml:space="preserve"> explains how innovations spread through organisations depending on factors such as perceived advantage and compatibility with current practice (Rogers, 2003). In health and social care, innovation is essential for improving safety, efficiency, and patient outcomes, particularly as services face increasing demand and resource pressures. </w:t>
      </w:r>
      <w:r w:rsidRPr="00F971F0">
        <w:rPr>
          <w:b/>
          <w:bCs/>
        </w:rPr>
        <w:t>Example:</w:t>
      </w:r>
      <w:r w:rsidRPr="00F971F0">
        <w:t xml:space="preserve"> The adoption of electronic patient records (EPR) in ambulance services represents innovation because it improves information accuracy, reduces duplication, and supports faster clinical decision</w:t>
      </w:r>
      <w:r w:rsidRPr="00F971F0">
        <w:noBreakHyphen/>
        <w:t>making (Rogers, 2003).</w:t>
      </w:r>
    </w:p>
    <w:p w14:paraId="35C84CED" w14:textId="77777777" w:rsidR="004D4026" w:rsidRPr="00204D46" w:rsidRDefault="004D4026" w:rsidP="004D4026">
      <w:r w:rsidRPr="00204D46">
        <w:rPr>
          <w:b/>
          <w:bCs/>
        </w:rPr>
        <w:t>Creativity</w:t>
      </w:r>
      <w:r w:rsidRPr="00F971F0">
        <w:t xml:space="preserve"> involves generating new and useful ideas by combining knowledge, skills, and imagination. Amabile’s </w:t>
      </w:r>
      <w:r w:rsidRPr="00F971F0">
        <w:rPr>
          <w:i/>
          <w:iCs/>
        </w:rPr>
        <w:t>Componential Theory of Creativity</w:t>
      </w:r>
      <w:r w:rsidRPr="00F971F0">
        <w:t xml:space="preserve"> suggests that creativity arises when individuals have domain expertise, creative thinking skills, and intrinsic motivation (Amabile, 1996). Creativity is important in health and social care because practitioners must adapt approaches to meet diverse, person</w:t>
      </w:r>
      <w:r w:rsidRPr="00F971F0">
        <w:noBreakHyphen/>
        <w:t>centred needs. Creative thinking supports problem</w:t>
      </w:r>
      <w:r w:rsidRPr="00F971F0">
        <w:noBreakHyphen/>
        <w:t xml:space="preserve">solving, communication, and personalised care planning. </w:t>
      </w:r>
      <w:r w:rsidRPr="00F971F0">
        <w:rPr>
          <w:b/>
          <w:bCs/>
        </w:rPr>
        <w:t>Example:</w:t>
      </w:r>
      <w:r w:rsidRPr="00F971F0">
        <w:t xml:space="preserve"> A support worker using drawing, symbols, or digital communication apps to </w:t>
      </w:r>
      <w:r w:rsidRPr="00F971F0">
        <w:lastRenderedPageBreak/>
        <w:t>help a non</w:t>
      </w:r>
      <w:r w:rsidRPr="00F971F0">
        <w:noBreakHyphen/>
        <w:t>verbal service user express preferences demonstrates creativity in practice (Amabile, 1996).</w:t>
      </w:r>
    </w:p>
    <w:p w14:paraId="603BF6B7" w14:textId="77777777" w:rsidR="004D4026" w:rsidRPr="00204D46" w:rsidRDefault="004D4026" w:rsidP="004D4026">
      <w:r w:rsidRPr="00204D46">
        <w:rPr>
          <w:b/>
          <w:bCs/>
        </w:rPr>
        <w:t>Value creation</w:t>
      </w:r>
      <w:r w:rsidRPr="00F971F0">
        <w:t xml:space="preserve"> refers to delivering services that improve outcomes relative to the cost of care. Porter argues that value in healthcare is achieved when organisations maximise patient outcomes while minimising unnecessary expenditure (Porter, 2010). In health and social care, value creation ensures services remain sustainable, resources are used effectively, and patients receive high</w:t>
      </w:r>
      <w:r w:rsidRPr="00F971F0">
        <w:noBreakHyphen/>
        <w:t xml:space="preserve">quality care. </w:t>
      </w:r>
      <w:r w:rsidRPr="00F971F0">
        <w:rPr>
          <w:b/>
          <w:bCs/>
        </w:rPr>
        <w:t>Example:</w:t>
      </w:r>
      <w:r w:rsidRPr="00F971F0">
        <w:t xml:space="preserve"> Early intervention mental health services create value by reducing crisis admissions and improving long</w:t>
      </w:r>
      <w:r w:rsidRPr="00F971F0">
        <w:noBreakHyphen/>
        <w:t>term wellbeing, thereby improving outcomes while reducing overall system costs (Porter, 2010).</w:t>
      </w:r>
    </w:p>
    <w:p w14:paraId="7774A36B" w14:textId="77777777" w:rsidR="004D4026" w:rsidRPr="00F971F0" w:rsidRDefault="004D4026" w:rsidP="004D4026">
      <w:r w:rsidRPr="00204D46">
        <w:rPr>
          <w:b/>
          <w:bCs/>
        </w:rPr>
        <w:t xml:space="preserve">Change </w:t>
      </w:r>
      <w:r w:rsidRPr="00F971F0">
        <w:t xml:space="preserve">refers to the process of altering existing behaviours, systems, or practices to achieve improvement. Lewin’s </w:t>
      </w:r>
      <w:r w:rsidRPr="00F971F0">
        <w:rPr>
          <w:i/>
          <w:iCs/>
        </w:rPr>
        <w:t>Change Management Model</w:t>
      </w:r>
      <w:r w:rsidRPr="00F971F0">
        <w:t xml:space="preserve"> describes change as occurring through three stages: unfreezing current practice, moving to new behaviours, and refreezing to stabilise improvements (Burnes, 2017). Change is vital in health and social care because services must continually adapt to new policies, technologies, and patient needs. </w:t>
      </w:r>
      <w:r w:rsidRPr="00F971F0">
        <w:rPr>
          <w:b/>
          <w:bCs/>
        </w:rPr>
        <w:t>Example:</w:t>
      </w:r>
      <w:r w:rsidRPr="00F971F0">
        <w:t xml:space="preserve"> The rapid introduction of new infection</w:t>
      </w:r>
      <w:r w:rsidRPr="00F971F0">
        <w:noBreakHyphen/>
        <w:t>control procedures during COVID</w:t>
      </w:r>
      <w:r w:rsidRPr="00F971F0">
        <w:noBreakHyphen/>
        <w:t>19 required significant organisational change across hospitals and care homes (Burnes, 2017).</w:t>
      </w:r>
    </w:p>
    <w:p w14:paraId="50AE3103" w14:textId="77777777" w:rsidR="004D4026" w:rsidRPr="00977101" w:rsidRDefault="004D4026" w:rsidP="004D4026">
      <w:pPr>
        <w:pStyle w:val="NormalWeb"/>
        <w:spacing w:line="360" w:lineRule="auto"/>
        <w:rPr>
          <w:rFonts w:ascii="Arial" w:hAnsi="Arial" w:cs="Arial"/>
          <w:b/>
          <w:bCs/>
          <w:color w:val="000000"/>
          <w:sz w:val="28"/>
          <w:szCs w:val="28"/>
        </w:rPr>
      </w:pPr>
      <w:r w:rsidRPr="00977101">
        <w:rPr>
          <w:rFonts w:ascii="Arial" w:hAnsi="Arial" w:cs="Arial"/>
          <w:b/>
          <w:bCs/>
          <w:noProof/>
          <w:color w:val="000000"/>
          <w:sz w:val="28"/>
          <w:szCs w:val="28"/>
        </w:rPr>
        <w:drawing>
          <wp:inline distT="0" distB="0" distL="0" distR="0" wp14:anchorId="588F1AAF" wp14:editId="04FF912E">
            <wp:extent cx="12700" cy="12700"/>
            <wp:effectExtent l="0" t="0" r="0" b="0"/>
            <wp:docPr id="15513541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p>
    <w:p w14:paraId="459B24B8" w14:textId="77777777" w:rsidR="004D4026" w:rsidRDefault="004D4026" w:rsidP="004D4026">
      <w:pPr>
        <w:pStyle w:val="NormalWeb"/>
        <w:numPr>
          <w:ilvl w:val="0"/>
          <w:numId w:val="3"/>
        </w:numPr>
        <w:spacing w:line="360" w:lineRule="auto"/>
        <w:rPr>
          <w:rFonts w:ascii="Arial" w:hAnsi="Arial" w:cs="Arial"/>
          <w:b/>
          <w:bCs/>
          <w:color w:val="000000"/>
        </w:rPr>
      </w:pPr>
      <w:r w:rsidRPr="00694833">
        <w:rPr>
          <w:rFonts w:ascii="Arial" w:hAnsi="Arial" w:cs="Arial"/>
          <w:b/>
          <w:bCs/>
          <w:color w:val="000000"/>
        </w:rPr>
        <w:t>Mind Map: Long Wait Times in Health and Social Care</w:t>
      </w:r>
    </w:p>
    <w:p w14:paraId="6BDC7E82" w14:textId="77777777" w:rsidR="004D4026" w:rsidRDefault="004D4026" w:rsidP="004D4026">
      <w:pPr>
        <w:pStyle w:val="NormalWeb"/>
        <w:spacing w:line="360" w:lineRule="auto"/>
        <w:ind w:left="360"/>
        <w:rPr>
          <w:rFonts w:ascii="Arial" w:hAnsi="Arial" w:cs="Arial"/>
          <w:color w:val="000000"/>
        </w:rPr>
      </w:pPr>
      <w:r>
        <w:rPr>
          <w:noProof/>
        </w:rPr>
        <w:drawing>
          <wp:inline distT="0" distB="0" distL="0" distR="0" wp14:anchorId="5B7150E0" wp14:editId="25387FF0">
            <wp:extent cx="4521200" cy="3014131"/>
            <wp:effectExtent l="0" t="0" r="0" b="0"/>
            <wp:docPr id="1036219982" name="Picture 2" descr="Corrected mind map with the text 'Support for Excluded Groups' spelled correctly in the Solutions s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rrected mind map with the text 'Support for Excluded Groups' spelled correctly in the Solutions sec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49579" cy="3099717"/>
                    </a:xfrm>
                    <a:prstGeom prst="rect">
                      <a:avLst/>
                    </a:prstGeom>
                    <a:noFill/>
                    <a:ln>
                      <a:noFill/>
                    </a:ln>
                  </pic:spPr>
                </pic:pic>
              </a:graphicData>
            </a:graphic>
          </wp:inline>
        </w:drawing>
      </w:r>
      <w:r>
        <w:rPr>
          <w:rFonts w:ascii="Arial" w:hAnsi="Arial" w:cs="Arial"/>
          <w:color w:val="000000"/>
        </w:rPr>
        <w:t xml:space="preserve">   </w:t>
      </w:r>
    </w:p>
    <w:p w14:paraId="04EE2F00" w14:textId="77777777" w:rsidR="004D4026" w:rsidRPr="007024BA" w:rsidRDefault="004D4026" w:rsidP="004D4026">
      <w:pPr>
        <w:pStyle w:val="NormalWeb"/>
        <w:spacing w:line="360" w:lineRule="auto"/>
        <w:ind w:left="6840" w:firstLine="360"/>
        <w:rPr>
          <w:rFonts w:ascii="Arial" w:hAnsi="Arial" w:cs="Arial"/>
          <w:color w:val="000000"/>
          <w:sz w:val="22"/>
          <w:szCs w:val="22"/>
        </w:rPr>
      </w:pPr>
      <w:r w:rsidRPr="008D5238">
        <w:rPr>
          <w:rFonts w:ascii="Arial" w:hAnsi="Arial" w:cs="Arial"/>
          <w:color w:val="000000"/>
        </w:rPr>
        <w:t>(</w:t>
      </w:r>
      <w:r>
        <w:rPr>
          <w:rFonts w:ascii="Arial" w:hAnsi="Arial" w:cs="Arial"/>
          <w:color w:val="000000"/>
          <w:sz w:val="22"/>
          <w:szCs w:val="22"/>
        </w:rPr>
        <w:t>Figure</w:t>
      </w:r>
      <w:r w:rsidRPr="007024BA">
        <w:rPr>
          <w:rFonts w:ascii="Arial" w:hAnsi="Arial" w:cs="Arial"/>
          <w:color w:val="000000"/>
          <w:sz w:val="22"/>
          <w:szCs w:val="22"/>
        </w:rPr>
        <w:t xml:space="preserve"> 1)</w:t>
      </w:r>
    </w:p>
    <w:p w14:paraId="408DCA86" w14:textId="77777777" w:rsidR="004D4026" w:rsidRDefault="004D4026" w:rsidP="004D4026">
      <w:pPr>
        <w:pStyle w:val="NormalWeb"/>
        <w:spacing w:line="360" w:lineRule="auto"/>
        <w:rPr>
          <w:rFonts w:ascii="Arial" w:hAnsi="Arial" w:cs="Arial"/>
          <w:color w:val="000000"/>
          <w:sz w:val="22"/>
          <w:szCs w:val="22"/>
        </w:rPr>
      </w:pPr>
      <w:r w:rsidRPr="00694833">
        <w:rPr>
          <w:rFonts w:ascii="Arial" w:hAnsi="Arial" w:cs="Arial"/>
          <w:color w:val="000000"/>
          <w:sz w:val="22"/>
          <w:szCs w:val="22"/>
        </w:rPr>
        <w:lastRenderedPageBreak/>
        <w:t>Long wait times in health and social care matter because they create delays that worsen patient outcomes and increase pressure on already stretched staff. Using a systems thinking approach (Meadows, 2008), the problem is not caused by one factor but by interconnected issues such as staff shortages, burnout, rising demand, and digital exclusion. These elements reinforce each other: for example, burnout reduces capacity, which increases waiting times, which further stresses staff. The impacts shown in the mind map include deterioration of health conditions, reduced care quality, and growing inequalities, particularly for older adults, low</w:t>
      </w:r>
      <w:r w:rsidRPr="00694833">
        <w:rPr>
          <w:rFonts w:ascii="Arial" w:hAnsi="Arial" w:cs="Arial"/>
          <w:color w:val="000000"/>
          <w:sz w:val="22"/>
          <w:szCs w:val="22"/>
        </w:rPr>
        <w:noBreakHyphen/>
        <w:t>income groups, and people who cannot access digital services</w:t>
      </w:r>
      <w:r>
        <w:rPr>
          <w:rFonts w:ascii="Arial" w:hAnsi="Arial" w:cs="Arial"/>
          <w:color w:val="000000"/>
          <w:sz w:val="22"/>
          <w:szCs w:val="22"/>
        </w:rPr>
        <w:t xml:space="preserve"> (Fig.1).</w:t>
      </w:r>
    </w:p>
    <w:p w14:paraId="1A9F4103" w14:textId="77777777" w:rsidR="004D4026" w:rsidRPr="00080950" w:rsidRDefault="004D4026" w:rsidP="004D4026">
      <w:pPr>
        <w:pStyle w:val="NormalWeb"/>
        <w:spacing w:line="360" w:lineRule="auto"/>
        <w:rPr>
          <w:rFonts w:ascii="Arial" w:hAnsi="Arial" w:cs="Arial"/>
          <w:color w:val="000000"/>
          <w:sz w:val="22"/>
          <w:szCs w:val="22"/>
        </w:rPr>
      </w:pPr>
      <w:r w:rsidRPr="00080950">
        <w:rPr>
          <w:rFonts w:ascii="Arial" w:hAnsi="Arial" w:cs="Arial"/>
          <w:color w:val="000000"/>
          <w:sz w:val="22"/>
          <w:szCs w:val="22"/>
          <w:lang w:val="en"/>
        </w:rPr>
        <w:t>If left unaddressed, waiting times would increase, leading to avoidable harm and long-term system instability. Therefore, solutions must target multiple points within the system</w:t>
      </w:r>
      <w:r>
        <w:rPr>
          <w:rFonts w:ascii="Arial" w:hAnsi="Arial" w:cs="Arial"/>
          <w:color w:val="000000"/>
          <w:sz w:val="22"/>
          <w:szCs w:val="22"/>
          <w:lang w:val="en"/>
        </w:rPr>
        <w:t xml:space="preserve"> </w:t>
      </w:r>
      <w:r w:rsidRPr="00080950">
        <w:rPr>
          <w:rFonts w:ascii="Arial" w:hAnsi="Arial" w:cs="Arial"/>
          <w:color w:val="000000"/>
          <w:sz w:val="22"/>
          <w:szCs w:val="22"/>
          <w:lang w:val="en"/>
        </w:rPr>
        <w:t>improving the workforce and planning, strengthening communication, and supporting digital inclusion</w:t>
      </w:r>
      <w:r>
        <w:rPr>
          <w:rFonts w:ascii="Arial" w:hAnsi="Arial" w:cs="Arial"/>
          <w:color w:val="000000"/>
          <w:sz w:val="22"/>
          <w:szCs w:val="22"/>
          <w:lang w:val="en"/>
        </w:rPr>
        <w:t xml:space="preserve"> </w:t>
      </w:r>
      <w:r w:rsidRPr="00080950">
        <w:rPr>
          <w:rFonts w:ascii="Arial" w:hAnsi="Arial" w:cs="Arial"/>
          <w:color w:val="000000"/>
          <w:sz w:val="22"/>
          <w:szCs w:val="22"/>
          <w:lang w:val="en"/>
        </w:rPr>
        <w:t>to drive sustainable change.</w:t>
      </w:r>
    </w:p>
    <w:p w14:paraId="6A8DCAC2" w14:textId="77777777" w:rsidR="004D4026" w:rsidRPr="00694833" w:rsidRDefault="004D4026" w:rsidP="004D4026">
      <w:pPr>
        <w:pStyle w:val="NormalWeb"/>
        <w:spacing w:line="360" w:lineRule="auto"/>
        <w:rPr>
          <w:rFonts w:ascii="Arial" w:hAnsi="Arial" w:cs="Arial"/>
          <w:color w:val="000000"/>
          <w:sz w:val="22"/>
          <w:szCs w:val="22"/>
        </w:rPr>
      </w:pPr>
    </w:p>
    <w:p w14:paraId="5CA856EE" w14:textId="77777777" w:rsidR="004D4026" w:rsidRPr="00D127B2" w:rsidRDefault="004D4026" w:rsidP="004D4026">
      <w:pPr>
        <w:pStyle w:val="NormalWeb"/>
        <w:numPr>
          <w:ilvl w:val="0"/>
          <w:numId w:val="3"/>
        </w:numPr>
        <w:spacing w:line="360" w:lineRule="auto"/>
        <w:rPr>
          <w:rFonts w:ascii="Arial" w:hAnsi="Arial" w:cs="Arial"/>
          <w:b/>
          <w:bCs/>
          <w:color w:val="000000"/>
        </w:rPr>
      </w:pPr>
      <w:r w:rsidRPr="00D127B2">
        <w:rPr>
          <w:rFonts w:ascii="Arial" w:hAnsi="Arial" w:cs="Arial"/>
          <w:b/>
          <w:bCs/>
          <w:lang w:val="en-US"/>
        </w:rPr>
        <w:t>Self-Reflection of Group Activity</w:t>
      </w:r>
    </w:p>
    <w:p w14:paraId="411BDC3A" w14:textId="77777777" w:rsidR="004D4026" w:rsidRPr="00F42ED0" w:rsidRDefault="004D4026" w:rsidP="004D4026">
      <w:pPr>
        <w:pStyle w:val="NormalWeb"/>
        <w:spacing w:line="360" w:lineRule="auto"/>
        <w:rPr>
          <w:rFonts w:ascii="Arial" w:hAnsi="Arial" w:cs="Arial"/>
          <w:sz w:val="22"/>
          <w:szCs w:val="22"/>
        </w:rPr>
      </w:pPr>
      <w:r w:rsidRPr="00F42ED0">
        <w:rPr>
          <w:rFonts w:ascii="Arial" w:hAnsi="Arial" w:cs="Arial"/>
          <w:sz w:val="22"/>
          <w:szCs w:val="22"/>
        </w:rPr>
        <w:t>Convergent thinking involves narrowing ideas to a single solution, whereas divergent thinking focuses on generating multiple possibilities (Jones and Estes, 2015). During the group activity on Stanley’s challenges as a vaccine equity co</w:t>
      </w:r>
      <w:r w:rsidRPr="00F42ED0">
        <w:rPr>
          <w:rFonts w:ascii="Arial" w:hAnsi="Arial" w:cs="Arial"/>
          <w:sz w:val="22"/>
          <w:szCs w:val="22"/>
        </w:rPr>
        <w:noBreakHyphen/>
        <w:t>ordinator, we used both thinking styles to analyse how he could support vulnerable groups despite staff shortages and limited vaccine supply.</w:t>
      </w:r>
    </w:p>
    <w:p w14:paraId="64DC68E5" w14:textId="77777777" w:rsidR="004D4026" w:rsidRPr="00F42ED0" w:rsidRDefault="004D4026" w:rsidP="004D4026">
      <w:pPr>
        <w:pStyle w:val="NormalWeb"/>
        <w:spacing w:line="360" w:lineRule="auto"/>
        <w:rPr>
          <w:rFonts w:ascii="Arial" w:hAnsi="Arial" w:cs="Arial"/>
          <w:sz w:val="22"/>
          <w:szCs w:val="22"/>
        </w:rPr>
      </w:pPr>
      <w:r w:rsidRPr="00F42ED0">
        <w:rPr>
          <w:rStyle w:val="Strong"/>
          <w:rFonts w:ascii="Arial" w:hAnsi="Arial" w:cs="Arial"/>
          <w:sz w:val="22"/>
          <w:szCs w:val="22"/>
        </w:rPr>
        <w:t>Description:</w:t>
      </w:r>
      <w:r w:rsidRPr="00F42ED0">
        <w:rPr>
          <w:rFonts w:ascii="Arial" w:hAnsi="Arial" w:cs="Arial"/>
          <w:sz w:val="22"/>
          <w:szCs w:val="22"/>
        </w:rPr>
        <w:t xml:space="preserve"> Our group began with divergent thinking, generating a wide range of ideas to help Stanley manage GRT communities, refugees, people experiencing homelessness and others facing inequalities.</w:t>
      </w:r>
    </w:p>
    <w:p w14:paraId="76B1127F" w14:textId="77777777" w:rsidR="004D4026" w:rsidRPr="00F42ED0" w:rsidRDefault="004D4026" w:rsidP="004D4026">
      <w:pPr>
        <w:pStyle w:val="NormalWeb"/>
        <w:spacing w:line="360" w:lineRule="auto"/>
        <w:rPr>
          <w:rFonts w:ascii="Arial" w:hAnsi="Arial" w:cs="Arial"/>
          <w:sz w:val="22"/>
          <w:szCs w:val="22"/>
        </w:rPr>
      </w:pPr>
      <w:r w:rsidRPr="00F42ED0">
        <w:rPr>
          <w:rStyle w:val="Strong"/>
          <w:rFonts w:ascii="Arial" w:hAnsi="Arial" w:cs="Arial"/>
          <w:sz w:val="22"/>
          <w:szCs w:val="22"/>
        </w:rPr>
        <w:t>Feelings:</w:t>
      </w:r>
      <w:r w:rsidRPr="00F42ED0">
        <w:rPr>
          <w:rFonts w:ascii="Arial" w:hAnsi="Arial" w:cs="Arial"/>
          <w:sz w:val="22"/>
          <w:szCs w:val="22"/>
        </w:rPr>
        <w:t xml:space="preserve"> I felt confident during the creative stage, but more hesitant when the group shifted to convergent thinking.</w:t>
      </w:r>
    </w:p>
    <w:p w14:paraId="021F9544" w14:textId="77777777" w:rsidR="004D4026" w:rsidRPr="00F42ED0" w:rsidRDefault="004D4026" w:rsidP="004D4026">
      <w:pPr>
        <w:pStyle w:val="NormalWeb"/>
        <w:spacing w:line="360" w:lineRule="auto"/>
        <w:rPr>
          <w:rFonts w:ascii="Arial" w:hAnsi="Arial" w:cs="Arial"/>
          <w:sz w:val="22"/>
          <w:szCs w:val="22"/>
        </w:rPr>
      </w:pPr>
      <w:r w:rsidRPr="00F42ED0">
        <w:rPr>
          <w:rStyle w:val="Strong"/>
          <w:rFonts w:ascii="Arial" w:hAnsi="Arial" w:cs="Arial"/>
          <w:sz w:val="22"/>
          <w:szCs w:val="22"/>
        </w:rPr>
        <w:t>Evaluation:</w:t>
      </w:r>
      <w:r w:rsidRPr="00F42ED0">
        <w:rPr>
          <w:rFonts w:ascii="Arial" w:hAnsi="Arial" w:cs="Arial"/>
          <w:sz w:val="22"/>
          <w:szCs w:val="22"/>
        </w:rPr>
        <w:t xml:space="preserve"> When we struggled to agree on which solution was most realistic, I suggested using a pros</w:t>
      </w:r>
      <w:r w:rsidRPr="00F42ED0">
        <w:rPr>
          <w:rFonts w:ascii="Arial" w:hAnsi="Arial" w:cs="Arial"/>
          <w:sz w:val="22"/>
          <w:szCs w:val="22"/>
        </w:rPr>
        <w:noBreakHyphen/>
        <w:t>and</w:t>
      </w:r>
      <w:r w:rsidRPr="00F42ED0">
        <w:rPr>
          <w:rFonts w:ascii="Arial" w:hAnsi="Arial" w:cs="Arial"/>
          <w:sz w:val="22"/>
          <w:szCs w:val="22"/>
        </w:rPr>
        <w:noBreakHyphen/>
        <w:t>cons list. This helped us evaluate options more systematically and reach a shared decision.</w:t>
      </w:r>
    </w:p>
    <w:p w14:paraId="10AE0063" w14:textId="77777777" w:rsidR="004D4026" w:rsidRPr="00F42ED0" w:rsidRDefault="004D4026" w:rsidP="004D4026">
      <w:pPr>
        <w:pStyle w:val="NormalWeb"/>
        <w:spacing w:line="360" w:lineRule="auto"/>
        <w:rPr>
          <w:rFonts w:ascii="Arial" w:hAnsi="Arial" w:cs="Arial"/>
          <w:sz w:val="22"/>
          <w:szCs w:val="22"/>
        </w:rPr>
      </w:pPr>
      <w:r w:rsidRPr="00F42ED0">
        <w:rPr>
          <w:rStyle w:val="Strong"/>
          <w:rFonts w:ascii="Arial" w:hAnsi="Arial" w:cs="Arial"/>
          <w:sz w:val="22"/>
          <w:szCs w:val="22"/>
        </w:rPr>
        <w:t>Analysis:</w:t>
      </w:r>
      <w:r w:rsidRPr="00F42ED0">
        <w:rPr>
          <w:rFonts w:ascii="Arial" w:hAnsi="Arial" w:cs="Arial"/>
          <w:sz w:val="22"/>
          <w:szCs w:val="22"/>
        </w:rPr>
        <w:t xml:space="preserve"> I realised I naturally favour divergent thinking, contributing creativity and broad ideas. However, I need to strengthen my confidence in the convergent stage, where critical evaluation and decision</w:t>
      </w:r>
      <w:r w:rsidRPr="00F42ED0">
        <w:rPr>
          <w:rFonts w:ascii="Arial" w:hAnsi="Arial" w:cs="Arial"/>
          <w:sz w:val="22"/>
          <w:szCs w:val="22"/>
        </w:rPr>
        <w:noBreakHyphen/>
        <w:t>making are essential for teamwork.</w:t>
      </w:r>
    </w:p>
    <w:p w14:paraId="7E518FA9" w14:textId="77777777" w:rsidR="004D4026" w:rsidRPr="00F42ED0" w:rsidRDefault="004D4026" w:rsidP="004D4026">
      <w:pPr>
        <w:pStyle w:val="NormalWeb"/>
        <w:spacing w:line="360" w:lineRule="auto"/>
        <w:rPr>
          <w:rFonts w:ascii="Arial" w:hAnsi="Arial" w:cs="Arial"/>
          <w:sz w:val="22"/>
          <w:szCs w:val="22"/>
        </w:rPr>
      </w:pPr>
      <w:r w:rsidRPr="00F42ED0">
        <w:rPr>
          <w:rStyle w:val="Strong"/>
          <w:rFonts w:ascii="Arial" w:hAnsi="Arial" w:cs="Arial"/>
          <w:sz w:val="22"/>
          <w:szCs w:val="22"/>
        </w:rPr>
        <w:lastRenderedPageBreak/>
        <w:t>Conclusion:</w:t>
      </w:r>
      <w:r w:rsidRPr="00F42ED0">
        <w:rPr>
          <w:rFonts w:ascii="Arial" w:hAnsi="Arial" w:cs="Arial"/>
          <w:sz w:val="22"/>
          <w:szCs w:val="22"/>
        </w:rPr>
        <w:t xml:space="preserve"> The activity highlighted the importance of balancing both thinking styles in collaborative problem</w:t>
      </w:r>
      <w:r w:rsidRPr="00F42ED0">
        <w:rPr>
          <w:rFonts w:ascii="Arial" w:hAnsi="Arial" w:cs="Arial"/>
          <w:sz w:val="22"/>
          <w:szCs w:val="22"/>
        </w:rPr>
        <w:noBreakHyphen/>
        <w:t>solving.</w:t>
      </w:r>
    </w:p>
    <w:p w14:paraId="1A0131FF" w14:textId="77777777" w:rsidR="004D4026" w:rsidRDefault="004D4026" w:rsidP="004D4026">
      <w:pPr>
        <w:pStyle w:val="NormalWeb"/>
        <w:spacing w:line="360" w:lineRule="auto"/>
        <w:rPr>
          <w:rFonts w:ascii="Arial" w:hAnsi="Arial" w:cs="Arial"/>
          <w:sz w:val="22"/>
          <w:szCs w:val="22"/>
        </w:rPr>
      </w:pPr>
      <w:r w:rsidRPr="00F42ED0">
        <w:rPr>
          <w:rStyle w:val="Strong"/>
          <w:rFonts w:ascii="Arial" w:hAnsi="Arial" w:cs="Arial"/>
          <w:sz w:val="22"/>
          <w:szCs w:val="22"/>
        </w:rPr>
        <w:t>Action Plan:</w:t>
      </w:r>
      <w:r w:rsidRPr="00F42ED0">
        <w:rPr>
          <w:rFonts w:ascii="Arial" w:hAnsi="Arial" w:cs="Arial"/>
          <w:sz w:val="22"/>
          <w:szCs w:val="22"/>
        </w:rPr>
        <w:t xml:space="preserve"> Next time, I will take a more active role in summarising ideas and guiding the group toward a final, evidence</w:t>
      </w:r>
      <w:r w:rsidRPr="00F42ED0">
        <w:rPr>
          <w:rFonts w:ascii="Arial" w:hAnsi="Arial" w:cs="Arial"/>
          <w:sz w:val="22"/>
          <w:szCs w:val="22"/>
        </w:rPr>
        <w:noBreakHyphen/>
        <w:t>based decision.</w:t>
      </w:r>
    </w:p>
    <w:p w14:paraId="3AE7B0D2" w14:textId="77777777" w:rsidR="004D4026" w:rsidRDefault="004D4026" w:rsidP="004D4026">
      <w:pPr>
        <w:pStyle w:val="NormalWeb"/>
        <w:spacing w:line="360" w:lineRule="auto"/>
        <w:rPr>
          <w:rFonts w:ascii="Arial" w:hAnsi="Arial" w:cs="Arial"/>
          <w:sz w:val="22"/>
          <w:szCs w:val="22"/>
        </w:rPr>
      </w:pPr>
    </w:p>
    <w:p w14:paraId="65773012" w14:textId="77777777" w:rsidR="004D4026" w:rsidRDefault="004D4026" w:rsidP="004D4026">
      <w:pPr>
        <w:pStyle w:val="NormalWeb"/>
        <w:spacing w:line="360" w:lineRule="auto"/>
        <w:ind w:left="643"/>
        <w:rPr>
          <w:rFonts w:ascii="Arial" w:hAnsi="Arial" w:cs="Arial"/>
          <w:b/>
          <w:bCs/>
        </w:rPr>
      </w:pPr>
      <w:r w:rsidRPr="00D127B2">
        <w:rPr>
          <w:rFonts w:ascii="Arial" w:hAnsi="Arial" w:cs="Arial"/>
          <w:b/>
          <w:bCs/>
        </w:rPr>
        <w:t>5.Case Study: Analysis of a UK Innovation</w:t>
      </w:r>
    </w:p>
    <w:p w14:paraId="287BFCD4" w14:textId="77777777" w:rsidR="004D4026" w:rsidRPr="00472571" w:rsidRDefault="004D4026" w:rsidP="004D4026">
      <w:pPr>
        <w:pStyle w:val="NormalWeb"/>
        <w:spacing w:line="360" w:lineRule="auto"/>
        <w:rPr>
          <w:rFonts w:ascii="Arial" w:hAnsi="Arial" w:cs="Arial"/>
          <w:sz w:val="22"/>
          <w:szCs w:val="22"/>
        </w:rPr>
      </w:pPr>
      <w:r w:rsidRPr="00472571">
        <w:rPr>
          <w:rFonts w:ascii="Arial" w:hAnsi="Arial" w:cs="Arial"/>
          <w:sz w:val="22"/>
          <w:szCs w:val="22"/>
        </w:rPr>
        <w:t>NHS virtual wards were established to address rising hospital demand, overcrowding, and delays in discharge for people with frailty, respiratory illness and long</w:t>
      </w:r>
      <w:r w:rsidRPr="00472571">
        <w:rPr>
          <w:rFonts w:ascii="Arial" w:hAnsi="Arial" w:cs="Arial"/>
          <w:sz w:val="22"/>
          <w:szCs w:val="22"/>
        </w:rPr>
        <w:noBreakHyphen/>
        <w:t>term conditions. Their core purpose is to deliver safe, hospital</w:t>
      </w:r>
      <w:r w:rsidRPr="00472571">
        <w:rPr>
          <w:rFonts w:ascii="Arial" w:hAnsi="Arial" w:cs="Arial"/>
          <w:sz w:val="22"/>
          <w:szCs w:val="22"/>
        </w:rPr>
        <w:noBreakHyphen/>
        <w:t>equivalent care at home, thereby reducing pressure on acute bed capacity (NHS England, 2023). The model represents a significant reconfiguration of traditional inpatient practice, combining remote monitoring technologies, multidisciplinary community teams and digitally enabled triage pathways. Adoption aligns with Rogers’ Diffusion of Innovation Theory, as virtual wards were perceived to offer clear relative advantage, compatibility with existing workflows and operational simplicity (Rogers, 2003).</w:t>
      </w:r>
    </w:p>
    <w:p w14:paraId="379F2623" w14:textId="77777777" w:rsidR="004D4026" w:rsidRPr="00472571" w:rsidRDefault="004D4026" w:rsidP="004D4026">
      <w:pPr>
        <w:pStyle w:val="NormalWeb"/>
        <w:spacing w:line="360" w:lineRule="auto"/>
        <w:rPr>
          <w:rFonts w:ascii="Arial" w:hAnsi="Arial" w:cs="Arial"/>
          <w:sz w:val="22"/>
          <w:szCs w:val="22"/>
        </w:rPr>
      </w:pPr>
      <w:r w:rsidRPr="00472571">
        <w:rPr>
          <w:rFonts w:ascii="Arial" w:hAnsi="Arial" w:cs="Arial"/>
          <w:sz w:val="22"/>
          <w:szCs w:val="22"/>
        </w:rPr>
        <w:t>Patients consistently report enhanced comfort, reduced exposure to hospital</w:t>
      </w:r>
      <w:r w:rsidRPr="00472571">
        <w:rPr>
          <w:rFonts w:ascii="Arial" w:hAnsi="Arial" w:cs="Arial"/>
          <w:sz w:val="22"/>
          <w:szCs w:val="22"/>
        </w:rPr>
        <w:noBreakHyphen/>
        <w:t>associated functional decline, and improved continuity across care interfaces. Clinical leaders also identify strengthened caseload oversight and more reliable escalation governance. At organisational level, virtual wards have demonstrated measurable system impact, particularly through reducing avoidable admissions and supporting earlier discharge. Some regions report a 1:1 ratio between virtual ward activity and admissions prevented, alongside an annualised net financial benefit of £10.4 million (NHS England, 2023). These outcomes gain further credibility from the recent economic evaluation of the Liverpool heart failure virtual ward, which evidences favourable cost</w:t>
      </w:r>
      <w:r w:rsidRPr="00472571">
        <w:rPr>
          <w:rFonts w:ascii="Arial" w:hAnsi="Arial" w:cs="Arial"/>
          <w:sz w:val="22"/>
          <w:szCs w:val="22"/>
        </w:rPr>
        <w:noBreakHyphen/>
        <w:t>effectiveness and improved management of clinically complex cardiac patients (Rasoul et al., 2025).</w:t>
      </w:r>
    </w:p>
    <w:p w14:paraId="6F86CD60" w14:textId="77777777" w:rsidR="004D4026" w:rsidRPr="00472571" w:rsidRDefault="004D4026" w:rsidP="004D4026">
      <w:pPr>
        <w:pStyle w:val="NormalWeb"/>
        <w:spacing w:line="360" w:lineRule="auto"/>
        <w:ind w:left="643"/>
        <w:rPr>
          <w:rFonts w:ascii="Arial" w:hAnsi="Arial" w:cs="Arial"/>
          <w:b/>
          <w:bCs/>
          <w:sz w:val="22"/>
          <w:szCs w:val="22"/>
        </w:rPr>
      </w:pPr>
    </w:p>
    <w:p w14:paraId="2181D2B7" w14:textId="77777777" w:rsidR="004D4026" w:rsidRPr="00D127B2" w:rsidRDefault="004D4026" w:rsidP="004D4026">
      <w:pPr>
        <w:pStyle w:val="NormalWeb"/>
        <w:spacing w:line="360" w:lineRule="auto"/>
        <w:ind w:left="1003"/>
        <w:rPr>
          <w:rFonts w:ascii="Arial" w:hAnsi="Arial" w:cs="Arial"/>
          <w:b/>
          <w:bCs/>
        </w:rPr>
      </w:pPr>
      <w:r w:rsidRPr="00D127B2">
        <w:rPr>
          <w:rFonts w:ascii="Arial" w:hAnsi="Arial" w:cs="Arial"/>
          <w:b/>
          <w:bCs/>
        </w:rPr>
        <w:t>6.Research Task: Staff Stress in Health and Social Care</w:t>
      </w:r>
    </w:p>
    <w:p w14:paraId="0C7D6D42" w14:textId="7943B4DA" w:rsidR="004D4026" w:rsidRPr="00391B7D" w:rsidRDefault="004D4026" w:rsidP="00C72DC4">
      <w:pPr>
        <w:pStyle w:val="NormalWeb"/>
        <w:spacing w:line="360" w:lineRule="auto"/>
        <w:jc w:val="both"/>
        <w:rPr>
          <w:rFonts w:ascii="Arial" w:hAnsi="Arial" w:cs="Arial"/>
          <w:sz w:val="22"/>
          <w:szCs w:val="22"/>
        </w:rPr>
      </w:pPr>
      <w:r w:rsidRPr="00391B7D">
        <w:rPr>
          <w:rFonts w:ascii="Arial" w:hAnsi="Arial" w:cs="Arial"/>
          <w:sz w:val="22"/>
          <w:szCs w:val="22"/>
        </w:rPr>
        <w:t>Staff stress is a major issue in UK health and social care.</w:t>
      </w:r>
      <w:r w:rsidRPr="002F55C0">
        <w:rPr>
          <w:rFonts w:ascii="Arial" w:hAnsi="Arial" w:cs="Arial"/>
          <w:sz w:val="22"/>
          <w:szCs w:val="22"/>
        </w:rPr>
        <w:t xml:space="preserve"> </w:t>
      </w:r>
      <w:r w:rsidR="00644B90" w:rsidRPr="00157394">
        <w:rPr>
          <w:rFonts w:ascii="Arial" w:hAnsi="Arial" w:cs="Arial"/>
          <w:sz w:val="22"/>
          <w:szCs w:val="22"/>
        </w:rPr>
        <w:t>Ravalier</w:t>
      </w:r>
      <w:r w:rsidRPr="00157394">
        <w:rPr>
          <w:rFonts w:ascii="Arial" w:hAnsi="Arial" w:cs="Arial"/>
          <w:sz w:val="22"/>
          <w:szCs w:val="22"/>
        </w:rPr>
        <w:t xml:space="preserve"> </w:t>
      </w:r>
      <w:r w:rsidRPr="002F55C0">
        <w:rPr>
          <w:rFonts w:ascii="Arial" w:hAnsi="Arial" w:cs="Arial"/>
          <w:sz w:val="22"/>
          <w:szCs w:val="22"/>
        </w:rPr>
        <w:t>et al</w:t>
      </w:r>
      <w:r w:rsidRPr="003D17AF">
        <w:rPr>
          <w:rFonts w:ascii="Arial" w:hAnsi="Arial" w:cs="Arial"/>
          <w:sz w:val="22"/>
          <w:szCs w:val="22"/>
        </w:rPr>
        <w:t>. (2020) i</w:t>
      </w:r>
      <w:r w:rsidRPr="00391B7D">
        <w:rPr>
          <w:rFonts w:ascii="Arial" w:hAnsi="Arial" w:cs="Arial"/>
          <w:sz w:val="22"/>
          <w:szCs w:val="22"/>
        </w:rPr>
        <w:t xml:space="preserve">dentify </w:t>
      </w:r>
      <w:r w:rsidR="00292404">
        <w:rPr>
          <w:rFonts w:ascii="Arial" w:hAnsi="Arial" w:cs="Arial"/>
          <w:sz w:val="22"/>
          <w:szCs w:val="22"/>
        </w:rPr>
        <w:t>stress</w:t>
      </w:r>
      <w:r w:rsidR="00C72DC4">
        <w:rPr>
          <w:rFonts w:ascii="Arial" w:hAnsi="Arial" w:cs="Arial"/>
          <w:sz w:val="22"/>
          <w:szCs w:val="22"/>
        </w:rPr>
        <w:t>-</w:t>
      </w:r>
      <w:r w:rsidR="00292404">
        <w:rPr>
          <w:rFonts w:ascii="Arial" w:hAnsi="Arial" w:cs="Arial"/>
          <w:sz w:val="22"/>
          <w:szCs w:val="22"/>
        </w:rPr>
        <w:t>related</w:t>
      </w:r>
      <w:r w:rsidR="007336AC" w:rsidRPr="007336AC">
        <w:rPr>
          <w:rFonts w:ascii="Arial" w:hAnsi="Arial" w:cs="Arial"/>
          <w:sz w:val="22"/>
          <w:szCs w:val="22"/>
        </w:rPr>
        <w:t> sickness leave is more prevalent in the National Health Service (NHS) of the</w:t>
      </w:r>
      <w:r w:rsidR="00C72DC4">
        <w:rPr>
          <w:rFonts w:ascii="Arial" w:hAnsi="Arial" w:cs="Arial"/>
          <w:sz w:val="22"/>
          <w:szCs w:val="22"/>
        </w:rPr>
        <w:t xml:space="preserve"> United</w:t>
      </w:r>
      <w:r w:rsidR="007336AC" w:rsidRPr="007336AC">
        <w:rPr>
          <w:rFonts w:ascii="Arial" w:hAnsi="Arial" w:cs="Arial"/>
          <w:sz w:val="22"/>
          <w:szCs w:val="22"/>
        </w:rPr>
        <w:t> Kingdom than in any other sector of the economy. This needs to be addressed since workplace stress is detrimental to both the organization an</w:t>
      </w:r>
      <w:r w:rsidR="007336AC" w:rsidRPr="007336AC">
        <w:rPr>
          <w:rFonts w:ascii="Arial" w:hAnsi="Arial" w:cs="Arial"/>
          <w:sz w:val="22"/>
          <w:szCs w:val="22"/>
        </w:rPr>
        <w:lastRenderedPageBreak/>
        <w:t> its personnel, which in consequence impacts patient </w:t>
      </w:r>
      <w:r w:rsidR="00E21642" w:rsidRPr="007336AC">
        <w:rPr>
          <w:rFonts w:ascii="Arial" w:hAnsi="Arial" w:cs="Arial"/>
          <w:sz w:val="22"/>
          <w:szCs w:val="22"/>
        </w:rPr>
        <w:t>care.</w:t>
      </w:r>
      <w:r w:rsidR="00E21642" w:rsidRPr="00391B7D">
        <w:rPr>
          <w:rFonts w:ascii="Arial" w:hAnsi="Arial" w:cs="Arial"/>
          <w:sz w:val="22"/>
          <w:szCs w:val="22"/>
        </w:rPr>
        <w:t xml:space="preserve"> This</w:t>
      </w:r>
      <w:r w:rsidRPr="00391B7D">
        <w:rPr>
          <w:rFonts w:ascii="Arial" w:hAnsi="Arial" w:cs="Arial"/>
          <w:sz w:val="22"/>
          <w:szCs w:val="22"/>
        </w:rPr>
        <w:t xml:space="preserve"> aligns with </w:t>
      </w:r>
      <w:r w:rsidRPr="002F55C0">
        <w:rPr>
          <w:rFonts w:ascii="Arial" w:hAnsi="Arial" w:cs="Arial"/>
          <w:sz w:val="22"/>
          <w:szCs w:val="22"/>
        </w:rPr>
        <w:t>Maslach’s Burnout Theory</w:t>
      </w:r>
      <w:r w:rsidRPr="00391B7D">
        <w:rPr>
          <w:rFonts w:ascii="Arial" w:hAnsi="Arial" w:cs="Arial"/>
          <w:sz w:val="22"/>
          <w:szCs w:val="22"/>
        </w:rPr>
        <w:t>, which explains how emotional exhaustion and depersonalisation develop in high</w:t>
      </w:r>
      <w:r w:rsidRPr="00391B7D">
        <w:rPr>
          <w:rFonts w:ascii="Arial" w:hAnsi="Arial" w:cs="Arial"/>
          <w:sz w:val="22"/>
          <w:szCs w:val="22"/>
        </w:rPr>
        <w:noBreakHyphen/>
        <w:t>pressure environments.</w:t>
      </w:r>
    </w:p>
    <w:p w14:paraId="42D527FC" w14:textId="77777777" w:rsidR="004D4026" w:rsidRPr="002F55C0" w:rsidRDefault="004D4026" w:rsidP="004D4026">
      <w:pPr>
        <w:pStyle w:val="NormalWeb"/>
        <w:spacing w:line="360" w:lineRule="auto"/>
        <w:rPr>
          <w:rFonts w:ascii="Arial" w:hAnsi="Arial" w:cs="Arial"/>
          <w:sz w:val="22"/>
          <w:szCs w:val="22"/>
        </w:rPr>
      </w:pPr>
      <w:r w:rsidRPr="00391B7D">
        <w:rPr>
          <w:rFonts w:ascii="Arial" w:hAnsi="Arial" w:cs="Arial"/>
          <w:sz w:val="22"/>
          <w:szCs w:val="22"/>
        </w:rPr>
        <w:t xml:space="preserve">A second study by </w:t>
      </w:r>
      <w:r w:rsidRPr="002F55C0">
        <w:rPr>
          <w:rFonts w:ascii="Arial" w:hAnsi="Arial" w:cs="Arial"/>
          <w:sz w:val="22"/>
          <w:szCs w:val="22"/>
        </w:rPr>
        <w:t xml:space="preserve">West et al. (2020) </w:t>
      </w:r>
      <w:r w:rsidRPr="00391B7D">
        <w:rPr>
          <w:rFonts w:ascii="Arial" w:hAnsi="Arial" w:cs="Arial"/>
          <w:sz w:val="22"/>
          <w:szCs w:val="22"/>
        </w:rPr>
        <w:t xml:space="preserve">highlights different but related causes: poor leadership behaviours, lack of psychological safety, and systemic pressures such as understaffing. They argue that stress is not only an individual experience but a </w:t>
      </w:r>
      <w:r w:rsidRPr="002F55C0">
        <w:rPr>
          <w:rFonts w:ascii="Arial" w:hAnsi="Arial" w:cs="Arial"/>
          <w:sz w:val="22"/>
          <w:szCs w:val="22"/>
        </w:rPr>
        <w:t>systems</w:t>
      </w:r>
      <w:r w:rsidRPr="002F55C0">
        <w:rPr>
          <w:rFonts w:ascii="Arial" w:hAnsi="Arial" w:cs="Arial"/>
          <w:sz w:val="22"/>
          <w:szCs w:val="22"/>
        </w:rPr>
        <w:noBreakHyphen/>
        <w:t>level problem, consistent with Systems Theory, were organisational structures and culture shape staff wellbeing.</w:t>
      </w:r>
    </w:p>
    <w:p w14:paraId="066BD26E" w14:textId="357DFB05" w:rsidR="004D4026" w:rsidRDefault="004D4026" w:rsidP="004D4026">
      <w:pPr>
        <w:pStyle w:val="NormalWeb"/>
        <w:spacing w:line="360" w:lineRule="auto"/>
        <w:rPr>
          <w:rFonts w:ascii="Arial" w:hAnsi="Arial" w:cs="Arial"/>
          <w:sz w:val="22"/>
          <w:szCs w:val="22"/>
        </w:rPr>
      </w:pPr>
      <w:r w:rsidRPr="00391B7D">
        <w:rPr>
          <w:rFonts w:ascii="Arial" w:hAnsi="Arial" w:cs="Arial"/>
          <w:sz w:val="22"/>
          <w:szCs w:val="22"/>
        </w:rPr>
        <w:t>Both articles agree that stress arises from sustained organisational pressure, but they differ in emphasis:</w:t>
      </w:r>
      <w:r w:rsidR="00E21642">
        <w:rPr>
          <w:rFonts w:ascii="Arial" w:hAnsi="Arial" w:cs="Arial"/>
          <w:sz w:val="22"/>
          <w:szCs w:val="22"/>
        </w:rPr>
        <w:t xml:space="preserve"> </w:t>
      </w:r>
      <w:r w:rsidR="00E21642" w:rsidRPr="00157394">
        <w:rPr>
          <w:rFonts w:ascii="Arial" w:hAnsi="Arial" w:cs="Arial"/>
          <w:sz w:val="22"/>
          <w:szCs w:val="22"/>
        </w:rPr>
        <w:t>Ravalier</w:t>
      </w:r>
      <w:r w:rsidRPr="00391B7D">
        <w:rPr>
          <w:rFonts w:ascii="Arial" w:hAnsi="Arial" w:cs="Arial"/>
          <w:sz w:val="22"/>
          <w:szCs w:val="22"/>
        </w:rPr>
        <w:t xml:space="preserve"> et al. focus on personal burnout mechanisms, while West et al. emphasise structural and cultural contributors. In </w:t>
      </w:r>
      <w:r>
        <w:rPr>
          <w:rFonts w:ascii="Arial" w:hAnsi="Arial" w:cs="Arial"/>
          <w:sz w:val="22"/>
          <w:szCs w:val="22"/>
        </w:rPr>
        <w:t>hospitals and</w:t>
      </w:r>
      <w:r w:rsidRPr="00391B7D">
        <w:rPr>
          <w:rFonts w:ascii="Arial" w:hAnsi="Arial" w:cs="Arial"/>
          <w:sz w:val="22"/>
          <w:szCs w:val="22"/>
        </w:rPr>
        <w:t xml:space="preserve"> care </w:t>
      </w:r>
      <w:r>
        <w:rPr>
          <w:rFonts w:ascii="Arial" w:hAnsi="Arial" w:cs="Arial"/>
          <w:sz w:val="22"/>
          <w:szCs w:val="22"/>
        </w:rPr>
        <w:t>establishments</w:t>
      </w:r>
      <w:r w:rsidRPr="00391B7D">
        <w:rPr>
          <w:rFonts w:ascii="Arial" w:hAnsi="Arial" w:cs="Arial"/>
          <w:sz w:val="22"/>
          <w:szCs w:val="22"/>
        </w:rPr>
        <w:t>, these issues appear as rushed interactions, reduced patience, increased sickness absence, and difficulty</w:t>
      </w:r>
      <w:r>
        <w:rPr>
          <w:rFonts w:ascii="Arial" w:hAnsi="Arial" w:cs="Arial"/>
          <w:sz w:val="22"/>
          <w:szCs w:val="22"/>
        </w:rPr>
        <w:t xml:space="preserve"> in</w:t>
      </w:r>
      <w:r w:rsidRPr="00391B7D">
        <w:rPr>
          <w:rFonts w:ascii="Arial" w:hAnsi="Arial" w:cs="Arial"/>
          <w:sz w:val="22"/>
          <w:szCs w:val="22"/>
        </w:rPr>
        <w:t xml:space="preserve"> retaining staff</w:t>
      </w:r>
      <w:r>
        <w:rPr>
          <w:rFonts w:ascii="Arial" w:hAnsi="Arial" w:cs="Arial"/>
          <w:sz w:val="22"/>
          <w:szCs w:val="22"/>
        </w:rPr>
        <w:t>.</w:t>
      </w:r>
    </w:p>
    <w:p w14:paraId="71747E4E" w14:textId="77777777" w:rsidR="004D4026" w:rsidRPr="00391B7D" w:rsidRDefault="004D4026" w:rsidP="004D4026">
      <w:pPr>
        <w:pStyle w:val="NormalWeb"/>
        <w:spacing w:line="360" w:lineRule="auto"/>
        <w:rPr>
          <w:rFonts w:ascii="Arial" w:hAnsi="Arial" w:cs="Arial"/>
          <w:sz w:val="22"/>
          <w:szCs w:val="22"/>
        </w:rPr>
      </w:pPr>
    </w:p>
    <w:p w14:paraId="1D1E66F5" w14:textId="77777777" w:rsidR="004D4026" w:rsidRDefault="004D4026" w:rsidP="004D4026">
      <w:pPr>
        <w:pStyle w:val="NoSpacing"/>
        <w:rPr>
          <w:rFonts w:ascii="Arial" w:hAnsi="Arial" w:cs="Arial"/>
          <w:b/>
          <w:bCs/>
          <w:lang w:val="en-US" w:eastAsia="en-GB"/>
        </w:rPr>
      </w:pPr>
      <w:r>
        <w:rPr>
          <w:rFonts w:ascii="Arial" w:hAnsi="Arial" w:cs="Arial"/>
          <w:b/>
          <w:bCs/>
        </w:rPr>
        <w:t xml:space="preserve">        </w:t>
      </w:r>
      <w:r w:rsidRPr="00D127B2">
        <w:rPr>
          <w:rFonts w:ascii="Arial" w:hAnsi="Arial" w:cs="Arial"/>
          <w:b/>
          <w:bCs/>
        </w:rPr>
        <w:t>7.</w:t>
      </w:r>
      <w:r w:rsidRPr="00D127B2">
        <w:rPr>
          <w:rFonts w:ascii="Arial" w:hAnsi="Arial" w:cs="Arial"/>
          <w:b/>
          <w:bCs/>
          <w:lang w:val="en-US" w:eastAsia="en-GB"/>
        </w:rPr>
        <w:t xml:space="preserve"> Digital Innovation in Health and Social Care</w:t>
      </w:r>
    </w:p>
    <w:p w14:paraId="326078C8" w14:textId="77777777" w:rsidR="004D4026" w:rsidRDefault="004D4026" w:rsidP="004D4026">
      <w:pPr>
        <w:pStyle w:val="NoSpacing"/>
        <w:rPr>
          <w:rFonts w:ascii="Arial" w:hAnsi="Arial" w:cs="Arial"/>
          <w:b/>
          <w:bCs/>
        </w:rPr>
      </w:pPr>
    </w:p>
    <w:p w14:paraId="3A0657D7" w14:textId="77777777" w:rsidR="004D4026" w:rsidRPr="00FB2AAC" w:rsidRDefault="004D4026" w:rsidP="004D4026">
      <w:pPr>
        <w:pStyle w:val="NormalWeb"/>
        <w:spacing w:line="360" w:lineRule="auto"/>
        <w:rPr>
          <w:rFonts w:ascii="Arial" w:hAnsi="Arial" w:cs="Arial"/>
          <w:sz w:val="22"/>
          <w:szCs w:val="22"/>
        </w:rPr>
      </w:pPr>
      <w:r w:rsidRPr="00FB2AAC">
        <w:rPr>
          <w:rFonts w:ascii="Arial" w:hAnsi="Arial" w:cs="Arial"/>
          <w:sz w:val="22"/>
          <w:szCs w:val="22"/>
        </w:rPr>
        <w:t>Digital technologies are increasingly embedded within modern healthcare systems, offering new opportunities to strengthen chronic disease management, improve communication, and shift care towards proactive prevention. As the NHS faces rising demand, workforce pressures, and the growing complexity of long</w:t>
      </w:r>
      <w:r w:rsidRPr="00FB2AAC">
        <w:rPr>
          <w:rFonts w:ascii="Arial" w:hAnsi="Arial" w:cs="Arial"/>
          <w:sz w:val="22"/>
          <w:szCs w:val="22"/>
        </w:rPr>
        <w:noBreakHyphen/>
        <w:t>term conditions, digital tools have become essential for delivering safe, efficient, and patient</w:t>
      </w:r>
      <w:r w:rsidRPr="00FB2AAC">
        <w:rPr>
          <w:rFonts w:ascii="Arial" w:hAnsi="Arial" w:cs="Arial"/>
          <w:sz w:val="22"/>
          <w:szCs w:val="22"/>
        </w:rPr>
        <w:noBreakHyphen/>
        <w:t>centred care. Loo et al. (2025) emphasise that successful digital health implementation depends not only on technological capability but also on usability, integration, and organisational readiness. Their recommendations highlight the importance of designing tools around user needs, ensuring adequate training, and embedding digital solutions within existing workflows</w:t>
      </w:r>
      <w:r>
        <w:rPr>
          <w:rFonts w:ascii="Arial" w:hAnsi="Arial" w:cs="Arial"/>
          <w:sz w:val="22"/>
          <w:szCs w:val="22"/>
        </w:rPr>
        <w:t xml:space="preserve">, </w:t>
      </w:r>
      <w:r w:rsidRPr="00FB2AAC">
        <w:rPr>
          <w:rFonts w:ascii="Arial" w:hAnsi="Arial" w:cs="Arial"/>
          <w:sz w:val="22"/>
          <w:szCs w:val="22"/>
        </w:rPr>
        <w:t>principles that align closely with the Technology Acceptance Model, which argues that perceived usefulness and ease of use drive adoption (Davis,1989).</w:t>
      </w:r>
    </w:p>
    <w:p w14:paraId="20649C03" w14:textId="77777777" w:rsidR="004D4026" w:rsidRPr="00FB2AAC" w:rsidRDefault="004D4026" w:rsidP="004D4026">
      <w:pPr>
        <w:pStyle w:val="NormalWeb"/>
        <w:spacing w:line="360" w:lineRule="auto"/>
        <w:rPr>
          <w:rFonts w:ascii="Arial" w:hAnsi="Arial" w:cs="Arial"/>
          <w:sz w:val="22"/>
          <w:szCs w:val="22"/>
        </w:rPr>
      </w:pPr>
      <w:r w:rsidRPr="00FB2AAC">
        <w:rPr>
          <w:rFonts w:ascii="Arial" w:hAnsi="Arial" w:cs="Arial"/>
          <w:sz w:val="22"/>
          <w:szCs w:val="22"/>
        </w:rPr>
        <w:t>Wearable health technologies play a key role in chronic condition management by enabling continuous, real</w:t>
      </w:r>
      <w:r w:rsidRPr="00FB2AAC">
        <w:rPr>
          <w:rFonts w:ascii="Arial" w:hAnsi="Arial" w:cs="Arial"/>
          <w:sz w:val="22"/>
          <w:szCs w:val="22"/>
        </w:rPr>
        <w:noBreakHyphen/>
        <w:t>time monitoring that supports self</w:t>
      </w:r>
      <w:r w:rsidRPr="00FB2AAC">
        <w:rPr>
          <w:rFonts w:ascii="Arial" w:hAnsi="Arial" w:cs="Arial"/>
          <w:sz w:val="22"/>
          <w:szCs w:val="22"/>
        </w:rPr>
        <w:noBreakHyphen/>
        <w:t xml:space="preserve">management and early intervention. Devices such as smartwatches and continuous glucose monitors (CGMs) allow individuals to track vital signs, symptoms, and activity levels, helping them recognise patterns and adjust behaviours. For example, CGMs used by people with Type 1 diabetes provide ongoing glucose readings and alerts, reducing hypoglycaemic episodes and improving glycaemic </w:t>
      </w:r>
      <w:r w:rsidRPr="00FB2AAC">
        <w:rPr>
          <w:rFonts w:ascii="Arial" w:hAnsi="Arial" w:cs="Arial"/>
          <w:sz w:val="22"/>
          <w:szCs w:val="22"/>
        </w:rPr>
        <w:lastRenderedPageBreak/>
        <w:t>control (NICE, 2022). Wearables also enhance patient engagement by making health data accessible and easy to interpret, reinforcing the perceived usefulness that increases uptake. NHS England reports that remote monitoring programmes using wearables reduce hospital admissions for chronic conditions such as heart failure by enabling earlier clinical intervention (NHS England, 2023).</w:t>
      </w:r>
    </w:p>
    <w:p w14:paraId="4EC1EED0" w14:textId="77777777" w:rsidR="004D4026" w:rsidRPr="00FB2AAC" w:rsidRDefault="004D4026" w:rsidP="004D4026">
      <w:pPr>
        <w:pStyle w:val="NormalWeb"/>
        <w:spacing w:line="360" w:lineRule="auto"/>
        <w:rPr>
          <w:rFonts w:ascii="Arial" w:hAnsi="Arial" w:cs="Arial"/>
          <w:sz w:val="22"/>
          <w:szCs w:val="22"/>
        </w:rPr>
      </w:pPr>
      <w:r w:rsidRPr="00FB2AAC">
        <w:rPr>
          <w:rFonts w:ascii="Arial" w:hAnsi="Arial" w:cs="Arial"/>
          <w:sz w:val="22"/>
          <w:szCs w:val="22"/>
        </w:rPr>
        <w:t>Electronic Health Records (EHRs) further strengthen care quality by providing a single, accurate, and up</w:t>
      </w:r>
      <w:r w:rsidRPr="00FB2AAC">
        <w:rPr>
          <w:rFonts w:ascii="Arial" w:hAnsi="Arial" w:cs="Arial"/>
          <w:sz w:val="22"/>
          <w:szCs w:val="22"/>
        </w:rPr>
        <w:noBreakHyphen/>
        <w:t>to</w:t>
      </w:r>
      <w:r w:rsidRPr="00FB2AAC">
        <w:rPr>
          <w:rFonts w:ascii="Arial" w:hAnsi="Arial" w:cs="Arial"/>
          <w:sz w:val="22"/>
          <w:szCs w:val="22"/>
        </w:rPr>
        <w:noBreakHyphen/>
        <w:t>date source of patient information accessible across services. This reduces duplication, prevents medication errors, and supports continuity of care. Integrated EHR systems allow GPs, hospitals, ambulance services, and community teams to share information seamlessly, ensuring all professionals have access to the same clinical picture. NHS England highlights that EHRs enhance multidisciplinary collaboration by enabling instant access to test results, care plans, and referral notes. The NHS Shared Care Records programme, for example, allows paramedics to access essential patient information, improving decision</w:t>
      </w:r>
      <w:r w:rsidRPr="00FB2AAC">
        <w:rPr>
          <w:rFonts w:ascii="Arial" w:hAnsi="Arial" w:cs="Arial"/>
          <w:sz w:val="22"/>
          <w:szCs w:val="22"/>
        </w:rPr>
        <w:noBreakHyphen/>
        <w:t>making during emergencies.</w:t>
      </w:r>
    </w:p>
    <w:p w14:paraId="00F38599" w14:textId="77777777" w:rsidR="004D4026" w:rsidRPr="00A86417" w:rsidRDefault="004D4026" w:rsidP="004D4026">
      <w:pPr>
        <w:pStyle w:val="NormalWeb"/>
        <w:spacing w:line="360" w:lineRule="auto"/>
        <w:rPr>
          <w:rFonts w:ascii="Arial" w:hAnsi="Arial" w:cs="Arial"/>
          <w:sz w:val="22"/>
          <w:szCs w:val="22"/>
        </w:rPr>
      </w:pPr>
      <w:r w:rsidRPr="00FB2AAC">
        <w:rPr>
          <w:rFonts w:ascii="Arial" w:hAnsi="Arial" w:cs="Arial"/>
          <w:sz w:val="22"/>
          <w:szCs w:val="22"/>
        </w:rPr>
        <w:t>Digital technology also enhances preventative care by enabling early detection, personalised risk assessment, and targeted health promotion. Tools such as wearables, apps, and remote monitoring systems can identify early warning signs before symptoms escalate. Programmes like the NHS Digital Weight Management Programme demonstrate how digital platforms support behaviour change and reduce obesity</w:t>
      </w:r>
      <w:r w:rsidRPr="00FB2AAC">
        <w:rPr>
          <w:rFonts w:ascii="Arial" w:hAnsi="Arial" w:cs="Arial"/>
          <w:sz w:val="22"/>
          <w:szCs w:val="22"/>
        </w:rPr>
        <w:noBreakHyphen/>
        <w:t>related risks (NHS England, 2022). Overall, digital technologies shift care from reactive treatment to proactive prevention, improving wellbeing and reducing disease burden.</w:t>
      </w:r>
    </w:p>
    <w:p w14:paraId="1958DE81" w14:textId="77777777" w:rsidR="004D4026" w:rsidRPr="00776BDF" w:rsidRDefault="004D4026" w:rsidP="004D4026">
      <w:pPr>
        <w:pStyle w:val="NoSpacing"/>
        <w:rPr>
          <w:rFonts w:ascii="Arial" w:hAnsi="Arial" w:cs="Arial"/>
          <w:sz w:val="22"/>
          <w:szCs w:val="22"/>
        </w:rPr>
      </w:pPr>
    </w:p>
    <w:p w14:paraId="015CBCE1" w14:textId="77777777" w:rsidR="004D4026" w:rsidRPr="00D127B2" w:rsidRDefault="004D4026" w:rsidP="004D4026">
      <w:pPr>
        <w:pStyle w:val="NormalWeb"/>
        <w:numPr>
          <w:ilvl w:val="0"/>
          <w:numId w:val="2"/>
        </w:numPr>
        <w:spacing w:line="360" w:lineRule="auto"/>
        <w:rPr>
          <w:rFonts w:ascii="Arial" w:hAnsi="Arial" w:cs="Arial"/>
          <w:b/>
          <w:bCs/>
          <w:lang w:val="en-US"/>
        </w:rPr>
      </w:pPr>
      <w:r w:rsidRPr="00D127B2">
        <w:rPr>
          <w:rFonts w:ascii="Arial" w:hAnsi="Arial" w:cs="Arial"/>
          <w:b/>
          <w:bCs/>
          <w:lang w:val="en-US"/>
        </w:rPr>
        <w:t>Understanding the NHS Leadership Framework</w:t>
      </w:r>
    </w:p>
    <w:p w14:paraId="5DC6C3B0" w14:textId="77777777" w:rsidR="004D4026" w:rsidRDefault="004D4026" w:rsidP="004D4026">
      <w:pPr>
        <w:pStyle w:val="NormalWeb"/>
        <w:spacing w:line="360" w:lineRule="auto"/>
        <w:rPr>
          <w:rFonts w:ascii="Arial" w:hAnsi="Arial" w:cs="Arial"/>
          <w:sz w:val="22"/>
          <w:szCs w:val="22"/>
        </w:rPr>
      </w:pPr>
      <w:r>
        <w:rPr>
          <w:rFonts w:ascii="Arial" w:hAnsi="Arial" w:cs="Arial"/>
          <w:sz w:val="22"/>
          <w:szCs w:val="22"/>
        </w:rPr>
        <w:t>L</w:t>
      </w:r>
      <w:r w:rsidRPr="00E95E49">
        <w:rPr>
          <w:rFonts w:ascii="Arial" w:hAnsi="Arial" w:cs="Arial"/>
          <w:sz w:val="22"/>
          <w:szCs w:val="22"/>
        </w:rPr>
        <w:t>eadership is fundamental in health and social care because it directly influences teamwork, service quality and patient outcomes. The NHS Leadership Framework outlines the behaviours and competencies required to deliver safe, compassionate and effective care (NHS Leadership Academy, 201</w:t>
      </w:r>
      <w:r>
        <w:rPr>
          <w:rFonts w:ascii="Arial" w:hAnsi="Arial" w:cs="Arial"/>
          <w:sz w:val="22"/>
          <w:szCs w:val="22"/>
        </w:rPr>
        <w:t>2</w:t>
      </w:r>
      <w:r w:rsidRPr="00E95E49">
        <w:rPr>
          <w:rFonts w:ascii="Arial" w:hAnsi="Arial" w:cs="Arial"/>
          <w:sz w:val="22"/>
          <w:szCs w:val="22"/>
        </w:rPr>
        <w:t>). It establishes a consistent national benchmark for leadership practice, supporting high</w:t>
      </w:r>
      <w:r w:rsidRPr="00E95E49">
        <w:rPr>
          <w:rFonts w:ascii="Arial" w:hAnsi="Arial" w:cs="Arial"/>
          <w:sz w:val="22"/>
          <w:szCs w:val="22"/>
        </w:rPr>
        <w:noBreakHyphen/>
        <w:t>quality, person</w:t>
      </w:r>
      <w:r w:rsidRPr="00E95E49">
        <w:rPr>
          <w:rFonts w:ascii="Arial" w:hAnsi="Arial" w:cs="Arial"/>
          <w:sz w:val="22"/>
          <w:szCs w:val="22"/>
        </w:rPr>
        <w:noBreakHyphen/>
        <w:t>centred services. The framework emphasises reflective practice, emotional intelligence and accountabilit</w:t>
      </w:r>
      <w:r>
        <w:rPr>
          <w:rFonts w:ascii="Arial" w:hAnsi="Arial" w:cs="Arial"/>
          <w:sz w:val="22"/>
          <w:szCs w:val="22"/>
        </w:rPr>
        <w:t>y.</w:t>
      </w:r>
    </w:p>
    <w:p w14:paraId="2D4E251F" w14:textId="77777777" w:rsidR="004D4026" w:rsidRPr="00E95E49" w:rsidRDefault="004D4026" w:rsidP="004D4026">
      <w:pPr>
        <w:pStyle w:val="NormalWeb"/>
        <w:spacing w:line="360" w:lineRule="auto"/>
        <w:rPr>
          <w:rFonts w:ascii="Arial" w:hAnsi="Arial" w:cs="Arial"/>
          <w:sz w:val="22"/>
          <w:szCs w:val="22"/>
        </w:rPr>
      </w:pPr>
      <w:r w:rsidRPr="00E95E49">
        <w:rPr>
          <w:rFonts w:ascii="Arial" w:hAnsi="Arial" w:cs="Arial"/>
          <w:sz w:val="22"/>
          <w:szCs w:val="22"/>
        </w:rPr>
        <w:t xml:space="preserve">The principles of </w:t>
      </w:r>
      <w:r w:rsidRPr="00F54C42">
        <w:rPr>
          <w:rFonts w:ascii="Arial" w:hAnsi="Arial" w:cs="Arial"/>
          <w:sz w:val="22"/>
          <w:szCs w:val="22"/>
        </w:rPr>
        <w:t>Transformational Leadership,</w:t>
      </w:r>
      <w:r w:rsidRPr="00E95E49">
        <w:rPr>
          <w:rFonts w:ascii="Arial" w:hAnsi="Arial" w:cs="Arial"/>
          <w:sz w:val="22"/>
          <w:szCs w:val="22"/>
        </w:rPr>
        <w:t xml:space="preserve"> articulated by Bass and Avolio (1994), closely align with the expectations of the NHS Leadership Framework. Transformational leadership comprises four core components: </w:t>
      </w:r>
      <w:r w:rsidRPr="004B1D46">
        <w:rPr>
          <w:rFonts w:ascii="Arial" w:hAnsi="Arial" w:cs="Arial"/>
          <w:sz w:val="22"/>
          <w:szCs w:val="22"/>
        </w:rPr>
        <w:t xml:space="preserve">idealised influence, inspirational motivation, </w:t>
      </w:r>
      <w:r w:rsidRPr="004B1D46">
        <w:rPr>
          <w:rFonts w:ascii="Arial" w:hAnsi="Arial" w:cs="Arial"/>
          <w:sz w:val="22"/>
          <w:szCs w:val="22"/>
        </w:rPr>
        <w:lastRenderedPageBreak/>
        <w:t>intellectual stimulation and individualised consideration</w:t>
      </w:r>
      <w:r w:rsidRPr="00E95E49">
        <w:rPr>
          <w:rFonts w:ascii="Arial" w:hAnsi="Arial" w:cs="Arial"/>
          <w:sz w:val="22"/>
          <w:szCs w:val="22"/>
        </w:rPr>
        <w:t xml:space="preserve">. These behaviours encourage leaders to act as role models, articulate a compelling vision, stimulate critical thinking and provide personalised support. </w:t>
      </w:r>
    </w:p>
    <w:p w14:paraId="29F2EC5B" w14:textId="77777777" w:rsidR="004D4026" w:rsidRPr="00E95E49" w:rsidRDefault="004D4026" w:rsidP="004D4026">
      <w:pPr>
        <w:pStyle w:val="NormalWeb"/>
        <w:spacing w:line="360" w:lineRule="auto"/>
        <w:rPr>
          <w:rFonts w:ascii="Arial" w:hAnsi="Arial" w:cs="Arial"/>
          <w:sz w:val="22"/>
          <w:szCs w:val="22"/>
        </w:rPr>
      </w:pPr>
      <w:r w:rsidRPr="00E95E49">
        <w:rPr>
          <w:rFonts w:ascii="Arial" w:hAnsi="Arial" w:cs="Arial"/>
          <w:sz w:val="22"/>
          <w:szCs w:val="22"/>
        </w:rPr>
        <w:t>Evaluating information is a leadership behaviour that directly supports creativity and service enhancement. Leaders who critically analyse data, patient feedback and performance indicators can identify areas requiring improvement and generate evidence</w:t>
      </w:r>
      <w:r w:rsidRPr="00E95E49">
        <w:rPr>
          <w:rFonts w:ascii="Arial" w:hAnsi="Arial" w:cs="Arial"/>
          <w:sz w:val="22"/>
          <w:szCs w:val="22"/>
        </w:rPr>
        <w:noBreakHyphen/>
        <w:t>based solutions</w:t>
      </w:r>
      <w:r w:rsidRPr="0071155F">
        <w:rPr>
          <w:rFonts w:ascii="Arial" w:hAnsi="Arial" w:cs="Arial"/>
          <w:b/>
          <w:bCs/>
          <w:color w:val="000000"/>
          <w:sz w:val="22"/>
          <w:szCs w:val="22"/>
        </w:rPr>
        <w:t xml:space="preserve"> </w:t>
      </w:r>
      <w:r w:rsidRPr="0071155F">
        <w:rPr>
          <w:rFonts w:ascii="Arial" w:hAnsi="Arial" w:cs="Arial"/>
          <w:color w:val="000000"/>
          <w:sz w:val="22"/>
          <w:szCs w:val="22"/>
        </w:rPr>
        <w:t>(Hussain et al. 2018).</w:t>
      </w:r>
      <w:r w:rsidRPr="00E95E49">
        <w:rPr>
          <w:rFonts w:ascii="Arial" w:hAnsi="Arial" w:cs="Arial"/>
          <w:sz w:val="22"/>
          <w:szCs w:val="22"/>
        </w:rPr>
        <w:t xml:space="preserve"> For example, reviewing digital patient experience reports or examining incident trends may reveal opportunities to redesign workflows or introduce tools that reduce delays. This reflects Bass and Avolio’s concept of</w:t>
      </w:r>
      <w:r w:rsidRPr="00164086">
        <w:rPr>
          <w:rFonts w:ascii="Arial" w:hAnsi="Arial" w:cs="Arial"/>
          <w:sz w:val="22"/>
          <w:szCs w:val="22"/>
        </w:rPr>
        <w:t xml:space="preserve"> intellectual stimulation</w:t>
      </w:r>
      <w:r w:rsidRPr="00E95E49">
        <w:rPr>
          <w:rFonts w:ascii="Arial" w:hAnsi="Arial" w:cs="Arial"/>
          <w:sz w:val="22"/>
          <w:szCs w:val="22"/>
        </w:rPr>
        <w:t>, whereby leaders encourage staff to question assumptions and explore new approaches. Such behaviours cultivate an environment where innovation is normalised, ultimately improving service quality and patient experiences (NHS Leadership Academy, 201</w:t>
      </w:r>
      <w:r>
        <w:rPr>
          <w:rFonts w:ascii="Arial" w:hAnsi="Arial" w:cs="Arial"/>
          <w:sz w:val="22"/>
          <w:szCs w:val="22"/>
        </w:rPr>
        <w:t>2</w:t>
      </w:r>
      <w:r w:rsidRPr="00E95E49">
        <w:rPr>
          <w:rFonts w:ascii="Arial" w:hAnsi="Arial" w:cs="Arial"/>
          <w:sz w:val="22"/>
          <w:szCs w:val="22"/>
        </w:rPr>
        <w:t>).</w:t>
      </w:r>
    </w:p>
    <w:p w14:paraId="67622D95" w14:textId="77777777" w:rsidR="004D4026" w:rsidRPr="00E95E49" w:rsidRDefault="004D4026" w:rsidP="004D4026">
      <w:pPr>
        <w:pStyle w:val="NormalWeb"/>
        <w:spacing w:line="360" w:lineRule="auto"/>
        <w:rPr>
          <w:rFonts w:ascii="Arial" w:hAnsi="Arial" w:cs="Arial"/>
          <w:sz w:val="22"/>
          <w:szCs w:val="22"/>
        </w:rPr>
      </w:pPr>
      <w:r w:rsidRPr="00E95E49">
        <w:rPr>
          <w:rFonts w:ascii="Arial" w:hAnsi="Arial" w:cs="Arial"/>
          <w:sz w:val="22"/>
          <w:szCs w:val="22"/>
        </w:rPr>
        <w:t>My understanding of creativity and value creation in health and social care has developed significantly throughout this module. Initially, I associated creativity with large</w:t>
      </w:r>
      <w:r w:rsidRPr="00E95E49">
        <w:rPr>
          <w:rFonts w:ascii="Arial" w:hAnsi="Arial" w:cs="Arial"/>
          <w:sz w:val="22"/>
          <w:szCs w:val="22"/>
        </w:rPr>
        <w:noBreakHyphen/>
        <w:t>scale digital or organisational innovation. However, I now recognise that creativity also emerges through small, practical adjustments</w:t>
      </w:r>
      <w:r>
        <w:rPr>
          <w:rFonts w:ascii="Arial" w:hAnsi="Arial" w:cs="Arial"/>
          <w:sz w:val="22"/>
          <w:szCs w:val="22"/>
        </w:rPr>
        <w:t xml:space="preserve">, </w:t>
      </w:r>
      <w:r w:rsidRPr="00E95E49">
        <w:rPr>
          <w:rFonts w:ascii="Arial" w:hAnsi="Arial" w:cs="Arial"/>
          <w:sz w:val="22"/>
          <w:szCs w:val="22"/>
        </w:rPr>
        <w:t>adapting communication, modifying routines and identifying new ways to support patients. Engaging with leadership theory, NHS case studies and reflective activities highlighted how innovation often arises from collaborative problem</w:t>
      </w:r>
      <w:r w:rsidRPr="00E95E49">
        <w:rPr>
          <w:rFonts w:ascii="Arial" w:hAnsi="Arial" w:cs="Arial"/>
          <w:sz w:val="22"/>
          <w:szCs w:val="22"/>
        </w:rPr>
        <w:noBreakHyphen/>
        <w:t>solving. This learning has strengthened my confidence as a developing practitioner and reinforced the importance of creative thinking in enhancing care quality and supporting colleagues.</w:t>
      </w:r>
    </w:p>
    <w:p w14:paraId="3C7B94C1" w14:textId="77777777" w:rsidR="004D4026" w:rsidRPr="0026644B" w:rsidRDefault="004D4026" w:rsidP="004D4026">
      <w:pPr>
        <w:pStyle w:val="NormalWeb"/>
        <w:spacing w:line="360" w:lineRule="auto"/>
        <w:rPr>
          <w:rFonts w:ascii="Arial" w:hAnsi="Arial" w:cs="Arial"/>
          <w:sz w:val="22"/>
          <w:szCs w:val="22"/>
        </w:rPr>
      </w:pPr>
    </w:p>
    <w:p w14:paraId="6C0691F8" w14:textId="77777777" w:rsidR="004D4026" w:rsidRPr="00CC068A" w:rsidRDefault="004D4026" w:rsidP="004D4026">
      <w:pPr>
        <w:pStyle w:val="NormalWeb"/>
        <w:numPr>
          <w:ilvl w:val="0"/>
          <w:numId w:val="2"/>
        </w:numPr>
        <w:spacing w:line="360" w:lineRule="auto"/>
        <w:rPr>
          <w:rFonts w:ascii="Arial" w:hAnsi="Arial" w:cs="Arial"/>
          <w:b/>
          <w:bCs/>
        </w:rPr>
      </w:pPr>
      <w:r w:rsidRPr="00CC068A">
        <w:rPr>
          <w:rFonts w:ascii="Arial" w:hAnsi="Arial" w:cs="Arial"/>
          <w:b/>
          <w:bCs/>
        </w:rPr>
        <w:t>Self-Reflection</w:t>
      </w:r>
    </w:p>
    <w:p w14:paraId="531AB979" w14:textId="77777777" w:rsidR="004D4026" w:rsidRPr="00CC068A" w:rsidRDefault="004D4026" w:rsidP="004D4026">
      <w:pPr>
        <w:pStyle w:val="NormalWeb"/>
        <w:spacing w:line="360" w:lineRule="auto"/>
        <w:rPr>
          <w:rFonts w:ascii="Arial" w:hAnsi="Arial" w:cs="Arial"/>
          <w:color w:val="000000"/>
          <w:sz w:val="22"/>
          <w:szCs w:val="22"/>
        </w:rPr>
      </w:pPr>
      <w:r w:rsidRPr="00E807BD">
        <w:rPr>
          <w:rFonts w:ascii="Arial" w:hAnsi="Arial" w:cs="Arial"/>
          <w:color w:val="000000"/>
          <w:sz w:val="22"/>
          <w:szCs w:val="22"/>
        </w:rPr>
        <w:t>Engaging with this module has significantly deepened my understanding of creativity, innovation and value creation within health and social care. Earlier in my studies, I tended to associate innovation with large organisational changes or advanced technologies. However, the module’s activities</w:t>
      </w:r>
      <w:r>
        <w:rPr>
          <w:rFonts w:ascii="Arial" w:hAnsi="Arial" w:cs="Arial"/>
          <w:color w:val="000000"/>
          <w:sz w:val="22"/>
          <w:szCs w:val="22"/>
        </w:rPr>
        <w:t xml:space="preserve">, </w:t>
      </w:r>
      <w:r w:rsidRPr="00E807BD">
        <w:rPr>
          <w:rFonts w:ascii="Arial" w:hAnsi="Arial" w:cs="Arial"/>
          <w:color w:val="000000"/>
          <w:sz w:val="22"/>
          <w:szCs w:val="22"/>
        </w:rPr>
        <w:t>particularly the leadership analysis and digital</w:t>
      </w:r>
      <w:r w:rsidRPr="00E807BD">
        <w:rPr>
          <w:rFonts w:ascii="Arial" w:hAnsi="Arial" w:cs="Arial"/>
          <w:color w:val="000000"/>
          <w:sz w:val="22"/>
          <w:szCs w:val="22"/>
        </w:rPr>
        <w:noBreakHyphen/>
        <w:t>practice discussions</w:t>
      </w:r>
      <w:r>
        <w:rPr>
          <w:rFonts w:ascii="Arial" w:hAnsi="Arial" w:cs="Arial"/>
          <w:color w:val="000000"/>
          <w:sz w:val="22"/>
          <w:szCs w:val="22"/>
        </w:rPr>
        <w:t xml:space="preserve"> </w:t>
      </w:r>
      <w:r w:rsidRPr="00E807BD">
        <w:rPr>
          <w:rFonts w:ascii="Arial" w:hAnsi="Arial" w:cs="Arial"/>
          <w:color w:val="000000"/>
          <w:sz w:val="22"/>
          <w:szCs w:val="22"/>
        </w:rPr>
        <w:t>shifted my perspective by showing how small, well</w:t>
      </w:r>
      <w:r w:rsidRPr="00E807BD">
        <w:rPr>
          <w:rFonts w:ascii="Arial" w:hAnsi="Arial" w:cs="Arial"/>
          <w:color w:val="000000"/>
          <w:sz w:val="22"/>
          <w:szCs w:val="22"/>
        </w:rPr>
        <w:noBreakHyphen/>
        <w:t>considered adaptations can generate meaningful improvements in patient experience and service quality. Applying Gibbs’ Reflective Cycle (1988) enabled me to critically examine my assumptions and recognise creativity as a reflective, iterative process grounded in problem</w:t>
      </w:r>
      <w:r w:rsidRPr="00E807BD">
        <w:rPr>
          <w:rFonts w:ascii="Arial" w:hAnsi="Arial" w:cs="Arial"/>
          <w:color w:val="000000"/>
          <w:sz w:val="22"/>
          <w:szCs w:val="22"/>
        </w:rPr>
        <w:noBreakHyphen/>
        <w:t>solving and collaboration. I also developed a clearer appreciation of value creation as something rooted in meeting patient needs, enhancing safety and improving communication.</w:t>
      </w:r>
    </w:p>
    <w:p w14:paraId="434A43D4" w14:textId="77777777" w:rsidR="004D4026" w:rsidRDefault="004D4026" w:rsidP="004D4026">
      <w:pPr>
        <w:pStyle w:val="NormalWeb"/>
        <w:numPr>
          <w:ilvl w:val="0"/>
          <w:numId w:val="2"/>
        </w:numPr>
        <w:spacing w:line="360" w:lineRule="auto"/>
        <w:rPr>
          <w:rFonts w:ascii="Arial" w:hAnsi="Arial" w:cs="Arial"/>
          <w:b/>
          <w:bCs/>
          <w:color w:val="000000"/>
        </w:rPr>
      </w:pPr>
      <w:r>
        <w:rPr>
          <w:rFonts w:ascii="Arial" w:hAnsi="Arial" w:cs="Arial"/>
          <w:b/>
          <w:bCs/>
          <w:color w:val="000000"/>
        </w:rPr>
        <w:lastRenderedPageBreak/>
        <w:t xml:space="preserve"> </w:t>
      </w:r>
      <w:r w:rsidRPr="00150DC6">
        <w:rPr>
          <w:rFonts w:ascii="Arial" w:hAnsi="Arial" w:cs="Arial"/>
          <w:b/>
          <w:bCs/>
          <w:color w:val="000000"/>
        </w:rPr>
        <w:t>References</w:t>
      </w:r>
    </w:p>
    <w:p w14:paraId="1318F2EF" w14:textId="77777777" w:rsidR="004D4026" w:rsidRPr="00F92A4C" w:rsidRDefault="004D4026" w:rsidP="004D4026">
      <w:pPr>
        <w:pStyle w:val="NormalWeb"/>
      </w:pPr>
      <w:r w:rsidRPr="00F92A4C">
        <w:rPr>
          <w:rStyle w:val="Strong"/>
          <w:b w:val="0"/>
          <w:bCs w:val="0"/>
        </w:rPr>
        <w:t>Amabile, T.</w:t>
      </w:r>
      <w:r w:rsidRPr="00F92A4C">
        <w:rPr>
          <w:b/>
          <w:bCs/>
        </w:rPr>
        <w:t xml:space="preserve"> </w:t>
      </w:r>
      <w:r w:rsidRPr="00F92A4C">
        <w:t xml:space="preserve">(1996) </w:t>
      </w:r>
      <w:r w:rsidRPr="00F92A4C">
        <w:rPr>
          <w:rStyle w:val="Emphasis"/>
        </w:rPr>
        <w:t>Creativity in Context</w:t>
      </w:r>
      <w:r w:rsidRPr="00F92A4C">
        <w:t>. Boulder, CO: Westview Press.</w:t>
      </w:r>
    </w:p>
    <w:p w14:paraId="3F2C8946" w14:textId="77777777" w:rsidR="004D4026" w:rsidRPr="00F92A4C" w:rsidRDefault="004D4026" w:rsidP="004D4026">
      <w:pPr>
        <w:pStyle w:val="NormalWeb"/>
      </w:pPr>
      <w:r w:rsidRPr="00F92A4C">
        <w:rPr>
          <w:rStyle w:val="Strong"/>
          <w:b w:val="0"/>
          <w:bCs w:val="0"/>
        </w:rPr>
        <w:t>Bass, B.M. and Avolio, B.J.</w:t>
      </w:r>
      <w:r w:rsidRPr="00F92A4C">
        <w:t xml:space="preserve"> (1994) </w:t>
      </w:r>
      <w:r w:rsidRPr="00F92A4C">
        <w:rPr>
          <w:rStyle w:val="Emphasis"/>
        </w:rPr>
        <w:t>Improving organizational effectiveness through transformational leadership</w:t>
      </w:r>
      <w:r w:rsidRPr="00F92A4C">
        <w:t>. Thousand Oaks, Calif.: Sage.</w:t>
      </w:r>
    </w:p>
    <w:p w14:paraId="2A9B2317" w14:textId="77777777" w:rsidR="004D4026" w:rsidRPr="00F92A4C" w:rsidRDefault="004D4026" w:rsidP="004D4026">
      <w:pPr>
        <w:pStyle w:val="NormalWeb"/>
      </w:pPr>
      <w:r w:rsidRPr="00F92A4C">
        <w:rPr>
          <w:rStyle w:val="Strong"/>
          <w:b w:val="0"/>
          <w:bCs w:val="0"/>
        </w:rPr>
        <w:t>Burnes, B.</w:t>
      </w:r>
      <w:r w:rsidRPr="00F92A4C">
        <w:rPr>
          <w:b/>
          <w:bCs/>
        </w:rPr>
        <w:t xml:space="preserve"> </w:t>
      </w:r>
      <w:r w:rsidRPr="00F92A4C">
        <w:t xml:space="preserve">(2017) </w:t>
      </w:r>
      <w:r w:rsidRPr="00F92A4C">
        <w:rPr>
          <w:rStyle w:val="Emphasis"/>
        </w:rPr>
        <w:t>Managing Change</w:t>
      </w:r>
      <w:r w:rsidRPr="00F92A4C">
        <w:t>. 7th ed. Harlow: Pearson.</w:t>
      </w:r>
    </w:p>
    <w:p w14:paraId="1C9DE8F9" w14:textId="77777777" w:rsidR="004D4026" w:rsidRDefault="004D4026" w:rsidP="004D4026">
      <w:pPr>
        <w:pStyle w:val="NormalWeb"/>
      </w:pPr>
      <w:r w:rsidRPr="00F92A4C">
        <w:rPr>
          <w:rStyle w:val="Strong"/>
          <w:b w:val="0"/>
          <w:bCs w:val="0"/>
        </w:rPr>
        <w:t>Davis, F.</w:t>
      </w:r>
      <w:r w:rsidRPr="00F92A4C">
        <w:t xml:space="preserve"> (1989) ‘Perceived usefulness, perceived ease of use, and user acceptance of information technology’, </w:t>
      </w:r>
      <w:r w:rsidRPr="00F92A4C">
        <w:rPr>
          <w:rStyle w:val="Emphasis"/>
        </w:rPr>
        <w:t>MIS Quarterly</w:t>
      </w:r>
      <w:r w:rsidRPr="00F92A4C">
        <w:t>, 13(3), pp. 319–340.</w:t>
      </w:r>
    </w:p>
    <w:p w14:paraId="0E4A3367" w14:textId="77777777" w:rsidR="004D4026" w:rsidRPr="00F92A4C" w:rsidRDefault="004D4026" w:rsidP="004D4026">
      <w:pPr>
        <w:pStyle w:val="NormalWeb"/>
      </w:pPr>
      <w:r w:rsidRPr="00F92A4C">
        <w:rPr>
          <w:rStyle w:val="Strong"/>
          <w:b w:val="0"/>
          <w:bCs w:val="0"/>
        </w:rPr>
        <w:t>Fellows, R.F. and Liu, A.M.</w:t>
      </w:r>
      <w:r w:rsidRPr="00F92A4C">
        <w:rPr>
          <w:b/>
          <w:bCs/>
        </w:rPr>
        <w:t xml:space="preserve"> </w:t>
      </w:r>
      <w:r w:rsidRPr="00F92A4C">
        <w:t xml:space="preserve">(2021) </w:t>
      </w:r>
      <w:r w:rsidRPr="00F92A4C">
        <w:rPr>
          <w:rStyle w:val="Emphasis"/>
        </w:rPr>
        <w:t>Research methods for construction</w:t>
      </w:r>
      <w:r w:rsidRPr="00F92A4C">
        <w:t>. John Wiley &amp; Sons.</w:t>
      </w:r>
    </w:p>
    <w:p w14:paraId="4FA2B4AF" w14:textId="77777777" w:rsidR="004D4026" w:rsidRDefault="004D4026" w:rsidP="004D4026">
      <w:pPr>
        <w:pStyle w:val="NormalWeb"/>
      </w:pPr>
      <w:r w:rsidRPr="00F92A4C">
        <w:rPr>
          <w:rStyle w:val="Strong"/>
          <w:b w:val="0"/>
          <w:bCs w:val="0"/>
        </w:rPr>
        <w:t>Frontier Economics</w:t>
      </w:r>
      <w:r w:rsidRPr="00F92A4C">
        <w:rPr>
          <w:b/>
          <w:bCs/>
        </w:rPr>
        <w:t xml:space="preserve"> </w:t>
      </w:r>
      <w:r>
        <w:t xml:space="preserve">(2023) </w:t>
      </w:r>
      <w:r>
        <w:rPr>
          <w:rStyle w:val="Emphasis"/>
        </w:rPr>
        <w:t>Virtual wards: cost–benefit evaluation</w:t>
      </w:r>
      <w:r>
        <w:t>. NHS England.</w:t>
      </w:r>
    </w:p>
    <w:p w14:paraId="2FFA753E" w14:textId="77777777" w:rsidR="004D4026" w:rsidRDefault="004D4026" w:rsidP="004D4026">
      <w:pPr>
        <w:pStyle w:val="NormalWeb"/>
      </w:pPr>
      <w:r w:rsidRPr="00520AAC">
        <w:rPr>
          <w:rStyle w:val="Strong"/>
          <w:b w:val="0"/>
          <w:bCs w:val="0"/>
        </w:rPr>
        <w:t>Gibbs, G.</w:t>
      </w:r>
      <w:r>
        <w:t xml:space="preserve"> (1988) </w:t>
      </w:r>
      <w:r>
        <w:rPr>
          <w:rStyle w:val="Emphasis"/>
        </w:rPr>
        <w:t>Learning by Doing: A Guide to Teaching and Learning Methods</w:t>
      </w:r>
      <w:r>
        <w:t>. Oxford: Oxford Polytechnic.</w:t>
      </w:r>
    </w:p>
    <w:p w14:paraId="367092EE" w14:textId="77777777" w:rsidR="004D4026" w:rsidRDefault="004D4026" w:rsidP="004D4026">
      <w:pPr>
        <w:pStyle w:val="NormalWeb"/>
      </w:pPr>
      <w:r w:rsidRPr="00520AAC">
        <w:rPr>
          <w:rStyle w:val="Strong"/>
          <w:b w:val="0"/>
          <w:bCs w:val="0"/>
        </w:rPr>
        <w:t>Hussain, S.T. et al.</w:t>
      </w:r>
      <w:r w:rsidRPr="00520AAC">
        <w:rPr>
          <w:b/>
          <w:bCs/>
        </w:rPr>
        <w:t xml:space="preserve"> </w:t>
      </w:r>
      <w:r>
        <w:t xml:space="preserve">(2018) ‘Kurt Lewin’s change model: A critical review of the role of leadership and employee involvement in organizational change’, </w:t>
      </w:r>
      <w:r>
        <w:rPr>
          <w:rStyle w:val="Emphasis"/>
        </w:rPr>
        <w:t>Journal of Innovation &amp; Knowledge</w:t>
      </w:r>
      <w:r>
        <w:t xml:space="preserve">, 3(3), pp. 123–127. Available at: </w:t>
      </w:r>
      <w:hyperlink r:id="rId10" w:tgtFrame="_blank" w:tooltip="doi.org" w:history="1">
        <w:r>
          <w:rPr>
            <w:rStyle w:val="Hyperlink"/>
          </w:rPr>
          <w:t>https://doi.org/10.1016/j.jik.2016.07.002</w:t>
        </w:r>
      </w:hyperlink>
      <w:r>
        <w:t>.</w:t>
      </w:r>
    </w:p>
    <w:p w14:paraId="17C19246" w14:textId="77777777" w:rsidR="004D4026" w:rsidRDefault="004D4026" w:rsidP="004D4026">
      <w:pPr>
        <w:pStyle w:val="NormalWeb"/>
      </w:pPr>
      <w:r w:rsidRPr="00520AAC">
        <w:rPr>
          <w:rStyle w:val="Strong"/>
          <w:b w:val="0"/>
          <w:bCs w:val="0"/>
        </w:rPr>
        <w:t>Jones, L.L. and Estes, Z.</w:t>
      </w:r>
      <w:r w:rsidRPr="00520AAC">
        <w:rPr>
          <w:b/>
          <w:bCs/>
        </w:rPr>
        <w:t xml:space="preserve"> </w:t>
      </w:r>
      <w:r>
        <w:t xml:space="preserve">(2015) ‘Convergent and divergent thinking in verbal analogy’, </w:t>
      </w:r>
      <w:r>
        <w:rPr>
          <w:rStyle w:val="Emphasis"/>
        </w:rPr>
        <w:t>Thinking &amp; Reasoning</w:t>
      </w:r>
      <w:r>
        <w:t>, 21(4), pp. 473–500.</w:t>
      </w:r>
    </w:p>
    <w:p w14:paraId="78154ACA" w14:textId="77777777" w:rsidR="004D4026" w:rsidRDefault="004D4026" w:rsidP="004D4026">
      <w:pPr>
        <w:pStyle w:val="NormalWeb"/>
      </w:pPr>
      <w:r w:rsidRPr="00AC4D56">
        <w:rPr>
          <w:rStyle w:val="Strong"/>
          <w:b w:val="0"/>
          <w:bCs w:val="0"/>
        </w:rPr>
        <w:t>Loo, R.T.J. et al.</w:t>
      </w:r>
      <w:r w:rsidRPr="00AC4D56">
        <w:rPr>
          <w:b/>
          <w:bCs/>
        </w:rPr>
        <w:t xml:space="preserve"> </w:t>
      </w:r>
      <w:r>
        <w:t xml:space="preserve">(2025) ‘Recommendations for Successful Development and Implementation of Digital Health Technology Tools’, </w:t>
      </w:r>
      <w:r>
        <w:rPr>
          <w:rStyle w:val="Emphasis"/>
        </w:rPr>
        <w:t>Journal of Medical Internet Research</w:t>
      </w:r>
      <w:r>
        <w:t xml:space="preserve">, 27(2), pp. e56747–e56747. Available at: </w:t>
      </w:r>
      <w:hyperlink r:id="rId11" w:tgtFrame="_blank" w:tooltip="doi.org" w:history="1">
        <w:r>
          <w:rPr>
            <w:rStyle w:val="Hyperlink"/>
          </w:rPr>
          <w:t>https://doi.org/10.2196/56747</w:t>
        </w:r>
      </w:hyperlink>
      <w:r>
        <w:t>.</w:t>
      </w:r>
    </w:p>
    <w:p w14:paraId="63E30C89" w14:textId="77777777" w:rsidR="004D4026" w:rsidRDefault="004D4026" w:rsidP="004D4026">
      <w:pPr>
        <w:pStyle w:val="NormalWeb"/>
      </w:pPr>
      <w:r w:rsidRPr="00AC4D56">
        <w:rPr>
          <w:rStyle w:val="Strong"/>
          <w:b w:val="0"/>
          <w:bCs w:val="0"/>
        </w:rPr>
        <w:t>Meadows, D.H.</w:t>
      </w:r>
      <w:r w:rsidRPr="00AC4D56">
        <w:rPr>
          <w:b/>
          <w:bCs/>
        </w:rPr>
        <w:t xml:space="preserve"> </w:t>
      </w:r>
      <w:r>
        <w:t xml:space="preserve">(2008) </w:t>
      </w:r>
      <w:r>
        <w:rPr>
          <w:rStyle w:val="Emphasis"/>
        </w:rPr>
        <w:t>Thinking in Systems: A Primer</w:t>
      </w:r>
      <w:r>
        <w:t>. White River Junction, VT: Chelsea Green Publishing.</w:t>
      </w:r>
    </w:p>
    <w:p w14:paraId="1864C601" w14:textId="77777777" w:rsidR="004D4026" w:rsidRDefault="004D4026" w:rsidP="004D4026">
      <w:pPr>
        <w:pStyle w:val="NormalWeb"/>
      </w:pPr>
      <w:r w:rsidRPr="00AC4D56">
        <w:rPr>
          <w:rStyle w:val="Strong"/>
          <w:b w:val="0"/>
          <w:bCs w:val="0"/>
        </w:rPr>
        <w:t>NHS England</w:t>
      </w:r>
      <w:r w:rsidRPr="00AC4D56">
        <w:rPr>
          <w:b/>
          <w:bCs/>
        </w:rPr>
        <w:t xml:space="preserve"> </w:t>
      </w:r>
      <w:r>
        <w:t xml:space="preserve">(2022) </w:t>
      </w:r>
      <w:r>
        <w:rPr>
          <w:rStyle w:val="Emphasis"/>
        </w:rPr>
        <w:t>Digital Weight Management Programme</w:t>
      </w:r>
      <w:r>
        <w:t xml:space="preserve">. Available at: </w:t>
      </w:r>
      <w:hyperlink r:id="rId12" w:tgtFrame="_blank" w:tooltip="www.england.nhs.uk" w:history="1">
        <w:r>
          <w:rPr>
            <w:rStyle w:val="Hyperlink"/>
          </w:rPr>
          <w:t>https://www.england.nhs.uk</w:t>
        </w:r>
      </w:hyperlink>
      <w:r>
        <w:t xml:space="preserve"> (Accessed: 16 July 2026).</w:t>
      </w:r>
    </w:p>
    <w:p w14:paraId="6D0CCCDB" w14:textId="77777777" w:rsidR="004D4026" w:rsidRDefault="004D4026" w:rsidP="004D4026">
      <w:pPr>
        <w:pStyle w:val="NormalWeb"/>
      </w:pPr>
      <w:r w:rsidRPr="00AC4D56">
        <w:rPr>
          <w:rStyle w:val="Strong"/>
          <w:b w:val="0"/>
          <w:bCs w:val="0"/>
        </w:rPr>
        <w:t>NHS England</w:t>
      </w:r>
      <w:r w:rsidRPr="00AC4D56">
        <w:rPr>
          <w:b/>
          <w:bCs/>
        </w:rPr>
        <w:t xml:space="preserve"> </w:t>
      </w:r>
      <w:r>
        <w:t xml:space="preserve">(2023) </w:t>
      </w:r>
      <w:r>
        <w:rPr>
          <w:rStyle w:val="Emphasis"/>
        </w:rPr>
        <w:t>Shared care records</w:t>
      </w:r>
      <w:r>
        <w:t xml:space="preserve">. Available at: </w:t>
      </w:r>
      <w:hyperlink r:id="rId13" w:tgtFrame="_blank" w:tooltip="www.england.nhs.uk" w:history="1">
        <w:r>
          <w:rPr>
            <w:rStyle w:val="Hyperlink"/>
          </w:rPr>
          <w:t>https://www.england.nhs.uk</w:t>
        </w:r>
      </w:hyperlink>
      <w:r>
        <w:t xml:space="preserve"> (Accessed: 16 July 2026).</w:t>
      </w:r>
    </w:p>
    <w:p w14:paraId="1F1BEC1D" w14:textId="77777777" w:rsidR="004D4026" w:rsidRDefault="004D4026" w:rsidP="004D4026">
      <w:pPr>
        <w:pStyle w:val="NormalWeb"/>
      </w:pPr>
      <w:r w:rsidRPr="00AC4D56">
        <w:rPr>
          <w:rStyle w:val="Strong"/>
          <w:b w:val="0"/>
          <w:bCs w:val="0"/>
        </w:rPr>
        <w:t>NHS England</w:t>
      </w:r>
      <w:r w:rsidRPr="00AC4D56">
        <w:rPr>
          <w:b/>
          <w:bCs/>
        </w:rPr>
        <w:t xml:space="preserve"> </w:t>
      </w:r>
      <w:r>
        <w:t xml:space="preserve">(2023) </w:t>
      </w:r>
      <w:r>
        <w:rPr>
          <w:rStyle w:val="Emphasis"/>
        </w:rPr>
        <w:t>Technology-enabled remote monitoring</w:t>
      </w:r>
      <w:r>
        <w:t xml:space="preserve">. Available at: </w:t>
      </w:r>
      <w:hyperlink r:id="rId14" w:tgtFrame="_blank" w:tooltip="www.england.nhs.uk" w:history="1">
        <w:r>
          <w:rPr>
            <w:rStyle w:val="Hyperlink"/>
          </w:rPr>
          <w:t>https://www.england.nhs.uk</w:t>
        </w:r>
      </w:hyperlink>
      <w:r>
        <w:t xml:space="preserve"> (Accessed: 17 July 2026).</w:t>
      </w:r>
    </w:p>
    <w:p w14:paraId="0D3DE66F" w14:textId="77777777" w:rsidR="004D4026" w:rsidRDefault="004D4026" w:rsidP="004D4026">
      <w:pPr>
        <w:pStyle w:val="NormalWeb"/>
      </w:pPr>
      <w:r w:rsidRPr="00C75730">
        <w:rPr>
          <w:rStyle w:val="Strong"/>
          <w:b w:val="0"/>
          <w:bCs w:val="0"/>
        </w:rPr>
        <w:t>NHS England</w:t>
      </w:r>
      <w:r w:rsidRPr="00C75730">
        <w:rPr>
          <w:b/>
          <w:bCs/>
        </w:rPr>
        <w:t xml:space="preserve"> </w:t>
      </w:r>
      <w:r>
        <w:t xml:space="preserve">(2023) </w:t>
      </w:r>
      <w:r>
        <w:rPr>
          <w:rStyle w:val="Emphasis"/>
        </w:rPr>
        <w:t>Virtual wards: implementation guidance</w:t>
      </w:r>
      <w:r>
        <w:t xml:space="preserve">. Available at: </w:t>
      </w:r>
      <w:hyperlink r:id="rId15" w:tgtFrame="_blank" w:tooltip="www.england.nhs.uk" w:history="1">
        <w:r>
          <w:rPr>
            <w:rStyle w:val="Hyperlink"/>
          </w:rPr>
          <w:t>https://www.england.nhs.uk</w:t>
        </w:r>
      </w:hyperlink>
      <w:r>
        <w:t xml:space="preserve"> (Accessed: 14 July 2026).</w:t>
      </w:r>
    </w:p>
    <w:p w14:paraId="1ABDF842" w14:textId="77777777" w:rsidR="004D4026" w:rsidRDefault="004D4026" w:rsidP="004D4026">
      <w:pPr>
        <w:pStyle w:val="NormalWeb"/>
      </w:pPr>
      <w:r w:rsidRPr="004D3E3A">
        <w:rPr>
          <w:rStyle w:val="Strong"/>
          <w:b w:val="0"/>
          <w:bCs w:val="0"/>
        </w:rPr>
        <w:t>NHS Leadership Academy</w:t>
      </w:r>
      <w:r>
        <w:t xml:space="preserve"> (2012) </w:t>
      </w:r>
      <w:r>
        <w:rPr>
          <w:rStyle w:val="Emphasis"/>
        </w:rPr>
        <w:t>Healthcare Leadership Model: Nine Dimensions of Leadership Behaviour</w:t>
      </w:r>
      <w:r>
        <w:t>. London: NHS Leadership Academy.</w:t>
      </w:r>
    </w:p>
    <w:p w14:paraId="04E9BDD8" w14:textId="77777777" w:rsidR="004D4026" w:rsidRDefault="004D4026" w:rsidP="004D4026">
      <w:pPr>
        <w:pStyle w:val="NormalWeb"/>
      </w:pPr>
      <w:r w:rsidRPr="004D3E3A">
        <w:rPr>
          <w:rStyle w:val="Strong"/>
          <w:b w:val="0"/>
          <w:bCs w:val="0"/>
        </w:rPr>
        <w:t>NICE</w:t>
      </w:r>
      <w:r w:rsidRPr="004D3E3A">
        <w:rPr>
          <w:b/>
          <w:bCs/>
        </w:rPr>
        <w:t xml:space="preserve"> </w:t>
      </w:r>
      <w:r>
        <w:t xml:space="preserve">(2022) </w:t>
      </w:r>
      <w:r>
        <w:rPr>
          <w:rStyle w:val="Emphasis"/>
        </w:rPr>
        <w:t>Type 1 diabetes in adults: diagnosis and management</w:t>
      </w:r>
      <w:r>
        <w:t>. London: NICE.</w:t>
      </w:r>
    </w:p>
    <w:p w14:paraId="1624ADFC" w14:textId="77777777" w:rsidR="004D4026" w:rsidRDefault="004D4026" w:rsidP="004D4026">
      <w:pPr>
        <w:pStyle w:val="NormalWeb"/>
      </w:pPr>
      <w:r w:rsidRPr="00D07CF9">
        <w:rPr>
          <w:rStyle w:val="Strong"/>
          <w:b w:val="0"/>
          <w:bCs w:val="0"/>
        </w:rPr>
        <w:lastRenderedPageBreak/>
        <w:t>Pandey, P. and Pandey, M.M.</w:t>
      </w:r>
      <w:r>
        <w:t xml:space="preserve"> (2021) </w:t>
      </w:r>
      <w:r>
        <w:rPr>
          <w:rStyle w:val="Emphasis"/>
        </w:rPr>
        <w:t>Research methodology tools and techniques</w:t>
      </w:r>
      <w:r>
        <w:t>. Bridge Center.</w:t>
      </w:r>
    </w:p>
    <w:p w14:paraId="18335DF6" w14:textId="77777777" w:rsidR="004D4026" w:rsidRDefault="004D4026" w:rsidP="004D4026">
      <w:pPr>
        <w:pStyle w:val="NormalWeb"/>
      </w:pPr>
      <w:r w:rsidRPr="00D07CF9">
        <w:rPr>
          <w:rStyle w:val="Strong"/>
          <w:b w:val="0"/>
          <w:bCs w:val="0"/>
        </w:rPr>
        <w:t>Porter, M.</w:t>
      </w:r>
      <w:r w:rsidRPr="00D07CF9">
        <w:rPr>
          <w:b/>
          <w:bCs/>
        </w:rPr>
        <w:t xml:space="preserve"> </w:t>
      </w:r>
      <w:r>
        <w:t xml:space="preserve">(2010) ‘What is value in health care?’ </w:t>
      </w:r>
      <w:r>
        <w:rPr>
          <w:rStyle w:val="Emphasis"/>
        </w:rPr>
        <w:t>New England Journal of Medicine</w:t>
      </w:r>
      <w:r>
        <w:t>, 363(26), pp. 2477–2481.</w:t>
      </w:r>
    </w:p>
    <w:p w14:paraId="05A86FCD" w14:textId="77777777" w:rsidR="004D4026" w:rsidRPr="004D3E3A" w:rsidRDefault="004D4026" w:rsidP="004D4026">
      <w:pPr>
        <w:pStyle w:val="NormalWeb"/>
      </w:pPr>
      <w:r w:rsidRPr="004D3E3A">
        <w:rPr>
          <w:rStyle w:val="Strong"/>
          <w:b w:val="0"/>
          <w:bCs w:val="0"/>
        </w:rPr>
        <w:t>Public Health England</w:t>
      </w:r>
      <w:r w:rsidRPr="004D3E3A">
        <w:rPr>
          <w:b/>
          <w:bCs/>
        </w:rPr>
        <w:t xml:space="preserve"> (</w:t>
      </w:r>
      <w:r w:rsidRPr="00D07CF9">
        <w:t>2021)</w:t>
      </w:r>
      <w:r w:rsidRPr="004D3E3A">
        <w:rPr>
          <w:b/>
          <w:bCs/>
        </w:rPr>
        <w:t xml:space="preserve"> </w:t>
      </w:r>
      <w:r w:rsidRPr="004D3E3A">
        <w:rPr>
          <w:rStyle w:val="Emphasis"/>
        </w:rPr>
        <w:t>Digital health: improving health and wellbeing</w:t>
      </w:r>
      <w:r w:rsidRPr="004D3E3A">
        <w:t>. London: PHE.</w:t>
      </w:r>
    </w:p>
    <w:p w14:paraId="29D5BF40" w14:textId="77777777" w:rsidR="004D4026" w:rsidRDefault="004D4026" w:rsidP="004D4026">
      <w:pPr>
        <w:pStyle w:val="NormalWeb"/>
      </w:pPr>
      <w:r w:rsidRPr="004D3E3A">
        <w:rPr>
          <w:rStyle w:val="Strong"/>
          <w:b w:val="0"/>
          <w:bCs w:val="0"/>
        </w:rPr>
        <w:t>Rasoul, D. et al.</w:t>
      </w:r>
      <w:r>
        <w:t xml:space="preserve"> (2025) ‘Economic evaluation of the Liverpool heart failure virtual ward model’, </w:t>
      </w:r>
      <w:r>
        <w:rPr>
          <w:rStyle w:val="Emphasis"/>
        </w:rPr>
        <w:t>European Heart Journal – Quality of Care &amp; Clinical Outcomes</w:t>
      </w:r>
      <w:r>
        <w:t xml:space="preserve">, 11(2), pp. 197–205. Available at: </w:t>
      </w:r>
      <w:hyperlink r:id="rId16" w:tgtFrame="_blank" w:tooltip="doi.org" w:history="1">
        <w:r>
          <w:rPr>
            <w:rStyle w:val="Hyperlink"/>
          </w:rPr>
          <w:t>https://doi.org/10.1093/ehjqcco/qcae095</w:t>
        </w:r>
      </w:hyperlink>
      <w:r>
        <w:t>.</w:t>
      </w:r>
    </w:p>
    <w:p w14:paraId="1F9EE0C3" w14:textId="0A2AA1C1" w:rsidR="00594112" w:rsidRDefault="00594112" w:rsidP="004D4026">
      <w:pPr>
        <w:pStyle w:val="NormalWeb"/>
      </w:pPr>
      <w:r w:rsidRPr="00594112">
        <w:t xml:space="preserve">Ravalier, J.M., McVicar, A. and Boichat, C. (2020) “Work Stress in NHS Employees: A Mixed-Methods Study,” </w:t>
      </w:r>
      <w:r w:rsidRPr="00594112">
        <w:rPr>
          <w:i/>
          <w:iCs/>
        </w:rPr>
        <w:t>International journal of environmental research and public health</w:t>
      </w:r>
      <w:r w:rsidRPr="00594112">
        <w:t>, 17(18), p. 6464. Available at: https://doi.org/10.3390/ijerph17186464.</w:t>
      </w:r>
    </w:p>
    <w:p w14:paraId="0816C170" w14:textId="77777777" w:rsidR="004D4026" w:rsidRDefault="004D4026" w:rsidP="004D4026">
      <w:pPr>
        <w:pStyle w:val="NormalWeb"/>
      </w:pPr>
      <w:r w:rsidRPr="004D3E3A">
        <w:rPr>
          <w:rStyle w:val="Strong"/>
          <w:b w:val="0"/>
          <w:bCs w:val="0"/>
        </w:rPr>
        <w:t>Rogers, E.</w:t>
      </w:r>
      <w:r>
        <w:t xml:space="preserve"> (2003) </w:t>
      </w:r>
      <w:r>
        <w:rPr>
          <w:rStyle w:val="Emphasis"/>
        </w:rPr>
        <w:t>Diffusion of Innovations</w:t>
      </w:r>
      <w:r>
        <w:t>. 5th ed. New York: Free Press.</w:t>
      </w:r>
    </w:p>
    <w:p w14:paraId="6C07883A" w14:textId="77777777" w:rsidR="004D4026" w:rsidRDefault="004D4026" w:rsidP="004D4026">
      <w:pPr>
        <w:pStyle w:val="NormalWeb"/>
      </w:pPr>
      <w:r w:rsidRPr="004D3E3A">
        <w:rPr>
          <w:rStyle w:val="Strong"/>
          <w:b w:val="0"/>
          <w:bCs w:val="0"/>
        </w:rPr>
        <w:t>West, C.P., Dyrbye, L.N. and Shanafelt, T.D.</w:t>
      </w:r>
      <w:r w:rsidRPr="004D3E3A">
        <w:rPr>
          <w:b/>
          <w:bCs/>
        </w:rPr>
        <w:t xml:space="preserve"> </w:t>
      </w:r>
      <w:r>
        <w:t xml:space="preserve">(2018) ‘Physician burnout: contributors, consequences and solutions’, </w:t>
      </w:r>
      <w:r>
        <w:rPr>
          <w:rStyle w:val="Emphasis"/>
        </w:rPr>
        <w:t>Journal of Internal Medicine</w:t>
      </w:r>
      <w:r>
        <w:t xml:space="preserve">, 283(6), pp. 516–529. Available at: </w:t>
      </w:r>
      <w:hyperlink r:id="rId17" w:tgtFrame="_blank" w:tooltip="doi.org" w:history="1">
        <w:r>
          <w:rPr>
            <w:rStyle w:val="Hyperlink"/>
          </w:rPr>
          <w:t>https://doi.org/10.1111/joim.12752</w:t>
        </w:r>
      </w:hyperlink>
      <w:r>
        <w:t>.</w:t>
      </w:r>
    </w:p>
    <w:p w14:paraId="78020F27" w14:textId="77777777" w:rsidR="004D4026" w:rsidRDefault="004D4026" w:rsidP="004D4026">
      <w:pPr>
        <w:pStyle w:val="NormalWeb"/>
      </w:pPr>
      <w:r w:rsidRPr="004D3E3A">
        <w:rPr>
          <w:rStyle w:val="Strong"/>
          <w:b w:val="0"/>
          <w:bCs w:val="0"/>
        </w:rPr>
        <w:t>West, M.A. et al.</w:t>
      </w:r>
      <w:r w:rsidRPr="004D3E3A">
        <w:rPr>
          <w:b/>
          <w:bCs/>
        </w:rPr>
        <w:t xml:space="preserve"> </w:t>
      </w:r>
      <w:r>
        <w:t xml:space="preserve">(2020) ‘Caring for doctors, caring for patients’, </w:t>
      </w:r>
      <w:r>
        <w:rPr>
          <w:rStyle w:val="Emphasis"/>
        </w:rPr>
        <w:t>Journal of the Royal Society of Medicine</w:t>
      </w:r>
      <w:r>
        <w:t>, 113(1), pp. 3–10.</w:t>
      </w:r>
    </w:p>
    <w:p w14:paraId="020C5591" w14:textId="77777777" w:rsidR="004D4026" w:rsidRDefault="004D4026" w:rsidP="004D4026">
      <w:pPr>
        <w:spacing w:line="360" w:lineRule="auto"/>
        <w:rPr>
          <w:rFonts w:ascii="Times New Roman" w:hAnsi="Times New Roman"/>
          <w:b/>
          <w:bCs/>
          <w:sz w:val="32"/>
          <w:szCs w:val="32"/>
        </w:rPr>
      </w:pPr>
    </w:p>
    <w:p w14:paraId="2E3B3BAC" w14:textId="77777777" w:rsidR="004D4026" w:rsidRDefault="004D4026" w:rsidP="004D4026">
      <w:pPr>
        <w:spacing w:line="360" w:lineRule="auto"/>
        <w:rPr>
          <w:rFonts w:ascii="Times New Roman" w:hAnsi="Times New Roman"/>
          <w:b/>
          <w:bCs/>
          <w:sz w:val="32"/>
          <w:szCs w:val="32"/>
        </w:rPr>
      </w:pPr>
    </w:p>
    <w:p w14:paraId="316CFE78" w14:textId="77777777" w:rsidR="004D4026" w:rsidRDefault="004D4026" w:rsidP="00680302">
      <w:pPr>
        <w:spacing w:line="360" w:lineRule="auto"/>
        <w:ind w:left="720"/>
        <w:rPr>
          <w:rFonts w:ascii="Times New Roman" w:hAnsi="Times New Roman"/>
          <w:b/>
          <w:bCs/>
          <w:sz w:val="32"/>
          <w:szCs w:val="32"/>
        </w:rPr>
      </w:pPr>
    </w:p>
    <w:p w14:paraId="3D6B08ED" w14:textId="77777777" w:rsidR="004D4026" w:rsidRDefault="004D4026" w:rsidP="004D4026">
      <w:pPr>
        <w:spacing w:line="360" w:lineRule="auto"/>
        <w:rPr>
          <w:rFonts w:ascii="Times New Roman" w:hAnsi="Times New Roman"/>
          <w:b/>
          <w:bCs/>
          <w:sz w:val="32"/>
          <w:szCs w:val="32"/>
        </w:rPr>
      </w:pPr>
    </w:p>
    <w:p w14:paraId="5B056263" w14:textId="77777777" w:rsidR="00D63F99" w:rsidRDefault="00D63F99"/>
    <w:sectPr w:rsidR="00D63F99">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CD92FE" w14:textId="77777777" w:rsidR="00DD0153" w:rsidRDefault="00DD0153" w:rsidP="005200F7">
      <w:pPr>
        <w:spacing w:after="0" w:line="240" w:lineRule="auto"/>
      </w:pPr>
      <w:r>
        <w:separator/>
      </w:r>
    </w:p>
  </w:endnote>
  <w:endnote w:type="continuationSeparator" w:id="0">
    <w:p w14:paraId="2EFFD66E" w14:textId="77777777" w:rsidR="00DD0153" w:rsidRDefault="00DD0153" w:rsidP="005200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D6A731" w14:textId="77777777" w:rsidR="005200F7" w:rsidRDefault="005200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7237115"/>
      <w:docPartObj>
        <w:docPartGallery w:val="Page Numbers (Bottom of Page)"/>
        <w:docPartUnique/>
      </w:docPartObj>
    </w:sdtPr>
    <w:sdtContent>
      <w:p w14:paraId="78F712AC" w14:textId="7F040A45" w:rsidR="002C2D29" w:rsidRDefault="002C2D29">
        <w:pPr>
          <w:pStyle w:val="Footer"/>
          <w:jc w:val="center"/>
        </w:pPr>
        <w:r>
          <w:fldChar w:fldCharType="begin"/>
        </w:r>
        <w:r>
          <w:instrText>PAGE   \* MERGEFORMAT</w:instrText>
        </w:r>
        <w:r>
          <w:fldChar w:fldCharType="separate"/>
        </w:r>
        <w:r>
          <w:t>2</w:t>
        </w:r>
        <w:r>
          <w:fldChar w:fldCharType="end"/>
        </w:r>
      </w:p>
    </w:sdtContent>
  </w:sdt>
  <w:p w14:paraId="22E0906B" w14:textId="77777777" w:rsidR="005200F7" w:rsidRDefault="005200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5BAC61" w14:textId="77777777" w:rsidR="005200F7" w:rsidRDefault="005200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FECBD1" w14:textId="77777777" w:rsidR="00DD0153" w:rsidRDefault="00DD0153" w:rsidP="005200F7">
      <w:pPr>
        <w:spacing w:after="0" w:line="240" w:lineRule="auto"/>
      </w:pPr>
      <w:r>
        <w:separator/>
      </w:r>
    </w:p>
  </w:footnote>
  <w:footnote w:type="continuationSeparator" w:id="0">
    <w:p w14:paraId="58B95821" w14:textId="77777777" w:rsidR="00DD0153" w:rsidRDefault="00DD0153" w:rsidP="005200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50713D" w14:textId="77777777" w:rsidR="005200F7" w:rsidRDefault="005200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099691" w14:textId="77777777" w:rsidR="005200F7" w:rsidRDefault="005200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1E29EF" w14:textId="77777777" w:rsidR="005200F7" w:rsidRDefault="005200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0E5FE8"/>
    <w:multiLevelType w:val="hybridMultilevel"/>
    <w:tmpl w:val="D2768E9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8030D9"/>
    <w:multiLevelType w:val="hybridMultilevel"/>
    <w:tmpl w:val="C428ED7A"/>
    <w:lvl w:ilvl="0" w:tplc="0809000F">
      <w:start w:val="8"/>
      <w:numFmt w:val="decimal"/>
      <w:lvlText w:val="%1."/>
      <w:lvlJc w:val="left"/>
      <w:pPr>
        <w:ind w:left="36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5C91388"/>
    <w:multiLevelType w:val="hybridMultilevel"/>
    <w:tmpl w:val="E1203E88"/>
    <w:lvl w:ilvl="0" w:tplc="9440FE64">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2091301">
    <w:abstractNumId w:val="2"/>
  </w:num>
  <w:num w:numId="2" w16cid:durableId="1073704329">
    <w:abstractNumId w:val="1"/>
  </w:num>
  <w:num w:numId="3" w16cid:durableId="20807138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171"/>
    <w:rsid w:val="00120C56"/>
    <w:rsid w:val="00157394"/>
    <w:rsid w:val="001D6BD7"/>
    <w:rsid w:val="00251D25"/>
    <w:rsid w:val="00292404"/>
    <w:rsid w:val="002A4E86"/>
    <w:rsid w:val="002C2D29"/>
    <w:rsid w:val="004D4026"/>
    <w:rsid w:val="005131AE"/>
    <w:rsid w:val="005200F7"/>
    <w:rsid w:val="00594112"/>
    <w:rsid w:val="006259ED"/>
    <w:rsid w:val="00644B90"/>
    <w:rsid w:val="00680302"/>
    <w:rsid w:val="007336AC"/>
    <w:rsid w:val="009137BD"/>
    <w:rsid w:val="009B2171"/>
    <w:rsid w:val="00A254BB"/>
    <w:rsid w:val="00C169B3"/>
    <w:rsid w:val="00C72DC4"/>
    <w:rsid w:val="00CA0391"/>
    <w:rsid w:val="00D63F99"/>
    <w:rsid w:val="00DC2A34"/>
    <w:rsid w:val="00DD0153"/>
    <w:rsid w:val="00E21642"/>
    <w:rsid w:val="00E34BAD"/>
    <w:rsid w:val="00E36578"/>
    <w:rsid w:val="00EA60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26696"/>
  <w15:chartTrackingRefBased/>
  <w15:docId w15:val="{46F46A67-FA8C-47DF-8BD4-AE0394D50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4026"/>
    <w:rPr>
      <w:rFonts w:ascii="Aptos" w:eastAsia="Aptos" w:hAnsi="Aptos" w:cs="Times New Roman"/>
      <w14:ligatures w14:val="none"/>
    </w:rPr>
  </w:style>
  <w:style w:type="paragraph" w:styleId="Heading1">
    <w:name w:val="heading 1"/>
    <w:basedOn w:val="Normal"/>
    <w:next w:val="Normal"/>
    <w:link w:val="Heading1Char"/>
    <w:uiPriority w:val="9"/>
    <w:qFormat/>
    <w:rsid w:val="009B21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21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21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21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21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21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21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21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21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1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21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21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21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21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21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21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21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2171"/>
    <w:rPr>
      <w:rFonts w:eastAsiaTheme="majorEastAsia" w:cstheme="majorBidi"/>
      <w:color w:val="272727" w:themeColor="text1" w:themeTint="D8"/>
    </w:rPr>
  </w:style>
  <w:style w:type="paragraph" w:styleId="Title">
    <w:name w:val="Title"/>
    <w:basedOn w:val="Normal"/>
    <w:next w:val="Normal"/>
    <w:link w:val="TitleChar"/>
    <w:uiPriority w:val="10"/>
    <w:qFormat/>
    <w:rsid w:val="009B21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21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21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21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2171"/>
    <w:pPr>
      <w:spacing w:before="160"/>
      <w:jc w:val="center"/>
    </w:pPr>
    <w:rPr>
      <w:i/>
      <w:iCs/>
      <w:color w:val="404040" w:themeColor="text1" w:themeTint="BF"/>
    </w:rPr>
  </w:style>
  <w:style w:type="character" w:customStyle="1" w:styleId="QuoteChar">
    <w:name w:val="Quote Char"/>
    <w:basedOn w:val="DefaultParagraphFont"/>
    <w:link w:val="Quote"/>
    <w:uiPriority w:val="29"/>
    <w:rsid w:val="009B2171"/>
    <w:rPr>
      <w:i/>
      <w:iCs/>
      <w:color w:val="404040" w:themeColor="text1" w:themeTint="BF"/>
    </w:rPr>
  </w:style>
  <w:style w:type="paragraph" w:styleId="ListParagraph">
    <w:name w:val="List Paragraph"/>
    <w:basedOn w:val="Normal"/>
    <w:uiPriority w:val="34"/>
    <w:qFormat/>
    <w:rsid w:val="009B2171"/>
    <w:pPr>
      <w:ind w:left="720"/>
      <w:contextualSpacing/>
    </w:pPr>
  </w:style>
  <w:style w:type="character" w:styleId="IntenseEmphasis">
    <w:name w:val="Intense Emphasis"/>
    <w:basedOn w:val="DefaultParagraphFont"/>
    <w:uiPriority w:val="21"/>
    <w:qFormat/>
    <w:rsid w:val="009B2171"/>
    <w:rPr>
      <w:i/>
      <w:iCs/>
      <w:color w:val="0F4761" w:themeColor="accent1" w:themeShade="BF"/>
    </w:rPr>
  </w:style>
  <w:style w:type="paragraph" w:styleId="IntenseQuote">
    <w:name w:val="Intense Quote"/>
    <w:basedOn w:val="Normal"/>
    <w:next w:val="Normal"/>
    <w:link w:val="IntenseQuoteChar"/>
    <w:uiPriority w:val="30"/>
    <w:qFormat/>
    <w:rsid w:val="009B21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2171"/>
    <w:rPr>
      <w:i/>
      <w:iCs/>
      <w:color w:val="0F4761" w:themeColor="accent1" w:themeShade="BF"/>
    </w:rPr>
  </w:style>
  <w:style w:type="character" w:styleId="IntenseReference">
    <w:name w:val="Intense Reference"/>
    <w:basedOn w:val="DefaultParagraphFont"/>
    <w:uiPriority w:val="32"/>
    <w:qFormat/>
    <w:rsid w:val="009B2171"/>
    <w:rPr>
      <w:b/>
      <w:bCs/>
      <w:smallCaps/>
      <w:color w:val="0F4761" w:themeColor="accent1" w:themeShade="BF"/>
      <w:spacing w:val="5"/>
    </w:rPr>
  </w:style>
  <w:style w:type="paragraph" w:styleId="NoSpacing">
    <w:name w:val="No Spacing"/>
    <w:uiPriority w:val="1"/>
    <w:qFormat/>
    <w:rsid w:val="004D4026"/>
    <w:pPr>
      <w:spacing w:after="0" w:line="240" w:lineRule="auto"/>
    </w:pPr>
    <w:rPr>
      <w:rFonts w:ascii="Aptos" w:eastAsia="Aptos" w:hAnsi="Aptos" w:cs="Times New Roman"/>
      <w14:ligatures w14:val="none"/>
    </w:rPr>
  </w:style>
  <w:style w:type="character" w:styleId="Strong">
    <w:name w:val="Strong"/>
    <w:uiPriority w:val="22"/>
    <w:qFormat/>
    <w:rsid w:val="004D4026"/>
    <w:rPr>
      <w:b/>
      <w:bCs/>
    </w:rPr>
  </w:style>
  <w:style w:type="paragraph" w:styleId="NormalWeb">
    <w:name w:val="Normal (Web)"/>
    <w:basedOn w:val="Normal"/>
    <w:uiPriority w:val="99"/>
    <w:unhideWhenUsed/>
    <w:rsid w:val="004D4026"/>
    <w:pPr>
      <w:spacing w:before="100" w:beforeAutospacing="1" w:after="100" w:afterAutospacing="1" w:line="240" w:lineRule="auto"/>
    </w:pPr>
    <w:rPr>
      <w:rFonts w:ascii="Times New Roman" w:eastAsia="Times New Roman" w:hAnsi="Times New Roman"/>
      <w:kern w:val="0"/>
      <w:lang w:eastAsia="en-GB"/>
    </w:rPr>
  </w:style>
  <w:style w:type="character" w:styleId="Hyperlink">
    <w:name w:val="Hyperlink"/>
    <w:basedOn w:val="DefaultParagraphFont"/>
    <w:uiPriority w:val="99"/>
    <w:unhideWhenUsed/>
    <w:rsid w:val="004D4026"/>
    <w:rPr>
      <w:color w:val="467886" w:themeColor="hyperlink"/>
      <w:u w:val="single"/>
    </w:rPr>
  </w:style>
  <w:style w:type="character" w:styleId="Emphasis">
    <w:name w:val="Emphasis"/>
    <w:basedOn w:val="DefaultParagraphFont"/>
    <w:uiPriority w:val="20"/>
    <w:qFormat/>
    <w:rsid w:val="004D4026"/>
    <w:rPr>
      <w:i/>
      <w:iCs/>
    </w:rPr>
  </w:style>
  <w:style w:type="paragraph" w:styleId="Header">
    <w:name w:val="header"/>
    <w:basedOn w:val="Normal"/>
    <w:link w:val="HeaderChar"/>
    <w:uiPriority w:val="99"/>
    <w:unhideWhenUsed/>
    <w:rsid w:val="005200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0F7"/>
    <w:rPr>
      <w:rFonts w:ascii="Aptos" w:eastAsia="Aptos" w:hAnsi="Aptos" w:cs="Times New Roman"/>
      <w14:ligatures w14:val="none"/>
    </w:rPr>
  </w:style>
  <w:style w:type="paragraph" w:styleId="Footer">
    <w:name w:val="footer"/>
    <w:basedOn w:val="Normal"/>
    <w:link w:val="FooterChar"/>
    <w:uiPriority w:val="99"/>
    <w:unhideWhenUsed/>
    <w:rsid w:val="005200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0F7"/>
    <w:rPr>
      <w:rFonts w:ascii="Aptos" w:eastAsia="Aptos" w:hAnsi="Aptos" w:cs="Times New Roma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hyperlink" Target="https://www.england.nhs.uk/?utm_source=copilot.com"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hyperlink" Target="https://www.england.nhs.uk/?utm_source=copilot.com" TargetMode="External"/><Relationship Id="rId17" Type="http://schemas.openxmlformats.org/officeDocument/2006/relationships/hyperlink" Target="https://doi.org/10.1111/joim.12752?utm_source=copilot.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93/ehjqcco/qcae095?utm_source=copilot.com"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196/56747?utm_source=copilot.co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ngland.nhs.uk/?utm_source=copilot.com" TargetMode="External"/><Relationship Id="rId23" Type="http://schemas.openxmlformats.org/officeDocument/2006/relationships/footer" Target="footer3.xml"/><Relationship Id="rId10" Type="http://schemas.openxmlformats.org/officeDocument/2006/relationships/hyperlink" Target="https://doi.org/10.1016/j.jik.2016.07.002?utm_source=copilot.com"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ngland.nhs.uk/?utm_source=copilot.com"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11</Pages>
  <Words>3098</Words>
  <Characters>17662</Characters>
  <Application>Microsoft Office Word</Application>
  <DocSecurity>0</DocSecurity>
  <Lines>147</Lines>
  <Paragraphs>41</Paragraphs>
  <ScaleCrop>false</ScaleCrop>
  <Company/>
  <LinksUpToDate>false</LinksUpToDate>
  <CharactersWithSpaces>20719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Voiculescu</dc:creator>
  <cp:keywords/>
  <dc:description/>
  <cp:lastModifiedBy>Dan Voiculescu</cp:lastModifiedBy>
  <cp:revision>19</cp:revision>
  <dcterms:created xsi:type="dcterms:W3CDTF">2026-07-30T08:54:00Z</dcterms:created>
  <dcterms:modified xsi:type="dcterms:W3CDTF">2026-07-30T15:54:00Z</dcterms:modified>
</cp:coreProperties>
</file>