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body>
    <w:p xmlns:wp14="http://schemas.microsoft.com/office/word/2010/wordml" w:rsidR="00296AB9" w:rsidRDefault="00D2078E" w14:paraId="672A6659" wp14:textId="77777777">
      <w:pPr>
        <w:jc w:val="center"/>
        <w:rPr>
          <w:b/>
          <w:bCs/>
          <w:sz w:val="32"/>
          <w:szCs w:val="32"/>
        </w:rPr>
      </w:pPr>
      <w:r>
        <w:rPr>
          <w:b/>
          <w:bCs/>
          <w:noProof/>
          <w:sz w:val="32"/>
          <w:szCs w:val="32"/>
        </w:rPr>
        <w:drawing>
          <wp:inline xmlns:wp14="http://schemas.microsoft.com/office/word/2010/wordprocessingDrawing" distT="114300" distB="114300" distL="114300" distR="114300" wp14:anchorId="7D4FC00D" wp14:editId="7777777">
            <wp:extent cx="2681288" cy="2681288"/>
            <wp:effectExtent l="0" t="0" r="0" b="0"/>
            <wp:docPr id="33"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9"/>
                    <a:srcRect/>
                    <a:stretch>
                      <a:fillRect/>
                    </a:stretch>
                  </pic:blipFill>
                  <pic:spPr>
                    <a:xfrm>
                      <a:off x="0" y="0"/>
                      <a:ext cx="2681288" cy="2681288"/>
                    </a:xfrm>
                    <a:prstGeom prst="rect">
                      <a:avLst/>
                    </a:prstGeom>
                    <a:ln/>
                  </pic:spPr>
                </pic:pic>
              </a:graphicData>
            </a:graphic>
          </wp:inline>
        </w:drawing>
      </w:r>
    </w:p>
    <w:p xmlns:wp14="http://schemas.microsoft.com/office/word/2010/wordml" w:rsidR="00296AB9" w:rsidRDefault="00D2078E" w14:paraId="5108AC8E" wp14:textId="77777777">
      <w:pPr>
        <w:jc w:val="center"/>
        <w:rPr>
          <w:b/>
          <w:bCs/>
          <w:sz w:val="32"/>
          <w:szCs w:val="32"/>
        </w:rPr>
      </w:pPr>
      <w:r>
        <w:rPr>
          <w:b/>
          <w:bCs/>
          <w:sz w:val="32"/>
          <w:szCs w:val="32"/>
        </w:rPr>
        <w:t xml:space="preserve">Module: International Business Concepts </w:t>
      </w:r>
    </w:p>
    <w:p xmlns:wp14="http://schemas.microsoft.com/office/word/2010/wordml" w:rsidR="00296AB9" w:rsidRDefault="00D2078E" w14:paraId="0D6682FF" wp14:textId="77777777">
      <w:pPr>
        <w:jc w:val="center"/>
        <w:rPr>
          <w:b/>
          <w:bCs/>
          <w:sz w:val="32"/>
          <w:szCs w:val="32"/>
        </w:rPr>
      </w:pPr>
      <w:r>
        <w:rPr>
          <w:b/>
          <w:bCs/>
          <w:sz w:val="32"/>
          <w:szCs w:val="32"/>
        </w:rPr>
        <w:t>Module code: LCMB7034</w:t>
      </w:r>
    </w:p>
    <w:p xmlns:wp14="http://schemas.microsoft.com/office/word/2010/wordml" w:rsidR="00296AB9" w:rsidRDefault="00D2078E" w14:paraId="5F157CA1" wp14:textId="77777777">
      <w:pPr>
        <w:jc w:val="center"/>
        <w:rPr>
          <w:b/>
          <w:bCs/>
          <w:sz w:val="32"/>
          <w:szCs w:val="32"/>
        </w:rPr>
      </w:pPr>
      <w:r>
        <w:rPr>
          <w:b/>
          <w:bCs/>
          <w:sz w:val="32"/>
          <w:szCs w:val="32"/>
        </w:rPr>
        <w:t xml:space="preserve">Assignment Title: Report on the IT Industry of India </w:t>
      </w:r>
    </w:p>
    <w:p xmlns:wp14="http://schemas.microsoft.com/office/word/2010/wordml" w:rsidR="00296AB9" w:rsidRDefault="00D2078E" w14:paraId="382E3B85" wp14:textId="3AB0FB47">
      <w:pPr>
        <w:jc w:val="center"/>
        <w:rPr>
          <w:b w:val="1"/>
          <w:bCs w:val="1"/>
          <w:sz w:val="32"/>
          <w:szCs w:val="32"/>
        </w:rPr>
      </w:pPr>
      <w:r w:rsidRPr="7D117C42" w:rsidR="00D2078E">
        <w:rPr>
          <w:b w:val="1"/>
          <w:bCs w:val="1"/>
          <w:sz w:val="32"/>
          <w:szCs w:val="32"/>
        </w:rPr>
        <w:t>Student Name:</w:t>
      </w:r>
      <w:r w:rsidRPr="7D117C42" w:rsidR="004B7256">
        <w:rPr>
          <w:b w:val="1"/>
          <w:bCs w:val="1"/>
          <w:sz w:val="32"/>
          <w:szCs w:val="32"/>
        </w:rPr>
        <w:t xml:space="preserve"> Taranjot Randev</w:t>
      </w:r>
    </w:p>
    <w:p xmlns:wp14="http://schemas.microsoft.com/office/word/2010/wordml" w:rsidR="00296AB9" w:rsidRDefault="00D2078E" w14:paraId="4B4655DF" wp14:textId="0BB1BC88">
      <w:pPr>
        <w:jc w:val="center"/>
        <w:rPr>
          <w:b w:val="1"/>
          <w:bCs w:val="1"/>
          <w:sz w:val="32"/>
          <w:szCs w:val="32"/>
        </w:rPr>
      </w:pPr>
      <w:r w:rsidRPr="7D117C42" w:rsidR="442B6A6F">
        <w:rPr>
          <w:b w:val="1"/>
          <w:bCs w:val="1"/>
          <w:sz w:val="32"/>
          <w:szCs w:val="32"/>
        </w:rPr>
        <w:t xml:space="preserve"> Student </w:t>
      </w:r>
      <w:r w:rsidRPr="7D117C42" w:rsidR="00D2078E">
        <w:rPr>
          <w:b w:val="1"/>
          <w:bCs w:val="1"/>
          <w:sz w:val="32"/>
          <w:szCs w:val="32"/>
        </w:rPr>
        <w:t>ID:</w:t>
      </w:r>
      <w:r w:rsidRPr="7D117C42" w:rsidR="5B903374">
        <w:rPr>
          <w:b w:val="1"/>
          <w:bCs w:val="1"/>
          <w:sz w:val="32"/>
          <w:szCs w:val="32"/>
        </w:rPr>
        <w:t xml:space="preserve"> </w:t>
      </w:r>
      <w:r w:rsidRPr="7D117C42" w:rsidR="00F2A82D">
        <w:rPr>
          <w:b w:val="1"/>
          <w:bCs w:val="1"/>
          <w:sz w:val="32"/>
          <w:szCs w:val="32"/>
        </w:rPr>
        <w:t>2436053</w:t>
      </w:r>
    </w:p>
    <w:p xmlns:wp14="http://schemas.microsoft.com/office/word/2010/wordml" w:rsidR="00296AB9" w:rsidRDefault="00D2078E" w14:paraId="048F507D" wp14:textId="77777777">
      <w:pPr>
        <w:jc w:val="center"/>
        <w:rPr>
          <w:b/>
          <w:bCs/>
          <w:sz w:val="32"/>
          <w:szCs w:val="32"/>
        </w:rPr>
      </w:pPr>
      <w:r>
        <w:rPr>
          <w:b/>
          <w:bCs/>
          <w:sz w:val="32"/>
          <w:szCs w:val="32"/>
        </w:rPr>
        <w:t>Word count: 5404</w:t>
      </w:r>
    </w:p>
    <w:p xmlns:wp14="http://schemas.microsoft.com/office/word/2010/wordml" w:rsidR="00296AB9" w:rsidRDefault="00D2078E" w14:paraId="0A37501D" wp14:textId="77777777">
      <w:pPr>
        <w:jc w:val="center"/>
        <w:rPr>
          <w:b/>
          <w:bCs/>
          <w:sz w:val="32"/>
          <w:szCs w:val="32"/>
        </w:rPr>
      </w:pPr>
      <w:r>
        <w:br w:type="page"/>
      </w:r>
    </w:p>
    <w:p xmlns:wp14="http://schemas.microsoft.com/office/word/2010/wordml" w:rsidR="00296AB9" w:rsidRDefault="00D2078E" w14:paraId="22E0FC93" wp14:textId="77777777">
      <w:pPr>
        <w:jc w:val="center"/>
        <w:rPr>
          <w:b/>
          <w:bCs/>
        </w:rPr>
      </w:pPr>
      <w:r>
        <w:rPr>
          <w:b/>
          <w:bCs/>
        </w:rPr>
        <w:t>Table of Contents</w:t>
      </w:r>
    </w:p>
    <w:sdt>
      <w:sdtPr>
        <w:id w:val="464476783"/>
        <w:docPartObj>
          <w:docPartGallery w:val="Table of Contents"/>
          <w:docPartUnique/>
        </w:docPartObj>
      </w:sdtPr>
      <w:sdtEndPr/>
      <w:sdtContent>
        <w:p xmlns:wp14="http://schemas.microsoft.com/office/word/2010/wordml" w:rsidR="00296AB9" w:rsidRDefault="00D2078E" w14:paraId="5DEEBAAF" wp14:textId="77777777">
          <w:pPr>
            <w:pBdr>
              <w:top w:val="nil"/>
              <w:left w:val="nil"/>
              <w:bottom w:val="nil"/>
              <w:right w:val="nil"/>
              <w:between w:val="nil"/>
            </w:pBdr>
            <w:tabs>
              <w:tab w:val="right" w:pos="9350"/>
            </w:tabs>
            <w:spacing w:after="100"/>
          </w:pPr>
          <w:r>
            <w:fldChar w:fldCharType="begin"/>
          </w:r>
          <w:r>
            <w:instrText xml:space="preserve"> TOC \h \u \z \t "</w:instrText>
          </w:r>
          <w:r>
            <w:instrText>Heading 1,1,Heading 2,2,Heading 3,3,Heading 4,4,Heading 5,5,Heading 6,6,"</w:instrText>
          </w:r>
          <w:r>
            <w:fldChar w:fldCharType="separate"/>
          </w:r>
          <w:hyperlink w:anchor="_heading=h.ep83fl2c0fp5">
            <w:r>
              <w:t>Section 1: International Industry Report</w:t>
            </w:r>
            <w:r>
              <w:tab/>
            </w:r>
            <w:r>
              <w:t>3</w:t>
            </w:r>
          </w:hyperlink>
        </w:p>
        <w:p xmlns:wp14="http://schemas.microsoft.com/office/word/2010/wordml" w:rsidR="00296AB9" w:rsidRDefault="00D2078E" w14:paraId="082D95B7" wp14:textId="77777777">
          <w:pPr>
            <w:pBdr>
              <w:top w:val="nil"/>
              <w:left w:val="nil"/>
              <w:bottom w:val="nil"/>
              <w:right w:val="nil"/>
              <w:between w:val="nil"/>
            </w:pBdr>
            <w:tabs>
              <w:tab w:val="right" w:pos="9350"/>
            </w:tabs>
            <w:spacing w:after="100"/>
            <w:ind w:left="240"/>
          </w:pPr>
          <w:hyperlink w:anchor="_heading=h.8lftk264xjzq">
            <w:r>
              <w:t>1. Introduction to the report</w:t>
            </w:r>
            <w:r>
              <w:tab/>
            </w:r>
            <w:r>
              <w:t>3</w:t>
            </w:r>
          </w:hyperlink>
        </w:p>
        <w:p xmlns:wp14="http://schemas.microsoft.com/office/word/2010/wordml" w:rsidR="00296AB9" w:rsidRDefault="00D2078E" w14:paraId="7AA71A18" wp14:textId="77777777">
          <w:pPr>
            <w:pBdr>
              <w:top w:val="nil"/>
              <w:left w:val="nil"/>
              <w:bottom w:val="nil"/>
              <w:right w:val="nil"/>
              <w:between w:val="nil"/>
            </w:pBdr>
            <w:tabs>
              <w:tab w:val="right" w:pos="9350"/>
            </w:tabs>
            <w:spacing w:after="100"/>
            <w:ind w:left="240"/>
          </w:pPr>
          <w:hyperlink w:anchor="_heading=h.yz05cvjxox41">
            <w:r>
              <w:t>2. Industry and Country Overview</w:t>
            </w:r>
            <w:r>
              <w:tab/>
            </w:r>
            <w:r>
              <w:t>3</w:t>
            </w:r>
          </w:hyperlink>
        </w:p>
        <w:p xmlns:wp14="http://schemas.microsoft.com/office/word/2010/wordml" w:rsidR="00296AB9" w:rsidRDefault="00D2078E" w14:paraId="3385526A" wp14:textId="77777777">
          <w:pPr>
            <w:pBdr>
              <w:top w:val="nil"/>
              <w:left w:val="nil"/>
              <w:bottom w:val="nil"/>
              <w:right w:val="nil"/>
              <w:between w:val="nil"/>
            </w:pBdr>
            <w:tabs>
              <w:tab w:val="right" w:pos="9350"/>
            </w:tabs>
            <w:spacing w:after="100"/>
            <w:ind w:left="240"/>
          </w:pPr>
          <w:hyperlink w:anchor="_heading=h.ewdubwutblf3">
            <w:r>
              <w:t>2.1 Industry overview: IT sector India</w:t>
            </w:r>
            <w:r>
              <w:tab/>
            </w:r>
            <w:r>
              <w:t>3</w:t>
            </w:r>
          </w:hyperlink>
        </w:p>
        <w:p xmlns:wp14="http://schemas.microsoft.com/office/word/2010/wordml" w:rsidR="00296AB9" w:rsidRDefault="00D2078E" w14:paraId="4889D7AF" wp14:textId="77777777">
          <w:pPr>
            <w:pBdr>
              <w:top w:val="nil"/>
              <w:left w:val="nil"/>
              <w:bottom w:val="nil"/>
              <w:right w:val="nil"/>
              <w:between w:val="nil"/>
            </w:pBdr>
            <w:tabs>
              <w:tab w:val="right" w:pos="9350"/>
            </w:tabs>
            <w:spacing w:after="100"/>
            <w:ind w:left="240"/>
          </w:pPr>
          <w:hyperlink w:anchor="_heading=h.kx62a5wsolcn">
            <w:r>
              <w:t>2.2 Size, scope, and economic importance of IT sector_200</w:t>
            </w:r>
            <w:r>
              <w:tab/>
            </w:r>
            <w:r>
              <w:t>4</w:t>
            </w:r>
          </w:hyperlink>
        </w:p>
        <w:p xmlns:wp14="http://schemas.microsoft.com/office/word/2010/wordml" w:rsidR="00296AB9" w:rsidRDefault="00D2078E" w14:paraId="77A6BE82" wp14:textId="77777777">
          <w:pPr>
            <w:pBdr>
              <w:top w:val="nil"/>
              <w:left w:val="nil"/>
              <w:bottom w:val="nil"/>
              <w:right w:val="nil"/>
              <w:between w:val="nil"/>
            </w:pBdr>
            <w:tabs>
              <w:tab w:val="right" w:pos="9350"/>
            </w:tabs>
            <w:spacing w:after="100"/>
            <w:ind w:left="240"/>
          </w:pPr>
          <w:hyperlink w:anchor="_heading=h.waackrqqgeaj">
            <w:r>
              <w:t>2.3 Major domestic and multinational firms operating</w:t>
            </w:r>
            <w:r>
              <w:tab/>
            </w:r>
            <w:r>
              <w:t>5</w:t>
            </w:r>
          </w:hyperlink>
        </w:p>
        <w:p xmlns:wp14="http://schemas.microsoft.com/office/word/2010/wordml" w:rsidR="00296AB9" w:rsidRDefault="00D2078E" w14:paraId="42320CB9" wp14:textId="77777777">
          <w:pPr>
            <w:pBdr>
              <w:top w:val="nil"/>
              <w:left w:val="nil"/>
              <w:bottom w:val="nil"/>
              <w:right w:val="nil"/>
              <w:between w:val="nil"/>
            </w:pBdr>
            <w:tabs>
              <w:tab w:val="right" w:pos="9350"/>
            </w:tabs>
            <w:spacing w:after="100"/>
            <w:ind w:left="240"/>
          </w:pPr>
          <w:hyperlink w:anchor="_heading=h.n771u0n0c7li">
            <w:r>
              <w:t>3. Global Competitiveness: Michael Porter’s Diamond Model of National Advantage</w:t>
            </w:r>
            <w:r>
              <w:tab/>
            </w:r>
            <w:r>
              <w:t>7</w:t>
            </w:r>
          </w:hyperlink>
        </w:p>
        <w:p xmlns:wp14="http://schemas.microsoft.com/office/word/2010/wordml" w:rsidR="00296AB9" w:rsidRDefault="00D2078E" w14:paraId="1D0E5117" wp14:textId="77777777">
          <w:pPr>
            <w:pBdr>
              <w:top w:val="nil"/>
              <w:left w:val="nil"/>
              <w:bottom w:val="nil"/>
              <w:right w:val="nil"/>
              <w:between w:val="nil"/>
            </w:pBdr>
            <w:tabs>
              <w:tab w:val="right" w:pos="9350"/>
            </w:tabs>
            <w:spacing w:after="100"/>
            <w:ind w:left="240"/>
          </w:pPr>
          <w:hyperlink w:anchor="_heading=h.fvrcc4qshscw">
            <w:r>
              <w:t>4. Identifying foreign MNCs/TNCs operating in India</w:t>
            </w:r>
            <w:r>
              <w:tab/>
            </w:r>
            <w:r>
              <w:t>10</w:t>
            </w:r>
          </w:hyperlink>
        </w:p>
        <w:p xmlns:wp14="http://schemas.microsoft.com/office/word/2010/wordml" w:rsidR="00296AB9" w:rsidRDefault="00D2078E" w14:paraId="6AB8A140" wp14:textId="77777777">
          <w:pPr>
            <w:pBdr>
              <w:top w:val="nil"/>
              <w:left w:val="nil"/>
              <w:bottom w:val="nil"/>
              <w:right w:val="nil"/>
              <w:between w:val="nil"/>
            </w:pBdr>
            <w:tabs>
              <w:tab w:val="right" w:pos="9350"/>
            </w:tabs>
            <w:spacing w:after="100"/>
            <w:ind w:left="480"/>
          </w:pPr>
          <w:hyperlink w:anchor="_heading=h.v7ayngcepkx9">
            <w:r>
              <w:t>4.1 One chosen MNC operating in the Indian IT sector</w:t>
            </w:r>
            <w:r>
              <w:tab/>
            </w:r>
            <w:r>
              <w:t>10</w:t>
            </w:r>
          </w:hyperlink>
        </w:p>
        <w:p xmlns:wp14="http://schemas.microsoft.com/office/word/2010/wordml" w:rsidR="00296AB9" w:rsidRDefault="00D2078E" w14:paraId="0A5684FB" wp14:textId="77777777">
          <w:pPr>
            <w:pBdr>
              <w:top w:val="nil"/>
              <w:left w:val="nil"/>
              <w:bottom w:val="nil"/>
              <w:right w:val="nil"/>
              <w:between w:val="nil"/>
            </w:pBdr>
            <w:tabs>
              <w:tab w:val="right" w:pos="9350"/>
            </w:tabs>
            <w:spacing w:after="100"/>
            <w:ind w:left="480"/>
          </w:pPr>
          <w:hyperlink w:anchor="_heading=h.3leg7iy1zgbd">
            <w:r>
              <w:t>4.2 Evaluating internal &amp; external factors on success of chosen MNC’s operations in India</w:t>
            </w:r>
            <w:r>
              <w:tab/>
            </w:r>
            <w:r>
              <w:t>11</w:t>
            </w:r>
          </w:hyperlink>
        </w:p>
        <w:p xmlns:wp14="http://schemas.microsoft.com/office/word/2010/wordml" w:rsidR="00296AB9" w:rsidRDefault="00D2078E" w14:paraId="1F60F329" wp14:textId="77777777">
          <w:pPr>
            <w:pBdr>
              <w:top w:val="nil"/>
              <w:left w:val="nil"/>
              <w:bottom w:val="nil"/>
              <w:right w:val="nil"/>
              <w:between w:val="nil"/>
            </w:pBdr>
            <w:tabs>
              <w:tab w:val="right" w:pos="9350"/>
            </w:tabs>
            <w:spacing w:after="100"/>
            <w:ind w:left="720"/>
          </w:pPr>
          <w:hyperlink w:anchor="_heading=h.91yezyossudi">
            <w:r>
              <w:t>4.2.1 PESTLE framework: External factors of market attractiveness of Indian IT industry</w:t>
            </w:r>
            <w:r>
              <w:tab/>
            </w:r>
            <w:r>
              <w:t>11</w:t>
            </w:r>
          </w:hyperlink>
        </w:p>
        <w:p xmlns:wp14="http://schemas.microsoft.com/office/word/2010/wordml" w:rsidR="00296AB9" w:rsidRDefault="00D2078E" w14:paraId="130B3C5B" wp14:textId="77777777">
          <w:pPr>
            <w:pBdr>
              <w:top w:val="nil"/>
              <w:left w:val="nil"/>
              <w:bottom w:val="nil"/>
              <w:right w:val="nil"/>
              <w:between w:val="nil"/>
            </w:pBdr>
            <w:tabs>
              <w:tab w:val="right" w:pos="9350"/>
            </w:tabs>
            <w:spacing w:after="100"/>
            <w:ind w:left="720"/>
          </w:pPr>
          <w:hyperlink w:anchor="_heading=h.ce87eeyiw4vq">
            <w:r>
              <w:t>4.2.2 CAGE framework on cultural, administrative, Geographical &amp; economic factors between host &amp; home country of the chosen IT MNC</w:t>
            </w:r>
            <w:r>
              <w:tab/>
            </w:r>
            <w:r>
              <w:t>13</w:t>
            </w:r>
          </w:hyperlink>
        </w:p>
        <w:p xmlns:wp14="http://schemas.microsoft.com/office/word/2010/wordml" w:rsidR="00296AB9" w:rsidRDefault="00D2078E" w14:paraId="1F32A4A4" wp14:textId="77777777">
          <w:pPr>
            <w:pBdr>
              <w:top w:val="nil"/>
              <w:left w:val="nil"/>
              <w:bottom w:val="nil"/>
              <w:right w:val="nil"/>
              <w:between w:val="nil"/>
            </w:pBdr>
            <w:tabs>
              <w:tab w:val="right" w:pos="9350"/>
            </w:tabs>
            <w:spacing w:after="100"/>
            <w:ind w:left="720"/>
          </w:pPr>
          <w:hyperlink w:anchor="_heading=h.qotnxqvs1k1r">
            <w:r>
              <w:t>4.2.3 Porter’s five forces on the competitive IT landsca</w:t>
            </w:r>
            <w:r>
              <w:t>pe of India</w:t>
            </w:r>
            <w:r>
              <w:tab/>
            </w:r>
            <w:r>
              <w:t>15</w:t>
            </w:r>
          </w:hyperlink>
        </w:p>
        <w:p xmlns:wp14="http://schemas.microsoft.com/office/word/2010/wordml" w:rsidR="00296AB9" w:rsidRDefault="00D2078E" w14:paraId="225C7422" wp14:textId="77777777">
          <w:pPr>
            <w:pBdr>
              <w:top w:val="nil"/>
              <w:left w:val="nil"/>
              <w:bottom w:val="nil"/>
              <w:right w:val="nil"/>
              <w:between w:val="nil"/>
            </w:pBdr>
            <w:tabs>
              <w:tab w:val="right" w:pos="9350"/>
            </w:tabs>
            <w:spacing w:after="100"/>
            <w:ind w:left="720"/>
          </w:pPr>
          <w:hyperlink w:anchor="_heading=h.p0gya9inbdz8">
            <w:r>
              <w:t>4.2.4 SWOT on chosen IT MNC</w:t>
            </w:r>
            <w:r>
              <w:tab/>
            </w:r>
            <w:r>
              <w:t>17</w:t>
            </w:r>
          </w:hyperlink>
        </w:p>
        <w:p xmlns:wp14="http://schemas.microsoft.com/office/word/2010/wordml" w:rsidR="00296AB9" w:rsidRDefault="00D2078E" w14:paraId="378C1F70" wp14:textId="77777777">
          <w:pPr>
            <w:pBdr>
              <w:top w:val="nil"/>
              <w:left w:val="nil"/>
              <w:bottom w:val="nil"/>
              <w:right w:val="nil"/>
              <w:between w:val="nil"/>
            </w:pBdr>
            <w:tabs>
              <w:tab w:val="right" w:pos="9350"/>
            </w:tabs>
            <w:spacing w:after="100"/>
            <w:ind w:left="720"/>
          </w:pPr>
          <w:hyperlink w:anchor="_heading=h.18xvrpwmrzil">
            <w:r>
              <w:t>4.2.5 BCG matrix on relative IT market share &amp; growth for chosen MNC in India</w:t>
            </w:r>
            <w:r>
              <w:tab/>
            </w:r>
            <w:r>
              <w:t>18</w:t>
            </w:r>
          </w:hyperlink>
        </w:p>
        <w:p xmlns:wp14="http://schemas.microsoft.com/office/word/2010/wordml" w:rsidR="00296AB9" w:rsidRDefault="00D2078E" w14:paraId="3475D49A" wp14:textId="77777777">
          <w:pPr>
            <w:pBdr>
              <w:top w:val="nil"/>
              <w:left w:val="nil"/>
              <w:bottom w:val="nil"/>
              <w:right w:val="nil"/>
              <w:between w:val="nil"/>
            </w:pBdr>
            <w:tabs>
              <w:tab w:val="right" w:pos="9350"/>
            </w:tabs>
            <w:spacing w:after="100"/>
            <w:ind w:left="720"/>
          </w:pPr>
          <w:hyperlink w:anchor="_heading=h.z06zsly4vdo4">
            <w:r>
              <w:t>4.2.6 Based on analysis, Identifying CSFs impacting success of operations of the MNC in Indian IT industry</w:t>
            </w:r>
            <w:r>
              <w:tab/>
            </w:r>
            <w:r>
              <w:t>20</w:t>
            </w:r>
          </w:hyperlink>
        </w:p>
        <w:p xmlns:wp14="http://schemas.microsoft.com/office/word/2010/wordml" w:rsidR="00296AB9" w:rsidRDefault="00D2078E" w14:paraId="293F7AEC" wp14:textId="77777777">
          <w:pPr>
            <w:pBdr>
              <w:top w:val="nil"/>
              <w:left w:val="nil"/>
              <w:bottom w:val="nil"/>
              <w:right w:val="nil"/>
              <w:between w:val="nil"/>
            </w:pBdr>
            <w:tabs>
              <w:tab w:val="right" w:pos="9350"/>
            </w:tabs>
            <w:spacing w:after="100"/>
            <w:ind w:left="720"/>
          </w:pPr>
          <w:hyperlink w:anchor="_heading=h.er0lnqh3uvyz">
            <w:r>
              <w:t>4.2.7 Value chain framework on operational success for the MNC in IT sector of India</w:t>
            </w:r>
            <w:r>
              <w:tab/>
            </w:r>
            <w:r>
              <w:t>20</w:t>
            </w:r>
          </w:hyperlink>
        </w:p>
        <w:p xmlns:wp14="http://schemas.microsoft.com/office/word/2010/wordml" w:rsidR="00296AB9" w:rsidRDefault="00D2078E" w14:paraId="686AF442" wp14:textId="77777777">
          <w:pPr>
            <w:pBdr>
              <w:top w:val="nil"/>
              <w:left w:val="nil"/>
              <w:bottom w:val="nil"/>
              <w:right w:val="nil"/>
              <w:between w:val="nil"/>
            </w:pBdr>
            <w:tabs>
              <w:tab w:val="right" w:pos="9350"/>
            </w:tabs>
            <w:spacing w:after="100"/>
            <w:ind w:left="240"/>
          </w:pPr>
          <w:hyperlink w:anchor="_heading=h.ye52jlb4zoea">
            <w:r>
              <w:t>5. Conclusion to the report</w:t>
            </w:r>
            <w:r>
              <w:tab/>
            </w:r>
            <w:r>
              <w:t>21</w:t>
            </w:r>
          </w:hyperlink>
        </w:p>
        <w:p xmlns:wp14="http://schemas.microsoft.com/office/word/2010/wordml" w:rsidR="00296AB9" w:rsidRDefault="00D2078E" w14:paraId="56D24E50" wp14:textId="77777777">
          <w:pPr>
            <w:pBdr>
              <w:top w:val="nil"/>
              <w:left w:val="nil"/>
              <w:bottom w:val="nil"/>
              <w:right w:val="nil"/>
              <w:between w:val="nil"/>
            </w:pBdr>
            <w:tabs>
              <w:tab w:val="right" w:pos="9350"/>
            </w:tabs>
            <w:spacing w:after="100"/>
          </w:pPr>
          <w:hyperlink w:anchor="_heading=h.15thh9xdarpv">
            <w:r>
              <w:t>Section 2:  Reflective Account</w:t>
            </w:r>
            <w:r>
              <w:tab/>
            </w:r>
            <w:r>
              <w:t>23</w:t>
            </w:r>
          </w:hyperlink>
        </w:p>
        <w:p xmlns:wp14="http://schemas.microsoft.com/office/word/2010/wordml" w:rsidR="00296AB9" w:rsidRDefault="00D2078E" w14:paraId="1863DF5B" wp14:textId="77777777">
          <w:pPr>
            <w:pBdr>
              <w:top w:val="nil"/>
              <w:left w:val="nil"/>
              <w:bottom w:val="nil"/>
              <w:right w:val="nil"/>
              <w:between w:val="nil"/>
            </w:pBdr>
            <w:tabs>
              <w:tab w:val="right" w:pos="9350"/>
            </w:tabs>
            <w:spacing w:after="100"/>
            <w:ind w:left="240"/>
          </w:pPr>
          <w:hyperlink w:anchor="_heading=h.g7rlv9hti8dc">
            <w:r>
              <w:t>Introducing reflective model: Gibbs reflective cycle</w:t>
            </w:r>
            <w:r>
              <w:tab/>
            </w:r>
            <w:r>
              <w:t>23</w:t>
            </w:r>
          </w:hyperlink>
        </w:p>
        <w:p xmlns:wp14="http://schemas.microsoft.com/office/word/2010/wordml" w:rsidR="00296AB9" w:rsidRDefault="00D2078E" w14:paraId="3B316AD9" wp14:textId="77777777">
          <w:pPr>
            <w:pBdr>
              <w:top w:val="nil"/>
              <w:left w:val="nil"/>
              <w:bottom w:val="nil"/>
              <w:right w:val="nil"/>
              <w:between w:val="nil"/>
            </w:pBdr>
            <w:tabs>
              <w:tab w:val="right" w:pos="9350"/>
            </w:tabs>
            <w:spacing w:after="100"/>
            <w:ind w:left="240"/>
          </w:pPr>
          <w:hyperlink w:anchor="_heading=h.duf9vetbv7u2">
            <w:r>
              <w:t>Gibbs' reflection on reflective process of my researching, analysing and preparing previous section of the assignment</w:t>
            </w:r>
            <w:r>
              <w:tab/>
            </w:r>
            <w:r>
              <w:t>23</w:t>
            </w:r>
          </w:hyperlink>
        </w:p>
        <w:p xmlns:wp14="http://schemas.microsoft.com/office/word/2010/wordml" w:rsidR="00296AB9" w:rsidRDefault="00D2078E" w14:paraId="72902A6A" wp14:textId="77777777">
          <w:pPr>
            <w:pBdr>
              <w:top w:val="nil"/>
              <w:left w:val="nil"/>
              <w:bottom w:val="nil"/>
              <w:right w:val="nil"/>
              <w:between w:val="nil"/>
            </w:pBdr>
            <w:tabs>
              <w:tab w:val="right" w:pos="9350"/>
            </w:tabs>
            <w:spacing w:after="100"/>
            <w:ind w:left="480"/>
          </w:pPr>
          <w:hyperlink w:anchor="_heading=h.7xlhgiy6v3uz">
            <w:r>
              <w:t>Description:</w:t>
            </w:r>
            <w:r>
              <w:tab/>
            </w:r>
            <w:r>
              <w:t>23</w:t>
            </w:r>
          </w:hyperlink>
        </w:p>
        <w:p xmlns:wp14="http://schemas.microsoft.com/office/word/2010/wordml" w:rsidR="00296AB9" w:rsidRDefault="00D2078E" w14:paraId="19D98467" wp14:textId="77777777">
          <w:pPr>
            <w:pBdr>
              <w:top w:val="nil"/>
              <w:left w:val="nil"/>
              <w:bottom w:val="nil"/>
              <w:right w:val="nil"/>
              <w:between w:val="nil"/>
            </w:pBdr>
            <w:tabs>
              <w:tab w:val="right" w:pos="9350"/>
            </w:tabs>
            <w:spacing w:after="100"/>
            <w:ind w:left="480"/>
          </w:pPr>
          <w:hyperlink w:anchor="_heading=h.w5zwlpwtnk7j">
            <w:r>
              <w:t>Feelings:</w:t>
            </w:r>
            <w:r>
              <w:tab/>
            </w:r>
            <w:r>
              <w:t>24</w:t>
            </w:r>
          </w:hyperlink>
        </w:p>
        <w:p xmlns:wp14="http://schemas.microsoft.com/office/word/2010/wordml" w:rsidR="00296AB9" w:rsidRDefault="00D2078E" w14:paraId="27AED954" wp14:textId="77777777">
          <w:pPr>
            <w:pBdr>
              <w:top w:val="nil"/>
              <w:left w:val="nil"/>
              <w:bottom w:val="nil"/>
              <w:right w:val="nil"/>
              <w:between w:val="nil"/>
            </w:pBdr>
            <w:tabs>
              <w:tab w:val="right" w:pos="9350"/>
            </w:tabs>
            <w:spacing w:after="100"/>
            <w:ind w:left="480"/>
          </w:pPr>
          <w:hyperlink w:anchor="_heading=h.plscfgo9co55">
            <w:r>
              <w:t>Evaluation:</w:t>
            </w:r>
            <w:r>
              <w:tab/>
            </w:r>
            <w:r>
              <w:t>24</w:t>
            </w:r>
          </w:hyperlink>
        </w:p>
        <w:p xmlns:wp14="http://schemas.microsoft.com/office/word/2010/wordml" w:rsidR="00296AB9" w:rsidRDefault="00D2078E" w14:paraId="74098389" wp14:textId="77777777">
          <w:pPr>
            <w:pBdr>
              <w:top w:val="nil"/>
              <w:left w:val="nil"/>
              <w:bottom w:val="nil"/>
              <w:right w:val="nil"/>
              <w:between w:val="nil"/>
            </w:pBdr>
            <w:tabs>
              <w:tab w:val="right" w:pos="9350"/>
            </w:tabs>
            <w:spacing w:after="100"/>
            <w:ind w:left="480"/>
          </w:pPr>
          <w:hyperlink w:anchor="_heading=h.p1xtocct2q66">
            <w:r>
              <w:t>Analysis:</w:t>
            </w:r>
            <w:r>
              <w:tab/>
            </w:r>
            <w:r>
              <w:t>25</w:t>
            </w:r>
          </w:hyperlink>
        </w:p>
        <w:p xmlns:wp14="http://schemas.microsoft.com/office/word/2010/wordml" w:rsidR="00296AB9" w:rsidRDefault="00D2078E" w14:paraId="4EE15078" wp14:textId="77777777">
          <w:pPr>
            <w:pBdr>
              <w:top w:val="nil"/>
              <w:left w:val="nil"/>
              <w:bottom w:val="nil"/>
              <w:right w:val="nil"/>
              <w:between w:val="nil"/>
            </w:pBdr>
            <w:tabs>
              <w:tab w:val="right" w:pos="9350"/>
            </w:tabs>
            <w:spacing w:after="100"/>
            <w:ind w:left="480"/>
          </w:pPr>
          <w:hyperlink w:anchor="_heading=h.nx2912f2nby">
            <w:r>
              <w:t>Conclusion:</w:t>
            </w:r>
            <w:r>
              <w:tab/>
            </w:r>
            <w:r>
              <w:t>26</w:t>
            </w:r>
          </w:hyperlink>
        </w:p>
        <w:p xmlns:wp14="http://schemas.microsoft.com/office/word/2010/wordml" w:rsidR="00296AB9" w:rsidRDefault="00D2078E" w14:paraId="43249002" wp14:textId="77777777">
          <w:pPr>
            <w:pBdr>
              <w:top w:val="nil"/>
              <w:left w:val="nil"/>
              <w:bottom w:val="nil"/>
              <w:right w:val="nil"/>
              <w:between w:val="nil"/>
            </w:pBdr>
            <w:tabs>
              <w:tab w:val="right" w:pos="9350"/>
            </w:tabs>
            <w:spacing w:after="100"/>
            <w:ind w:left="480"/>
          </w:pPr>
          <w:hyperlink w:anchor="_heading=h.eypzj3ocx9v6">
            <w:r>
              <w:t>Action plan</w:t>
            </w:r>
            <w:r>
              <w:tab/>
            </w:r>
            <w:r>
              <w:t>26</w:t>
            </w:r>
          </w:hyperlink>
        </w:p>
        <w:p xmlns:wp14="http://schemas.microsoft.com/office/word/2010/wordml" w:rsidR="00296AB9" w:rsidRDefault="00D2078E" w14:paraId="6E9E9512" wp14:textId="77777777">
          <w:pPr>
            <w:pBdr>
              <w:top w:val="nil"/>
              <w:left w:val="nil"/>
              <w:bottom w:val="nil"/>
              <w:right w:val="nil"/>
              <w:between w:val="nil"/>
            </w:pBdr>
            <w:tabs>
              <w:tab w:val="right" w:pos="9350"/>
            </w:tabs>
            <w:spacing w:after="100"/>
          </w:pPr>
          <w:hyperlink w:anchor="_heading=h.aadvmt289b8i">
            <w:r>
              <w:t>References</w:t>
            </w:r>
            <w:r>
              <w:tab/>
            </w:r>
            <w:r>
              <w:t>27</w:t>
            </w:r>
          </w:hyperlink>
        </w:p>
        <w:p xmlns:wp14="http://schemas.microsoft.com/office/word/2010/wordml" w:rsidR="00296AB9" w:rsidRDefault="00D2078E" w14:paraId="5DAB6C7B" wp14:textId="77777777">
          <w:pPr>
            <w:widowControl w:val="0"/>
            <w:tabs>
              <w:tab w:val="right" w:pos="12000"/>
            </w:tabs>
            <w:spacing w:before="0" w:after="0"/>
            <w:jc w:val="left"/>
            <w:rPr>
              <w:color w:val="000000"/>
            </w:rPr>
          </w:pPr>
          <w:r>
            <w:fldChar w:fldCharType="end"/>
          </w:r>
        </w:p>
      </w:sdtContent>
    </w:sdt>
    <w:p xmlns:wp14="http://schemas.microsoft.com/office/word/2010/wordml" w:rsidR="00296AB9" w:rsidRDefault="00D2078E" w14:paraId="02EB378F" wp14:textId="77777777">
      <w:r>
        <w:br w:type="page"/>
      </w:r>
    </w:p>
    <w:p xmlns:wp14="http://schemas.microsoft.com/office/word/2010/wordml" w:rsidR="00296AB9" w:rsidRDefault="00D2078E" w14:paraId="0530BE99" wp14:textId="77777777">
      <w:pPr>
        <w:pStyle w:val="Heading1"/>
      </w:pPr>
      <w:bookmarkStart w:name="_heading=h.ep83fl2c0fp5" w:colFirst="0" w:colLast="0" w:id="0"/>
      <w:bookmarkEnd w:id="0"/>
      <w:r>
        <w:t xml:space="preserve">Section 1: International Industry Report </w:t>
      </w:r>
    </w:p>
    <w:p xmlns:wp14="http://schemas.microsoft.com/office/word/2010/wordml" w:rsidR="00296AB9" w:rsidRDefault="00D2078E" w14:paraId="6547EA90" wp14:textId="77777777">
      <w:pPr>
        <w:pStyle w:val="Heading2"/>
        <w:rPr>
          <w:color w:val="FF0000"/>
        </w:rPr>
      </w:pPr>
      <w:bookmarkStart w:name="_heading=h.8lftk264xjzq" w:colFirst="0" w:colLast="0" w:id="1"/>
      <w:bookmarkEnd w:id="1"/>
      <w:r>
        <w:t>1. Introduction to the report</w:t>
      </w:r>
    </w:p>
    <w:p xmlns:wp14="http://schemas.microsoft.com/office/word/2010/wordml" w:rsidR="00296AB9" w:rsidRDefault="00D2078E" w14:paraId="02C57A54" wp14:textId="77777777">
      <w:r>
        <w:t>In the pursuit of relevant commercial transactions, the concept of international business is crucial in driving the aspects of globalisation and generating profits. In this context, the purpose of the concerned report is to critically evaluate the internat</w:t>
      </w:r>
      <w:r>
        <w:t>ional business environment of a nation. The report has chosen the international marketplace of India and ensured a specific focus on the IT sector operating in this nation. In this regard, the study will offer a comprehensive overview of the Indian IT sect</w:t>
      </w:r>
      <w:r>
        <w:t>or, considering its size, scope, and economic importance to the nation. It will further identify major domestic and multinational firms operating in the Indian IT landscape. Besides, the study will identify the global competitiveness of the industry with t</w:t>
      </w:r>
      <w:r>
        <w:t xml:space="preserve">he application of Michael Porter’s Diamond Model of National Advantage. Also, the report will focus on foreign MNCs/TNCs operating in the IT domain of India, considering political, economic, legal and cultural factors. </w:t>
      </w:r>
    </w:p>
    <w:p xmlns:wp14="http://schemas.microsoft.com/office/word/2010/wordml" w:rsidR="00296AB9" w:rsidRDefault="00D2078E" w14:paraId="0023E299" wp14:textId="77777777">
      <w:pPr>
        <w:pStyle w:val="Heading2"/>
        <w:rPr>
          <w:color w:val="FF0000"/>
        </w:rPr>
      </w:pPr>
      <w:bookmarkStart w:name="_heading=h.yz05cvjxox41" w:colFirst="0" w:colLast="0" w:id="2"/>
      <w:bookmarkEnd w:id="2"/>
      <w:r>
        <w:t xml:space="preserve">2. Industry and Country Overview </w:t>
      </w:r>
    </w:p>
    <w:p xmlns:wp14="http://schemas.microsoft.com/office/word/2010/wordml" w:rsidR="00296AB9" w:rsidRDefault="00D2078E" w14:paraId="4FD9F2F8" wp14:textId="77777777">
      <w:pPr>
        <w:pStyle w:val="Heading2"/>
      </w:pPr>
      <w:bookmarkStart w:name="_heading=h.ewdubwutblf3" w:colFirst="0" w:colLast="0" w:id="3"/>
      <w:bookmarkEnd w:id="3"/>
      <w:r>
        <w:t>2.</w:t>
      </w:r>
      <w:r>
        <w:t>1 Industry overview: IT sector India</w:t>
      </w:r>
    </w:p>
    <w:p xmlns:wp14="http://schemas.microsoft.com/office/word/2010/wordml" w:rsidR="00296AB9" w:rsidRDefault="00D2078E" w14:paraId="4070367B" wp14:textId="77777777">
      <w:r w:rsidR="00D2078E">
        <w:rPr/>
        <w:t xml:space="preserve">The information technology (IT) industry of India is identified as a major industry of the nation. In the </w:t>
      </w:r>
      <w:r w:rsidR="00D2078E">
        <w:rPr/>
        <w:t>initial</w:t>
      </w:r>
      <w:r w:rsidR="00D2078E">
        <w:rPr/>
        <w:t xml:space="preserve"> phase, the IT sector is highlighted to be the strongest pillar of the Indian economy and is significantly</w:t>
      </w:r>
      <w:r w:rsidR="00D2078E">
        <w:rPr/>
        <w:t xml:space="preserve"> contributing towards the aspects of growth opportunities, </w:t>
      </w:r>
      <w:r w:rsidR="00D2078E">
        <w:rPr/>
        <w:t>employment</w:t>
      </w:r>
      <w:r w:rsidR="00D2078E">
        <w:rPr/>
        <w:t xml:space="preserve"> and overall public welfare </w:t>
      </w:r>
      <w:r w:rsidRPr="703578A6" w:rsidR="00D2078E">
        <w:rPr>
          <w:b w:val="0"/>
          <w:bCs w:val="0"/>
          <w:color w:val="000000" w:themeColor="text1" w:themeTint="FF" w:themeShade="FF"/>
        </w:rPr>
        <w:t>(</w:t>
      </w:r>
      <w:r w:rsidRPr="703578A6" w:rsidR="00D2078E">
        <w:rPr>
          <w:b w:val="0"/>
          <w:bCs w:val="0"/>
          <w:color w:val="000000" w:themeColor="text1" w:themeTint="FF" w:themeShade="FF"/>
          <w:highlight w:val="white"/>
        </w:rPr>
        <w:t>IBEF 2025)</w:t>
      </w:r>
      <w:r w:rsidRPr="703578A6" w:rsidR="00D2078E">
        <w:rPr>
          <w:color w:val="FF0000"/>
        </w:rPr>
        <w:t>.</w:t>
      </w:r>
      <w:r w:rsidR="00D2078E">
        <w:rPr/>
        <w:t xml:space="preserve"> As of 2025, the sector has recorded a growth of 16% in terms of hiring, which is further driven by understanding the evolving needs of artificial </w:t>
      </w:r>
      <w:r w:rsidR="00D2078E">
        <w:rPr/>
        <w:t xml:space="preserve">intelligence and cloud modernisation, in addition to the expansion of Global Capability Centres (GCCs) </w:t>
      </w:r>
      <w:r w:rsidRPr="703578A6" w:rsidR="00D2078E">
        <w:rPr>
          <w:color w:val="000000" w:themeColor="text1" w:themeTint="FF" w:themeShade="FF"/>
        </w:rPr>
        <w:t>(IBEF, 2026)</w:t>
      </w:r>
      <w:r w:rsidRPr="703578A6" w:rsidR="00D2078E">
        <w:rPr>
          <w:color w:val="FF0000"/>
        </w:rPr>
        <w:t>.</w:t>
      </w:r>
      <w:r w:rsidR="00D2078E">
        <w:rPr/>
        <w:t xml:space="preserve"> Besides, the growth of the Indian IT landscape is significantly driven by the development of new hubs across non-metro cities, including Ud</w:t>
      </w:r>
      <w:r w:rsidR="00D2078E">
        <w:rPr/>
        <w:t xml:space="preserve">aipur, Vizag, Coimbatore, and Nagpur, which have enabled it to surpass hiring growth of over 50% </w:t>
      </w:r>
      <w:r w:rsidRPr="703578A6" w:rsidR="00D2078E">
        <w:rPr>
          <w:color w:val="000000" w:themeColor="text1" w:themeTint="FF" w:themeShade="FF"/>
        </w:rPr>
        <w:t>(IBEF, 2026)</w:t>
      </w:r>
      <w:r w:rsidRPr="703578A6" w:rsidR="00D2078E">
        <w:rPr>
          <w:color w:val="000000" w:themeColor="text1" w:themeTint="FF" w:themeShade="FF"/>
        </w:rPr>
        <w:t>.</w:t>
      </w:r>
      <w:r w:rsidR="00D2078E">
        <w:rPr/>
        <w:t xml:space="preserve"> </w:t>
      </w:r>
    </w:p>
    <w:p xmlns:wp14="http://schemas.microsoft.com/office/word/2010/wordml" w:rsidR="00296AB9" w:rsidRDefault="00D2078E" w14:paraId="6A05A809" wp14:textId="77777777">
      <w:pPr>
        <w:pBdr>
          <w:top w:val="single" w:color="000000" w:sz="18" w:space="0"/>
          <w:left w:val="single" w:color="000000" w:sz="18" w:space="0"/>
          <w:bottom w:val="single" w:color="000000" w:sz="18" w:space="0"/>
          <w:right w:val="single" w:color="000000" w:sz="18" w:space="0"/>
        </w:pBdr>
        <w:jc w:val="center"/>
      </w:pPr>
      <w:r>
        <w:rPr>
          <w:noProof/>
        </w:rPr>
        <w:drawing>
          <wp:inline xmlns:wp14="http://schemas.microsoft.com/office/word/2010/wordprocessingDrawing" distT="114300" distB="114300" distL="114300" distR="114300" wp14:anchorId="7A6E5868" wp14:editId="7777777">
            <wp:extent cx="5434013" cy="2194505"/>
            <wp:effectExtent l="0" t="0" r="0" b="0"/>
            <wp:docPr id="3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434013" cy="2194505"/>
                    </a:xfrm>
                    <a:prstGeom prst="rect">
                      <a:avLst/>
                    </a:prstGeom>
                    <a:ln/>
                  </pic:spPr>
                </pic:pic>
              </a:graphicData>
            </a:graphic>
          </wp:inline>
        </w:drawing>
      </w:r>
    </w:p>
    <w:p xmlns:wp14="http://schemas.microsoft.com/office/word/2010/wordml" w:rsidR="00296AB9" w:rsidRDefault="00D2078E" w14:paraId="2D69A9B4" wp14:textId="77777777">
      <w:pPr>
        <w:jc w:val="center"/>
        <w:rPr>
          <w:b/>
          <w:bCs/>
        </w:rPr>
      </w:pPr>
      <w:r>
        <w:rPr>
          <w:b/>
          <w:bCs/>
        </w:rPr>
        <w:t xml:space="preserve">Figure 1: Growth of the Indian data centre market </w:t>
      </w:r>
    </w:p>
    <w:p xmlns:wp14="http://schemas.microsoft.com/office/word/2010/wordml" w:rsidR="00296AB9" w:rsidRDefault="00D2078E" w14:paraId="708AB54F" wp14:textId="77777777">
      <w:pPr>
        <w:jc w:val="center"/>
      </w:pPr>
      <w:r>
        <w:t>(Source: Zion Market Research, 2025)</w:t>
      </w:r>
    </w:p>
    <w:p xmlns:wp14="http://schemas.microsoft.com/office/word/2010/wordml" w:rsidR="00296AB9" w:rsidP="703578A6" w:rsidRDefault="00D2078E" w14:paraId="49F6DE23" wp14:textId="77777777">
      <w:pPr>
        <w:rPr>
          <w:color w:val="000000" w:themeColor="text1" w:themeTint="FF" w:themeShade="FF"/>
        </w:rPr>
      </w:pPr>
      <w:r w:rsidR="00D2078E">
        <w:rPr/>
        <w:t xml:space="preserve">Besides, the computer software and hardware sector of </w:t>
      </w:r>
      <w:r w:rsidR="00D2078E">
        <w:rPr/>
        <w:t>India has attracted cumulative foreign direct investment (FDI) of $ 110.16 billion (Approximately INR 8,31,772 crore) over the specific period of 2025</w:t>
      </w:r>
      <w:r w:rsidRPr="703578A6" w:rsidR="00D2078E">
        <w:rPr>
          <w:color w:val="FF0000"/>
        </w:rPr>
        <w:t xml:space="preserve"> </w:t>
      </w:r>
      <w:r w:rsidRPr="703578A6" w:rsidR="00D2078E">
        <w:rPr>
          <w:color w:val="000000" w:themeColor="text1" w:themeTint="FF" w:themeShade="FF"/>
        </w:rPr>
        <w:t>(IBEF, 2026).</w:t>
      </w:r>
      <w:r w:rsidR="00D2078E">
        <w:rPr/>
        <w:t xml:space="preserve"> The growth of the sector in these aspects is found to be driven by the focus of Indian IT o</w:t>
      </w:r>
      <w:r w:rsidR="00D2078E">
        <w:rPr/>
        <w:t>rganisations to set up the world's largest data centre in Jamnagar, Gujarat. This is enabling the industry to grow to 13.8 billion by 2034 at a growth rate of 10.5% between 2025 and 2034 (</w:t>
      </w:r>
      <w:r w:rsidRPr="703578A6" w:rsidR="00D2078E">
        <w:rPr>
          <w:color w:val="000000" w:themeColor="text1" w:themeTint="FF" w:themeShade="FF"/>
        </w:rPr>
        <w:t xml:space="preserve">Zion Market Research, 2025). </w:t>
      </w:r>
    </w:p>
    <w:p xmlns:wp14="http://schemas.microsoft.com/office/word/2010/wordml" w:rsidR="00296AB9" w:rsidRDefault="00D2078E" w14:paraId="4CA172F5" wp14:textId="77777777">
      <w:pPr>
        <w:pStyle w:val="Heading2"/>
      </w:pPr>
      <w:bookmarkStart w:name="_heading=h.kx62a5wsolcn" w:colFirst="0" w:colLast="0" w:id="4"/>
      <w:bookmarkEnd w:id="4"/>
      <w:r>
        <w:t>2.2 Size, scope, and economic importan</w:t>
      </w:r>
      <w:r>
        <w:t xml:space="preserve">ce of IT sector_200 </w:t>
      </w:r>
    </w:p>
    <w:p xmlns:wp14="http://schemas.microsoft.com/office/word/2010/wordml" w:rsidR="00296AB9" w:rsidRDefault="00D2078E" w14:paraId="5A39BBE3" wp14:textId="77777777">
      <w:pPr>
        <w:pBdr>
          <w:top w:val="single" w:color="000000" w:sz="18" w:space="0"/>
          <w:left w:val="single" w:color="000000" w:sz="18" w:space="0"/>
          <w:bottom w:val="single" w:color="000000" w:sz="18" w:space="0"/>
          <w:right w:val="single" w:color="000000" w:sz="18" w:space="0"/>
        </w:pBdr>
        <w:jc w:val="center"/>
      </w:pPr>
      <w:r>
        <w:rPr>
          <w:noProof/>
        </w:rPr>
        <w:drawing>
          <wp:inline xmlns:wp14="http://schemas.microsoft.com/office/word/2010/wordprocessingDrawing" distT="114300" distB="114300" distL="114300" distR="114300" wp14:anchorId="64BBE441" wp14:editId="7777777">
            <wp:extent cx="4710113" cy="2347508"/>
            <wp:effectExtent l="0" t="0" r="0" b="0"/>
            <wp:docPr id="3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710113" cy="2347508"/>
                    </a:xfrm>
                    <a:prstGeom prst="rect">
                      <a:avLst/>
                    </a:prstGeom>
                    <a:ln/>
                  </pic:spPr>
                </pic:pic>
              </a:graphicData>
            </a:graphic>
          </wp:inline>
        </w:drawing>
      </w:r>
    </w:p>
    <w:p xmlns:wp14="http://schemas.microsoft.com/office/word/2010/wordml" w:rsidR="00296AB9" w:rsidRDefault="00D2078E" w14:paraId="535248F2" wp14:textId="77777777">
      <w:pPr>
        <w:jc w:val="center"/>
        <w:rPr>
          <w:b/>
          <w:bCs/>
        </w:rPr>
      </w:pPr>
      <w:r>
        <w:rPr>
          <w:b/>
          <w:bCs/>
        </w:rPr>
        <w:t xml:space="preserve">Figure 2: Indian IT industry market size </w:t>
      </w:r>
    </w:p>
    <w:p xmlns:wp14="http://schemas.microsoft.com/office/word/2010/wordml" w:rsidR="00296AB9" w:rsidRDefault="00D2078E" w14:paraId="685D368E" wp14:textId="77777777">
      <w:pPr>
        <w:jc w:val="center"/>
      </w:pPr>
      <w:r>
        <w:t>(Source: Grand View Research, 2025)</w:t>
      </w:r>
    </w:p>
    <w:p xmlns:wp14="http://schemas.microsoft.com/office/word/2010/wordml" w:rsidR="00296AB9" w:rsidP="703578A6" w:rsidRDefault="00D2078E" w14:paraId="4119ED15" wp14:textId="77777777">
      <w:pPr>
        <w:rPr>
          <w:color w:val="000000" w:themeColor="text1" w:themeTint="FF" w:themeShade="FF"/>
        </w:rPr>
      </w:pPr>
      <w:r w:rsidR="00D2078E">
        <w:rPr/>
        <w:t xml:space="preserve">The above-provided statistical representation highlights the market outlook of the Indian IT service industry. In this regard, the Indian IT segment is expected to project a revenue of $232.2 billion by 2033 </w:t>
      </w:r>
      <w:r w:rsidRPr="703578A6" w:rsidR="00D2078E">
        <w:rPr>
          <w:color w:val="000000" w:themeColor="text1" w:themeTint="FF" w:themeShade="FF"/>
        </w:rPr>
        <w:t>(</w:t>
      </w:r>
      <w:r w:rsidRPr="703578A6" w:rsidR="00D2078E">
        <w:rPr>
          <w:color w:val="000000" w:themeColor="text1" w:themeTint="FF" w:themeShade="FF"/>
          <w:sz w:val="23"/>
          <w:szCs w:val="23"/>
          <w:highlight w:val="white"/>
        </w:rPr>
        <w:t>Grandviewresearch.com. 2024)</w:t>
      </w:r>
      <w:r w:rsidRPr="703578A6" w:rsidR="00D2078E">
        <w:rPr>
          <w:color w:val="FF0000"/>
          <w:sz w:val="26"/>
          <w:szCs w:val="26"/>
        </w:rPr>
        <w:t>.</w:t>
      </w:r>
      <w:r w:rsidRPr="703578A6" w:rsidR="00D2078E">
        <w:rPr>
          <w:sz w:val="26"/>
          <w:szCs w:val="26"/>
        </w:rPr>
        <w:t xml:space="preserve"> The g</w:t>
      </w:r>
      <w:r w:rsidR="00D2078E">
        <w:rPr/>
        <w:t>rowth will b</w:t>
      </w:r>
      <w:r w:rsidR="00D2078E">
        <w:rPr/>
        <w:t xml:space="preserve">e driven by an annual growth rate of 12.4% between the specific period of 2026 and 2033 </w:t>
      </w:r>
      <w:r w:rsidRPr="703578A6" w:rsidR="00D2078E">
        <w:rPr>
          <w:color w:val="000000" w:themeColor="text1" w:themeTint="FF" w:themeShade="FF"/>
        </w:rPr>
        <w:t>(Grand View Research, 2025).</w:t>
      </w:r>
      <w:r w:rsidR="00D2078E">
        <w:rPr/>
        <w:t xml:space="preserve"> In 2025, the IT service of India at the global scale stood </w:t>
      </w:r>
      <w:r w:rsidRPr="703578A6" w:rsidR="00D2078E">
        <w:rPr>
          <w:color w:val="000000" w:themeColor="text1" w:themeTint="FF" w:themeShade="FF"/>
        </w:rPr>
        <w:t>at $37.03 billion, supporting its credibility to expand at the growth rate of 9.</w:t>
      </w:r>
      <w:r w:rsidRPr="703578A6" w:rsidR="00D2078E">
        <w:rPr>
          <w:color w:val="000000" w:themeColor="text1" w:themeTint="FF" w:themeShade="FF"/>
        </w:rPr>
        <w:t xml:space="preserve">06% </w:t>
      </w:r>
      <w:r w:rsidRPr="703578A6" w:rsidR="00D2078E">
        <w:rPr>
          <w:color w:val="000000" w:themeColor="text1" w:themeTint="FF" w:themeShade="FF"/>
        </w:rPr>
        <w:t>(Mordor Intelligence, 2025)</w:t>
      </w:r>
      <w:r w:rsidRPr="703578A6" w:rsidR="00D2078E">
        <w:rPr>
          <w:color w:val="000000" w:themeColor="text1" w:themeTint="FF" w:themeShade="FF"/>
        </w:rPr>
        <w:t xml:space="preserve">. Such growth of the Indian IT segment is driven by the identification of scope, including Global Capability Centres, and the initiative of the government </w:t>
      </w:r>
      <w:r w:rsidRPr="703578A6" w:rsidR="00D2078E">
        <w:rPr>
          <w:color w:val="000000" w:themeColor="text1" w:themeTint="FF" w:themeShade="FF"/>
        </w:rPr>
        <w:t>pertaining to</w:t>
      </w:r>
      <w:r w:rsidRPr="703578A6" w:rsidR="00D2078E">
        <w:rPr>
          <w:color w:val="000000" w:themeColor="text1" w:themeTint="FF" w:themeShade="FF"/>
        </w:rPr>
        <w:t xml:space="preserve"> digital infrastructure spending, amid global economic un</w:t>
      </w:r>
      <w:r w:rsidRPr="703578A6" w:rsidR="00D2078E">
        <w:rPr>
          <w:color w:val="000000" w:themeColor="text1" w:themeTint="FF" w:themeShade="FF"/>
        </w:rPr>
        <w:t xml:space="preserve">certainty </w:t>
      </w:r>
      <w:r w:rsidRPr="703578A6" w:rsidR="00D2078E">
        <w:rPr>
          <w:color w:val="000000" w:themeColor="text1" w:themeTint="FF" w:themeShade="FF"/>
        </w:rPr>
        <w:t xml:space="preserve">(Mordor Intelligence, 2025). </w:t>
      </w:r>
    </w:p>
    <w:p xmlns:wp14="http://schemas.microsoft.com/office/word/2010/wordml" w:rsidR="00296AB9" w:rsidP="703578A6" w:rsidRDefault="00D2078E" w14:paraId="79C2E747" wp14:textId="7B022C35">
      <w:pPr>
        <w:rPr>
          <w:color w:val="000000" w:themeColor="text1" w:themeTint="FF" w:themeShade="FF"/>
        </w:rPr>
      </w:pPr>
      <w:r w:rsidRPr="703578A6" w:rsidR="00D2078E">
        <w:rPr>
          <w:color w:val="000000" w:themeColor="text1" w:themeTint="FF" w:themeShade="FF"/>
        </w:rPr>
        <w:t xml:space="preserve">The growth of the IT sector is determined to be perpetual in fostering the aspects of the Indian economy. The ability of the sector to </w:t>
      </w:r>
      <w:r w:rsidRPr="703578A6" w:rsidR="00D2078E">
        <w:rPr>
          <w:color w:val="000000" w:themeColor="text1" w:themeTint="FF" w:themeShade="FF"/>
        </w:rPr>
        <w:t>witness</w:t>
      </w:r>
      <w:r w:rsidRPr="703578A6" w:rsidR="00D2078E">
        <w:rPr>
          <w:color w:val="000000" w:themeColor="text1" w:themeTint="FF" w:themeShade="FF"/>
        </w:rPr>
        <w:t xml:space="preserve"> a growth of $350 billion by </w:t>
      </w:r>
      <w:r w:rsidRPr="703578A6" w:rsidR="00D2078E">
        <w:rPr>
          <w:color w:val="000000" w:themeColor="text1" w:themeTint="FF" w:themeShade="FF"/>
        </w:rPr>
        <w:t>2026  significantly</w:t>
      </w:r>
      <w:r w:rsidRPr="703578A6" w:rsidR="00D2078E">
        <w:rPr>
          <w:color w:val="000000" w:themeColor="text1" w:themeTint="FF" w:themeShade="FF"/>
        </w:rPr>
        <w:t xml:space="preserve"> contribute towards the na</w:t>
      </w:r>
      <w:r w:rsidRPr="703578A6" w:rsidR="00D2078E">
        <w:rPr>
          <w:color w:val="000000" w:themeColor="text1" w:themeTint="FF" w:themeShade="FF"/>
        </w:rPr>
        <w:t xml:space="preserve">tion's gross domestic product (GDP) growth by approximately 10% </w:t>
      </w:r>
      <w:r w:rsidRPr="703578A6" w:rsidR="00D2078E">
        <w:rPr>
          <w:color w:val="000000" w:themeColor="text1" w:themeTint="FF" w:themeShade="FF"/>
        </w:rPr>
        <w:t>(IBEF, 2026)</w:t>
      </w:r>
      <w:r w:rsidRPr="703578A6" w:rsidR="00D2078E">
        <w:rPr>
          <w:color w:val="000000" w:themeColor="text1" w:themeTint="FF" w:themeShade="FF"/>
        </w:rPr>
        <w:t>.</w:t>
      </w:r>
      <w:r w:rsidRPr="703578A6" w:rsidR="00D2078E">
        <w:rPr>
          <w:color w:val="000000" w:themeColor="text1" w:themeTint="FF" w:themeShade="FF"/>
        </w:rPr>
        <w:t xml:space="preserve">  </w:t>
      </w:r>
      <w:r w:rsidRPr="703578A6" w:rsidR="00D2078E">
        <w:rPr>
          <w:color w:val="000000" w:themeColor="text1" w:themeTint="FF" w:themeShade="FF"/>
        </w:rPr>
        <w:t xml:space="preserve">India is highlighted to be the world's largest sourcing destination as the industry has supported economic transformation by employing about 10 million of the </w:t>
      </w:r>
      <w:r w:rsidRPr="703578A6" w:rsidR="00D2078E">
        <w:rPr>
          <w:color w:val="000000" w:themeColor="text1" w:themeTint="FF" w:themeShade="FF"/>
        </w:rPr>
        <w:t>workforce</w:t>
      </w:r>
      <w:r w:rsidRPr="703578A6" w:rsidR="00D2078E">
        <w:rPr>
          <w:color w:val="000000" w:themeColor="text1" w:themeTint="FF" w:themeShade="FF"/>
        </w:rPr>
        <w:t xml:space="preserve"> and driv</w:t>
      </w:r>
      <w:r w:rsidRPr="703578A6" w:rsidR="00D2078E">
        <w:rPr>
          <w:color w:val="000000" w:themeColor="text1" w:themeTint="FF" w:themeShade="FF"/>
        </w:rPr>
        <w:t xml:space="preserve">ing cost competitiveness </w:t>
      </w:r>
      <w:r w:rsidRPr="703578A6" w:rsidR="00D2078E">
        <w:rPr>
          <w:color w:val="000000" w:themeColor="text1" w:themeTint="FF" w:themeShade="FF"/>
        </w:rPr>
        <w:t>(</w:t>
      </w:r>
      <w:r w:rsidRPr="703578A6" w:rsidR="00D2078E">
        <w:rPr>
          <w:color w:val="000000" w:themeColor="text1" w:themeTint="FF" w:themeShade="FF"/>
        </w:rPr>
        <w:t>Darsana</w:t>
      </w:r>
      <w:r w:rsidRPr="703578A6" w:rsidR="7F921C99">
        <w:rPr>
          <w:color w:val="000000" w:themeColor="text1" w:themeTint="FF" w:themeShade="FF"/>
        </w:rPr>
        <w:t xml:space="preserve"> </w:t>
      </w:r>
      <w:r w:rsidRPr="703578A6" w:rsidR="00D2078E">
        <w:rPr>
          <w:color w:val="000000" w:themeColor="text1" w:themeTint="FF" w:themeShade="FF"/>
        </w:rPr>
        <w:t>,</w:t>
      </w:r>
      <w:r w:rsidRPr="703578A6" w:rsidR="00D2078E">
        <w:rPr>
          <w:color w:val="000000" w:themeColor="text1" w:themeTint="FF" w:themeShade="FF"/>
        </w:rPr>
        <w:t xml:space="preserve"> 2019).</w:t>
      </w:r>
    </w:p>
    <w:p xmlns:wp14="http://schemas.microsoft.com/office/word/2010/wordml" w:rsidR="00296AB9" w:rsidRDefault="00D2078E" w14:paraId="41C83E9D" wp14:textId="77777777">
      <w:pPr>
        <w:pStyle w:val="Heading2"/>
      </w:pPr>
      <w:bookmarkStart w:name="_heading=h.waackrqqgeaj" w:colFirst="0" w:colLast="0" w:id="5"/>
      <w:bookmarkEnd w:id="5"/>
      <w:r>
        <w:t>2.3 Major domestic and multinational firms operating</w:t>
      </w:r>
    </w:p>
    <w:p xmlns:wp14="http://schemas.microsoft.com/office/word/2010/wordml" w:rsidR="00296AB9" w:rsidP="703578A6" w:rsidRDefault="00D2078E" w14:paraId="0F2780B3" wp14:textId="77777777">
      <w:pPr>
        <w:spacing w:before="240" w:after="240"/>
        <w:rPr>
          <w:color w:val="000000" w:themeColor="text1" w:themeTint="FF" w:themeShade="FF"/>
        </w:rPr>
      </w:pPr>
      <w:r w:rsidR="00D2078E">
        <w:rPr/>
        <w:t xml:space="preserve">The Forbes 2025 market valuation report concerning Indian IT companies </w:t>
      </w:r>
      <w:r w:rsidR="00D2078E">
        <w:rPr/>
        <w:t>identified</w:t>
      </w:r>
      <w:r w:rsidR="00D2078E">
        <w:rPr/>
        <w:t xml:space="preserve"> the top ten powerhouses within the IT segment. In terms of the market capitali</w:t>
      </w:r>
      <w:r w:rsidR="00D2078E">
        <w:rPr/>
        <w:t xml:space="preserve">sation and being a global leader in IT services and consulting, the first position is secured by TCS </w:t>
      </w:r>
      <w:r w:rsidRPr="703578A6" w:rsidR="00D2078E">
        <w:rPr>
          <w:color w:val="000000" w:themeColor="text1" w:themeTint="FF" w:themeShade="FF"/>
        </w:rPr>
        <w:t>(</w:t>
      </w:r>
      <w:r w:rsidRPr="703578A6" w:rsidR="00D2078E">
        <w:rPr>
          <w:color w:val="000000" w:themeColor="text1" w:themeTint="FF" w:themeShade="FF"/>
          <w:highlight w:val="white"/>
        </w:rPr>
        <w:t>Forbes India 2024)</w:t>
      </w:r>
      <w:r w:rsidRPr="703578A6" w:rsidR="00D2078E">
        <w:rPr>
          <w:color w:val="000000" w:themeColor="text1" w:themeTint="FF" w:themeShade="FF"/>
        </w:rPr>
        <w:t>.</w:t>
      </w:r>
      <w:r w:rsidRPr="703578A6" w:rsidR="00D2078E">
        <w:rPr>
          <w:color w:val="000000" w:themeColor="text1" w:themeTint="FF" w:themeShade="FF"/>
        </w:rPr>
        <w:t xml:space="preserve"> The company is constantly ranked in the top ten list, and </w:t>
      </w:r>
      <w:r w:rsidRPr="703578A6" w:rsidR="00D2078E">
        <w:rPr>
          <w:color w:val="000000" w:themeColor="text1" w:themeTint="FF" w:themeShade="FF"/>
        </w:rPr>
        <w:t>it's</w:t>
      </w:r>
      <w:r w:rsidRPr="703578A6" w:rsidR="00D2078E">
        <w:rPr>
          <w:color w:val="000000" w:themeColor="text1" w:themeTint="FF" w:themeShade="FF"/>
        </w:rPr>
        <w:t xml:space="preserve"> supported by strong financial performance and its ability to gain massi</w:t>
      </w:r>
      <w:r w:rsidRPr="703578A6" w:rsidR="00D2078E">
        <w:rPr>
          <w:color w:val="000000" w:themeColor="text1" w:themeTint="FF" w:themeShade="FF"/>
        </w:rPr>
        <w:t xml:space="preserve">ve global reach. Moreover, its ability to acknowledge and strive for continuous innovation in next-generation technologies, such </w:t>
      </w:r>
      <w:r w:rsidRPr="703578A6" w:rsidR="00D2078E">
        <w:rPr>
          <w:color w:val="000000" w:themeColor="text1" w:themeTint="FF" w:themeShade="FF"/>
        </w:rPr>
        <w:t>as  AI</w:t>
      </w:r>
      <w:r w:rsidRPr="703578A6" w:rsidR="00D2078E">
        <w:rPr>
          <w:color w:val="000000" w:themeColor="text1" w:themeTint="FF" w:themeShade="FF"/>
        </w:rPr>
        <w:t xml:space="preserve"> and cloud computing, has enabled it to </w:t>
      </w:r>
      <w:r w:rsidRPr="703578A6" w:rsidR="00D2078E">
        <w:rPr>
          <w:color w:val="000000" w:themeColor="text1" w:themeTint="FF" w:themeShade="FF"/>
        </w:rPr>
        <w:t>maintain</w:t>
      </w:r>
      <w:r w:rsidRPr="703578A6" w:rsidR="00D2078E">
        <w:rPr>
          <w:color w:val="000000" w:themeColor="text1" w:themeTint="FF" w:themeShade="FF"/>
        </w:rPr>
        <w:t xml:space="preserve"> a healthy operating margin </w:t>
      </w:r>
      <w:r w:rsidRPr="703578A6" w:rsidR="00D2078E">
        <w:rPr>
          <w:color w:val="000000" w:themeColor="text1" w:themeTint="FF" w:themeShade="FF"/>
        </w:rPr>
        <w:t>of  $</w:t>
      </w:r>
      <w:r w:rsidRPr="703578A6" w:rsidR="00D2078E">
        <w:rPr>
          <w:color w:val="000000" w:themeColor="text1" w:themeTint="FF" w:themeShade="FF"/>
        </w:rPr>
        <w:t xml:space="preserve">30 billion in </w:t>
      </w:r>
      <w:r w:rsidRPr="703578A6" w:rsidR="00D2078E">
        <w:rPr>
          <w:color w:val="000000" w:themeColor="text1" w:themeTint="FF" w:themeShade="FF"/>
        </w:rPr>
        <w:t xml:space="preserve">2025 </w:t>
      </w:r>
      <w:r w:rsidRPr="703578A6" w:rsidR="00D2078E">
        <w:rPr>
          <w:color w:val="000000" w:themeColor="text1" w:themeTint="FF" w:themeShade="FF"/>
        </w:rPr>
        <w:t xml:space="preserve"> (</w:t>
      </w:r>
      <w:r w:rsidRPr="703578A6" w:rsidR="00D2078E">
        <w:rPr>
          <w:color w:val="000000" w:themeColor="text1" w:themeTint="FF" w:themeShade="FF"/>
        </w:rPr>
        <w:t>Forbes, 2025)</w:t>
      </w:r>
      <w:r w:rsidRPr="703578A6" w:rsidR="00D2078E">
        <w:rPr>
          <w:color w:val="000000" w:themeColor="text1" w:themeTint="FF" w:themeShade="FF"/>
        </w:rPr>
        <w:t>. On t</w:t>
      </w:r>
      <w:r w:rsidRPr="703578A6" w:rsidR="00D2078E">
        <w:rPr>
          <w:color w:val="000000" w:themeColor="text1" w:themeTint="FF" w:themeShade="FF"/>
        </w:rPr>
        <w:t>he other hand, the focus of Infosys on digital services has enabled it to secure a second market position</w:t>
      </w:r>
      <w:r w:rsidR="00D2078E">
        <w:rPr/>
        <w:t xml:space="preserve">. The company also </w:t>
      </w:r>
      <w:r w:rsidR="00D2078E">
        <w:rPr/>
        <w:t>showcases</w:t>
      </w:r>
      <w:r w:rsidR="00D2078E">
        <w:rPr/>
        <w:t xml:space="preserve"> the ability to </w:t>
      </w:r>
      <w:r w:rsidR="00D2078E">
        <w:rPr/>
        <w:t>demonstrate</w:t>
      </w:r>
      <w:r w:rsidR="00D2078E">
        <w:rPr/>
        <w:t xml:space="preserve"> deep trust and long-standing relationships. This has enabled Infosys to capture market cap and </w:t>
      </w:r>
      <w:r w:rsidR="00D2078E">
        <w:rPr/>
        <w:t xml:space="preserve">revenue of about $18 </w:t>
      </w:r>
      <w:r w:rsidR="00D2078E">
        <w:rPr/>
        <w:t>billion in 2025. In the top ten list, third position is secured by HCL Tech as it has ensured distinctiveness in engineering, R&amp;D services, and innovative intellectual property partnerships. This has supported its market capitalisation</w:t>
      </w:r>
      <w:r w:rsidR="00D2078E">
        <w:rPr/>
        <w:t xml:space="preserve"> of $13 billion in 2025 </w:t>
      </w:r>
      <w:r w:rsidRPr="703578A6" w:rsidR="00D2078E">
        <w:rPr>
          <w:color w:val="000000" w:themeColor="text1" w:themeTint="FF" w:themeShade="FF"/>
        </w:rPr>
        <w:t>(Forbes, 2025)</w:t>
      </w:r>
      <w:r w:rsidRPr="703578A6" w:rsidR="00D2078E">
        <w:rPr>
          <w:color w:val="000000" w:themeColor="text1" w:themeTint="FF" w:themeShade="FF"/>
        </w:rPr>
        <w:t>. Additionally, with a global footprint in over 65 countries, Wipro captures the top ten position with the presence of a diverse and resilient revenue base. The company is known for aligning with modern business demand</w:t>
      </w:r>
      <w:r w:rsidRPr="703578A6" w:rsidR="00D2078E">
        <w:rPr>
          <w:color w:val="000000" w:themeColor="text1" w:themeTint="FF" w:themeShade="FF"/>
        </w:rPr>
        <w:t xml:space="preserve">s in response to cloud computing and cybersecurity, enabling it to </w:t>
      </w:r>
      <w:r w:rsidRPr="703578A6" w:rsidR="00D2078E">
        <w:rPr>
          <w:color w:val="000000" w:themeColor="text1" w:themeTint="FF" w:themeShade="FF"/>
        </w:rPr>
        <w:t>witness</w:t>
      </w:r>
      <w:r w:rsidRPr="703578A6" w:rsidR="00D2078E">
        <w:rPr>
          <w:color w:val="000000" w:themeColor="text1" w:themeTint="FF" w:themeShade="FF"/>
        </w:rPr>
        <w:t xml:space="preserve"> a market cap of INR 2,57,019.09 crores </w:t>
      </w:r>
      <w:r w:rsidRPr="703578A6" w:rsidR="00D2078E">
        <w:rPr>
          <w:color w:val="000000" w:themeColor="text1" w:themeTint="FF" w:themeShade="FF"/>
        </w:rPr>
        <w:t>(Forbes, 2025).</w:t>
      </w:r>
    </w:p>
    <w:p xmlns:wp14="http://schemas.microsoft.com/office/word/2010/wordml" w:rsidR="00296AB9" w:rsidRDefault="00D2078E" w14:paraId="41C8F396" wp14:textId="77777777">
      <w:pPr>
        <w:pBdr>
          <w:top w:val="single" w:color="000000" w:sz="18" w:space="0"/>
          <w:left w:val="single" w:color="000000" w:sz="18" w:space="0"/>
          <w:bottom w:val="single" w:color="000000" w:sz="18" w:space="0"/>
          <w:right w:val="single" w:color="000000" w:sz="18" w:space="0"/>
        </w:pBdr>
        <w:jc w:val="center"/>
      </w:pPr>
      <w:r>
        <w:rPr>
          <w:noProof/>
        </w:rPr>
        <w:drawing>
          <wp:inline xmlns:wp14="http://schemas.microsoft.com/office/word/2010/wordprocessingDrawing" distT="114300" distB="114300" distL="114300" distR="114300" wp14:anchorId="3432F171" wp14:editId="7777777">
            <wp:extent cx="5062538" cy="2847677"/>
            <wp:effectExtent l="0" t="0" r="0" b="0"/>
            <wp:docPr id="3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5062538" cy="2847677"/>
                    </a:xfrm>
                    <a:prstGeom prst="rect">
                      <a:avLst/>
                    </a:prstGeom>
                    <a:ln/>
                  </pic:spPr>
                </pic:pic>
              </a:graphicData>
            </a:graphic>
          </wp:inline>
        </w:drawing>
      </w:r>
    </w:p>
    <w:p xmlns:wp14="http://schemas.microsoft.com/office/word/2010/wordml" w:rsidR="00296AB9" w:rsidRDefault="00D2078E" w14:paraId="732DDEE1" wp14:textId="77777777">
      <w:pPr>
        <w:jc w:val="center"/>
        <w:rPr>
          <w:b/>
          <w:bCs/>
        </w:rPr>
      </w:pPr>
      <w:r>
        <w:rPr>
          <w:b/>
          <w:bCs/>
        </w:rPr>
        <w:t xml:space="preserve">Figure 3: Top ten Indian IT companies </w:t>
      </w:r>
    </w:p>
    <w:p xmlns:wp14="http://schemas.microsoft.com/office/word/2010/wordml" w:rsidR="00296AB9" w:rsidRDefault="00D2078E" w14:paraId="3545F33C" wp14:textId="77777777">
      <w:pPr>
        <w:jc w:val="center"/>
      </w:pPr>
      <w:r>
        <w:t>(Source: Forbes, 2025)</w:t>
      </w:r>
    </w:p>
    <w:p xmlns:wp14="http://schemas.microsoft.com/office/word/2010/wordml" w:rsidR="00296AB9" w:rsidRDefault="00D2078E" w14:paraId="36301951" wp14:textId="77777777">
      <w:r w:rsidR="00D2078E">
        <w:rPr/>
        <w:t>Simultaneously, multinational firms, such as Accenture and Cognizant leads in the Indian IT domain. In India, Accenture has recorded a market growth of 13% in FY25 and a net pr</w:t>
      </w:r>
      <w:r w:rsidRPr="703578A6" w:rsidR="00D2078E">
        <w:rPr>
          <w:color w:val="000000" w:themeColor="text1" w:themeTint="FF" w:themeShade="FF"/>
        </w:rPr>
        <w:t xml:space="preserve">ofit of 9% to INR 7,346 crore </w:t>
      </w:r>
      <w:r w:rsidRPr="703578A6" w:rsidR="00D2078E">
        <w:rPr>
          <w:color w:val="000000" w:themeColor="text1" w:themeTint="FF" w:themeShade="FF"/>
        </w:rPr>
        <w:t>(</w:t>
      </w:r>
      <w:r w:rsidRPr="703578A6" w:rsidR="00D2078E">
        <w:rPr>
          <w:color w:val="000000" w:themeColor="text1" w:themeTint="FF" w:themeShade="FF"/>
          <w:highlight w:val="white"/>
        </w:rPr>
        <w:t>Shilpa Phadnis 2026)</w:t>
      </w:r>
      <w:r w:rsidRPr="703578A6" w:rsidR="00D2078E">
        <w:rPr>
          <w:color w:val="000000" w:themeColor="text1" w:themeTint="FF" w:themeShade="FF"/>
        </w:rPr>
        <w:t>. The company focus on signif</w:t>
      </w:r>
      <w:r w:rsidRPr="703578A6" w:rsidR="00D2078E">
        <w:rPr>
          <w:color w:val="000000" w:themeColor="text1" w:themeTint="FF" w:themeShade="FF"/>
        </w:rPr>
        <w:t xml:space="preserve">icant research &amp; development, including Technology Labs and full-stack large language model (LLM) </w:t>
      </w:r>
      <w:r w:rsidRPr="703578A6" w:rsidR="00D2078E">
        <w:rPr>
          <w:color w:val="000000" w:themeColor="text1" w:themeTint="FF" w:themeShade="FF"/>
        </w:rPr>
        <w:t>(Phadnis, 2026)</w:t>
      </w:r>
      <w:r w:rsidRPr="703578A6" w:rsidR="00D2078E">
        <w:rPr>
          <w:color w:val="000000" w:themeColor="text1" w:themeTint="FF" w:themeShade="FF"/>
        </w:rPr>
        <w:t>. Besides, Cognizant in India is earning mar</w:t>
      </w:r>
      <w:r w:rsidR="00D2078E">
        <w:rPr/>
        <w:t xml:space="preserve">ket stability with the growth of $21.1 billion in 2025. The company is </w:t>
      </w:r>
      <w:r w:rsidR="00D2078E">
        <w:rPr/>
        <w:t>maintaining</w:t>
      </w:r>
      <w:r w:rsidR="00D2078E">
        <w:rPr/>
        <w:t xml:space="preserve"> market stiffness</w:t>
      </w:r>
      <w:r w:rsidR="00D2078E">
        <w:rPr/>
        <w:t xml:space="preserve"> in terms of AI-driven deals, wit</w:t>
      </w:r>
      <w:r w:rsidRPr="703578A6" w:rsidR="00D2078E">
        <w:rPr>
          <w:color w:val="000000" w:themeColor="text1" w:themeTint="FF" w:themeShade="FF"/>
        </w:rPr>
        <w:t xml:space="preserve">h a focus on relevant resources for the design and development of technological products </w:t>
      </w:r>
      <w:r w:rsidRPr="703578A6" w:rsidR="00D2078E">
        <w:rPr>
          <w:color w:val="000000" w:themeColor="text1" w:themeTint="FF" w:themeShade="FF"/>
        </w:rPr>
        <w:t>(Rao, 2026).</w:t>
      </w:r>
      <w:r w:rsidRPr="703578A6" w:rsidR="00D2078E">
        <w:rPr>
          <w:color w:val="000000" w:themeColor="text1" w:themeTint="FF" w:themeShade="FF"/>
        </w:rPr>
        <w:t xml:space="preserve"> Thi</w:t>
      </w:r>
      <w:r w:rsidR="00D2078E">
        <w:rPr/>
        <w:t xml:space="preserve">s implies that the IT industry </w:t>
      </w:r>
      <w:r w:rsidR="00D2078E">
        <w:rPr/>
        <w:t xml:space="preserve">of India is highly competitive as it has the presence of potential and strong players, </w:t>
      </w:r>
      <w:r w:rsidR="00D2078E">
        <w:rPr/>
        <w:t>with both domestic and international recognition.</w:t>
      </w:r>
    </w:p>
    <w:p xmlns:wp14="http://schemas.microsoft.com/office/word/2010/wordml" w:rsidR="00296AB9" w:rsidRDefault="00D2078E" w14:paraId="232075C6" wp14:textId="77777777">
      <w:pPr>
        <w:pStyle w:val="Heading2"/>
        <w:rPr>
          <w:color w:val="FF0000"/>
        </w:rPr>
      </w:pPr>
      <w:bookmarkStart w:name="_heading=h.n771u0n0c7li" w:colFirst="0" w:colLast="0" w:id="6"/>
      <w:bookmarkEnd w:id="6"/>
      <w:r>
        <w:t>3. Global Competitiveness: Michael Porter’s Diamond Model of National Advantage</w:t>
      </w:r>
    </w:p>
    <w:p xmlns:wp14="http://schemas.microsoft.com/office/word/2010/wordml" w:rsidR="00296AB9" w:rsidP="703578A6" w:rsidRDefault="00D2078E" w14:paraId="66B4C79F" wp14:textId="77777777">
      <w:pPr>
        <w:rPr>
          <w:color w:val="000000" w:themeColor="text1" w:themeTint="FF" w:themeShade="FF"/>
        </w:rPr>
      </w:pPr>
      <w:r w:rsidR="00D2078E">
        <w:rPr/>
        <w:t>According to Bruin (2018), Porter’s Diamond Model, also referred to as the Theory of National Competitive Advantage are signif</w:t>
      </w:r>
      <w:r w:rsidR="00D2078E">
        <w:rPr/>
        <w:t xml:space="preserve">icant for </w:t>
      </w:r>
      <w:r w:rsidR="00D2078E">
        <w:rPr/>
        <w:t>determining</w:t>
      </w:r>
      <w:r w:rsidR="00D2078E">
        <w:rPr/>
        <w:t xml:space="preserve"> the competitiveness of a global nation in relevance to specific industrie</w:t>
      </w:r>
      <w:r w:rsidRPr="703578A6" w:rsidR="00D2078E">
        <w:rPr>
          <w:color w:val="000000" w:themeColor="text1" w:themeTint="FF" w:themeShade="FF"/>
        </w:rPr>
        <w:t xml:space="preserve">s </w:t>
      </w:r>
      <w:r w:rsidRPr="703578A6" w:rsidR="00D2078E">
        <w:rPr>
          <w:color w:val="000000" w:themeColor="text1" w:themeTint="FF" w:themeShade="FF"/>
        </w:rPr>
        <w:t>(Bruin 2018).</w:t>
      </w:r>
      <w:r w:rsidRPr="703578A6" w:rsidR="00D2078E">
        <w:rPr>
          <w:color w:val="000000" w:themeColor="text1" w:themeTint="FF" w:themeShade="FF"/>
        </w:rPr>
        <w:t xml:space="preserve"> T</w:t>
      </w:r>
      <w:r w:rsidR="00D2078E">
        <w:rPr/>
        <w:t>he theory argues about the ability of organisations to effectively compete in the international domain and is significantly driven through inter</w:t>
      </w:r>
      <w:r w:rsidR="00D2078E">
        <w:rPr/>
        <w:t xml:space="preserve">related sets of aspects, including firm strategy, </w:t>
      </w:r>
      <w:r w:rsidR="00D2078E">
        <w:rPr/>
        <w:t>structure</w:t>
      </w:r>
      <w:r w:rsidR="00D2078E">
        <w:rPr/>
        <w:t xml:space="preserve"> and rivalry; factor conditions; demand conditions; and related and supporting industries </w:t>
      </w:r>
      <w:r w:rsidRPr="703578A6" w:rsidR="00D2078E">
        <w:rPr>
          <w:color w:val="000000" w:themeColor="text1" w:themeTint="FF" w:themeShade="FF"/>
        </w:rPr>
        <w:t>(Tan, 2025).</w:t>
      </w:r>
    </w:p>
    <w:p xmlns:wp14="http://schemas.microsoft.com/office/word/2010/wordml" w:rsidR="00296AB9" w:rsidRDefault="00D2078E" w14:paraId="72A3D3EC" wp14:textId="77777777">
      <w:pPr>
        <w:pBdr>
          <w:top w:val="single" w:color="000000" w:sz="18" w:space="0"/>
          <w:left w:val="single" w:color="000000" w:sz="18" w:space="0"/>
          <w:bottom w:val="single" w:color="000000" w:sz="18" w:space="0"/>
          <w:right w:val="single" w:color="000000" w:sz="18" w:space="0"/>
        </w:pBdr>
        <w:jc w:val="center"/>
      </w:pPr>
      <w:r>
        <w:rPr>
          <w:noProof/>
        </w:rPr>
        <w:drawing>
          <wp:inline xmlns:wp14="http://schemas.microsoft.com/office/word/2010/wordprocessingDrawing" distT="114300" distB="114300" distL="114300" distR="114300" wp14:anchorId="36C401B7" wp14:editId="7777777">
            <wp:extent cx="4319588" cy="3194919"/>
            <wp:effectExtent l="0" t="0" r="0" b="0"/>
            <wp:docPr id="3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4319588" cy="3194919"/>
                    </a:xfrm>
                    <a:prstGeom prst="rect">
                      <a:avLst/>
                    </a:prstGeom>
                    <a:ln/>
                  </pic:spPr>
                </pic:pic>
              </a:graphicData>
            </a:graphic>
          </wp:inline>
        </w:drawing>
      </w:r>
    </w:p>
    <w:p xmlns:wp14="http://schemas.microsoft.com/office/word/2010/wordml" w:rsidR="00296AB9" w:rsidRDefault="00D2078E" w14:paraId="5E722871" wp14:textId="77777777">
      <w:pPr>
        <w:jc w:val="center"/>
        <w:rPr>
          <w:b/>
          <w:bCs/>
        </w:rPr>
      </w:pPr>
      <w:r>
        <w:rPr>
          <w:b/>
          <w:bCs/>
        </w:rPr>
        <w:t>Figure 4: Porter’s Diamond Model of National Competitive Advantage</w:t>
      </w:r>
    </w:p>
    <w:p xmlns:wp14="http://schemas.microsoft.com/office/word/2010/wordml" w:rsidR="00296AB9" w:rsidRDefault="00D2078E" w14:paraId="6CE11115" wp14:textId="77777777">
      <w:pPr>
        <w:jc w:val="center"/>
      </w:pPr>
      <w:r>
        <w:t>(Source: Yue and Lim, 202</w:t>
      </w:r>
      <w:r>
        <w:t>3)</w:t>
      </w:r>
    </w:p>
    <w:p xmlns:wp14="http://schemas.microsoft.com/office/word/2010/wordml" w:rsidR="00296AB9" w:rsidRDefault="00D2078E" w14:paraId="76F958DA" wp14:textId="77777777">
      <w:pPr>
        <w:jc w:val="left"/>
      </w:pPr>
      <w:r>
        <w:t xml:space="preserve">In terms of determining the global competitiveness of the Indian IT industry, Porter’s diamond model of national competitive advantage highlights: </w:t>
      </w:r>
    </w:p>
    <w:p xmlns:wp14="http://schemas.microsoft.com/office/word/2010/wordml" w:rsidR="00296AB9" w:rsidRDefault="00D2078E" w14:paraId="330577BB" wp14:textId="77777777">
      <w:pPr>
        <w:jc w:val="left"/>
        <w:rPr>
          <w:b/>
          <w:bCs/>
          <w:i/>
          <w:iCs/>
          <w:u w:val="single"/>
        </w:rPr>
      </w:pPr>
      <w:r>
        <w:rPr>
          <w:b/>
          <w:bCs/>
          <w:i/>
          <w:iCs/>
          <w:u w:val="single"/>
        </w:rPr>
        <w:t>Factors conditions:</w:t>
      </w:r>
    </w:p>
    <w:p xmlns:wp14="http://schemas.microsoft.com/office/word/2010/wordml" w:rsidR="00296AB9" w:rsidP="703578A6" w:rsidRDefault="00D2078E" w14:paraId="791CCCCC" wp14:textId="77777777">
      <w:pPr>
        <w:rPr>
          <w:color w:val="000000" w:themeColor="text1" w:themeTint="FF" w:themeShade="FF"/>
        </w:rPr>
      </w:pPr>
      <w:r w:rsidR="00D2078E">
        <w:rPr/>
        <w:t>The IT sector of India illustrates competitiveness in terms of enhancing its strengths concerning tech talent. Globally, the industry has the largest supply of STEM (Science, Technology, Engineering and Mathematics) graduates, annually 2.5 million. In 2023</w:t>
      </w:r>
      <w:r w:rsidR="00D2078E">
        <w:rPr/>
        <w:t>, the sector has highlighted the enhancement of between 43 to 48% in response to having the largest female diversity ratio. Additionally, the tier 2/3 Indian cities are contributing to the en</w:t>
      </w:r>
      <w:r w:rsidRPr="703578A6" w:rsidR="00D2078E">
        <w:rPr>
          <w:color w:val="000000" w:themeColor="text1" w:themeTint="FF" w:themeShade="FF"/>
        </w:rPr>
        <w:t>gagement of about 60% graduates from a varied domain of engineeri</w:t>
      </w:r>
      <w:r w:rsidRPr="703578A6" w:rsidR="00D2078E">
        <w:rPr>
          <w:color w:val="000000" w:themeColor="text1" w:themeTint="FF" w:themeShade="FF"/>
        </w:rPr>
        <w:t xml:space="preserve">ng, arts, and science </w:t>
      </w:r>
      <w:r w:rsidRPr="703578A6" w:rsidR="00D2078E">
        <w:rPr>
          <w:color w:val="000000" w:themeColor="text1" w:themeTint="FF" w:themeShade="FF"/>
        </w:rPr>
        <w:t>(</w:t>
      </w:r>
      <w:r w:rsidRPr="703578A6" w:rsidR="00D2078E">
        <w:rPr>
          <w:color w:val="000000" w:themeColor="text1" w:themeTint="FF" w:themeShade="FF"/>
        </w:rPr>
        <w:t>Nasscom</w:t>
      </w:r>
      <w:r w:rsidRPr="703578A6" w:rsidR="00D2078E">
        <w:rPr>
          <w:color w:val="000000" w:themeColor="text1" w:themeTint="FF" w:themeShade="FF"/>
        </w:rPr>
        <w:t>, 2023).</w:t>
      </w:r>
      <w:r w:rsidRPr="703578A6" w:rsidR="00D2078E">
        <w:rPr>
          <w:color w:val="000000" w:themeColor="text1" w:themeTint="FF" w:themeShade="FF"/>
        </w:rPr>
        <w:t xml:space="preserve"> In this regard, India has the largest pool of skilled IT professionals, approximately 5.4 million, which contributes to the enhancement of the industrial workforce by 39%. Based on this, the upcoming demand for digita</w:t>
      </w:r>
      <w:r w:rsidRPr="703578A6" w:rsidR="00D2078E">
        <w:rPr>
          <w:color w:val="000000" w:themeColor="text1" w:themeTint="FF" w:themeShade="FF"/>
        </w:rPr>
        <w:t xml:space="preserve">l talent is </w:t>
      </w:r>
      <w:r w:rsidRPr="703578A6" w:rsidR="00D2078E">
        <w:rPr>
          <w:color w:val="000000" w:themeColor="text1" w:themeTint="FF" w:themeShade="FF"/>
        </w:rPr>
        <w:t>anticipated</w:t>
      </w:r>
      <w:r w:rsidRPr="703578A6" w:rsidR="00D2078E">
        <w:rPr>
          <w:color w:val="000000" w:themeColor="text1" w:themeTint="FF" w:themeShade="FF"/>
        </w:rPr>
        <w:t xml:space="preserve"> to cross 6 million </w:t>
      </w:r>
      <w:r w:rsidRPr="703578A6" w:rsidR="00D2078E">
        <w:rPr>
          <w:color w:val="000000" w:themeColor="text1" w:themeTint="FF" w:themeShade="FF"/>
        </w:rPr>
        <w:t>(</w:t>
      </w:r>
      <w:r w:rsidRPr="703578A6" w:rsidR="00D2078E">
        <w:rPr>
          <w:color w:val="000000" w:themeColor="text1" w:themeTint="FF" w:themeShade="FF"/>
        </w:rPr>
        <w:t>Nasscom</w:t>
      </w:r>
      <w:r w:rsidRPr="703578A6" w:rsidR="00D2078E">
        <w:rPr>
          <w:color w:val="000000" w:themeColor="text1" w:themeTint="FF" w:themeShade="FF"/>
        </w:rPr>
        <w:t>, 2023).</w:t>
      </w:r>
      <w:r w:rsidRPr="703578A6" w:rsidR="00D2078E">
        <w:rPr>
          <w:color w:val="000000" w:themeColor="text1" w:themeTint="FF" w:themeShade="FF"/>
        </w:rPr>
        <w:t xml:space="preserve"> Simultaneously, the improvised digital infrastructure is also propelling the growth of the Indian IT sector. For example, the foundation of digital transformation across varied sectors, including </w:t>
      </w:r>
      <w:r w:rsidRPr="703578A6" w:rsidR="00D2078E">
        <w:rPr>
          <w:color w:val="000000" w:themeColor="text1" w:themeTint="FF" w:themeShade="FF"/>
        </w:rPr>
        <w:t xml:space="preserve">IT, is driven through the Union Budget of INR 2,000 crore (approximately $232 million) during the </w:t>
      </w:r>
      <w:r w:rsidRPr="703578A6" w:rsidR="00D2078E">
        <w:rPr>
          <w:color w:val="000000" w:themeColor="text1" w:themeTint="FF" w:themeShade="FF"/>
        </w:rPr>
        <w:t>financial year</w:t>
      </w:r>
      <w:r w:rsidRPr="703578A6" w:rsidR="00D2078E">
        <w:rPr>
          <w:color w:val="000000" w:themeColor="text1" w:themeTint="FF" w:themeShade="FF"/>
        </w:rPr>
        <w:t xml:space="preserve"> of 2026, focusing on AI, IT Hardware and its 2.0 version </w:t>
      </w:r>
      <w:r w:rsidRPr="703578A6" w:rsidR="00D2078E">
        <w:rPr>
          <w:color w:val="000000" w:themeColor="text1" w:themeTint="FF" w:themeShade="FF"/>
        </w:rPr>
        <w:t>(IBEF, 2026).</w:t>
      </w:r>
      <w:r w:rsidRPr="703578A6" w:rsidR="00D2078E">
        <w:rPr>
          <w:color w:val="000000" w:themeColor="text1" w:themeTint="FF" w:themeShade="FF"/>
        </w:rPr>
        <w:t xml:space="preserve"> </w:t>
      </w:r>
    </w:p>
    <w:p xmlns:wp14="http://schemas.microsoft.com/office/word/2010/wordml" w:rsidR="00296AB9" w:rsidRDefault="00D2078E" w14:paraId="086CF269" wp14:textId="77777777">
      <w:pPr>
        <w:jc w:val="left"/>
        <w:rPr>
          <w:b/>
          <w:bCs/>
          <w:i/>
          <w:iCs/>
          <w:u w:val="single"/>
        </w:rPr>
      </w:pPr>
      <w:r>
        <w:rPr>
          <w:b/>
          <w:bCs/>
          <w:i/>
          <w:iCs/>
          <w:u w:val="single"/>
        </w:rPr>
        <w:t>Demand conditions:</w:t>
      </w:r>
    </w:p>
    <w:p xmlns:wp14="http://schemas.microsoft.com/office/word/2010/wordml" w:rsidR="00296AB9" w:rsidRDefault="00D2078E" w14:paraId="36AA406B" wp14:textId="77777777">
      <w:r w:rsidR="00D2078E">
        <w:rPr/>
        <w:t>The higher demand towards the adoption of core techn</w:t>
      </w:r>
      <w:r w:rsidR="00D2078E">
        <w:rPr/>
        <w:t>ologies, including artificial intelligence, cloud computing and automation, is driving the demand for IT services across the domestic marketplace. The evolving demand in this regard is expected to increase the market value of Indian IT services by $214.8 b</w:t>
      </w:r>
      <w:r w:rsidR="00D2078E">
        <w:rPr/>
        <w:t>illion, at a growth rate of 12.3% between 2024 and 202</w:t>
      </w:r>
      <w:r w:rsidRPr="703578A6" w:rsidR="00D2078E">
        <w:rPr>
          <w:color w:val="000000" w:themeColor="text1" w:themeTint="FF" w:themeShade="FF"/>
        </w:rPr>
        <w:t xml:space="preserve">9 </w:t>
      </w:r>
      <w:r w:rsidRPr="703578A6" w:rsidR="00D2078E">
        <w:rPr>
          <w:color w:val="000000" w:themeColor="text1" w:themeTint="FF" w:themeShade="FF"/>
        </w:rPr>
        <w:t>(Technavio, 2025)</w:t>
      </w:r>
      <w:r w:rsidRPr="703578A6" w:rsidR="00D2078E">
        <w:rPr>
          <w:color w:val="000000" w:themeColor="text1" w:themeTint="FF" w:themeShade="FF"/>
        </w:rPr>
        <w:t>. Despite the constraints of stringent data privacy laws and cybersecurity regulations, the growing demand is making the domain an attractive destination to invest in IT hubs. Besides</w:t>
      </w:r>
      <w:r w:rsidRPr="703578A6" w:rsidR="00D2078E">
        <w:rPr>
          <w:color w:val="000000" w:themeColor="text1" w:themeTint="FF" w:themeShade="FF"/>
        </w:rPr>
        <w:t xml:space="preserve">, on a global scale, the growth in the market value of digital transformation is $3,140.86 billion in 2026, with a growth rate of 21.40% highlights an opportunity to drive competitiveness in terms of meeting the requirements of evolving digital solutions </w:t>
      </w:r>
      <w:r w:rsidRPr="703578A6" w:rsidR="00D2078E">
        <w:rPr>
          <w:color w:val="000000" w:themeColor="text1" w:themeTint="FF" w:themeShade="FF"/>
        </w:rPr>
        <w:t>(</w:t>
      </w:r>
      <w:r w:rsidRPr="703578A6" w:rsidR="00D2078E">
        <w:rPr>
          <w:color w:val="000000" w:themeColor="text1" w:themeTint="FF" w:themeShade="FF"/>
        </w:rPr>
        <w:t>Fortune, 2026).</w:t>
      </w:r>
      <w:r w:rsidRPr="703578A6" w:rsidR="00D2078E">
        <w:rPr>
          <w:color w:val="000000" w:themeColor="text1" w:themeTint="FF" w:themeShade="FF"/>
        </w:rPr>
        <w:t xml:space="preserve"> </w:t>
      </w:r>
    </w:p>
    <w:p xmlns:wp14="http://schemas.microsoft.com/office/word/2010/wordml" w:rsidR="00296AB9" w:rsidRDefault="00D2078E" w14:paraId="0D0B940D" wp14:textId="77777777">
      <w:pPr>
        <w:pBdr>
          <w:top w:val="single" w:color="000000" w:sz="18" w:space="0"/>
          <w:left w:val="single" w:color="000000" w:sz="18" w:space="0"/>
          <w:bottom w:val="single" w:color="000000" w:sz="18" w:space="0"/>
          <w:right w:val="single" w:color="000000" w:sz="18" w:space="0"/>
        </w:pBdr>
        <w:jc w:val="center"/>
      </w:pPr>
      <w:r>
        <w:rPr>
          <w:noProof/>
        </w:rPr>
        <w:drawing>
          <wp:inline xmlns:wp14="http://schemas.microsoft.com/office/word/2010/wordprocessingDrawing" distT="114300" distB="114300" distL="114300" distR="114300" wp14:anchorId="50BC1728" wp14:editId="7777777">
            <wp:extent cx="5862638" cy="1089849"/>
            <wp:effectExtent l="0" t="0" r="0" b="0"/>
            <wp:docPr id="3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a:srcRect/>
                    <a:stretch>
                      <a:fillRect/>
                    </a:stretch>
                  </pic:blipFill>
                  <pic:spPr>
                    <a:xfrm>
                      <a:off x="0" y="0"/>
                      <a:ext cx="5862638" cy="1089849"/>
                    </a:xfrm>
                    <a:prstGeom prst="rect">
                      <a:avLst/>
                    </a:prstGeom>
                    <a:ln/>
                  </pic:spPr>
                </pic:pic>
              </a:graphicData>
            </a:graphic>
          </wp:inline>
        </w:drawing>
      </w:r>
    </w:p>
    <w:p xmlns:wp14="http://schemas.microsoft.com/office/word/2010/wordml" w:rsidR="00296AB9" w:rsidRDefault="00D2078E" w14:paraId="1AE5781D" wp14:textId="77777777">
      <w:pPr>
        <w:jc w:val="center"/>
      </w:pPr>
      <w:r>
        <w:rPr>
          <w:b/>
          <w:bCs/>
        </w:rPr>
        <w:t xml:space="preserve">Figure 5: IT services growing demand </w:t>
      </w:r>
      <w:r>
        <w:br/>
      </w:r>
      <w:r>
        <w:t>(Source: Technavio, 2025)</w:t>
      </w:r>
    </w:p>
    <w:p xmlns:wp14="http://schemas.microsoft.com/office/word/2010/wordml" w:rsidR="00296AB9" w:rsidRDefault="00D2078E" w14:paraId="384341D8" wp14:textId="77777777">
      <w:pPr>
        <w:jc w:val="left"/>
        <w:rPr>
          <w:b/>
          <w:bCs/>
          <w:i/>
          <w:iCs/>
          <w:u w:val="single"/>
        </w:rPr>
      </w:pPr>
      <w:r>
        <w:rPr>
          <w:b/>
          <w:bCs/>
          <w:i/>
          <w:iCs/>
          <w:u w:val="single"/>
        </w:rPr>
        <w:t>Related and supporting industries:</w:t>
      </w:r>
    </w:p>
    <w:p xmlns:wp14="http://schemas.microsoft.com/office/word/2010/wordml" w:rsidR="00296AB9" w:rsidRDefault="00D2078E" w14:paraId="2BAF69E1" wp14:textId="77777777">
      <w:r w:rsidR="00D2078E">
        <w:rPr/>
        <w:t>The position and competitiveness of the Indian IT sector are supported by the clusters of suppliers in the support of building an assembly</w:t>
      </w:r>
      <w:r w:rsidR="00D2078E">
        <w:rPr/>
        <w:t xml:space="preserve"> plant. The long-term success of the sector is fostered by partnerships with global suppliers, such as General Electric and Areva, in the management of the energy portfolio </w:t>
      </w:r>
      <w:r w:rsidRPr="703578A6" w:rsidR="00D2078E">
        <w:rPr>
          <w:color w:val="000000" w:themeColor="text1" w:themeTint="FF" w:themeShade="FF"/>
        </w:rPr>
        <w:t>(Chowdhry, 2024).</w:t>
      </w:r>
      <w:r w:rsidRPr="703578A6" w:rsidR="00D2078E">
        <w:rPr>
          <w:color w:val="000000" w:themeColor="text1" w:themeTint="FF" w:themeShade="FF"/>
        </w:rPr>
        <w:t xml:space="preserve"> B</w:t>
      </w:r>
      <w:r w:rsidR="00D2078E">
        <w:rPr/>
        <w:t>esides, the presence of improvised telecom infrastructure has be</w:t>
      </w:r>
      <w:r w:rsidR="00D2078E">
        <w:rPr/>
        <w:t>en instrumental in enhancing the growth of Indian IT sector. The expansion of the telecom domain from $3 trillion in 2024 to $4 trillion by 2028 is found to be driven by the adoption of generative AI and IoT devices to align with the ongoing demand for hig</w:t>
      </w:r>
      <w:r w:rsidR="00D2078E">
        <w:rPr/>
        <w:t>her intern</w:t>
      </w:r>
      <w:r w:rsidRPr="703578A6" w:rsidR="00D2078E">
        <w:rPr>
          <w:color w:val="000000" w:themeColor="text1" w:themeTint="FF" w:themeShade="FF"/>
        </w:rPr>
        <w:t xml:space="preserve">et </w:t>
      </w:r>
      <w:r w:rsidRPr="703578A6" w:rsidR="00D2078E">
        <w:rPr>
          <w:color w:val="000000" w:themeColor="text1" w:themeTint="FF" w:themeShade="FF"/>
        </w:rPr>
        <w:t>(Pathak and Mahesh, 2024).</w:t>
      </w:r>
      <w:r w:rsidRPr="703578A6" w:rsidR="00D2078E">
        <w:rPr>
          <w:color w:val="000000" w:themeColor="text1" w:themeTint="FF" w:themeShade="FF"/>
        </w:rPr>
        <w:t xml:space="preserve"> This implies a growth opportunity for the IT sector in terms of designing and developing cloud-based infrastructure, thereby improving its supply chain and overall</w:t>
      </w:r>
      <w:r w:rsidR="00D2078E">
        <w:rPr/>
        <w:t xml:space="preserve"> cost efficacy. </w:t>
      </w:r>
    </w:p>
    <w:p xmlns:wp14="http://schemas.microsoft.com/office/word/2010/wordml" w:rsidR="00296AB9" w:rsidRDefault="00D2078E" w14:paraId="701DF493" wp14:textId="77777777">
      <w:r w:rsidR="00D2078E">
        <w:rPr/>
        <w:t>Besides, the evolving education doma</w:t>
      </w:r>
      <w:r w:rsidR="00D2078E">
        <w:rPr/>
        <w:t xml:space="preserve">in of India also tends to offer significant opportunities for the IT sector in terms of gaining a competitive market share. For instance, educational institutions, such as IITs, IIMs, IIITs, NITs, government institutions </w:t>
      </w:r>
      <w:r w:rsidRPr="703578A6" w:rsidR="00D2078E">
        <w:rPr>
          <w:color w:val="000000" w:themeColor="text1" w:themeTint="FF" w:themeShade="FF"/>
        </w:rPr>
        <w:t>and others are playing a significan</w:t>
      </w:r>
      <w:r w:rsidRPr="703578A6" w:rsidR="00D2078E">
        <w:rPr>
          <w:color w:val="000000" w:themeColor="text1" w:themeTint="FF" w:themeShade="FF"/>
        </w:rPr>
        <w:t xml:space="preserve">t role in shaping careers in relevance to engineering </w:t>
      </w:r>
      <w:r w:rsidRPr="703578A6" w:rsidR="00D2078E">
        <w:rPr>
          <w:color w:val="000000" w:themeColor="text1" w:themeTint="FF" w:themeShade="FF"/>
        </w:rPr>
        <w:t>(Gov.in, 2025)</w:t>
      </w:r>
      <w:r w:rsidRPr="703578A6" w:rsidR="00D2078E">
        <w:rPr>
          <w:color w:val="000000" w:themeColor="text1" w:themeTint="FF" w:themeShade="FF"/>
        </w:rPr>
        <w:t>. T</w:t>
      </w:r>
      <w:r w:rsidR="00D2078E">
        <w:rPr/>
        <w:t xml:space="preserve">his highlights an opportunity for the Indian IT sector to </w:t>
      </w:r>
      <w:r w:rsidR="00D2078E">
        <w:rPr/>
        <w:t>acquire</w:t>
      </w:r>
      <w:r w:rsidR="00D2078E">
        <w:rPr/>
        <w:t xml:space="preserve"> the engagement of the talent pool and skilled workforce, in support of both domestic and global excellence. </w:t>
      </w:r>
    </w:p>
    <w:p xmlns:wp14="http://schemas.microsoft.com/office/word/2010/wordml" w:rsidR="00296AB9" w:rsidRDefault="00D2078E" w14:paraId="4A66DB46" wp14:textId="77777777">
      <w:pPr>
        <w:jc w:val="left"/>
        <w:rPr>
          <w:b/>
          <w:bCs/>
          <w:i/>
          <w:iCs/>
          <w:u w:val="single"/>
        </w:rPr>
      </w:pPr>
      <w:r>
        <w:rPr>
          <w:b/>
          <w:bCs/>
          <w:i/>
          <w:iCs/>
          <w:u w:val="single"/>
        </w:rPr>
        <w:t>Firm strat</w:t>
      </w:r>
      <w:r>
        <w:rPr>
          <w:b/>
          <w:bCs/>
          <w:i/>
          <w:iCs/>
          <w:u w:val="single"/>
        </w:rPr>
        <w:t xml:space="preserve">egy, structure and rivalry: </w:t>
      </w:r>
    </w:p>
    <w:p xmlns:wp14="http://schemas.microsoft.com/office/word/2010/wordml" w:rsidR="00296AB9" w:rsidP="703578A6" w:rsidRDefault="00D2078E" w14:paraId="6939DCD0" wp14:textId="77777777">
      <w:pPr>
        <w:spacing w:before="240" w:after="240"/>
        <w:rPr>
          <w:color w:val="000000" w:themeColor="text1" w:themeTint="FF" w:themeShade="FF"/>
        </w:rPr>
      </w:pPr>
      <w:r w:rsidR="00D2078E">
        <w:rPr/>
        <w:t xml:space="preserve">The IT sector of the Indian nation is </w:t>
      </w:r>
      <w:r w:rsidR="00D2078E">
        <w:rPr/>
        <w:t>demonstrated</w:t>
      </w:r>
      <w:r w:rsidR="00D2078E">
        <w:rPr/>
        <w:t xml:space="preserve"> to be highly competitive, since it has the presence of massive domestic and multinational firms competing for market sh</w:t>
      </w:r>
      <w:r w:rsidRPr="703578A6" w:rsidR="00D2078E">
        <w:rPr>
          <w:color w:val="000000" w:themeColor="text1" w:themeTint="FF" w:themeShade="FF"/>
        </w:rPr>
        <w:t xml:space="preserve">are and position </w:t>
      </w:r>
      <w:r w:rsidRPr="703578A6" w:rsidR="00D2078E">
        <w:rPr>
          <w:color w:val="000000" w:themeColor="text1" w:themeTint="FF" w:themeShade="FF"/>
        </w:rPr>
        <w:t>(Dhar and Amu, 2022)</w:t>
      </w:r>
      <w:r w:rsidRPr="703578A6" w:rsidR="00D2078E">
        <w:rPr>
          <w:color w:val="000000" w:themeColor="text1" w:themeTint="FF" w:themeShade="FF"/>
        </w:rPr>
        <w:t>.</w:t>
      </w:r>
      <w:r w:rsidRPr="703578A6" w:rsidR="00D2078E">
        <w:rPr>
          <w:color w:val="000000" w:themeColor="text1" w:themeTint="FF" w:themeShade="FF"/>
        </w:rPr>
        <w:t xml:space="preserve">  </w:t>
      </w:r>
      <w:r w:rsidRPr="703578A6" w:rsidR="00D2078E">
        <w:rPr>
          <w:color w:val="000000" w:themeColor="text1" w:themeTint="FF" w:themeShade="FF"/>
        </w:rPr>
        <w:t>The presence of p</w:t>
      </w:r>
      <w:r w:rsidRPr="703578A6" w:rsidR="00D2078E">
        <w:rPr>
          <w:color w:val="000000" w:themeColor="text1" w:themeTint="FF" w:themeShade="FF"/>
        </w:rPr>
        <w:t xml:space="preserve">otential rivals, such as Infosys, TCS, Wipro, and </w:t>
      </w:r>
      <w:r w:rsidRPr="703578A6" w:rsidR="00D2078E">
        <w:rPr>
          <w:color w:val="000000" w:themeColor="text1" w:themeTint="FF" w:themeShade="FF"/>
        </w:rPr>
        <w:t>Technocomet</w:t>
      </w:r>
      <w:r w:rsidRPr="703578A6" w:rsidR="00D2078E">
        <w:rPr>
          <w:color w:val="000000" w:themeColor="text1" w:themeTint="FF" w:themeShade="FF"/>
        </w:rPr>
        <w:t xml:space="preserve"> Solutions, highlights the focus of these firms in driving technological advancements. The rise in technological demands has been pivotal for the firms in terms of enhancing their footprint acros</w:t>
      </w:r>
      <w:r w:rsidRPr="703578A6" w:rsidR="00D2078E">
        <w:rPr>
          <w:color w:val="000000" w:themeColor="text1" w:themeTint="FF" w:themeShade="FF"/>
        </w:rPr>
        <w:t xml:space="preserve">s the global technological landscape </w:t>
      </w:r>
      <w:r w:rsidRPr="703578A6" w:rsidR="00D2078E">
        <w:rPr>
          <w:color w:val="000000" w:themeColor="text1" w:themeTint="FF" w:themeShade="FF"/>
        </w:rPr>
        <w:t>(</w:t>
      </w:r>
      <w:r w:rsidRPr="703578A6" w:rsidR="00D2078E">
        <w:rPr>
          <w:color w:val="000000" w:themeColor="text1" w:themeTint="FF" w:themeShade="FF"/>
        </w:rPr>
        <w:t>Technocomet</w:t>
      </w:r>
      <w:r w:rsidRPr="703578A6" w:rsidR="00D2078E">
        <w:rPr>
          <w:color w:val="000000" w:themeColor="text1" w:themeTint="FF" w:themeShade="FF"/>
        </w:rPr>
        <w:t>, 2025)</w:t>
      </w:r>
      <w:r w:rsidRPr="703578A6" w:rsidR="00D2078E">
        <w:rPr>
          <w:color w:val="000000" w:themeColor="text1" w:themeTint="FF" w:themeShade="FF"/>
        </w:rPr>
        <w:t xml:space="preserve">.  </w:t>
      </w:r>
    </w:p>
    <w:p xmlns:wp14="http://schemas.microsoft.com/office/word/2010/wordml" w:rsidR="00296AB9" w:rsidRDefault="00D2078E" w14:paraId="4DEDCAC7" wp14:textId="77777777">
      <w:pPr>
        <w:spacing w:before="240" w:after="240"/>
      </w:pPr>
      <w:r w:rsidR="00D2078E">
        <w:rPr/>
        <w:t xml:space="preserve">In this instance, firms, such as TCS, Infosys, HCL and Wipro </w:t>
      </w:r>
      <w:r w:rsidR="00D2078E">
        <w:rPr/>
        <w:t>demonstrate</w:t>
      </w:r>
      <w:r w:rsidR="00D2078E">
        <w:rPr/>
        <w:t xml:space="preserve"> a fierce market competition for share, driving innovation and growth</w:t>
      </w:r>
      <w:r w:rsidRPr="703578A6" w:rsidR="00D2078E">
        <w:rPr>
          <w:color w:val="000000" w:themeColor="text1" w:themeTint="FF" w:themeShade="FF"/>
        </w:rPr>
        <w:t xml:space="preserve"> </w:t>
      </w:r>
      <w:r w:rsidRPr="703578A6" w:rsidR="00D2078E">
        <w:rPr>
          <w:color w:val="000000" w:themeColor="text1" w:themeTint="FF" w:themeShade="FF"/>
        </w:rPr>
        <w:t>(</w:t>
      </w:r>
      <w:r w:rsidRPr="703578A6" w:rsidR="00D2078E">
        <w:rPr>
          <w:color w:val="000000" w:themeColor="text1" w:themeTint="FF" w:themeShade="FF"/>
        </w:rPr>
        <w:t>Infotyke</w:t>
      </w:r>
      <w:r w:rsidRPr="703578A6" w:rsidR="00D2078E">
        <w:rPr>
          <w:color w:val="000000" w:themeColor="text1" w:themeTint="FF" w:themeShade="FF"/>
        </w:rPr>
        <w:t>, 2025)</w:t>
      </w:r>
      <w:r w:rsidRPr="703578A6" w:rsidR="00D2078E">
        <w:rPr>
          <w:color w:val="000000" w:themeColor="text1" w:themeTint="FF" w:themeShade="FF"/>
        </w:rPr>
        <w:t>. In comparison to other IT organisati</w:t>
      </w:r>
      <w:r w:rsidRPr="703578A6" w:rsidR="00D2078E">
        <w:rPr>
          <w:color w:val="000000" w:themeColor="text1" w:themeTint="FF" w:themeShade="FF"/>
        </w:rPr>
        <w:t>ons, TCS is constantly outperforming in terms of supporting clients with the transition to flexible and scalable IT environments. Regardless, in terms of striving into the competitive marketplace, each of these firms highlights capability and efforts towar</w:t>
      </w:r>
      <w:r w:rsidRPr="703578A6" w:rsidR="00D2078E">
        <w:rPr>
          <w:color w:val="000000" w:themeColor="text1" w:themeTint="FF" w:themeShade="FF"/>
        </w:rPr>
        <w:t xml:space="preserve">ds fostering data-driven decisions, by comprehensively integrating multi-cloud management and cloud-native solutions as crucial for the contemporary business environment </w:t>
      </w:r>
      <w:r w:rsidRPr="703578A6" w:rsidR="00D2078E">
        <w:rPr>
          <w:color w:val="000000" w:themeColor="text1" w:themeTint="FF" w:themeShade="FF"/>
        </w:rPr>
        <w:t>(</w:t>
      </w:r>
      <w:r w:rsidRPr="703578A6" w:rsidR="00D2078E">
        <w:rPr>
          <w:color w:val="000000" w:themeColor="text1" w:themeTint="FF" w:themeShade="FF"/>
        </w:rPr>
        <w:t>Infotyke</w:t>
      </w:r>
      <w:r w:rsidRPr="703578A6" w:rsidR="00D2078E">
        <w:rPr>
          <w:color w:val="000000" w:themeColor="text1" w:themeTint="FF" w:themeShade="FF"/>
        </w:rPr>
        <w:t>, 2025)</w:t>
      </w:r>
      <w:r w:rsidRPr="703578A6" w:rsidR="00D2078E">
        <w:rPr>
          <w:color w:val="000000" w:themeColor="text1" w:themeTint="FF" w:themeShade="FF"/>
        </w:rPr>
        <w:t>. Thus, the Indian</w:t>
      </w:r>
      <w:r w:rsidR="00D2078E">
        <w:rPr/>
        <w:t xml:space="preserve"> IT sector showcase intention to rival </w:t>
      </w:r>
      <w:r w:rsidR="00D2078E">
        <w:rPr/>
        <w:t>in regard to</w:t>
      </w:r>
      <w:r w:rsidR="00D2078E">
        <w:rPr/>
        <w:t xml:space="preserve"> </w:t>
      </w:r>
      <w:r w:rsidR="00D2078E">
        <w:rPr/>
        <w:t xml:space="preserve">driving innovation and securing long-term growth. </w:t>
      </w:r>
    </w:p>
    <w:p xmlns:wp14="http://schemas.microsoft.com/office/word/2010/wordml" w:rsidR="00296AB9" w:rsidRDefault="00D2078E" w14:paraId="7CF5A185" wp14:textId="77777777">
      <w:pPr>
        <w:pStyle w:val="Heading2"/>
        <w:rPr>
          <w:highlight w:val="yellow"/>
        </w:rPr>
      </w:pPr>
      <w:bookmarkStart w:name="_heading=h.fvrcc4qshscw" w:colFirst="0" w:colLast="0" w:id="7"/>
      <w:bookmarkEnd w:id="7"/>
      <w:r>
        <w:t>4. Identifying foreign MNCs/TNCs operating in India</w:t>
      </w:r>
    </w:p>
    <w:p xmlns:wp14="http://schemas.microsoft.com/office/word/2010/wordml" w:rsidR="00296AB9" w:rsidRDefault="00D2078E" w14:paraId="0EAA0C94" wp14:textId="77777777">
      <w:pPr>
        <w:pStyle w:val="Heading3"/>
        <w:rPr>
          <w:highlight w:val="yellow"/>
        </w:rPr>
      </w:pPr>
      <w:bookmarkStart w:name="_heading=h.v7ayngcepkx9" w:colFirst="0" w:colLast="0" w:id="8"/>
      <w:bookmarkEnd w:id="8"/>
      <w:r>
        <w:t>4.1 One chosen MNC operating in the Indian IT sector</w:t>
      </w:r>
    </w:p>
    <w:p xmlns:wp14="http://schemas.microsoft.com/office/word/2010/wordml" w:rsidR="00296AB9" w:rsidP="703578A6" w:rsidRDefault="00D2078E" w14:paraId="631A6DF6" wp14:textId="77777777">
      <w:pPr>
        <w:rPr>
          <w:color w:val="000000" w:themeColor="text1" w:themeTint="FF" w:themeShade="FF"/>
        </w:rPr>
      </w:pPr>
      <w:r w:rsidRPr="703578A6" w:rsidR="00D2078E">
        <w:rPr>
          <w:b w:val="1"/>
          <w:bCs w:val="1"/>
          <w:i w:val="1"/>
          <w:iCs w:val="1"/>
          <w:color w:val="000000" w:themeColor="text1" w:themeTint="FF" w:themeShade="FF"/>
        </w:rPr>
        <w:t xml:space="preserve">Accenture </w:t>
      </w:r>
      <w:r w:rsidRPr="703578A6" w:rsidR="00D2078E">
        <w:rPr>
          <w:color w:val="000000" w:themeColor="text1" w:themeTint="FF" w:themeShade="FF"/>
        </w:rPr>
        <w:t xml:space="preserve">serves as an industry leader in the Indian IT market with a key hub for multinational operations with 784k employees globally and over 3 </w:t>
      </w:r>
      <w:r w:rsidRPr="703578A6" w:rsidR="00D2078E">
        <w:rPr>
          <w:color w:val="000000" w:themeColor="text1" w:themeTint="FF" w:themeShade="FF"/>
        </w:rPr>
        <w:t>lakh</w:t>
      </w:r>
      <w:r w:rsidRPr="703578A6" w:rsidR="00D2078E">
        <w:rPr>
          <w:color w:val="000000" w:themeColor="text1" w:themeTint="FF" w:themeShade="FF"/>
        </w:rPr>
        <w:t xml:space="preserve"> in India, and over 9000 clients in 120 regions, over 350 partners</w:t>
      </w:r>
      <w:r w:rsidRPr="703578A6" w:rsidR="00D2078E">
        <w:rPr>
          <w:color w:val="000000" w:themeColor="text1" w:themeTint="FF" w:themeShade="FF"/>
        </w:rPr>
        <w:t xml:space="preserve"> </w:t>
      </w:r>
      <w:r w:rsidRPr="703578A6" w:rsidR="00D2078E">
        <w:rPr>
          <w:color w:val="000000" w:themeColor="text1" w:themeTint="FF" w:themeShade="FF"/>
        </w:rPr>
        <w:t>(TNN, 2024)</w:t>
      </w:r>
      <w:r w:rsidRPr="703578A6" w:rsidR="00D2078E">
        <w:rPr>
          <w:color w:val="000000" w:themeColor="text1" w:themeTint="FF" w:themeShade="FF"/>
        </w:rPr>
        <w:t>. It has wider innovation hubs in cit</w:t>
      </w:r>
      <w:r w:rsidRPr="703578A6" w:rsidR="00D2078E">
        <w:rPr>
          <w:color w:val="000000" w:themeColor="text1" w:themeTint="FF" w:themeShade="FF"/>
        </w:rPr>
        <w:t xml:space="preserve">ies including Bengaluru, Hyderabad, Pune, and Chennai. Integral offerings include improving the digital transition through cloud computing, data and AI, cybersecurity, and technology outsourcing. Accenture effectively enhanced its data and AI workforce to </w:t>
      </w:r>
      <w:r w:rsidRPr="703578A6" w:rsidR="00D2078E">
        <w:rPr>
          <w:color w:val="000000" w:themeColor="text1" w:themeTint="FF" w:themeShade="FF"/>
        </w:rPr>
        <w:t xml:space="preserve">69,000 with large part sourced from India </w:t>
      </w:r>
      <w:r w:rsidRPr="703578A6" w:rsidR="00D2078E">
        <w:rPr>
          <w:color w:val="000000" w:themeColor="text1" w:themeTint="FF" w:themeShade="FF"/>
        </w:rPr>
        <w:t>(Rao,2025)</w:t>
      </w:r>
      <w:r w:rsidRPr="703578A6" w:rsidR="00D2078E">
        <w:rPr>
          <w:color w:val="000000" w:themeColor="text1" w:themeTint="FF" w:themeShade="FF"/>
        </w:rPr>
        <w:t xml:space="preserve">. The </w:t>
      </w:r>
      <w:r w:rsidRPr="703578A6" w:rsidR="00D2078E">
        <w:rPr>
          <w:color w:val="000000" w:themeColor="text1" w:themeTint="FF" w:themeShade="FF"/>
        </w:rPr>
        <w:t>center</w:t>
      </w:r>
      <w:r w:rsidRPr="703578A6" w:rsidR="00D2078E">
        <w:rPr>
          <w:color w:val="000000" w:themeColor="text1" w:themeTint="FF" w:themeShade="FF"/>
        </w:rPr>
        <w:t xml:space="preserve"> for advanced AI and Gen AI studio in Bengaluru is a crucial part for custom</w:t>
      </w:r>
      <w:r w:rsidRPr="703578A6" w:rsidR="00D2078E">
        <w:rPr>
          <w:color w:val="000000" w:themeColor="text1" w:themeTint="FF" w:themeShade="FF"/>
        </w:rPr>
        <w:t xml:space="preserve">ising innovative AI and GenAI solutions, </w:t>
      </w:r>
      <w:r w:rsidRPr="703578A6" w:rsidR="00D2078E">
        <w:rPr>
          <w:color w:val="000000" w:themeColor="text1" w:themeTint="FF" w:themeShade="FF"/>
        </w:rPr>
        <w:t>tools</w:t>
      </w:r>
      <w:r w:rsidRPr="703578A6" w:rsidR="00D2078E">
        <w:rPr>
          <w:color w:val="000000" w:themeColor="text1" w:themeTint="FF" w:themeShade="FF"/>
        </w:rPr>
        <w:t xml:space="preserve"> and assets. In 2020, Accenture developed Project Spotlight, where sta</w:t>
      </w:r>
      <w:r w:rsidRPr="703578A6" w:rsidR="00D2078E">
        <w:rPr>
          <w:color w:val="000000" w:themeColor="text1" w:themeTint="FF" w:themeShade="FF"/>
        </w:rPr>
        <w:t xml:space="preserve">rt-ups collaborate with the company in its Innovation hubs, </w:t>
      </w:r>
      <w:r w:rsidRPr="703578A6" w:rsidR="00D2078E">
        <w:rPr>
          <w:color w:val="000000" w:themeColor="text1" w:themeTint="FF" w:themeShade="FF"/>
        </w:rPr>
        <w:t>labs</w:t>
      </w:r>
      <w:r w:rsidRPr="703578A6" w:rsidR="00D2078E">
        <w:rPr>
          <w:color w:val="000000" w:themeColor="text1" w:themeTint="FF" w:themeShade="FF"/>
        </w:rPr>
        <w:t xml:space="preserve"> and </w:t>
      </w:r>
      <w:r w:rsidRPr="703578A6" w:rsidR="00D2078E">
        <w:rPr>
          <w:color w:val="000000" w:themeColor="text1" w:themeTint="FF" w:themeShade="FF"/>
        </w:rPr>
        <w:t xml:space="preserve">liquid studios. Invested in Bengaluru-oriented “hyperspectral start-up </w:t>
      </w:r>
      <w:r w:rsidRPr="703578A6" w:rsidR="00D2078E">
        <w:rPr>
          <w:color w:val="000000" w:themeColor="text1" w:themeTint="FF" w:themeShade="FF"/>
        </w:rPr>
        <w:t>Pixxel</w:t>
      </w:r>
      <w:r w:rsidRPr="703578A6" w:rsidR="00D2078E">
        <w:rPr>
          <w:color w:val="000000" w:themeColor="text1" w:themeTint="FF" w:themeShade="FF"/>
        </w:rPr>
        <w:t>” in 2022</w:t>
      </w:r>
      <w:r w:rsidRPr="703578A6" w:rsidR="00D2078E">
        <w:rPr>
          <w:color w:val="000000" w:themeColor="text1" w:themeTint="FF" w:themeShade="FF"/>
        </w:rPr>
        <w:t>(Rao,2025)</w:t>
      </w:r>
      <w:r w:rsidRPr="703578A6" w:rsidR="00D2078E">
        <w:rPr>
          <w:color w:val="000000" w:themeColor="text1" w:themeTint="FF" w:themeShade="FF"/>
        </w:rPr>
        <w:t xml:space="preserve">. In FY24, Accenture invested $1.1 billion for skilled development programs </w:t>
      </w:r>
      <w:r w:rsidRPr="703578A6" w:rsidR="00D2078E">
        <w:rPr>
          <w:color w:val="000000" w:themeColor="text1" w:themeTint="FF" w:themeShade="FF"/>
        </w:rPr>
        <w:t xml:space="preserve">(Rao, 2025). </w:t>
      </w:r>
      <w:r w:rsidRPr="703578A6" w:rsidR="00D2078E">
        <w:rPr>
          <w:color w:val="000000" w:themeColor="text1" w:themeTint="FF" w:themeShade="FF"/>
        </w:rPr>
        <w:t>Ac</w:t>
      </w:r>
      <w:r w:rsidRPr="703578A6" w:rsidR="00D2078E">
        <w:rPr>
          <w:color w:val="000000" w:themeColor="text1" w:themeTint="FF" w:themeShade="FF"/>
        </w:rPr>
        <w:t xml:space="preserve">centure's financial performance serves as an indicator for Indian IT organisations such as TCS and Infosys for the same revenue sources and client bases in banking and economic services. It </w:t>
      </w:r>
      <w:r w:rsidRPr="703578A6" w:rsidR="00D2078E">
        <w:rPr>
          <w:color w:val="000000" w:themeColor="text1" w:themeTint="FF" w:themeShade="FF"/>
        </w:rPr>
        <w:t>maintains</w:t>
      </w:r>
      <w:r w:rsidRPr="703578A6" w:rsidR="00D2078E">
        <w:rPr>
          <w:color w:val="000000" w:themeColor="text1" w:themeTint="FF" w:themeShade="FF"/>
        </w:rPr>
        <w:t xml:space="preserve"> “360° VALUE” for encompassing transformation and generat</w:t>
      </w:r>
      <w:r w:rsidRPr="703578A6" w:rsidR="00D2078E">
        <w:rPr>
          <w:color w:val="000000" w:themeColor="text1" w:themeTint="FF" w:themeShade="FF"/>
        </w:rPr>
        <w:t xml:space="preserve">ing value for all stakeholders globally </w:t>
      </w:r>
      <w:r w:rsidRPr="703578A6" w:rsidR="00D2078E">
        <w:rPr>
          <w:color w:val="000000" w:themeColor="text1" w:themeTint="FF" w:themeShade="FF"/>
        </w:rPr>
        <w:t>(</w:t>
      </w:r>
      <w:r w:rsidRPr="703578A6" w:rsidR="00D2078E">
        <w:rPr>
          <w:color w:val="000000" w:themeColor="text1" w:themeTint="FF" w:themeShade="FF"/>
          <w:highlight w:val="white"/>
        </w:rPr>
        <w:t>Accenture 2024)</w:t>
      </w:r>
      <w:r w:rsidRPr="703578A6" w:rsidR="00D2078E">
        <w:rPr>
          <w:color w:val="000000" w:themeColor="text1" w:themeTint="FF" w:themeShade="FF"/>
        </w:rPr>
        <w:t>.</w:t>
      </w:r>
    </w:p>
    <w:p xmlns:wp14="http://schemas.microsoft.com/office/word/2010/wordml" w:rsidR="00296AB9" w:rsidRDefault="00D2078E" w14:paraId="1D0E4A37" wp14:textId="77777777">
      <w:pPr>
        <w:pStyle w:val="Heading3"/>
        <w:rPr>
          <w:color w:val="000000"/>
        </w:rPr>
      </w:pPr>
      <w:bookmarkStart w:name="_heading=h.3leg7iy1zgbd" w:colFirst="0" w:colLast="0" w:id="9"/>
      <w:bookmarkEnd w:id="9"/>
      <w:r>
        <w:rPr>
          <w:color w:val="000000"/>
        </w:rPr>
        <w:t>4.2 Evaluating internal &amp; external factors on success of chosen MNC’s operations in India</w:t>
      </w:r>
    </w:p>
    <w:p xmlns:wp14="http://schemas.microsoft.com/office/word/2010/wordml" w:rsidR="00296AB9" w:rsidRDefault="00D2078E" w14:paraId="3262E0DE" wp14:textId="77777777">
      <w:pPr>
        <w:pStyle w:val="Heading4"/>
      </w:pPr>
      <w:bookmarkStart w:name="_heading=h.91yezyossudi" w:colFirst="0" w:colLast="0" w:id="10"/>
      <w:bookmarkEnd w:id="10"/>
      <w:r>
        <w:t>4.2.1 PESTLE framework: External factors of market attractiveness of Indian IT industry</w:t>
      </w:r>
    </w:p>
    <w:tbl>
      <w:tblPr>
        <w:tblStyle w:val="a8"/>
        <w:tblW w:w="9360" w:type="dxa"/>
        <w:tblInd w:w="-1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815"/>
        <w:gridCol w:w="5505"/>
        <w:gridCol w:w="2040"/>
      </w:tblGrid>
      <w:tr xmlns:wp14="http://schemas.microsoft.com/office/word/2010/wordml" w:rsidR="00296AB9" w:rsidTr="703578A6" w14:paraId="081DB678" wp14:textId="77777777">
        <w:tc>
          <w:tcPr>
            <w:tcW w:w="1815" w:type="dxa"/>
            <w:tcMar>
              <w:top w:w="100" w:type="dxa"/>
              <w:left w:w="100" w:type="dxa"/>
              <w:bottom w:w="100" w:type="dxa"/>
              <w:right w:w="100" w:type="dxa"/>
            </w:tcMar>
          </w:tcPr>
          <w:p w:rsidR="00296AB9" w:rsidRDefault="00D2078E" w14:paraId="04230D3D" wp14:textId="77777777">
            <w:pPr>
              <w:widowControl w:val="0"/>
              <w:pBdr>
                <w:top w:val="nil"/>
                <w:left w:val="nil"/>
                <w:bottom w:val="nil"/>
                <w:right w:val="nil"/>
                <w:between w:val="nil"/>
              </w:pBdr>
              <w:spacing w:before="0" w:after="0"/>
              <w:rPr>
                <w:b/>
                <w:bCs/>
                <w:color w:val="000000"/>
              </w:rPr>
            </w:pPr>
            <w:r>
              <w:rPr>
                <w:b/>
                <w:bCs/>
                <w:color w:val="000000"/>
              </w:rPr>
              <w:t>Factor</w:t>
            </w:r>
          </w:p>
        </w:tc>
        <w:tc>
          <w:tcPr>
            <w:tcW w:w="5505" w:type="dxa"/>
            <w:tcMar>
              <w:top w:w="100" w:type="dxa"/>
              <w:left w:w="100" w:type="dxa"/>
              <w:bottom w:w="100" w:type="dxa"/>
              <w:right w:w="100" w:type="dxa"/>
            </w:tcMar>
          </w:tcPr>
          <w:p w:rsidR="00296AB9" w:rsidRDefault="00D2078E" w14:paraId="2BCC458A" wp14:textId="77777777">
            <w:pPr>
              <w:widowControl w:val="0"/>
              <w:spacing w:before="0" w:after="0"/>
              <w:rPr>
                <w:b/>
                <w:bCs/>
                <w:color w:val="000000"/>
              </w:rPr>
            </w:pPr>
            <w:r>
              <w:rPr>
                <w:b/>
                <w:bCs/>
                <w:color w:val="000000"/>
              </w:rPr>
              <w:t>Application</w:t>
            </w:r>
          </w:p>
        </w:tc>
        <w:tc>
          <w:tcPr>
            <w:tcW w:w="2040" w:type="dxa"/>
            <w:tcMar>
              <w:top w:w="100" w:type="dxa"/>
              <w:left w:w="100" w:type="dxa"/>
              <w:bottom w:w="100" w:type="dxa"/>
              <w:right w:w="100" w:type="dxa"/>
            </w:tcMar>
          </w:tcPr>
          <w:p w:rsidR="00296AB9" w:rsidRDefault="00D2078E" w14:paraId="6CCD3BA4" wp14:textId="77777777">
            <w:pPr>
              <w:widowControl w:val="0"/>
              <w:pBdr>
                <w:top w:val="nil"/>
                <w:left w:val="nil"/>
                <w:bottom w:val="nil"/>
                <w:right w:val="nil"/>
                <w:between w:val="nil"/>
              </w:pBdr>
              <w:spacing w:before="0" w:after="0"/>
              <w:rPr>
                <w:b/>
                <w:bCs/>
                <w:color w:val="000000"/>
              </w:rPr>
            </w:pPr>
            <w:r>
              <w:rPr>
                <w:b/>
                <w:bCs/>
                <w:color w:val="000000"/>
              </w:rPr>
              <w:t>Opportunities/threats</w:t>
            </w:r>
          </w:p>
        </w:tc>
      </w:tr>
      <w:tr xmlns:wp14="http://schemas.microsoft.com/office/word/2010/wordml" w:rsidR="00296AB9" w:rsidTr="703578A6" w14:paraId="054C6737" wp14:textId="77777777">
        <w:tc>
          <w:tcPr>
            <w:tcW w:w="1815" w:type="dxa"/>
            <w:tcMar>
              <w:top w:w="100" w:type="dxa"/>
              <w:left w:w="100" w:type="dxa"/>
              <w:bottom w:w="100" w:type="dxa"/>
              <w:right w:w="100" w:type="dxa"/>
            </w:tcMar>
          </w:tcPr>
          <w:p w:rsidR="00296AB9" w:rsidRDefault="00D2078E" w14:paraId="66B2979F" wp14:textId="77777777">
            <w:pPr>
              <w:widowControl w:val="0"/>
              <w:pBdr>
                <w:top w:val="nil"/>
                <w:left w:val="nil"/>
                <w:bottom w:val="nil"/>
                <w:right w:val="nil"/>
                <w:between w:val="nil"/>
              </w:pBdr>
              <w:spacing w:before="0" w:after="0"/>
              <w:rPr>
                <w:b/>
                <w:bCs/>
                <w:color w:val="000000"/>
              </w:rPr>
            </w:pPr>
            <w:r>
              <w:rPr>
                <w:b/>
                <w:bCs/>
                <w:color w:val="000000"/>
              </w:rPr>
              <w:t>Political</w:t>
            </w:r>
          </w:p>
        </w:tc>
        <w:tc>
          <w:tcPr>
            <w:tcW w:w="5505" w:type="dxa"/>
            <w:tcMar>
              <w:top w:w="100" w:type="dxa"/>
              <w:left w:w="100" w:type="dxa"/>
              <w:bottom w:w="100" w:type="dxa"/>
              <w:right w:w="100" w:type="dxa"/>
            </w:tcMar>
          </w:tcPr>
          <w:p w:rsidR="00296AB9" w:rsidP="703578A6" w:rsidRDefault="00D2078E" w14:paraId="71D59389" wp14:textId="77777777">
            <w:pPr>
              <w:widowControl w:val="0"/>
              <w:pBdr>
                <w:top w:val="nil" w:color="FF000000" w:sz="0" w:space="0"/>
                <w:left w:val="nil" w:color="FF000000" w:sz="0" w:space="0"/>
                <w:bottom w:val="nil" w:color="FF000000" w:sz="0" w:space="0"/>
                <w:right w:val="nil" w:color="FF000000" w:sz="0" w:space="0"/>
                <w:between w:val="nil" w:color="FF000000" w:sz="0" w:space="0"/>
              </w:pBdr>
              <w:spacing w:before="0" w:after="0"/>
              <w:rPr>
                <w:color w:val="000000" w:themeColor="text1" w:themeTint="FF" w:themeShade="FF"/>
              </w:rPr>
            </w:pPr>
            <w:r w:rsidRPr="703578A6" w:rsidR="00D2078E">
              <w:rPr>
                <w:color w:val="000000" w:themeColor="text1" w:themeTint="FF" w:themeShade="FF"/>
              </w:rPr>
              <w:t xml:space="preserve">Standard GST rate is 18% for core IT services with IT design, </w:t>
            </w:r>
            <w:r w:rsidRPr="703578A6" w:rsidR="00D2078E">
              <w:rPr>
                <w:color w:val="000000" w:themeColor="text1" w:themeTint="FF" w:themeShade="FF"/>
              </w:rPr>
              <w:t>consulting</w:t>
            </w:r>
            <w:r w:rsidRPr="703578A6" w:rsidR="00D2078E">
              <w:rPr>
                <w:color w:val="000000" w:themeColor="text1" w:themeTint="FF" w:themeShade="FF"/>
              </w:rPr>
              <w:t xml:space="preserve"> and others </w:t>
            </w:r>
            <w:r w:rsidRPr="703578A6" w:rsidR="00D2078E">
              <w:rPr>
                <w:color w:val="000000" w:themeColor="text1" w:themeTint="FF" w:themeShade="FF"/>
              </w:rPr>
              <w:t>(Bansal, 2025)</w:t>
            </w:r>
            <w:r w:rsidRPr="703578A6" w:rsidR="00D2078E">
              <w:rPr>
                <w:color w:val="000000" w:themeColor="text1" w:themeTint="FF" w:themeShade="FF"/>
              </w:rPr>
              <w:t xml:space="preserve">. India-EU trade agreement reduces tariffs over 99% of Indian exports to EU. EU-India Free Trade Agreements (FTA) </w:t>
            </w:r>
            <w:r w:rsidRPr="703578A6" w:rsidR="00D2078E">
              <w:rPr>
                <w:color w:val="000000" w:themeColor="text1" w:themeTint="FF" w:themeShade="FF"/>
              </w:rPr>
              <w:t>assist</w:t>
            </w:r>
            <w:r w:rsidRPr="703578A6" w:rsidR="00D2078E">
              <w:rPr>
                <w:color w:val="000000" w:themeColor="text1" w:themeTint="FF" w:themeShade="FF"/>
              </w:rPr>
              <w:t xml:space="preserve"> prof</w:t>
            </w:r>
            <w:r w:rsidRPr="703578A6" w:rsidR="00D2078E">
              <w:rPr>
                <w:color w:val="000000" w:themeColor="text1" w:themeTint="FF" w:themeShade="FF"/>
              </w:rPr>
              <w:t xml:space="preserve">essional mobility, as EU removes 90% tariffs and 91% for value, and India mitigates 86% tariff and 93% value </w:t>
            </w:r>
            <w:r w:rsidRPr="703578A6" w:rsidR="00D2078E">
              <w:rPr>
                <w:color w:val="000000" w:themeColor="text1" w:themeTint="FF" w:themeShade="FF"/>
              </w:rPr>
              <w:t>(Trade and Economic Security, 2024).</w:t>
            </w:r>
          </w:p>
        </w:tc>
        <w:tc>
          <w:tcPr>
            <w:tcW w:w="2040" w:type="dxa"/>
            <w:tcMar>
              <w:top w:w="100" w:type="dxa"/>
              <w:left w:w="100" w:type="dxa"/>
              <w:bottom w:w="100" w:type="dxa"/>
              <w:right w:w="100" w:type="dxa"/>
            </w:tcMar>
          </w:tcPr>
          <w:p w:rsidR="00296AB9" w:rsidRDefault="00D2078E" w14:paraId="0E4F0EA6" wp14:textId="77777777">
            <w:pPr>
              <w:widowControl w:val="0"/>
              <w:pBdr>
                <w:top w:val="nil"/>
                <w:left w:val="nil"/>
                <w:bottom w:val="nil"/>
                <w:right w:val="nil"/>
                <w:between w:val="nil"/>
              </w:pBdr>
              <w:spacing w:before="0" w:after="0"/>
              <w:rPr>
                <w:color w:val="000000"/>
              </w:rPr>
            </w:pPr>
            <w:r>
              <w:rPr>
                <w:color w:val="000000"/>
              </w:rPr>
              <w:t xml:space="preserve">Threats </w:t>
            </w:r>
          </w:p>
        </w:tc>
      </w:tr>
      <w:tr xmlns:wp14="http://schemas.microsoft.com/office/word/2010/wordml" w:rsidR="00296AB9" w:rsidTr="703578A6" w14:paraId="5BD9C50C" wp14:textId="77777777">
        <w:tc>
          <w:tcPr>
            <w:tcW w:w="1815" w:type="dxa"/>
            <w:tcMar>
              <w:top w:w="100" w:type="dxa"/>
              <w:left w:w="100" w:type="dxa"/>
              <w:bottom w:w="100" w:type="dxa"/>
              <w:right w:w="100" w:type="dxa"/>
            </w:tcMar>
          </w:tcPr>
          <w:p w:rsidR="00296AB9" w:rsidRDefault="00D2078E" w14:paraId="485BD103" wp14:textId="77777777">
            <w:pPr>
              <w:widowControl w:val="0"/>
              <w:pBdr>
                <w:top w:val="nil"/>
                <w:left w:val="nil"/>
                <w:bottom w:val="nil"/>
                <w:right w:val="nil"/>
                <w:between w:val="nil"/>
              </w:pBdr>
              <w:spacing w:before="0" w:after="0"/>
              <w:rPr>
                <w:b/>
                <w:bCs/>
                <w:color w:val="000000"/>
              </w:rPr>
            </w:pPr>
            <w:r>
              <w:rPr>
                <w:b/>
                <w:bCs/>
                <w:color w:val="000000"/>
              </w:rPr>
              <w:t>Economical</w:t>
            </w:r>
          </w:p>
        </w:tc>
        <w:tc>
          <w:tcPr>
            <w:tcW w:w="5505" w:type="dxa"/>
            <w:tcMar>
              <w:top w:w="100" w:type="dxa"/>
              <w:left w:w="100" w:type="dxa"/>
              <w:bottom w:w="100" w:type="dxa"/>
              <w:right w:w="100" w:type="dxa"/>
            </w:tcMar>
          </w:tcPr>
          <w:p w:rsidR="00296AB9" w:rsidP="703578A6" w:rsidRDefault="00D2078E" w14:paraId="2BBE5A95" wp14:textId="77777777">
            <w:pPr>
              <w:widowControl w:val="0"/>
              <w:pBdr>
                <w:top w:val="nil" w:color="FF000000" w:sz="0" w:space="0"/>
                <w:left w:val="nil" w:color="FF000000" w:sz="0" w:space="0"/>
                <w:bottom w:val="nil" w:color="FF000000" w:sz="0" w:space="0"/>
                <w:right w:val="nil" w:color="FF000000" w:sz="0" w:space="0"/>
                <w:between w:val="nil" w:color="FF000000" w:sz="0" w:space="0"/>
              </w:pBdr>
              <w:spacing w:before="0" w:after="0"/>
              <w:rPr>
                <w:color w:val="000000"/>
              </w:rPr>
            </w:pPr>
            <w:r w:rsidRPr="703578A6" w:rsidR="00D2078E">
              <w:rPr>
                <w:color w:val="000000" w:themeColor="text1" w:themeTint="FF" w:themeShade="FF"/>
              </w:rPr>
              <w:t>The “Indian IT market” increased at a “compound annual growth rate of 8.1% from FY22 to FY25 for reaching $264 billion</w:t>
            </w:r>
            <w:r w:rsidRPr="703578A6" w:rsidR="00D2078E">
              <w:rPr>
                <w:color w:val="000000" w:themeColor="text1" w:themeTint="FF" w:themeShade="FF"/>
              </w:rPr>
              <w:t>”, and</w:t>
            </w:r>
            <w:r w:rsidRPr="703578A6" w:rsidR="00D2078E">
              <w:rPr>
                <w:color w:val="000000" w:themeColor="text1" w:themeTint="FF" w:themeShade="FF"/>
              </w:rPr>
              <w:t xml:space="preserve"> is </w:t>
            </w:r>
            <w:r w:rsidRPr="703578A6" w:rsidR="00D2078E">
              <w:rPr>
                <w:color w:val="000000" w:themeColor="text1" w:themeTint="FF" w:themeShade="FF"/>
              </w:rPr>
              <w:t>anticipated</w:t>
            </w:r>
            <w:r w:rsidRPr="703578A6" w:rsidR="00D2078E">
              <w:rPr>
                <w:color w:val="000000" w:themeColor="text1" w:themeTint="FF" w:themeShade="FF"/>
              </w:rPr>
              <w:t xml:space="preserve"> to “enhance 8.7% yearly to FY25 to FY30 with $400 billion by FY30” </w:t>
            </w:r>
            <w:r w:rsidRPr="703578A6" w:rsidR="00D2078E">
              <w:rPr>
                <w:color w:val="000000" w:themeColor="text1" w:themeTint="FF" w:themeShade="FF"/>
              </w:rPr>
              <w:t>(TNN, 2025)</w:t>
            </w:r>
            <w:r w:rsidRPr="703578A6" w:rsidR="00D2078E">
              <w:rPr>
                <w:color w:val="000000" w:themeColor="text1" w:themeTint="FF" w:themeShade="FF"/>
              </w:rPr>
              <w:t xml:space="preserve">. </w:t>
            </w:r>
            <w:r w:rsidRPr="703578A6" w:rsidR="00D2078E">
              <w:rPr>
                <w:color w:val="000000" w:themeColor="text1" w:themeTint="FF" w:themeShade="FF"/>
              </w:rPr>
              <w:t xml:space="preserve">Inflation rate enhanced by 2.75% in </w:t>
            </w:r>
            <w:r w:rsidRPr="703578A6" w:rsidR="00D2078E">
              <w:rPr>
                <w:color w:val="000000" w:themeColor="text1" w:themeTint="FF" w:themeShade="FF"/>
              </w:rPr>
              <w:t xml:space="preserve">2026 with market demand </w:t>
            </w:r>
            <w:r w:rsidRPr="703578A6" w:rsidR="00D2078E">
              <w:rPr>
                <w:color w:val="000000" w:themeColor="text1" w:themeTint="FF" w:themeShade="FF"/>
              </w:rPr>
              <w:t xml:space="preserve">of 2.4% </w:t>
            </w:r>
            <w:r w:rsidRPr="703578A6" w:rsidR="00D2078E">
              <w:rPr>
                <w:b w:val="1"/>
                <w:bCs w:val="1"/>
                <w:i w:val="1"/>
                <w:iCs w:val="1"/>
                <w:color w:val="000000" w:themeColor="text1" w:themeTint="FF" w:themeShade="FF"/>
              </w:rPr>
              <w:t>(refer to Figure 6)</w:t>
            </w:r>
            <w:r w:rsidRPr="703578A6" w:rsidR="00D2078E">
              <w:rPr>
                <w:color w:val="000000" w:themeColor="text1" w:themeTint="FF" w:themeShade="FF"/>
              </w:rPr>
              <w:t>.</w:t>
            </w:r>
          </w:p>
        </w:tc>
        <w:tc>
          <w:tcPr>
            <w:tcW w:w="2040" w:type="dxa"/>
            <w:tcMar>
              <w:top w:w="100" w:type="dxa"/>
              <w:left w:w="100" w:type="dxa"/>
              <w:bottom w:w="100" w:type="dxa"/>
              <w:right w:w="100" w:type="dxa"/>
            </w:tcMar>
          </w:tcPr>
          <w:p w:rsidR="00296AB9" w:rsidRDefault="00D2078E" w14:paraId="353B9EC7" wp14:textId="77777777">
            <w:pPr>
              <w:widowControl w:val="0"/>
              <w:pBdr>
                <w:top w:val="nil"/>
                <w:left w:val="nil"/>
                <w:bottom w:val="nil"/>
                <w:right w:val="nil"/>
                <w:between w:val="nil"/>
              </w:pBdr>
              <w:spacing w:before="0" w:after="0"/>
              <w:rPr>
                <w:color w:val="000000"/>
              </w:rPr>
            </w:pPr>
            <w:r>
              <w:rPr>
                <w:color w:val="000000"/>
              </w:rPr>
              <w:t>Opportunities</w:t>
            </w:r>
          </w:p>
        </w:tc>
      </w:tr>
      <w:tr xmlns:wp14="http://schemas.microsoft.com/office/word/2010/wordml" w:rsidR="00296AB9" w:rsidTr="703578A6" w14:paraId="71DA8F7A" wp14:textId="77777777">
        <w:tc>
          <w:tcPr>
            <w:tcW w:w="1815" w:type="dxa"/>
            <w:tcMar>
              <w:top w:w="100" w:type="dxa"/>
              <w:left w:w="100" w:type="dxa"/>
              <w:bottom w:w="100" w:type="dxa"/>
              <w:right w:w="100" w:type="dxa"/>
            </w:tcMar>
          </w:tcPr>
          <w:p w:rsidR="00296AB9" w:rsidRDefault="00D2078E" w14:paraId="353DCF36" wp14:textId="77777777">
            <w:pPr>
              <w:widowControl w:val="0"/>
              <w:pBdr>
                <w:top w:val="nil"/>
                <w:left w:val="nil"/>
                <w:bottom w:val="nil"/>
                <w:right w:val="nil"/>
                <w:between w:val="nil"/>
              </w:pBdr>
              <w:spacing w:before="0" w:after="0"/>
              <w:rPr>
                <w:b/>
                <w:bCs/>
                <w:color w:val="000000"/>
              </w:rPr>
            </w:pPr>
            <w:r>
              <w:rPr>
                <w:b/>
                <w:bCs/>
                <w:color w:val="000000"/>
              </w:rPr>
              <w:t>Social</w:t>
            </w:r>
          </w:p>
        </w:tc>
        <w:tc>
          <w:tcPr>
            <w:tcW w:w="5505" w:type="dxa"/>
            <w:tcMar>
              <w:top w:w="100" w:type="dxa"/>
              <w:left w:w="100" w:type="dxa"/>
              <w:bottom w:w="100" w:type="dxa"/>
              <w:right w:w="100" w:type="dxa"/>
            </w:tcMar>
          </w:tcPr>
          <w:p w:rsidR="00296AB9" w:rsidP="703578A6" w:rsidRDefault="00D2078E" w14:paraId="18991095" wp14:textId="77777777">
            <w:pPr>
              <w:widowControl w:val="0"/>
              <w:pBdr>
                <w:top w:val="nil" w:color="FF000000" w:sz="0" w:space="0"/>
                <w:left w:val="nil" w:color="FF000000" w:sz="0" w:space="0"/>
                <w:bottom w:val="nil" w:color="FF000000" w:sz="0" w:space="0"/>
                <w:right w:val="nil" w:color="FF000000" w:sz="0" w:space="0"/>
                <w:between w:val="nil" w:color="FF000000" w:sz="0" w:space="0"/>
              </w:pBdr>
              <w:spacing w:before="0" w:after="0"/>
              <w:rPr>
                <w:color w:val="000000" w:themeColor="text1" w:themeTint="FF" w:themeShade="FF"/>
              </w:rPr>
            </w:pPr>
            <w:r w:rsidRPr="703578A6" w:rsidR="00D2078E">
              <w:rPr>
                <w:color w:val="000000" w:themeColor="text1" w:themeTint="FF" w:themeShade="FF"/>
              </w:rPr>
              <w:t xml:space="preserve">Increasing social requirement for high-value skills of AI, </w:t>
            </w:r>
            <w:r w:rsidRPr="703578A6" w:rsidR="00D2078E">
              <w:rPr>
                <w:color w:val="000000" w:themeColor="text1" w:themeTint="FF" w:themeShade="FF"/>
              </w:rPr>
              <w:t>ML</w:t>
            </w:r>
            <w:r w:rsidRPr="703578A6" w:rsidR="00D2078E">
              <w:rPr>
                <w:color w:val="000000" w:themeColor="text1" w:themeTint="FF" w:themeShade="FF"/>
              </w:rPr>
              <w:t xml:space="preserve"> and cloud computing in the IT sector, with this industry employing 5.8 million people in India, with the major cities o</w:t>
            </w:r>
            <w:r w:rsidRPr="703578A6" w:rsidR="00D2078E">
              <w:rPr>
                <w:color w:val="000000" w:themeColor="text1" w:themeTint="FF" w:themeShade="FF"/>
              </w:rPr>
              <w:t xml:space="preserve">f Bengaluru, </w:t>
            </w:r>
            <w:r w:rsidRPr="703578A6" w:rsidR="00D2078E">
              <w:rPr>
                <w:color w:val="000000" w:themeColor="text1" w:themeTint="FF" w:themeShade="FF"/>
              </w:rPr>
              <w:t>Hyderabad</w:t>
            </w:r>
            <w:r w:rsidRPr="703578A6" w:rsidR="00D2078E">
              <w:rPr>
                <w:color w:val="000000" w:themeColor="text1" w:themeTint="FF" w:themeShade="FF"/>
              </w:rPr>
              <w:t xml:space="preserve"> and Pune </w:t>
            </w:r>
            <w:r w:rsidRPr="703578A6" w:rsidR="00D2078E">
              <w:rPr>
                <w:color w:val="000000" w:themeColor="text1" w:themeTint="FF" w:themeShade="FF"/>
              </w:rPr>
              <w:t>(ET CONTRIBUTORS, 2025).</w:t>
            </w:r>
          </w:p>
        </w:tc>
        <w:tc>
          <w:tcPr>
            <w:tcW w:w="2040" w:type="dxa"/>
            <w:tcMar>
              <w:top w:w="100" w:type="dxa"/>
              <w:left w:w="100" w:type="dxa"/>
              <w:bottom w:w="100" w:type="dxa"/>
              <w:right w:w="100" w:type="dxa"/>
            </w:tcMar>
          </w:tcPr>
          <w:p w:rsidR="00296AB9" w:rsidRDefault="00D2078E" w14:paraId="37468EC5" wp14:textId="77777777">
            <w:pPr>
              <w:widowControl w:val="0"/>
              <w:pBdr>
                <w:top w:val="nil"/>
                <w:left w:val="nil"/>
                <w:bottom w:val="nil"/>
                <w:right w:val="nil"/>
                <w:between w:val="nil"/>
              </w:pBdr>
              <w:spacing w:before="0" w:after="0"/>
              <w:rPr>
                <w:color w:val="000000"/>
              </w:rPr>
            </w:pPr>
            <w:r>
              <w:rPr>
                <w:color w:val="000000"/>
              </w:rPr>
              <w:t xml:space="preserve">Opportunities </w:t>
            </w:r>
          </w:p>
        </w:tc>
      </w:tr>
      <w:tr xmlns:wp14="http://schemas.microsoft.com/office/word/2010/wordml" w:rsidR="00296AB9" w:rsidTr="703578A6" w14:paraId="672D5A4D" wp14:textId="77777777">
        <w:tc>
          <w:tcPr>
            <w:tcW w:w="1815" w:type="dxa"/>
            <w:tcMar>
              <w:top w:w="100" w:type="dxa"/>
              <w:left w:w="100" w:type="dxa"/>
              <w:bottom w:w="100" w:type="dxa"/>
              <w:right w:w="100" w:type="dxa"/>
            </w:tcMar>
          </w:tcPr>
          <w:p w:rsidR="00296AB9" w:rsidRDefault="00D2078E" w14:paraId="2DC74601" wp14:textId="77777777">
            <w:pPr>
              <w:widowControl w:val="0"/>
              <w:pBdr>
                <w:top w:val="nil"/>
                <w:left w:val="nil"/>
                <w:bottom w:val="nil"/>
                <w:right w:val="nil"/>
                <w:between w:val="nil"/>
              </w:pBdr>
              <w:spacing w:before="0" w:after="0"/>
              <w:rPr>
                <w:b/>
                <w:bCs/>
                <w:color w:val="000000"/>
              </w:rPr>
            </w:pPr>
            <w:r>
              <w:rPr>
                <w:b/>
                <w:bCs/>
                <w:color w:val="000000"/>
              </w:rPr>
              <w:t>Technological</w:t>
            </w:r>
          </w:p>
        </w:tc>
        <w:tc>
          <w:tcPr>
            <w:tcW w:w="5505" w:type="dxa"/>
            <w:tcMar>
              <w:top w:w="100" w:type="dxa"/>
              <w:left w:w="100" w:type="dxa"/>
              <w:bottom w:w="100" w:type="dxa"/>
              <w:right w:w="100" w:type="dxa"/>
            </w:tcMar>
          </w:tcPr>
          <w:p w:rsidR="00296AB9" w:rsidP="703578A6" w:rsidRDefault="00D2078E" w14:paraId="2E28CD77" wp14:textId="77777777">
            <w:pPr>
              <w:widowControl w:val="0"/>
              <w:pBdr>
                <w:top w:val="nil" w:color="FF000000" w:sz="0" w:space="0"/>
                <w:left w:val="nil" w:color="FF000000" w:sz="0" w:space="0"/>
                <w:bottom w:val="nil" w:color="FF000000" w:sz="0" w:space="0"/>
                <w:right w:val="nil" w:color="FF000000" w:sz="0" w:space="0"/>
                <w:between w:val="nil" w:color="FF000000" w:sz="0" w:space="0"/>
              </w:pBdr>
              <w:spacing w:before="0" w:after="0"/>
              <w:rPr>
                <w:color w:val="000000" w:themeColor="text1" w:themeTint="FF" w:themeShade="FF"/>
              </w:rPr>
            </w:pPr>
            <w:r w:rsidRPr="703578A6" w:rsidR="00D2078E">
              <w:rPr>
                <w:color w:val="000000" w:themeColor="text1" w:themeTint="FF" w:themeShade="FF"/>
              </w:rPr>
              <w:t xml:space="preserve">Infosys Topaz AI-platform, using Gen AI allows the IT sector to enhance operational efficacy and automate processes. TCS </w:t>
            </w:r>
            <w:r w:rsidRPr="703578A6" w:rsidR="00D2078E">
              <w:rPr>
                <w:color w:val="000000" w:themeColor="text1" w:themeTint="FF" w:themeShade="FF"/>
              </w:rPr>
              <w:t>Crystallus</w:t>
            </w:r>
            <w:r w:rsidRPr="703578A6" w:rsidR="00D2078E">
              <w:rPr>
                <w:color w:val="000000" w:themeColor="text1" w:themeTint="FF" w:themeShade="FF"/>
              </w:rPr>
              <w:t>™ harnesses the power of Salesforce to</w:t>
            </w:r>
            <w:r w:rsidRPr="703578A6" w:rsidR="00D2078E">
              <w:rPr>
                <w:color w:val="000000" w:themeColor="text1" w:themeTint="FF" w:themeShade="FF"/>
              </w:rPr>
              <w:t xml:space="preserve"> improve the digital transition-oriented decision-making process </w:t>
            </w:r>
            <w:r w:rsidRPr="703578A6" w:rsidR="00D2078E">
              <w:rPr>
                <w:color w:val="000000" w:themeColor="text1" w:themeTint="FF" w:themeShade="FF"/>
              </w:rPr>
              <w:t>(Tcs.com, 2025).</w:t>
            </w:r>
          </w:p>
        </w:tc>
        <w:tc>
          <w:tcPr>
            <w:tcW w:w="2040" w:type="dxa"/>
            <w:tcMar>
              <w:top w:w="100" w:type="dxa"/>
              <w:left w:w="100" w:type="dxa"/>
              <w:bottom w:w="100" w:type="dxa"/>
              <w:right w:w="100" w:type="dxa"/>
            </w:tcMar>
          </w:tcPr>
          <w:p w:rsidR="00296AB9" w:rsidRDefault="00D2078E" w14:paraId="5A2A64F4" wp14:textId="77777777">
            <w:pPr>
              <w:widowControl w:val="0"/>
              <w:spacing w:before="0" w:after="0"/>
              <w:rPr>
                <w:color w:val="000000"/>
              </w:rPr>
            </w:pPr>
            <w:r>
              <w:rPr>
                <w:color w:val="000000"/>
              </w:rPr>
              <w:t xml:space="preserve">Opportunities </w:t>
            </w:r>
          </w:p>
        </w:tc>
      </w:tr>
      <w:tr xmlns:wp14="http://schemas.microsoft.com/office/word/2010/wordml" w:rsidR="00296AB9" w:rsidTr="703578A6" w14:paraId="4F026006" wp14:textId="77777777">
        <w:tc>
          <w:tcPr>
            <w:tcW w:w="1815" w:type="dxa"/>
            <w:tcMar>
              <w:top w:w="100" w:type="dxa"/>
              <w:left w:w="100" w:type="dxa"/>
              <w:bottom w:w="100" w:type="dxa"/>
              <w:right w:w="100" w:type="dxa"/>
            </w:tcMar>
          </w:tcPr>
          <w:p w:rsidR="00296AB9" w:rsidRDefault="00D2078E" w14:paraId="03B391FE" wp14:textId="77777777">
            <w:pPr>
              <w:widowControl w:val="0"/>
              <w:pBdr>
                <w:top w:val="nil"/>
                <w:left w:val="nil"/>
                <w:bottom w:val="nil"/>
                <w:right w:val="nil"/>
                <w:between w:val="nil"/>
              </w:pBdr>
              <w:spacing w:before="0" w:after="0"/>
              <w:rPr>
                <w:b/>
                <w:bCs/>
                <w:color w:val="000000"/>
              </w:rPr>
            </w:pPr>
            <w:r>
              <w:rPr>
                <w:b/>
                <w:bCs/>
                <w:color w:val="000000"/>
              </w:rPr>
              <w:t xml:space="preserve">Legal </w:t>
            </w:r>
          </w:p>
        </w:tc>
        <w:tc>
          <w:tcPr>
            <w:tcW w:w="5505" w:type="dxa"/>
            <w:tcMar>
              <w:top w:w="100" w:type="dxa"/>
              <w:left w:w="100" w:type="dxa"/>
              <w:bottom w:w="100" w:type="dxa"/>
              <w:right w:w="100" w:type="dxa"/>
            </w:tcMar>
          </w:tcPr>
          <w:p w:rsidR="00296AB9" w:rsidP="703578A6" w:rsidRDefault="00D2078E" w14:paraId="33904D4F" wp14:textId="77777777">
            <w:pPr>
              <w:widowControl w:val="0"/>
              <w:pBdr>
                <w:top w:val="nil" w:color="FF000000" w:sz="0" w:space="0"/>
                <w:left w:val="nil" w:color="FF000000" w:sz="0" w:space="0"/>
                <w:bottom w:val="nil" w:color="FF000000" w:sz="0" w:space="0"/>
                <w:right w:val="nil" w:color="FF000000" w:sz="0" w:space="0"/>
                <w:between w:val="nil" w:color="FF000000" w:sz="0" w:space="0"/>
              </w:pBdr>
              <w:spacing w:before="0" w:after="0"/>
              <w:rPr>
                <w:color w:val="000000"/>
              </w:rPr>
            </w:pPr>
            <w:r w:rsidRPr="703578A6" w:rsidR="00D2078E">
              <w:rPr>
                <w:color w:val="000000" w:themeColor="text1" w:themeTint="FF" w:themeShade="FF"/>
              </w:rPr>
              <w:t xml:space="preserve">“Information Technology Act, 2000 (ITA 2000)”, “National Policy on Information Technology (2012)” regulating “digital commerce, cybercrime, and data privacy” in India </w:t>
            </w:r>
            <w:r w:rsidRPr="703578A6" w:rsidR="00D2078E">
              <w:rPr>
                <w:color w:val="000000" w:themeColor="text1" w:themeTint="FF" w:themeShade="FF"/>
              </w:rPr>
              <w:t>(India, 2026)</w:t>
            </w:r>
            <w:r w:rsidRPr="703578A6" w:rsidR="00D2078E">
              <w:rPr>
                <w:color w:val="000000" w:themeColor="text1" w:themeTint="FF" w:themeShade="FF"/>
              </w:rPr>
              <w:t>.</w:t>
            </w:r>
          </w:p>
        </w:tc>
        <w:tc>
          <w:tcPr>
            <w:tcW w:w="2040" w:type="dxa"/>
            <w:tcMar>
              <w:top w:w="100" w:type="dxa"/>
              <w:left w:w="100" w:type="dxa"/>
              <w:bottom w:w="100" w:type="dxa"/>
              <w:right w:w="100" w:type="dxa"/>
            </w:tcMar>
          </w:tcPr>
          <w:p w:rsidR="00296AB9" w:rsidRDefault="00D2078E" w14:paraId="7067DA72" wp14:textId="77777777">
            <w:pPr>
              <w:widowControl w:val="0"/>
              <w:pBdr>
                <w:top w:val="nil"/>
                <w:left w:val="nil"/>
                <w:bottom w:val="nil"/>
                <w:right w:val="nil"/>
                <w:between w:val="nil"/>
              </w:pBdr>
              <w:spacing w:before="0" w:after="0"/>
              <w:rPr>
                <w:color w:val="000000"/>
              </w:rPr>
            </w:pPr>
            <w:r>
              <w:rPr>
                <w:color w:val="000000"/>
              </w:rPr>
              <w:t>Threats.</w:t>
            </w:r>
          </w:p>
        </w:tc>
      </w:tr>
      <w:tr xmlns:wp14="http://schemas.microsoft.com/office/word/2010/wordml" w:rsidR="00296AB9" w:rsidTr="703578A6" w14:paraId="1D8183B6" wp14:textId="77777777">
        <w:tc>
          <w:tcPr>
            <w:tcW w:w="1815" w:type="dxa"/>
            <w:tcMar>
              <w:top w:w="100" w:type="dxa"/>
              <w:left w:w="100" w:type="dxa"/>
              <w:bottom w:w="100" w:type="dxa"/>
              <w:right w:w="100" w:type="dxa"/>
            </w:tcMar>
          </w:tcPr>
          <w:p w:rsidR="00296AB9" w:rsidRDefault="00D2078E" w14:paraId="49A61206" wp14:textId="77777777">
            <w:pPr>
              <w:widowControl w:val="0"/>
              <w:pBdr>
                <w:top w:val="nil"/>
                <w:left w:val="nil"/>
                <w:bottom w:val="nil"/>
                <w:right w:val="nil"/>
                <w:between w:val="nil"/>
              </w:pBdr>
              <w:spacing w:before="0" w:after="0"/>
              <w:rPr>
                <w:b/>
                <w:bCs/>
                <w:color w:val="000000"/>
              </w:rPr>
            </w:pPr>
            <w:r>
              <w:rPr>
                <w:b/>
                <w:bCs/>
                <w:color w:val="000000"/>
              </w:rPr>
              <w:t>Environmental</w:t>
            </w:r>
          </w:p>
        </w:tc>
        <w:tc>
          <w:tcPr>
            <w:tcW w:w="5505" w:type="dxa"/>
            <w:tcMar>
              <w:top w:w="100" w:type="dxa"/>
              <w:left w:w="100" w:type="dxa"/>
              <w:bottom w:w="100" w:type="dxa"/>
              <w:right w:w="100" w:type="dxa"/>
            </w:tcMar>
          </w:tcPr>
          <w:p w:rsidR="00296AB9" w:rsidP="703578A6" w:rsidRDefault="00D2078E" w14:paraId="07331F43" wp14:textId="77777777">
            <w:pPr>
              <w:widowControl w:val="0"/>
              <w:pBdr>
                <w:top w:val="nil" w:color="FF000000" w:sz="0" w:space="0"/>
                <w:left w:val="nil" w:color="FF000000" w:sz="0" w:space="0"/>
                <w:bottom w:val="nil" w:color="FF000000" w:sz="0" w:space="0"/>
                <w:right w:val="nil" w:color="FF000000" w:sz="0" w:space="0"/>
                <w:between w:val="nil" w:color="FF000000" w:sz="0" w:space="0"/>
              </w:pBdr>
              <w:spacing w:before="0" w:after="0"/>
              <w:rPr>
                <w:color w:val="000000" w:themeColor="text1" w:themeTint="FF" w:themeShade="FF"/>
              </w:rPr>
            </w:pPr>
            <w:r w:rsidRPr="703578A6" w:rsidR="00D2078E">
              <w:rPr>
                <w:color w:val="000000" w:themeColor="text1" w:themeTint="FF" w:themeShade="FF"/>
              </w:rPr>
              <w:t>“Energy Conservation Act, 2001”, “Plastic Waste Ma</w:t>
            </w:r>
            <w:r w:rsidRPr="703578A6" w:rsidR="00D2078E">
              <w:rPr>
                <w:color w:val="000000" w:themeColor="text1" w:themeTint="FF" w:themeShade="FF"/>
              </w:rPr>
              <w:t xml:space="preserve">nagement Rules, 2016” and “Solid Waste Management Rules, 2016” required IT firms to manage waste, </w:t>
            </w:r>
            <w:r w:rsidRPr="703578A6" w:rsidR="00D2078E">
              <w:rPr>
                <w:color w:val="000000" w:themeColor="text1" w:themeTint="FF" w:themeShade="FF"/>
              </w:rPr>
              <w:t>disposal</w:t>
            </w:r>
            <w:r w:rsidRPr="703578A6" w:rsidR="00D2078E">
              <w:rPr>
                <w:color w:val="000000" w:themeColor="text1" w:themeTint="FF" w:themeShade="FF"/>
              </w:rPr>
              <w:t xml:space="preserve"> and energy efficiency </w:t>
            </w:r>
            <w:r w:rsidRPr="703578A6" w:rsidR="00D2078E">
              <w:rPr>
                <w:color w:val="000000" w:themeColor="text1" w:themeTint="FF" w:themeShade="FF"/>
              </w:rPr>
              <w:t>(Indiacode.nic.in. 2016).</w:t>
            </w:r>
          </w:p>
        </w:tc>
        <w:tc>
          <w:tcPr>
            <w:tcW w:w="2040" w:type="dxa"/>
            <w:tcMar>
              <w:top w:w="100" w:type="dxa"/>
              <w:left w:w="100" w:type="dxa"/>
              <w:bottom w:w="100" w:type="dxa"/>
              <w:right w:w="100" w:type="dxa"/>
            </w:tcMar>
          </w:tcPr>
          <w:p w:rsidR="00296AB9" w:rsidRDefault="00D2078E" w14:paraId="4AACF647" wp14:textId="77777777">
            <w:pPr>
              <w:widowControl w:val="0"/>
              <w:pBdr>
                <w:top w:val="nil"/>
                <w:left w:val="nil"/>
                <w:bottom w:val="nil"/>
                <w:right w:val="nil"/>
                <w:between w:val="nil"/>
              </w:pBdr>
              <w:spacing w:before="0" w:after="0"/>
              <w:rPr>
                <w:color w:val="000000"/>
              </w:rPr>
            </w:pPr>
            <w:r>
              <w:rPr>
                <w:color w:val="000000"/>
              </w:rPr>
              <w:t>Threats.</w:t>
            </w:r>
          </w:p>
        </w:tc>
      </w:tr>
    </w:tbl>
    <w:p xmlns:wp14="http://schemas.microsoft.com/office/word/2010/wordml" w:rsidR="00296AB9" w:rsidRDefault="00D2078E" w14:paraId="0E27B00A" wp14:textId="77777777">
      <w:pPr>
        <w:jc w:val="center"/>
        <w:rPr>
          <w:b/>
          <w:bCs/>
          <w:color w:val="000000"/>
        </w:rPr>
      </w:pPr>
      <w:r>
        <w:rPr>
          <w:b/>
          <w:bCs/>
          <w:noProof/>
          <w:color w:val="000000"/>
        </w:rPr>
        <w:drawing>
          <wp:inline xmlns:wp14="http://schemas.microsoft.com/office/word/2010/wordprocessingDrawing" distT="114300" distB="114300" distL="114300" distR="114300" wp14:anchorId="4E3ED37C" wp14:editId="7777777">
            <wp:extent cx="5943600" cy="3263900"/>
            <wp:effectExtent l="12700" t="12700" r="12700" b="12700"/>
            <wp:docPr id="3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943600" cy="3263900"/>
                    </a:xfrm>
                    <a:prstGeom prst="rect">
                      <a:avLst/>
                    </a:prstGeom>
                    <a:ln w="12700">
                      <a:solidFill>
                        <a:srgbClr val="000000"/>
                      </a:solidFill>
                      <a:prstDash val="solid"/>
                    </a:ln>
                  </pic:spPr>
                </pic:pic>
              </a:graphicData>
            </a:graphic>
          </wp:inline>
        </w:drawing>
      </w:r>
    </w:p>
    <w:p xmlns:wp14="http://schemas.microsoft.com/office/word/2010/wordml" w:rsidR="00296AB9" w:rsidRDefault="00D2078E" w14:paraId="208CE595" wp14:textId="77777777">
      <w:pPr>
        <w:jc w:val="center"/>
        <w:rPr>
          <w:b/>
          <w:bCs/>
          <w:color w:val="000000"/>
        </w:rPr>
      </w:pPr>
      <w:r>
        <w:rPr>
          <w:b/>
          <w:bCs/>
          <w:color w:val="000000"/>
        </w:rPr>
        <w:t>Figure 6: India’s inflation rate</w:t>
      </w:r>
    </w:p>
    <w:p xmlns:wp14="http://schemas.microsoft.com/office/word/2010/wordml" w:rsidR="00296AB9" w:rsidRDefault="00D2078E" w14:paraId="693534F6" wp14:textId="77777777">
      <w:pPr>
        <w:jc w:val="center"/>
        <w:rPr>
          <w:b/>
          <w:bCs/>
          <w:color w:val="000000"/>
        </w:rPr>
      </w:pPr>
      <w:r>
        <w:rPr>
          <w:b/>
          <w:bCs/>
          <w:color w:val="000000"/>
        </w:rPr>
        <w:t>Source: (Ferreira, 2024)</w:t>
      </w:r>
    </w:p>
    <w:p xmlns:wp14="http://schemas.microsoft.com/office/word/2010/wordml" w:rsidR="00296AB9" w:rsidRDefault="00D2078E" w14:paraId="2D21E50E" wp14:textId="77777777">
      <w:pPr>
        <w:pStyle w:val="Heading4"/>
      </w:pPr>
      <w:bookmarkStart w:name="_heading=h.ce87eeyiw4vq" w:colFirst="0" w:colLast="0" w:id="11"/>
      <w:bookmarkEnd w:id="11"/>
      <w:r>
        <w:t>4.2.2 CAGE framework on cultural, administrative, Geographical &amp; economic factors between host &amp; home country of the chosen IT MNC</w:t>
      </w:r>
    </w:p>
    <w:p xmlns:wp14="http://schemas.microsoft.com/office/word/2010/wordml" w:rsidR="00296AB9" w:rsidRDefault="00D2078E" w14:paraId="3B2EBB82" wp14:textId="77777777">
      <w:pPr>
        <w:rPr>
          <w:b w:val="1"/>
          <w:bCs w:val="1"/>
          <w:color w:val="FF0000"/>
        </w:rPr>
      </w:pPr>
      <w:r w:rsidRPr="703578A6" w:rsidR="00D2078E">
        <w:rPr>
          <w:color w:val="000000" w:themeColor="text1" w:themeTint="FF" w:themeShade="FF"/>
        </w:rPr>
        <w:t xml:space="preserve">The cage framework </w:t>
      </w:r>
      <w:r w:rsidRPr="703578A6" w:rsidR="00D2078E">
        <w:rPr>
          <w:color w:val="000000" w:themeColor="text1" w:themeTint="FF" w:themeShade="FF"/>
        </w:rPr>
        <w:t>indicates</w:t>
      </w:r>
      <w:r w:rsidRPr="703578A6" w:rsidR="00D2078E">
        <w:rPr>
          <w:color w:val="000000" w:themeColor="text1" w:themeTint="FF" w:themeShade="FF"/>
        </w:rPr>
        <w:t xml:space="preserve"> four distances between the home and host countries, which helps businesses to define the potenti</w:t>
      </w:r>
      <w:r w:rsidRPr="703578A6" w:rsidR="00D2078E">
        <w:rPr>
          <w:color w:val="000000" w:themeColor="text1" w:themeTint="FF" w:themeShade="FF"/>
        </w:rPr>
        <w:t>al opportunities to expand their operations in the new marke</w:t>
      </w:r>
      <w:r w:rsidRPr="703578A6" w:rsidR="00D2078E">
        <w:rPr>
          <w:color w:val="000000" w:themeColor="text1" w:themeTint="FF" w:themeShade="FF"/>
        </w:rPr>
        <w:t xml:space="preserve">t </w:t>
      </w:r>
      <w:r w:rsidRPr="703578A6" w:rsidR="00D2078E">
        <w:rPr>
          <w:color w:val="000000" w:themeColor="text1" w:themeTint="FF" w:themeShade="FF"/>
        </w:rPr>
        <w:t xml:space="preserve">(Saville, </w:t>
      </w:r>
      <w:r w:rsidRPr="703578A6" w:rsidR="00D2078E">
        <w:rPr>
          <w:color w:val="000000" w:themeColor="text1" w:themeTint="FF" w:themeShade="FF"/>
        </w:rPr>
        <w:t>Macleod</w:t>
      </w:r>
      <w:r w:rsidRPr="703578A6" w:rsidR="00D2078E">
        <w:rPr>
          <w:color w:val="000000" w:themeColor="text1" w:themeTint="FF" w:themeShade="FF"/>
        </w:rPr>
        <w:t xml:space="preserve"> and </w:t>
      </w:r>
      <w:r w:rsidRPr="703578A6" w:rsidR="00D2078E">
        <w:rPr>
          <w:color w:val="000000" w:themeColor="text1" w:themeTint="FF" w:themeShade="FF"/>
        </w:rPr>
        <w:t>Onaji</w:t>
      </w:r>
      <w:r w:rsidRPr="703578A6" w:rsidR="00D2078E">
        <w:rPr>
          <w:color w:val="000000" w:themeColor="text1" w:themeTint="FF" w:themeShade="FF"/>
        </w:rPr>
        <w:t>-Benson, 2021).</w:t>
      </w:r>
    </w:p>
    <w:p xmlns:wp14="http://schemas.microsoft.com/office/word/2010/wordml" w:rsidR="00296AB9" w:rsidRDefault="00D2078E" w14:paraId="60061E4C" wp14:textId="77777777">
      <w:pPr>
        <w:jc w:val="center"/>
        <w:rPr>
          <w:b/>
          <w:bCs/>
          <w:color w:val="000000"/>
        </w:rPr>
      </w:pPr>
      <w:r>
        <w:rPr>
          <w:b/>
          <w:bCs/>
          <w:noProof/>
          <w:color w:val="000000"/>
        </w:rPr>
        <w:drawing>
          <wp:inline xmlns:wp14="http://schemas.microsoft.com/office/word/2010/wordprocessingDrawing" distT="114300" distB="114300" distL="114300" distR="114300" wp14:anchorId="22983E0B" wp14:editId="7777777">
            <wp:extent cx="5943600" cy="3124200"/>
            <wp:effectExtent l="0" t="0" r="0" b="0"/>
            <wp:docPr id="4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5943600" cy="3124200"/>
                    </a:xfrm>
                    <a:prstGeom prst="rect">
                      <a:avLst/>
                    </a:prstGeom>
                    <a:ln/>
                  </pic:spPr>
                </pic:pic>
              </a:graphicData>
            </a:graphic>
          </wp:inline>
        </w:drawing>
      </w:r>
    </w:p>
    <w:p xmlns:wp14="http://schemas.microsoft.com/office/word/2010/wordml" w:rsidR="00296AB9" w:rsidRDefault="00D2078E" w14:paraId="572D0268" wp14:textId="77777777">
      <w:pPr>
        <w:jc w:val="center"/>
        <w:rPr>
          <w:b/>
          <w:bCs/>
          <w:color w:val="000000"/>
        </w:rPr>
      </w:pPr>
      <w:r>
        <w:rPr>
          <w:b/>
          <w:bCs/>
          <w:color w:val="000000"/>
        </w:rPr>
        <w:t>Figure 7: CAGE framework</w:t>
      </w:r>
    </w:p>
    <w:p xmlns:wp14="http://schemas.microsoft.com/office/word/2010/wordml" w:rsidR="00296AB9" w:rsidRDefault="00D2078E" w14:paraId="6392B784" wp14:textId="77777777">
      <w:pPr>
        <w:jc w:val="center"/>
        <w:rPr>
          <w:b/>
          <w:bCs/>
          <w:color w:val="000000"/>
        </w:rPr>
      </w:pPr>
      <w:r>
        <w:rPr>
          <w:b/>
          <w:bCs/>
          <w:color w:val="000000"/>
        </w:rPr>
        <w:t>Source: (Saville, Macleod and Onaji-Benson, 2021)</w:t>
      </w:r>
    </w:p>
    <w:p xmlns:wp14="http://schemas.microsoft.com/office/word/2010/wordml" w:rsidR="00296AB9" w:rsidRDefault="00D2078E" w14:paraId="5F084FED" wp14:textId="77777777">
      <w:pPr>
        <w:rPr>
          <w:color w:val="000000"/>
        </w:rPr>
      </w:pPr>
      <w:r w:rsidRPr="703578A6" w:rsidR="00D2078E">
        <w:rPr>
          <w:b w:val="1"/>
          <w:bCs w:val="1"/>
          <w:i w:val="1"/>
          <w:iCs w:val="1"/>
          <w:color w:val="000000" w:themeColor="text1" w:themeTint="FF" w:themeShade="FF"/>
        </w:rPr>
        <w:t>Cultural Distance</w:t>
      </w:r>
      <w:r w:rsidRPr="703578A6" w:rsidR="00D2078E">
        <w:rPr>
          <w:color w:val="000000" w:themeColor="text1" w:themeTint="FF" w:themeShade="FF"/>
        </w:rPr>
        <w:t>: According to the report of</w:t>
      </w:r>
      <w:r w:rsidRPr="703578A6" w:rsidR="00D2078E">
        <w:rPr>
          <w:color w:val="FF0000"/>
        </w:rPr>
        <w:t xml:space="preserve"> </w:t>
      </w:r>
      <w:r w:rsidRPr="703578A6" w:rsidR="00D2078E">
        <w:rPr>
          <w:color w:val="000000" w:themeColor="text1" w:themeTint="FF" w:themeShade="FF"/>
        </w:rPr>
        <w:t>DGFT (2026)</w:t>
      </w:r>
      <w:r w:rsidRPr="703578A6" w:rsidR="00D2078E">
        <w:rPr>
          <w:color w:val="000000" w:themeColor="text1" w:themeTint="FF" w:themeShade="FF"/>
        </w:rPr>
        <w:t xml:space="preserve">, it can be noticed that the official business language in India is Hindi or English. On the other hand, the official languages of Ireland are Irish and English </w:t>
      </w:r>
      <w:r w:rsidRPr="703578A6" w:rsidR="00D2078E">
        <w:rPr>
          <w:color w:val="000000" w:themeColor="text1" w:themeTint="FF" w:themeShade="FF"/>
        </w:rPr>
        <w:t>(Ireland.com, 2022).</w:t>
      </w:r>
      <w:r w:rsidRPr="703578A6" w:rsidR="00D2078E">
        <w:rPr>
          <w:color w:val="000000" w:themeColor="text1" w:themeTint="FF" w:themeShade="FF"/>
        </w:rPr>
        <w:t xml:space="preserve"> Hence, </w:t>
      </w:r>
      <w:r w:rsidRPr="703578A6" w:rsidR="00D2078E">
        <w:rPr>
          <w:color w:val="000000" w:themeColor="text1" w:themeTint="FF" w:themeShade="FF"/>
        </w:rPr>
        <w:t>it can be seen that both</w:t>
      </w:r>
      <w:r w:rsidRPr="703578A6" w:rsidR="00D2078E">
        <w:rPr>
          <w:color w:val="000000" w:themeColor="text1" w:themeTint="FF" w:themeShade="FF"/>
        </w:rPr>
        <w:t xml:space="preserve"> countries use English as a common language</w:t>
      </w:r>
      <w:r w:rsidRPr="703578A6" w:rsidR="00D2078E">
        <w:rPr>
          <w:color w:val="000000" w:themeColor="text1" w:themeTint="FF" w:themeShade="FF"/>
        </w:rPr>
        <w:t xml:space="preserve">, which can help in addressing the communication barriers. However, a significant barrier in the context of business culture can be noticed in India (hierarchical) and Ireland (informal). </w:t>
      </w:r>
    </w:p>
    <w:p xmlns:wp14="http://schemas.microsoft.com/office/word/2010/wordml" w:rsidR="00296AB9" w:rsidRDefault="00D2078E" w14:paraId="3B67E235" wp14:textId="77777777">
      <w:pPr>
        <w:rPr>
          <w:color w:val="000000"/>
        </w:rPr>
      </w:pPr>
      <w:r w:rsidRPr="703578A6" w:rsidR="00D2078E">
        <w:rPr>
          <w:b w:val="1"/>
          <w:bCs w:val="1"/>
          <w:i w:val="1"/>
          <w:iCs w:val="1"/>
          <w:color w:val="000000" w:themeColor="text1" w:themeTint="FF" w:themeShade="FF"/>
        </w:rPr>
        <w:t>Administrative Distance</w:t>
      </w:r>
      <w:r w:rsidRPr="703578A6" w:rsidR="00D2078E">
        <w:rPr>
          <w:color w:val="000000" w:themeColor="text1" w:themeTint="FF" w:themeShade="FF"/>
        </w:rPr>
        <w:t xml:space="preserve">: The legal system of Ireland is based on a </w:t>
      </w:r>
      <w:r w:rsidRPr="703578A6" w:rsidR="00D2078E">
        <w:rPr>
          <w:color w:val="000000" w:themeColor="text1" w:themeTint="FF" w:themeShade="FF"/>
        </w:rPr>
        <w:t xml:space="preserve">common law system, which </w:t>
      </w:r>
      <w:r w:rsidRPr="703578A6" w:rsidR="00D2078E">
        <w:rPr>
          <w:color w:val="000000" w:themeColor="text1" w:themeTint="FF" w:themeShade="FF"/>
        </w:rPr>
        <w:t>indicates</w:t>
      </w:r>
      <w:r w:rsidRPr="703578A6" w:rsidR="00D2078E">
        <w:rPr>
          <w:color w:val="000000" w:themeColor="text1" w:themeTint="FF" w:themeShade="FF"/>
        </w:rPr>
        <w:t xml:space="preserve"> that the Judge-made law in the country is a crucial source of regulation </w:t>
      </w:r>
      <w:r w:rsidRPr="703578A6" w:rsidR="00D2078E">
        <w:rPr>
          <w:color w:val="000000" w:themeColor="text1" w:themeTint="FF" w:themeShade="FF"/>
        </w:rPr>
        <w:t>(Europa.eu, 2024).</w:t>
      </w:r>
      <w:r w:rsidRPr="703578A6" w:rsidR="00D2078E">
        <w:rPr>
          <w:color w:val="000000" w:themeColor="text1" w:themeTint="FF" w:themeShade="FF"/>
        </w:rPr>
        <w:t xml:space="preserve"> On the other hand, the legal system of India also includes a common law for legal regulations, </w:t>
      </w:r>
      <w:r w:rsidRPr="703578A6" w:rsidR="00D2078E">
        <w:rPr>
          <w:color w:val="000000" w:themeColor="text1" w:themeTint="FF" w:themeShade="FF"/>
        </w:rPr>
        <w:t>whereas</w:t>
      </w:r>
      <w:r w:rsidRPr="703578A6" w:rsidR="00D2078E">
        <w:rPr>
          <w:color w:val="000000" w:themeColor="text1" w:themeTint="FF" w:themeShade="FF"/>
        </w:rPr>
        <w:t xml:space="preserve"> the civil law and the reli</w:t>
      </w:r>
      <w:r w:rsidRPr="703578A6" w:rsidR="00D2078E">
        <w:rPr>
          <w:color w:val="000000" w:themeColor="text1" w:themeTint="FF" w:themeShade="FF"/>
        </w:rPr>
        <w:t>gious law are also considered</w:t>
      </w:r>
      <w:r w:rsidRPr="703578A6" w:rsidR="00D2078E">
        <w:rPr>
          <w:color w:val="000000" w:themeColor="text1" w:themeTint="FF" w:themeShade="FF"/>
        </w:rPr>
        <w:t xml:space="preserve"> (</w:t>
      </w:r>
      <w:r w:rsidRPr="703578A6" w:rsidR="00D2078E">
        <w:rPr>
          <w:color w:val="000000" w:themeColor="text1" w:themeTint="FF" w:themeShade="FF"/>
        </w:rPr>
        <w:t>Minattur</w:t>
      </w:r>
      <w:r w:rsidRPr="703578A6" w:rsidR="00D2078E">
        <w:rPr>
          <w:color w:val="000000" w:themeColor="text1" w:themeTint="FF" w:themeShade="FF"/>
        </w:rPr>
        <w:t>, 2026).</w:t>
      </w:r>
      <w:r w:rsidRPr="703578A6" w:rsidR="00D2078E">
        <w:rPr>
          <w:color w:val="000000" w:themeColor="text1" w:themeTint="FF" w:themeShade="FF"/>
        </w:rPr>
        <w:t xml:space="preserve"> Hence, the presence of a common law in both markets can address the administrative distances between these two countries. </w:t>
      </w:r>
    </w:p>
    <w:p xmlns:wp14="http://schemas.microsoft.com/office/word/2010/wordml" w:rsidR="00296AB9" w:rsidRDefault="00D2078E" w14:paraId="46A5FC13" wp14:textId="77777777">
      <w:pPr>
        <w:rPr>
          <w:color w:val="000000"/>
        </w:rPr>
      </w:pPr>
      <w:r w:rsidRPr="703578A6" w:rsidR="00D2078E">
        <w:rPr>
          <w:b w:val="1"/>
          <w:bCs w:val="1"/>
          <w:i w:val="1"/>
          <w:iCs w:val="1"/>
          <w:color w:val="000000" w:themeColor="text1" w:themeTint="FF" w:themeShade="FF"/>
        </w:rPr>
        <w:t>Geographic Distance</w:t>
      </w:r>
      <w:r w:rsidRPr="703578A6" w:rsidR="00D2078E">
        <w:rPr>
          <w:color w:val="000000" w:themeColor="text1" w:themeTint="FF" w:themeShade="FF"/>
        </w:rPr>
        <w:t>: The geographical ground-based distance between India and Ireland</w:t>
      </w:r>
      <w:r w:rsidRPr="703578A6" w:rsidR="00D2078E">
        <w:rPr>
          <w:color w:val="000000" w:themeColor="text1" w:themeTint="FF" w:themeShade="FF"/>
        </w:rPr>
        <w:t xml:space="preserve"> can be measured to 4,280 nautical miles or 7,926 kilometres </w:t>
      </w:r>
      <w:r w:rsidRPr="703578A6" w:rsidR="00D2078E">
        <w:rPr>
          <w:color w:val="000000" w:themeColor="text1" w:themeTint="FF" w:themeShade="FF"/>
        </w:rPr>
        <w:t>(</w:t>
      </w:r>
      <w:r w:rsidRPr="703578A6" w:rsidR="00D2078E">
        <w:rPr>
          <w:color w:val="000000" w:themeColor="text1" w:themeTint="FF" w:themeShade="FF"/>
        </w:rPr>
        <w:t>Travelmath</w:t>
      </w:r>
      <w:r w:rsidRPr="703578A6" w:rsidR="00D2078E">
        <w:rPr>
          <w:color w:val="000000" w:themeColor="text1" w:themeTint="FF" w:themeShade="FF"/>
        </w:rPr>
        <w:t xml:space="preserve">, </w:t>
      </w:r>
      <w:r w:rsidRPr="703578A6" w:rsidR="00D2078E">
        <w:rPr>
          <w:color w:val="000000" w:themeColor="text1" w:themeTint="FF" w:themeShade="FF"/>
        </w:rPr>
        <w:t>2026).</w:t>
      </w:r>
      <w:r w:rsidRPr="703578A6" w:rsidR="00D2078E">
        <w:rPr>
          <w:color w:val="000000" w:themeColor="text1" w:themeTint="FF" w:themeShade="FF"/>
        </w:rPr>
        <w:t xml:space="preserve"> On the other hand, the time zone difference between these nations is </w:t>
      </w:r>
      <w:r w:rsidRPr="703578A6" w:rsidR="00D2078E">
        <w:rPr>
          <w:color w:val="000000" w:themeColor="text1" w:themeTint="FF" w:themeShade="FF"/>
        </w:rPr>
        <w:t>very high</w:t>
      </w:r>
      <w:r w:rsidRPr="703578A6" w:rsidR="00D2078E">
        <w:rPr>
          <w:color w:val="000000" w:themeColor="text1" w:themeTint="FF" w:themeShade="FF"/>
        </w:rPr>
        <w:t xml:space="preserve">. For example, the time in Ireland is 5.5 hours behind India (24 Time Zones, 2025). Hence, a gap </w:t>
      </w:r>
      <w:r w:rsidRPr="703578A6" w:rsidR="00D2078E">
        <w:rPr>
          <w:color w:val="000000" w:themeColor="text1" w:themeTint="FF" w:themeShade="FF"/>
        </w:rPr>
        <w:t xml:space="preserve">in real-time collaboration and business operations can be noticed in companies </w:t>
      </w:r>
      <w:r w:rsidRPr="703578A6" w:rsidR="00D2078E">
        <w:rPr>
          <w:color w:val="000000" w:themeColor="text1" w:themeTint="FF" w:themeShade="FF"/>
        </w:rPr>
        <w:t>operating</w:t>
      </w:r>
      <w:r w:rsidRPr="703578A6" w:rsidR="00D2078E">
        <w:rPr>
          <w:color w:val="000000" w:themeColor="text1" w:themeTint="FF" w:themeShade="FF"/>
        </w:rPr>
        <w:t xml:space="preserve"> in these countries. </w:t>
      </w:r>
    </w:p>
    <w:p xmlns:wp14="http://schemas.microsoft.com/office/word/2010/wordml" w:rsidR="00296AB9" w:rsidP="703578A6" w:rsidRDefault="00D2078E" w14:paraId="5838BD7E" wp14:textId="77777777">
      <w:pPr>
        <w:rPr>
          <w:color w:val="000000" w:themeColor="text1" w:themeTint="FF" w:themeShade="FF"/>
        </w:rPr>
      </w:pPr>
      <w:r w:rsidRPr="703578A6" w:rsidR="00D2078E">
        <w:rPr>
          <w:b w:val="1"/>
          <w:bCs w:val="1"/>
          <w:i w:val="1"/>
          <w:iCs w:val="1"/>
          <w:color w:val="000000" w:themeColor="text1" w:themeTint="FF" w:themeShade="FF"/>
        </w:rPr>
        <w:t>Economic Distance</w:t>
      </w:r>
      <w:r w:rsidRPr="703578A6" w:rsidR="00D2078E">
        <w:rPr>
          <w:color w:val="000000" w:themeColor="text1" w:themeTint="FF" w:themeShade="FF"/>
        </w:rPr>
        <w:t xml:space="preserve">: The average GDP (gross domestic product) per capita in India was around 2396.71 USD in 2024 </w:t>
      </w:r>
      <w:r w:rsidRPr="703578A6" w:rsidR="00D2078E">
        <w:rPr>
          <w:color w:val="000000" w:themeColor="text1" w:themeTint="FF" w:themeShade="FF"/>
        </w:rPr>
        <w:t>(Trading Economics, 2025)</w:t>
      </w:r>
      <w:r w:rsidRPr="703578A6" w:rsidR="00D2078E">
        <w:rPr>
          <w:color w:val="000000" w:themeColor="text1" w:themeTint="FF" w:themeShade="FF"/>
        </w:rPr>
        <w:t>. On the o</w:t>
      </w:r>
      <w:r w:rsidRPr="703578A6" w:rsidR="00D2078E">
        <w:rPr>
          <w:color w:val="000000" w:themeColor="text1" w:themeTint="FF" w:themeShade="FF"/>
        </w:rPr>
        <w:t xml:space="preserve">ther hand, in 2024, the Irish GDP per capita was approximately 34636.75 USD </w:t>
      </w:r>
      <w:r w:rsidRPr="703578A6" w:rsidR="00D2078E">
        <w:rPr>
          <w:color w:val="000000" w:themeColor="text1" w:themeTint="FF" w:themeShade="FF"/>
        </w:rPr>
        <w:t>(Trading Economics, 2026)</w:t>
      </w:r>
      <w:r w:rsidRPr="703578A6" w:rsidR="00D2078E">
        <w:rPr>
          <w:color w:val="000000" w:themeColor="text1" w:themeTint="FF" w:themeShade="FF"/>
        </w:rPr>
        <w:t xml:space="preserve">. The labour costs in India were around INR 178 (US$2.13) in 2025 </w:t>
      </w:r>
      <w:r w:rsidRPr="703578A6" w:rsidR="00D2078E">
        <w:rPr>
          <w:color w:val="000000" w:themeColor="text1" w:themeTint="FF" w:themeShade="FF"/>
        </w:rPr>
        <w:t>(Shira, 2025)</w:t>
      </w:r>
      <w:r w:rsidRPr="703578A6" w:rsidR="00D2078E">
        <w:rPr>
          <w:color w:val="000000" w:themeColor="text1" w:themeTint="FF" w:themeShade="FF"/>
        </w:rPr>
        <w:t xml:space="preserve">. Similarly, the hourly total labour costs in Ireland were </w:t>
      </w:r>
      <w:r w:rsidRPr="703578A6" w:rsidR="00D2078E">
        <w:rPr>
          <w:color w:val="000000" w:themeColor="text1" w:themeTint="FF" w:themeShade="FF"/>
        </w:rPr>
        <w:t>nearly €37.19</w:t>
      </w:r>
      <w:r w:rsidRPr="703578A6" w:rsidR="00D2078E">
        <w:rPr>
          <w:color w:val="000000" w:themeColor="text1" w:themeTint="FF" w:themeShade="FF"/>
        </w:rPr>
        <w:t xml:space="preserve"> in </w:t>
      </w:r>
      <w:r w:rsidRPr="703578A6" w:rsidR="00D2078E">
        <w:rPr>
          <w:color w:val="000000" w:themeColor="text1" w:themeTint="FF" w:themeShade="FF"/>
        </w:rPr>
        <w:t xml:space="preserve">2025 </w:t>
      </w:r>
      <w:r w:rsidRPr="703578A6" w:rsidR="00D2078E">
        <w:rPr>
          <w:color w:val="000000" w:themeColor="text1" w:themeTint="FF" w:themeShade="FF"/>
        </w:rPr>
        <w:t>(CSO, 2025)</w:t>
      </w:r>
      <w:r w:rsidRPr="703578A6" w:rsidR="00D2078E">
        <w:rPr>
          <w:color w:val="000000" w:themeColor="text1" w:themeTint="FF" w:themeShade="FF"/>
        </w:rPr>
        <w:t xml:space="preserve">. Therefore, these economic distances between these regions can create financial disruptions in </w:t>
      </w:r>
      <w:r w:rsidRPr="703578A6" w:rsidR="00D2078E">
        <w:rPr>
          <w:color w:val="000000" w:themeColor="text1" w:themeTint="FF" w:themeShade="FF"/>
        </w:rPr>
        <w:t>maintaining</w:t>
      </w:r>
      <w:r w:rsidRPr="703578A6" w:rsidR="00D2078E">
        <w:rPr>
          <w:color w:val="000000" w:themeColor="text1" w:themeTint="FF" w:themeShade="FF"/>
        </w:rPr>
        <w:t xml:space="preserve"> the operations of businesses. </w:t>
      </w:r>
    </w:p>
    <w:p xmlns:wp14="http://schemas.microsoft.com/office/word/2010/wordml" w:rsidR="00296AB9" w:rsidRDefault="00D2078E" w14:paraId="4526C40F" wp14:textId="77777777">
      <w:pPr>
        <w:pStyle w:val="Heading4"/>
      </w:pPr>
      <w:bookmarkStart w:name="_heading=h.qotnxqvs1k1r" w:colFirst="0" w:colLast="0" w:id="12"/>
      <w:bookmarkEnd w:id="12"/>
      <w:r>
        <w:t>4.2.3 Porter’s five forces on the competitive IT landscape of India</w:t>
      </w:r>
    </w:p>
    <w:tbl>
      <w:tblPr>
        <w:tblStyle w:val="a9"/>
        <w:tblW w:w="9360" w:type="dxa"/>
        <w:tblInd w:w="-1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2085"/>
        <w:gridCol w:w="5625"/>
        <w:gridCol w:w="1650"/>
      </w:tblGrid>
      <w:tr xmlns:wp14="http://schemas.microsoft.com/office/word/2010/wordml" w:rsidR="00296AB9" w:rsidTr="703578A6" w14:paraId="491A4DAE" wp14:textId="77777777">
        <w:tc>
          <w:tcPr>
            <w:tcW w:w="2085" w:type="dxa"/>
            <w:tcMar>
              <w:top w:w="100" w:type="dxa"/>
              <w:left w:w="100" w:type="dxa"/>
              <w:bottom w:w="100" w:type="dxa"/>
              <w:right w:w="100" w:type="dxa"/>
            </w:tcMar>
          </w:tcPr>
          <w:p w:rsidR="00296AB9" w:rsidRDefault="00D2078E" w14:paraId="6C1A7CBC" wp14:textId="77777777">
            <w:pPr>
              <w:widowControl w:val="0"/>
              <w:spacing w:before="0" w:after="0"/>
              <w:jc w:val="center"/>
              <w:rPr>
                <w:b/>
                <w:bCs/>
                <w:color w:val="000000"/>
              </w:rPr>
            </w:pPr>
            <w:r>
              <w:rPr>
                <w:b/>
                <w:bCs/>
                <w:color w:val="000000"/>
              </w:rPr>
              <w:t xml:space="preserve">Forces </w:t>
            </w:r>
          </w:p>
        </w:tc>
        <w:tc>
          <w:tcPr>
            <w:tcW w:w="5625" w:type="dxa"/>
            <w:tcMar>
              <w:top w:w="100" w:type="dxa"/>
              <w:left w:w="100" w:type="dxa"/>
              <w:bottom w:w="100" w:type="dxa"/>
              <w:right w:w="100" w:type="dxa"/>
            </w:tcMar>
          </w:tcPr>
          <w:p w:rsidR="00296AB9" w:rsidRDefault="00D2078E" w14:paraId="6A712C68" wp14:textId="77777777">
            <w:pPr>
              <w:widowControl w:val="0"/>
              <w:spacing w:before="0" w:after="0"/>
              <w:jc w:val="center"/>
              <w:rPr>
                <w:b/>
                <w:bCs/>
                <w:color w:val="000000"/>
              </w:rPr>
            </w:pPr>
            <w:r>
              <w:rPr>
                <w:b/>
                <w:bCs/>
                <w:color w:val="000000"/>
              </w:rPr>
              <w:t xml:space="preserve">Description </w:t>
            </w:r>
          </w:p>
        </w:tc>
        <w:tc>
          <w:tcPr>
            <w:tcW w:w="1650" w:type="dxa"/>
            <w:tcMar>
              <w:top w:w="100" w:type="dxa"/>
              <w:left w:w="100" w:type="dxa"/>
              <w:bottom w:w="100" w:type="dxa"/>
              <w:right w:w="100" w:type="dxa"/>
            </w:tcMar>
          </w:tcPr>
          <w:p w:rsidR="00296AB9" w:rsidRDefault="00D2078E" w14:paraId="1A7F9AD0" wp14:textId="77777777">
            <w:pPr>
              <w:widowControl w:val="0"/>
              <w:spacing w:before="0" w:after="0"/>
              <w:jc w:val="center"/>
              <w:rPr>
                <w:b/>
                <w:bCs/>
                <w:color w:val="000000"/>
              </w:rPr>
            </w:pPr>
            <w:r>
              <w:rPr>
                <w:b/>
                <w:bCs/>
                <w:color w:val="000000"/>
              </w:rPr>
              <w:t>Impact Level</w:t>
            </w:r>
            <w:r>
              <w:rPr>
                <w:b/>
                <w:bCs/>
                <w:color w:val="000000"/>
              </w:rPr>
              <w:t xml:space="preserve"> </w:t>
            </w:r>
          </w:p>
        </w:tc>
      </w:tr>
      <w:tr xmlns:wp14="http://schemas.microsoft.com/office/word/2010/wordml" w:rsidR="00296AB9" w:rsidTr="703578A6" w14:paraId="1C5B0A7A" wp14:textId="77777777">
        <w:tc>
          <w:tcPr>
            <w:tcW w:w="2085" w:type="dxa"/>
            <w:tcMar>
              <w:top w:w="100" w:type="dxa"/>
              <w:left w:w="100" w:type="dxa"/>
              <w:bottom w:w="100" w:type="dxa"/>
              <w:right w:w="100" w:type="dxa"/>
            </w:tcMar>
          </w:tcPr>
          <w:p w:rsidR="00296AB9" w:rsidRDefault="00D2078E" w14:paraId="6071BC1E" wp14:textId="77777777">
            <w:pPr>
              <w:widowControl w:val="0"/>
              <w:spacing w:before="0" w:after="0"/>
              <w:jc w:val="center"/>
              <w:rPr>
                <w:b/>
                <w:bCs/>
                <w:i/>
                <w:iCs/>
                <w:color w:val="000000"/>
              </w:rPr>
            </w:pPr>
            <w:r>
              <w:rPr>
                <w:b/>
                <w:bCs/>
                <w:i/>
                <w:iCs/>
                <w:color w:val="000000"/>
              </w:rPr>
              <w:t>Competitive Rivalry</w:t>
            </w:r>
          </w:p>
        </w:tc>
        <w:tc>
          <w:tcPr>
            <w:tcW w:w="5625" w:type="dxa"/>
            <w:tcMar>
              <w:top w:w="100" w:type="dxa"/>
              <w:left w:w="100" w:type="dxa"/>
              <w:bottom w:w="100" w:type="dxa"/>
              <w:right w:w="100" w:type="dxa"/>
            </w:tcMar>
          </w:tcPr>
          <w:p w:rsidR="00296AB9" w:rsidRDefault="00D2078E" w14:paraId="51690555" wp14:textId="77777777">
            <w:pPr>
              <w:widowControl w:val="0"/>
              <w:numPr>
                <w:ilvl w:val="0"/>
                <w:numId w:val="4"/>
              </w:numPr>
              <w:spacing w:before="0" w:after="0"/>
              <w:rPr>
                <w:color w:val="000000"/>
              </w:rPr>
            </w:pPr>
            <w:r w:rsidRPr="703578A6" w:rsidR="00D2078E">
              <w:rPr>
                <w:color w:val="000000" w:themeColor="text1" w:themeTint="FF" w:themeShade="FF"/>
              </w:rPr>
              <w:t xml:space="preserve">TCS (Tata Consultancy Services), Infosys, Deloitte, IBM (International Business Machines), and Wipro are existing popular IT brands in India </w:t>
            </w:r>
            <w:r w:rsidRPr="703578A6" w:rsidR="00D2078E">
              <w:rPr>
                <w:color w:val="000000" w:themeColor="text1" w:themeTint="FF" w:themeShade="FF"/>
              </w:rPr>
              <w:t>(Forbes India, 2024).</w:t>
            </w:r>
          </w:p>
          <w:p w:rsidR="00296AB9" w:rsidRDefault="00D2078E" w14:paraId="25865D35" wp14:textId="77777777">
            <w:pPr>
              <w:widowControl w:val="0"/>
              <w:numPr>
                <w:ilvl w:val="0"/>
                <w:numId w:val="4"/>
              </w:numPr>
              <w:spacing w:before="0" w:after="0"/>
              <w:rPr>
                <w:color w:val="000000"/>
              </w:rPr>
            </w:pPr>
            <w:r w:rsidRPr="703578A6" w:rsidR="00D2078E">
              <w:rPr>
                <w:color w:val="000000" w:themeColor="text1" w:themeTint="FF" w:themeShade="FF"/>
              </w:rPr>
              <w:t xml:space="preserve">The intense market competition by businesses in the Indian IT sector can lead to issues </w:t>
            </w:r>
            <w:r w:rsidRPr="703578A6" w:rsidR="00D2078E">
              <w:rPr>
                <w:color w:val="000000" w:themeColor="text1" w:themeTint="FF" w:themeShade="FF"/>
              </w:rPr>
              <w:t>regarding</w:t>
            </w:r>
            <w:r w:rsidRPr="703578A6" w:rsidR="00D2078E">
              <w:rPr>
                <w:color w:val="000000" w:themeColor="text1" w:themeTint="FF" w:themeShade="FF"/>
              </w:rPr>
              <w:t xml:space="preserve"> pricing pressure for businesses.</w:t>
            </w:r>
          </w:p>
          <w:p w:rsidR="00296AB9" w:rsidRDefault="00D2078E" w14:paraId="3CD6890E" wp14:textId="77777777">
            <w:pPr>
              <w:widowControl w:val="0"/>
              <w:numPr>
                <w:ilvl w:val="0"/>
                <w:numId w:val="4"/>
              </w:numPr>
              <w:spacing w:before="0" w:after="0"/>
              <w:rPr>
                <w:color w:val="000000"/>
              </w:rPr>
            </w:pPr>
            <w:r w:rsidRPr="703578A6" w:rsidR="00D2078E">
              <w:rPr>
                <w:color w:val="000000" w:themeColor="text1" w:themeTint="FF" w:themeShade="FF"/>
              </w:rPr>
              <w:t>The competitive rivalry in the IT market of India is high due to the leading IT firms in the country</w:t>
            </w:r>
            <w:r w:rsidRPr="703578A6" w:rsidR="00D2078E">
              <w:rPr>
                <w:color w:val="000000" w:themeColor="text1" w:themeTint="FF" w:themeShade="FF"/>
              </w:rPr>
              <w:t xml:space="preserve">.  </w:t>
            </w:r>
          </w:p>
        </w:tc>
        <w:tc>
          <w:tcPr>
            <w:tcW w:w="1650" w:type="dxa"/>
            <w:shd w:val="clear" w:color="auto" w:fill="FF0000"/>
            <w:tcMar>
              <w:top w:w="100" w:type="dxa"/>
              <w:left w:w="100" w:type="dxa"/>
              <w:bottom w:w="100" w:type="dxa"/>
              <w:right w:w="100" w:type="dxa"/>
            </w:tcMar>
          </w:tcPr>
          <w:p w:rsidR="00296AB9" w:rsidP="703578A6" w:rsidRDefault="00D2078E" w14:paraId="7E177962" wp14:textId="77777777">
            <w:pPr>
              <w:widowControl w:val="0"/>
              <w:spacing w:before="0" w:after="0"/>
              <w:jc w:val="center"/>
              <w:rPr>
                <w:b w:val="1"/>
                <w:bCs w:val="1"/>
                <w:i w:val="1"/>
                <w:iCs w:val="1"/>
                <w:color w:val="000000"/>
              </w:rPr>
            </w:pPr>
            <w:r w:rsidRPr="703578A6" w:rsidR="00D2078E">
              <w:rPr>
                <w:b w:val="1"/>
                <w:bCs w:val="1"/>
                <w:i w:val="1"/>
                <w:iCs w:val="1"/>
                <w:color w:val="000000" w:themeColor="text1" w:themeTint="FF" w:themeShade="FF"/>
              </w:rPr>
              <w:t>High</w:t>
            </w:r>
          </w:p>
        </w:tc>
      </w:tr>
      <w:tr xmlns:wp14="http://schemas.microsoft.com/office/word/2010/wordml" w:rsidR="00296AB9" w:rsidTr="703578A6" w14:paraId="1D26E0CF" wp14:textId="77777777">
        <w:tc>
          <w:tcPr>
            <w:tcW w:w="2085" w:type="dxa"/>
            <w:tcMar>
              <w:top w:w="100" w:type="dxa"/>
              <w:left w:w="100" w:type="dxa"/>
              <w:bottom w:w="100" w:type="dxa"/>
              <w:right w:w="100" w:type="dxa"/>
            </w:tcMar>
          </w:tcPr>
          <w:p w:rsidR="00296AB9" w:rsidP="703578A6" w:rsidRDefault="00D2078E" w14:paraId="0F045403" wp14:textId="77777777">
            <w:pPr>
              <w:widowControl w:val="0"/>
              <w:spacing w:before="0" w:after="0"/>
              <w:jc w:val="center"/>
              <w:rPr>
                <w:b w:val="1"/>
                <w:bCs w:val="1"/>
                <w:i w:val="1"/>
                <w:iCs w:val="1"/>
                <w:color w:val="000000"/>
              </w:rPr>
            </w:pPr>
            <w:r w:rsidRPr="703578A6" w:rsidR="00D2078E">
              <w:rPr>
                <w:b w:val="1"/>
                <w:bCs w:val="1"/>
                <w:i w:val="1"/>
                <w:iCs w:val="1"/>
                <w:color w:val="000000" w:themeColor="text1" w:themeTint="FF" w:themeShade="FF"/>
              </w:rPr>
              <w:t>Threat of New Entrants</w:t>
            </w:r>
          </w:p>
        </w:tc>
        <w:tc>
          <w:tcPr>
            <w:tcW w:w="5625" w:type="dxa"/>
            <w:tcMar>
              <w:top w:w="100" w:type="dxa"/>
              <w:left w:w="100" w:type="dxa"/>
              <w:bottom w:w="100" w:type="dxa"/>
              <w:right w:w="100" w:type="dxa"/>
            </w:tcMar>
          </w:tcPr>
          <w:p w:rsidR="00296AB9" w:rsidRDefault="00D2078E" w14:paraId="777AB0A1" wp14:textId="77777777">
            <w:pPr>
              <w:widowControl w:val="0"/>
              <w:numPr>
                <w:ilvl w:val="0"/>
                <w:numId w:val="7"/>
              </w:numPr>
              <w:spacing w:before="0" w:after="0"/>
              <w:rPr>
                <w:color w:val="000000"/>
              </w:rPr>
            </w:pPr>
            <w:r w:rsidRPr="703578A6" w:rsidR="00D2078E">
              <w:rPr>
                <w:color w:val="000000" w:themeColor="text1" w:themeTint="FF" w:themeShade="FF"/>
              </w:rPr>
              <w:t xml:space="preserve">The FDI (Foreign Direct Investment) in the Indian market has increased to 6.9 billion </w:t>
            </w:r>
            <w:r w:rsidRPr="703578A6" w:rsidR="00D2078E">
              <w:rPr>
                <w:color w:val="000000" w:themeColor="text1" w:themeTint="FF" w:themeShade="FF"/>
              </w:rPr>
              <w:t xml:space="preserve">USD in 2025 from 4.7 billion USD in 2024 </w:t>
            </w:r>
            <w:r w:rsidRPr="703578A6" w:rsidR="00D2078E">
              <w:rPr>
                <w:color w:val="000000" w:themeColor="text1" w:themeTint="FF" w:themeShade="FF"/>
              </w:rPr>
              <w:t>(Santander, 2026).</w:t>
            </w:r>
          </w:p>
          <w:p w:rsidR="00296AB9" w:rsidRDefault="00D2078E" w14:paraId="025D831A" wp14:textId="77777777">
            <w:pPr>
              <w:widowControl w:val="0"/>
              <w:numPr>
                <w:ilvl w:val="0"/>
                <w:numId w:val="7"/>
              </w:numPr>
              <w:spacing w:before="0" w:after="0"/>
              <w:rPr>
                <w:color w:val="000000"/>
              </w:rPr>
            </w:pPr>
            <w:r w:rsidRPr="703578A6" w:rsidR="00D2078E">
              <w:rPr>
                <w:color w:val="000000" w:themeColor="text1" w:themeTint="FF" w:themeShade="FF"/>
              </w:rPr>
              <w:t>The increased reputation and image of existing IT brands create issues for new business</w:t>
            </w:r>
            <w:r w:rsidRPr="703578A6" w:rsidR="00D2078E">
              <w:rPr>
                <w:color w:val="000000" w:themeColor="text1" w:themeTint="FF" w:themeShade="FF"/>
              </w:rPr>
              <w:t>es to enter the Indian IT sector.</w:t>
            </w:r>
          </w:p>
          <w:p w:rsidR="00296AB9" w:rsidRDefault="00D2078E" w14:paraId="17EAFEC3" wp14:textId="77777777">
            <w:pPr>
              <w:widowControl w:val="0"/>
              <w:numPr>
                <w:ilvl w:val="0"/>
                <w:numId w:val="7"/>
              </w:numPr>
              <w:spacing w:before="0" w:after="0"/>
              <w:rPr>
                <w:color w:val="000000"/>
              </w:rPr>
            </w:pPr>
            <w:r w:rsidRPr="703578A6" w:rsidR="00D2078E">
              <w:rPr>
                <w:color w:val="000000" w:themeColor="text1" w:themeTint="FF" w:themeShade="FF"/>
              </w:rPr>
              <w:t>Thus, the new entry threats for Accenture are low in the Indian IT market.</w:t>
            </w:r>
          </w:p>
        </w:tc>
        <w:tc>
          <w:tcPr>
            <w:tcW w:w="1650" w:type="dxa"/>
            <w:shd w:val="clear" w:color="auto" w:fill="00FF00"/>
            <w:tcMar>
              <w:top w:w="100" w:type="dxa"/>
              <w:left w:w="100" w:type="dxa"/>
              <w:bottom w:w="100" w:type="dxa"/>
              <w:right w:w="100" w:type="dxa"/>
            </w:tcMar>
          </w:tcPr>
          <w:p w:rsidR="00296AB9" w:rsidP="703578A6" w:rsidRDefault="00D2078E" w14:paraId="1E16C85B" wp14:textId="77777777">
            <w:pPr>
              <w:widowControl w:val="0"/>
              <w:spacing w:before="0" w:after="0"/>
              <w:jc w:val="center"/>
              <w:rPr>
                <w:b w:val="1"/>
                <w:bCs w:val="1"/>
                <w:i w:val="1"/>
                <w:iCs w:val="1"/>
                <w:color w:val="000000"/>
              </w:rPr>
            </w:pPr>
            <w:r w:rsidRPr="703578A6" w:rsidR="00D2078E">
              <w:rPr>
                <w:b w:val="1"/>
                <w:bCs w:val="1"/>
                <w:i w:val="1"/>
                <w:iCs w:val="1"/>
                <w:color w:val="000000" w:themeColor="text1" w:themeTint="FF" w:themeShade="FF"/>
              </w:rPr>
              <w:t>Low</w:t>
            </w:r>
          </w:p>
        </w:tc>
      </w:tr>
      <w:tr xmlns:wp14="http://schemas.microsoft.com/office/word/2010/wordml" w:rsidR="00296AB9" w:rsidTr="703578A6" w14:paraId="2152ACEA" wp14:textId="77777777">
        <w:tc>
          <w:tcPr>
            <w:tcW w:w="2085" w:type="dxa"/>
            <w:tcMar>
              <w:top w:w="100" w:type="dxa"/>
              <w:left w:w="100" w:type="dxa"/>
              <w:bottom w:w="100" w:type="dxa"/>
              <w:right w:w="100" w:type="dxa"/>
            </w:tcMar>
          </w:tcPr>
          <w:p w:rsidR="00296AB9" w:rsidP="703578A6" w:rsidRDefault="00D2078E" w14:paraId="636360C9" wp14:textId="77777777">
            <w:pPr>
              <w:widowControl w:val="0"/>
              <w:spacing w:before="0" w:after="0"/>
              <w:jc w:val="center"/>
              <w:rPr>
                <w:b w:val="1"/>
                <w:bCs w:val="1"/>
                <w:i w:val="1"/>
                <w:iCs w:val="1"/>
                <w:color w:val="000000"/>
              </w:rPr>
            </w:pPr>
            <w:r w:rsidRPr="703578A6" w:rsidR="00D2078E">
              <w:rPr>
                <w:b w:val="1"/>
                <w:bCs w:val="1"/>
                <w:i w:val="1"/>
                <w:iCs w:val="1"/>
                <w:color w:val="000000" w:themeColor="text1" w:themeTint="FF" w:themeShade="FF"/>
              </w:rPr>
              <w:t>Bargaining Power of Suppliers</w:t>
            </w:r>
          </w:p>
        </w:tc>
        <w:tc>
          <w:tcPr>
            <w:tcW w:w="5625" w:type="dxa"/>
            <w:tcMar>
              <w:top w:w="100" w:type="dxa"/>
              <w:left w:w="100" w:type="dxa"/>
              <w:bottom w:w="100" w:type="dxa"/>
              <w:right w:w="100" w:type="dxa"/>
            </w:tcMar>
          </w:tcPr>
          <w:p w:rsidR="00296AB9" w:rsidRDefault="00D2078E" w14:paraId="389F761F" wp14:textId="77777777">
            <w:pPr>
              <w:widowControl w:val="0"/>
              <w:numPr>
                <w:ilvl w:val="0"/>
                <w:numId w:val="5"/>
              </w:numPr>
              <w:spacing w:before="0" w:after="0"/>
              <w:rPr>
                <w:color w:val="000000"/>
              </w:rPr>
            </w:pPr>
            <w:r w:rsidRPr="703578A6" w:rsidR="00D2078E">
              <w:rPr>
                <w:color w:val="000000" w:themeColor="text1" w:themeTint="FF" w:themeShade="FF"/>
              </w:rPr>
              <w:t>The primary suppliers of the IT sector of India are the technology partners, workers, and training companies.</w:t>
            </w:r>
          </w:p>
          <w:p w:rsidR="00296AB9" w:rsidRDefault="00D2078E" w14:paraId="227E6FB6" wp14:textId="77777777">
            <w:pPr>
              <w:widowControl w:val="0"/>
              <w:numPr>
                <w:ilvl w:val="0"/>
                <w:numId w:val="5"/>
              </w:numPr>
              <w:spacing w:before="0" w:after="0"/>
              <w:rPr>
                <w:color w:val="000000"/>
              </w:rPr>
            </w:pPr>
            <w:r w:rsidRPr="703578A6" w:rsidR="00D2078E">
              <w:rPr>
                <w:color w:val="000000" w:themeColor="text1" w:themeTint="FF" w:themeShade="FF"/>
              </w:rPr>
              <w:t xml:space="preserve">The total number of employees in the IT industry of India has increased to 5.4 million in 2023, with the inclusion of 290000 new workers in the market </w:t>
            </w:r>
            <w:r w:rsidRPr="703578A6" w:rsidR="00D2078E">
              <w:rPr>
                <w:color w:val="000000" w:themeColor="text1" w:themeTint="FF" w:themeShade="FF"/>
              </w:rPr>
              <w:t>(IBEF, 2025).</w:t>
            </w:r>
          </w:p>
          <w:p w:rsidR="00296AB9" w:rsidRDefault="00D2078E" w14:paraId="33827B74" wp14:textId="77777777">
            <w:pPr>
              <w:widowControl w:val="0"/>
              <w:numPr>
                <w:ilvl w:val="0"/>
                <w:numId w:val="5"/>
              </w:numPr>
              <w:spacing w:before="0" w:after="0"/>
              <w:rPr>
                <w:color w:val="000000"/>
              </w:rPr>
            </w:pPr>
            <w:r w:rsidRPr="703578A6" w:rsidR="00D2078E">
              <w:rPr>
                <w:color w:val="000000" w:themeColor="text1" w:themeTint="FF" w:themeShade="FF"/>
              </w:rPr>
              <w:t>The availability of a huge IT talent pool reduces the supplier's bargaining power in the In</w:t>
            </w:r>
            <w:r w:rsidRPr="703578A6" w:rsidR="00D2078E">
              <w:rPr>
                <w:color w:val="000000" w:themeColor="text1" w:themeTint="FF" w:themeShade="FF"/>
              </w:rPr>
              <w:t xml:space="preserve">dian market. </w:t>
            </w:r>
          </w:p>
        </w:tc>
        <w:tc>
          <w:tcPr>
            <w:tcW w:w="1650" w:type="dxa"/>
            <w:shd w:val="clear" w:color="auto" w:fill="00FF00"/>
            <w:tcMar>
              <w:top w:w="100" w:type="dxa"/>
              <w:left w:w="100" w:type="dxa"/>
              <w:bottom w:w="100" w:type="dxa"/>
              <w:right w:w="100" w:type="dxa"/>
            </w:tcMar>
          </w:tcPr>
          <w:p w:rsidR="00296AB9" w:rsidP="703578A6" w:rsidRDefault="00D2078E" w14:paraId="7766D339" wp14:textId="77777777">
            <w:pPr>
              <w:widowControl w:val="0"/>
              <w:spacing w:before="0" w:after="0"/>
              <w:jc w:val="center"/>
              <w:rPr>
                <w:b w:val="1"/>
                <w:bCs w:val="1"/>
                <w:i w:val="1"/>
                <w:iCs w:val="1"/>
                <w:color w:val="000000"/>
              </w:rPr>
            </w:pPr>
            <w:r w:rsidRPr="703578A6" w:rsidR="00D2078E">
              <w:rPr>
                <w:b w:val="1"/>
                <w:bCs w:val="1"/>
                <w:i w:val="1"/>
                <w:iCs w:val="1"/>
                <w:color w:val="000000" w:themeColor="text1" w:themeTint="FF" w:themeShade="FF"/>
              </w:rPr>
              <w:t xml:space="preserve">Low </w:t>
            </w:r>
          </w:p>
        </w:tc>
      </w:tr>
      <w:tr xmlns:wp14="http://schemas.microsoft.com/office/word/2010/wordml" w:rsidR="00296AB9" w:rsidTr="703578A6" w14:paraId="412CBE5A" wp14:textId="77777777">
        <w:tc>
          <w:tcPr>
            <w:tcW w:w="2085" w:type="dxa"/>
            <w:tcMar>
              <w:top w:w="100" w:type="dxa"/>
              <w:left w:w="100" w:type="dxa"/>
              <w:bottom w:w="100" w:type="dxa"/>
              <w:right w:w="100" w:type="dxa"/>
            </w:tcMar>
          </w:tcPr>
          <w:p w:rsidR="00296AB9" w:rsidP="703578A6" w:rsidRDefault="00D2078E" w14:paraId="362E7605" wp14:textId="77777777">
            <w:pPr>
              <w:widowControl w:val="0"/>
              <w:spacing w:before="0" w:after="0"/>
              <w:jc w:val="center"/>
              <w:rPr>
                <w:b w:val="1"/>
                <w:bCs w:val="1"/>
                <w:i w:val="1"/>
                <w:iCs w:val="1"/>
                <w:color w:val="000000"/>
              </w:rPr>
            </w:pPr>
            <w:r w:rsidRPr="703578A6" w:rsidR="00D2078E">
              <w:rPr>
                <w:b w:val="1"/>
                <w:bCs w:val="1"/>
                <w:i w:val="1"/>
                <w:iCs w:val="1"/>
                <w:color w:val="000000" w:themeColor="text1" w:themeTint="FF" w:themeShade="FF"/>
              </w:rPr>
              <w:t>Bargaining Power of Buyers</w:t>
            </w:r>
          </w:p>
        </w:tc>
        <w:tc>
          <w:tcPr>
            <w:tcW w:w="5625" w:type="dxa"/>
            <w:tcMar>
              <w:top w:w="100" w:type="dxa"/>
              <w:left w:w="100" w:type="dxa"/>
              <w:bottom w:w="100" w:type="dxa"/>
              <w:right w:w="100" w:type="dxa"/>
            </w:tcMar>
          </w:tcPr>
          <w:p w:rsidR="00296AB9" w:rsidRDefault="00D2078E" w14:paraId="22ABF444" wp14:textId="77777777">
            <w:pPr>
              <w:widowControl w:val="0"/>
              <w:numPr>
                <w:ilvl w:val="0"/>
                <w:numId w:val="2"/>
              </w:numPr>
              <w:spacing w:before="0" w:after="0"/>
              <w:rPr>
                <w:color w:val="000000"/>
              </w:rPr>
            </w:pPr>
            <w:r w:rsidRPr="703578A6" w:rsidR="00D2078E">
              <w:rPr>
                <w:color w:val="000000" w:themeColor="text1" w:themeTint="FF" w:themeShade="FF"/>
              </w:rPr>
              <w:t xml:space="preserve">Customers in the Indian market are </w:t>
            </w:r>
            <w:r w:rsidRPr="703578A6" w:rsidR="00D2078E">
              <w:rPr>
                <w:color w:val="000000" w:themeColor="text1" w:themeTint="FF" w:themeShade="FF"/>
              </w:rPr>
              <w:t>seeking</w:t>
            </w:r>
            <w:r w:rsidRPr="703578A6" w:rsidR="00D2078E">
              <w:rPr>
                <w:color w:val="000000" w:themeColor="text1" w:themeTint="FF" w:themeShade="FF"/>
              </w:rPr>
              <w:t xml:space="preserve"> new and effective IT solutions from firms.</w:t>
            </w:r>
          </w:p>
          <w:p w:rsidR="00296AB9" w:rsidRDefault="00D2078E" w14:paraId="3BF888FD" wp14:textId="77777777">
            <w:pPr>
              <w:widowControl w:val="0"/>
              <w:numPr>
                <w:ilvl w:val="0"/>
                <w:numId w:val="2"/>
              </w:numPr>
              <w:spacing w:before="0" w:after="0"/>
              <w:rPr>
                <w:color w:val="000000"/>
              </w:rPr>
            </w:pPr>
            <w:r w:rsidRPr="703578A6" w:rsidR="00D2078E">
              <w:rPr>
                <w:color w:val="000000" w:themeColor="text1" w:themeTint="FF" w:themeShade="FF"/>
              </w:rPr>
              <w:t>The increased demand by Indian customers for adequate technological solutions and easy switching options increases their ba</w:t>
            </w:r>
            <w:r w:rsidRPr="703578A6" w:rsidR="00D2078E">
              <w:rPr>
                <w:color w:val="000000" w:themeColor="text1" w:themeTint="FF" w:themeShade="FF"/>
              </w:rPr>
              <w:t>rgaining power in India.</w:t>
            </w:r>
          </w:p>
          <w:p w:rsidR="00296AB9" w:rsidRDefault="00D2078E" w14:paraId="6B5AF98E" wp14:textId="77777777">
            <w:pPr>
              <w:widowControl w:val="0"/>
              <w:numPr>
                <w:ilvl w:val="0"/>
                <w:numId w:val="2"/>
              </w:numPr>
              <w:spacing w:before="0" w:after="0"/>
              <w:rPr>
                <w:color w:val="000000"/>
              </w:rPr>
            </w:pPr>
            <w:r w:rsidRPr="703578A6" w:rsidR="00D2078E">
              <w:rPr>
                <w:color w:val="000000" w:themeColor="text1" w:themeTint="FF" w:themeShade="FF"/>
              </w:rPr>
              <w:t>Accenture can face issues due to the changing requirements of customers in India</w:t>
            </w:r>
            <w:r w:rsidRPr="703578A6" w:rsidR="00D2078E">
              <w:rPr>
                <w:color w:val="000000" w:themeColor="text1" w:themeTint="FF" w:themeShade="FF"/>
              </w:rPr>
              <w:t xml:space="preserve"> (</w:t>
            </w:r>
            <w:r w:rsidRPr="703578A6" w:rsidR="00D2078E">
              <w:rPr>
                <w:color w:val="000000" w:themeColor="text1" w:themeTint="FF" w:themeShade="FF"/>
                <w:highlight w:val="white"/>
              </w:rPr>
              <w:t xml:space="preserve">Srivastava, Hallur, and </w:t>
            </w:r>
            <w:r w:rsidRPr="703578A6" w:rsidR="00D2078E">
              <w:rPr>
                <w:color w:val="000000" w:themeColor="text1" w:themeTint="FF" w:themeShade="FF"/>
                <w:highlight w:val="white"/>
              </w:rPr>
              <w:t>Mukitm</w:t>
            </w:r>
            <w:r w:rsidRPr="703578A6" w:rsidR="00D2078E">
              <w:rPr>
                <w:color w:val="000000" w:themeColor="text1" w:themeTint="FF" w:themeShade="FF"/>
                <w:highlight w:val="white"/>
              </w:rPr>
              <w:t>, 2023)</w:t>
            </w:r>
            <w:r w:rsidRPr="703578A6" w:rsidR="00D2078E">
              <w:rPr>
                <w:color w:val="000000" w:themeColor="text1" w:themeTint="FF" w:themeShade="FF"/>
              </w:rPr>
              <w:t>.</w:t>
            </w:r>
          </w:p>
        </w:tc>
        <w:tc>
          <w:tcPr>
            <w:tcW w:w="1650" w:type="dxa"/>
            <w:shd w:val="clear" w:color="auto" w:fill="FF0000"/>
            <w:tcMar>
              <w:top w:w="100" w:type="dxa"/>
              <w:left w:w="100" w:type="dxa"/>
              <w:bottom w:w="100" w:type="dxa"/>
              <w:right w:w="100" w:type="dxa"/>
            </w:tcMar>
          </w:tcPr>
          <w:p w:rsidR="00296AB9" w:rsidP="703578A6" w:rsidRDefault="00D2078E" w14:paraId="05FAD91F" wp14:textId="77777777">
            <w:pPr>
              <w:widowControl w:val="0"/>
              <w:spacing w:before="0" w:after="0"/>
              <w:jc w:val="center"/>
              <w:rPr>
                <w:b w:val="1"/>
                <w:bCs w:val="1"/>
                <w:i w:val="1"/>
                <w:iCs w:val="1"/>
                <w:color w:val="000000"/>
              </w:rPr>
            </w:pPr>
            <w:r w:rsidRPr="703578A6" w:rsidR="00D2078E">
              <w:rPr>
                <w:b w:val="1"/>
                <w:bCs w:val="1"/>
                <w:i w:val="1"/>
                <w:iCs w:val="1"/>
                <w:color w:val="000000" w:themeColor="text1" w:themeTint="FF" w:themeShade="FF"/>
              </w:rPr>
              <w:t>High</w:t>
            </w:r>
          </w:p>
        </w:tc>
      </w:tr>
      <w:tr xmlns:wp14="http://schemas.microsoft.com/office/word/2010/wordml" w:rsidR="00296AB9" w:rsidTr="703578A6" w14:paraId="47DF36B0" wp14:textId="77777777">
        <w:tc>
          <w:tcPr>
            <w:tcW w:w="2085" w:type="dxa"/>
            <w:tcMar>
              <w:top w:w="100" w:type="dxa"/>
              <w:left w:w="100" w:type="dxa"/>
              <w:bottom w:w="100" w:type="dxa"/>
              <w:right w:w="100" w:type="dxa"/>
            </w:tcMar>
          </w:tcPr>
          <w:p w:rsidR="00296AB9" w:rsidP="703578A6" w:rsidRDefault="00D2078E" w14:paraId="279FD7D6" wp14:textId="77777777">
            <w:pPr>
              <w:widowControl w:val="0"/>
              <w:spacing w:before="0" w:after="0"/>
              <w:jc w:val="center"/>
              <w:rPr>
                <w:b w:val="1"/>
                <w:bCs w:val="1"/>
                <w:i w:val="1"/>
                <w:iCs w:val="1"/>
                <w:color w:val="000000"/>
              </w:rPr>
            </w:pPr>
            <w:r w:rsidRPr="703578A6" w:rsidR="00D2078E">
              <w:rPr>
                <w:b w:val="1"/>
                <w:bCs w:val="1"/>
                <w:i w:val="1"/>
                <w:iCs w:val="1"/>
                <w:color w:val="000000" w:themeColor="text1" w:themeTint="FF" w:themeShade="FF"/>
              </w:rPr>
              <w:t xml:space="preserve">Threat of </w:t>
            </w:r>
            <w:r w:rsidRPr="703578A6" w:rsidR="00D2078E">
              <w:rPr>
                <w:b w:val="1"/>
                <w:bCs w:val="1"/>
                <w:i w:val="1"/>
                <w:iCs w:val="1"/>
                <w:color w:val="000000" w:themeColor="text1" w:themeTint="FF" w:themeShade="FF"/>
              </w:rPr>
              <w:t>Substitutes</w:t>
            </w:r>
          </w:p>
        </w:tc>
        <w:tc>
          <w:tcPr>
            <w:tcW w:w="5625" w:type="dxa"/>
            <w:tcMar>
              <w:top w:w="100" w:type="dxa"/>
              <w:left w:w="100" w:type="dxa"/>
              <w:bottom w:w="100" w:type="dxa"/>
              <w:right w:w="100" w:type="dxa"/>
            </w:tcMar>
          </w:tcPr>
          <w:p w:rsidR="00296AB9" w:rsidRDefault="00D2078E" w14:paraId="57EDA4E7" wp14:textId="77777777">
            <w:pPr>
              <w:widowControl w:val="0"/>
              <w:numPr>
                <w:ilvl w:val="0"/>
                <w:numId w:val="1"/>
              </w:numPr>
              <w:spacing w:before="0" w:after="0"/>
              <w:rPr>
                <w:color w:val="000000"/>
              </w:rPr>
            </w:pPr>
            <w:r w:rsidRPr="703578A6" w:rsidR="00D2078E">
              <w:rPr>
                <w:color w:val="000000" w:themeColor="text1" w:themeTint="FF" w:themeShade="FF"/>
              </w:rPr>
              <w:t xml:space="preserve">The substitution threat for IT competition is </w:t>
            </w:r>
            <w:r w:rsidRPr="703578A6" w:rsidR="00D2078E">
              <w:rPr>
                <w:color w:val="000000" w:themeColor="text1" w:themeTint="FF" w:themeShade="FF"/>
              </w:rPr>
              <w:t>low, as their high reputation and effective services can help in developing loyalty among customers.</w:t>
            </w:r>
          </w:p>
          <w:p w:rsidR="00296AB9" w:rsidRDefault="00D2078E" w14:paraId="3A410CB3" wp14:textId="77777777">
            <w:pPr>
              <w:widowControl w:val="0"/>
              <w:numPr>
                <w:ilvl w:val="0"/>
                <w:numId w:val="1"/>
              </w:numPr>
              <w:spacing w:before="0" w:after="0"/>
              <w:rPr>
                <w:color w:val="000000"/>
              </w:rPr>
            </w:pPr>
            <w:r w:rsidRPr="703578A6" w:rsidR="00D2078E">
              <w:rPr>
                <w:color w:val="000000" w:themeColor="text1" w:themeTint="FF" w:themeShade="FF"/>
              </w:rPr>
              <w:t>However, rapid digitalisation and the adoption of the latest digital tools and technologies, such as AI, in-h</w:t>
            </w:r>
            <w:r w:rsidRPr="703578A6" w:rsidR="00D2078E">
              <w:rPr>
                <w:color w:val="000000" w:themeColor="text1" w:themeTint="FF" w:themeShade="FF"/>
              </w:rPr>
              <w:t>ouse cloud-based solutions, and automation, can lead to product substitutio</w:t>
            </w:r>
            <w:r w:rsidRPr="703578A6" w:rsidR="00D2078E">
              <w:rPr>
                <w:color w:val="000000" w:themeColor="text1" w:themeTint="FF" w:themeShade="FF"/>
              </w:rPr>
              <w:t>n (</w:t>
            </w:r>
            <w:r w:rsidRPr="703578A6" w:rsidR="00D2078E">
              <w:rPr>
                <w:color w:val="000000" w:themeColor="text1" w:themeTint="FF" w:themeShade="FF"/>
                <w:highlight w:val="white"/>
              </w:rPr>
              <w:t>Yathiraju,  2022</w:t>
            </w:r>
            <w:r w:rsidRPr="703578A6" w:rsidR="00D2078E">
              <w:rPr>
                <w:color w:val="000000" w:themeColor="text1" w:themeTint="FF" w:themeShade="FF"/>
                <w:highlight w:val="white"/>
              </w:rPr>
              <w:t>)</w:t>
            </w:r>
            <w:r w:rsidRPr="703578A6" w:rsidR="00D2078E">
              <w:rPr>
                <w:color w:val="000000" w:themeColor="text1" w:themeTint="FF" w:themeShade="FF"/>
              </w:rPr>
              <w:t xml:space="preserve">. </w:t>
            </w:r>
          </w:p>
        </w:tc>
        <w:tc>
          <w:tcPr>
            <w:tcW w:w="1650" w:type="dxa"/>
            <w:shd w:val="clear" w:color="auto" w:fill="FFFF00"/>
            <w:tcMar>
              <w:top w:w="100" w:type="dxa"/>
              <w:left w:w="100" w:type="dxa"/>
              <w:bottom w:w="100" w:type="dxa"/>
              <w:right w:w="100" w:type="dxa"/>
            </w:tcMar>
          </w:tcPr>
          <w:p w:rsidR="00296AB9" w:rsidP="703578A6" w:rsidRDefault="00D2078E" w14:paraId="34B92B97" wp14:textId="77777777">
            <w:pPr>
              <w:widowControl w:val="0"/>
              <w:spacing w:before="0" w:after="0"/>
              <w:jc w:val="center"/>
              <w:rPr>
                <w:b w:val="1"/>
                <w:bCs w:val="1"/>
                <w:i w:val="1"/>
                <w:iCs w:val="1"/>
                <w:color w:val="000000"/>
              </w:rPr>
            </w:pPr>
            <w:r w:rsidRPr="703578A6" w:rsidR="00D2078E">
              <w:rPr>
                <w:b w:val="1"/>
                <w:bCs w:val="1"/>
                <w:i w:val="1"/>
                <w:iCs w:val="1"/>
                <w:color w:val="000000" w:themeColor="text1" w:themeTint="FF" w:themeShade="FF"/>
              </w:rPr>
              <w:t>Moderate</w:t>
            </w:r>
          </w:p>
        </w:tc>
      </w:tr>
    </w:tbl>
    <w:p xmlns:wp14="http://schemas.microsoft.com/office/word/2010/wordml" w:rsidR="00296AB9" w:rsidRDefault="00D2078E" w14:paraId="139BD272" wp14:textId="77777777">
      <w:pPr>
        <w:jc w:val="center"/>
        <w:rPr>
          <w:b w:val="1"/>
          <w:bCs w:val="1"/>
          <w:color w:val="000000"/>
        </w:rPr>
      </w:pPr>
      <w:r w:rsidRPr="703578A6" w:rsidR="00D2078E">
        <w:rPr>
          <w:b w:val="1"/>
          <w:bCs w:val="1"/>
          <w:color w:val="000000" w:themeColor="text1" w:themeTint="FF" w:themeShade="FF"/>
        </w:rPr>
        <w:t xml:space="preserve">Table 1: </w:t>
      </w:r>
      <w:r w:rsidRPr="703578A6" w:rsidR="00D2078E">
        <w:rPr>
          <w:b w:val="1"/>
          <w:bCs w:val="1"/>
          <w:color w:val="000000" w:themeColor="text1" w:themeTint="FF" w:themeShade="FF"/>
        </w:rPr>
        <w:t>Porter’s</w:t>
      </w:r>
      <w:r w:rsidRPr="703578A6" w:rsidR="00D2078E">
        <w:rPr>
          <w:b w:val="1"/>
          <w:bCs w:val="1"/>
          <w:color w:val="000000" w:themeColor="text1" w:themeTint="FF" w:themeShade="FF"/>
        </w:rPr>
        <w:t xml:space="preserve"> five forces analysis of the IT sector of India</w:t>
      </w:r>
    </w:p>
    <w:p xmlns:wp14="http://schemas.microsoft.com/office/word/2010/wordml" w:rsidR="00296AB9" w:rsidP="703578A6" w:rsidRDefault="00D2078E" w14:paraId="2A8ABA34" wp14:textId="77777777">
      <w:pPr>
        <w:jc w:val="center"/>
        <w:rPr>
          <w:color w:val="000000" w:themeColor="text1" w:themeTint="FF" w:themeShade="FF"/>
        </w:rPr>
      </w:pPr>
      <w:r w:rsidRPr="703578A6" w:rsidR="00D2078E">
        <w:rPr>
          <w:b w:val="1"/>
          <w:bCs w:val="1"/>
          <w:color w:val="000000" w:themeColor="text1" w:themeTint="FF" w:themeShade="FF"/>
        </w:rPr>
        <w:t>Source: (Self-created)</w:t>
      </w:r>
      <w:r w:rsidRPr="703578A6" w:rsidR="00D2078E">
        <w:rPr>
          <w:color w:val="000000" w:themeColor="text1" w:themeTint="FF" w:themeShade="FF"/>
        </w:rPr>
        <w:t xml:space="preserve"> </w:t>
      </w:r>
    </w:p>
    <w:p xmlns:wp14="http://schemas.microsoft.com/office/word/2010/wordml" w:rsidR="00296AB9" w:rsidP="703578A6" w:rsidRDefault="00D2078E" w14:paraId="3294EEC5" wp14:textId="77777777">
      <w:pPr>
        <w:pStyle w:val="Heading4"/>
        <w:rPr>
          <w:color w:val="000000" w:themeColor="text1" w:themeTint="FF" w:themeShade="FF"/>
        </w:rPr>
      </w:pPr>
      <w:bookmarkStart w:name="_heading=h.p0gya9inbdz8" w:id="13"/>
      <w:bookmarkEnd w:id="13"/>
      <w:r w:rsidRPr="703578A6" w:rsidR="00D2078E">
        <w:rPr>
          <w:color w:val="000000" w:themeColor="text1" w:themeTint="FF" w:themeShade="FF"/>
        </w:rPr>
        <w:t>4.2.4 SWOT on chosen IT MNC</w:t>
      </w:r>
    </w:p>
    <w:tbl>
      <w:tblPr>
        <w:tblStyle w:val="aa"/>
        <w:tblW w:w="9360" w:type="dxa"/>
        <w:tblInd w:w="-1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680"/>
        <w:gridCol w:w="4680"/>
      </w:tblGrid>
      <w:tr xmlns:wp14="http://schemas.microsoft.com/office/word/2010/wordml" w:rsidR="00296AB9" w:rsidTr="703578A6" w14:paraId="79415A5A" wp14:textId="77777777">
        <w:tc>
          <w:tcPr>
            <w:tcW w:w="4680" w:type="dxa"/>
            <w:tcMar>
              <w:top w:w="100" w:type="dxa"/>
              <w:left w:w="100" w:type="dxa"/>
              <w:bottom w:w="100" w:type="dxa"/>
              <w:right w:w="100" w:type="dxa"/>
            </w:tcMar>
          </w:tcPr>
          <w:p w:rsidR="00296AB9" w:rsidRDefault="00D2078E" w14:paraId="00BDCFE5" wp14:textId="77777777">
            <w:pPr>
              <w:widowControl w:val="0"/>
              <w:spacing w:before="0" w:after="0"/>
              <w:jc w:val="center"/>
              <w:rPr>
                <w:b w:val="1"/>
                <w:bCs w:val="1"/>
                <w:color w:val="000000"/>
              </w:rPr>
            </w:pPr>
            <w:r w:rsidRPr="703578A6" w:rsidR="00D2078E">
              <w:rPr>
                <w:b w:val="1"/>
                <w:bCs w:val="1"/>
                <w:color w:val="000000" w:themeColor="text1" w:themeTint="FF" w:themeShade="FF"/>
              </w:rPr>
              <w:t xml:space="preserve">Strengths </w:t>
            </w:r>
          </w:p>
        </w:tc>
        <w:tc>
          <w:tcPr>
            <w:tcW w:w="4680" w:type="dxa"/>
            <w:tcMar>
              <w:top w:w="100" w:type="dxa"/>
              <w:left w:w="100" w:type="dxa"/>
              <w:bottom w:w="100" w:type="dxa"/>
              <w:right w:w="100" w:type="dxa"/>
            </w:tcMar>
          </w:tcPr>
          <w:p w:rsidR="00296AB9" w:rsidRDefault="00D2078E" w14:paraId="4149CA96" wp14:textId="77777777">
            <w:pPr>
              <w:widowControl w:val="0"/>
              <w:spacing w:before="0" w:after="0"/>
              <w:jc w:val="center"/>
              <w:rPr>
                <w:b w:val="1"/>
                <w:bCs w:val="1"/>
                <w:color w:val="000000"/>
              </w:rPr>
            </w:pPr>
            <w:r w:rsidRPr="703578A6" w:rsidR="00D2078E">
              <w:rPr>
                <w:b w:val="1"/>
                <w:bCs w:val="1"/>
                <w:color w:val="000000" w:themeColor="text1" w:themeTint="FF" w:themeShade="FF"/>
              </w:rPr>
              <w:t>Weaknesses</w:t>
            </w:r>
          </w:p>
        </w:tc>
      </w:tr>
      <w:tr xmlns:wp14="http://schemas.microsoft.com/office/word/2010/wordml" w:rsidR="00296AB9" w:rsidTr="703578A6" w14:paraId="529042F0" wp14:textId="77777777">
        <w:trPr>
          <w:trHeight w:val="608"/>
        </w:trPr>
        <w:tc>
          <w:tcPr>
            <w:tcW w:w="4680" w:type="dxa"/>
            <w:tcMar>
              <w:top w:w="100" w:type="dxa"/>
              <w:left w:w="100" w:type="dxa"/>
              <w:bottom w:w="100" w:type="dxa"/>
              <w:right w:w="100" w:type="dxa"/>
            </w:tcMar>
          </w:tcPr>
          <w:p w:rsidR="00296AB9" w:rsidRDefault="00D2078E" w14:paraId="37CBC818" wp14:textId="77777777">
            <w:pPr>
              <w:widowControl w:val="0"/>
              <w:numPr>
                <w:ilvl w:val="0"/>
                <w:numId w:val="6"/>
              </w:numPr>
              <w:spacing w:before="0" w:after="0"/>
              <w:rPr>
                <w:color w:val="000000"/>
              </w:rPr>
            </w:pPr>
            <w:r w:rsidRPr="703578A6" w:rsidR="00D2078E">
              <w:rPr>
                <w:color w:val="000000" w:themeColor="text1" w:themeTint="FF" w:themeShade="FF"/>
              </w:rPr>
              <w:t xml:space="preserve">Accenture has a high brand awareness level and reputation in the Indian market. </w:t>
            </w:r>
          </w:p>
          <w:p w:rsidR="00296AB9" w:rsidRDefault="00D2078E" w14:paraId="21C45E1E" wp14:textId="77777777">
            <w:pPr>
              <w:widowControl w:val="0"/>
              <w:numPr>
                <w:ilvl w:val="0"/>
                <w:numId w:val="6"/>
              </w:numPr>
              <w:spacing w:before="0" w:after="0"/>
              <w:rPr>
                <w:color w:val="000000"/>
              </w:rPr>
            </w:pPr>
            <w:r w:rsidRPr="703578A6" w:rsidR="00D2078E">
              <w:rPr>
                <w:color w:val="000000" w:themeColor="text1" w:themeTint="FF" w:themeShade="FF"/>
              </w:rPr>
              <w:t xml:space="preserve">Accenture has more than 3 lakh skilled workers in India and over 7.7 lakh globally in 2024 </w:t>
            </w:r>
            <w:r w:rsidRPr="703578A6" w:rsidR="00D2078E">
              <w:rPr>
                <w:color w:val="000000" w:themeColor="text1" w:themeTint="FF" w:themeShade="FF"/>
              </w:rPr>
              <w:t>(The Times of India, 2024).</w:t>
            </w:r>
          </w:p>
          <w:p w:rsidR="00296AB9" w:rsidRDefault="00D2078E" w14:paraId="48450695" wp14:textId="77777777">
            <w:pPr>
              <w:widowControl w:val="0"/>
              <w:numPr>
                <w:ilvl w:val="0"/>
                <w:numId w:val="6"/>
              </w:numPr>
              <w:spacing w:before="0" w:after="0"/>
              <w:rPr>
                <w:color w:val="000000"/>
              </w:rPr>
            </w:pPr>
            <w:r w:rsidRPr="703578A6" w:rsidR="00D2078E">
              <w:rPr>
                <w:color w:val="000000" w:themeColor="text1" w:themeTint="FF" w:themeShade="FF"/>
              </w:rPr>
              <w:t>The annual revenue of Accenture India has increased by 1</w:t>
            </w:r>
            <w:r w:rsidRPr="703578A6" w:rsidR="00D2078E">
              <w:rPr>
                <w:color w:val="000000" w:themeColor="text1" w:themeTint="FF" w:themeShade="FF"/>
              </w:rPr>
              <w:t xml:space="preserve">25% in 2025, reaching 74,667 crore INR in 2025 from 33,305 crore INR in 2024 </w:t>
            </w:r>
            <w:r w:rsidRPr="703578A6" w:rsidR="00D2078E">
              <w:rPr>
                <w:color w:val="000000" w:themeColor="text1" w:themeTint="FF" w:themeShade="FF"/>
              </w:rPr>
              <w:t>(Phadnis, 2026).</w:t>
            </w:r>
          </w:p>
        </w:tc>
        <w:tc>
          <w:tcPr>
            <w:tcW w:w="4680" w:type="dxa"/>
            <w:tcMar>
              <w:top w:w="100" w:type="dxa"/>
              <w:left w:w="100" w:type="dxa"/>
              <w:bottom w:w="100" w:type="dxa"/>
              <w:right w:w="100" w:type="dxa"/>
            </w:tcMar>
          </w:tcPr>
          <w:p w:rsidR="00296AB9" w:rsidRDefault="00D2078E" w14:paraId="5924A1A3" wp14:textId="77777777">
            <w:pPr>
              <w:widowControl w:val="0"/>
              <w:numPr>
                <w:ilvl w:val="0"/>
                <w:numId w:val="6"/>
              </w:numPr>
              <w:spacing w:before="0" w:after="0"/>
              <w:rPr>
                <w:color w:val="000000"/>
              </w:rPr>
            </w:pPr>
            <w:r w:rsidRPr="703578A6" w:rsidR="00D2078E">
              <w:rPr>
                <w:color w:val="000000" w:themeColor="text1" w:themeTint="FF" w:themeShade="FF"/>
              </w:rPr>
              <w:t xml:space="preserve">One of the most effective weaknesses associated with Accenture in the Indian market is its employee layoff practices </w:t>
            </w:r>
            <w:r w:rsidRPr="703578A6" w:rsidR="00D2078E">
              <w:rPr>
                <w:color w:val="000000" w:themeColor="text1" w:themeTint="FF" w:themeShade="FF"/>
              </w:rPr>
              <w:t>(The Times of India, 2025).</w:t>
            </w:r>
          </w:p>
          <w:p w:rsidR="00296AB9" w:rsidRDefault="00D2078E" w14:paraId="06C2C08A" wp14:textId="77777777">
            <w:pPr>
              <w:widowControl w:val="0"/>
              <w:numPr>
                <w:ilvl w:val="0"/>
                <w:numId w:val="6"/>
              </w:numPr>
              <w:spacing w:before="0" w:after="0"/>
              <w:rPr>
                <w:color w:val="000000"/>
              </w:rPr>
            </w:pPr>
            <w:r w:rsidRPr="703578A6" w:rsidR="00D2078E">
              <w:rPr>
                <w:color w:val="000000" w:themeColor="text1" w:themeTint="FF" w:themeShade="FF"/>
              </w:rPr>
              <w:t>Accenture India h</w:t>
            </w:r>
            <w:r w:rsidRPr="703578A6" w:rsidR="00D2078E">
              <w:rPr>
                <w:color w:val="000000" w:themeColor="text1" w:themeTint="FF" w:themeShade="FF"/>
              </w:rPr>
              <w:t xml:space="preserve">as reduced its workforce to 779000 in 2025, which was 791000 three months </w:t>
            </w:r>
            <w:r w:rsidRPr="703578A6" w:rsidR="00D2078E">
              <w:rPr>
                <w:color w:val="000000" w:themeColor="text1" w:themeTint="FF" w:themeShade="FF"/>
              </w:rPr>
              <w:t>(The Times of India, 2025).</w:t>
            </w:r>
          </w:p>
          <w:p w:rsidR="00296AB9" w:rsidRDefault="00D2078E" w14:paraId="352F6CB7" wp14:textId="77777777">
            <w:pPr>
              <w:widowControl w:val="0"/>
              <w:numPr>
                <w:ilvl w:val="0"/>
                <w:numId w:val="6"/>
              </w:numPr>
              <w:spacing w:before="0" w:after="0"/>
              <w:rPr>
                <w:color w:val="000000"/>
              </w:rPr>
            </w:pPr>
            <w:r w:rsidRPr="703578A6" w:rsidR="00D2078E">
              <w:rPr>
                <w:color w:val="000000" w:themeColor="text1" w:themeTint="FF" w:themeShade="FF"/>
              </w:rPr>
              <w:t xml:space="preserve">Accenture India faces issues in understanding the different views of its stakeholders </w:t>
            </w:r>
            <w:r w:rsidRPr="703578A6" w:rsidR="00D2078E">
              <w:rPr>
                <w:color w:val="000000" w:themeColor="text1" w:themeTint="FF" w:themeShade="FF"/>
              </w:rPr>
              <w:t>(Accenture, 2026).</w:t>
            </w:r>
          </w:p>
        </w:tc>
      </w:tr>
      <w:tr xmlns:wp14="http://schemas.microsoft.com/office/word/2010/wordml" w:rsidR="00296AB9" w:rsidTr="703578A6" w14:paraId="08E467A0" wp14:textId="77777777">
        <w:tc>
          <w:tcPr>
            <w:tcW w:w="4680" w:type="dxa"/>
            <w:tcMar>
              <w:top w:w="100" w:type="dxa"/>
              <w:left w:w="100" w:type="dxa"/>
              <w:bottom w:w="100" w:type="dxa"/>
              <w:right w:w="100" w:type="dxa"/>
            </w:tcMar>
          </w:tcPr>
          <w:p w:rsidR="00296AB9" w:rsidRDefault="00D2078E" w14:paraId="3E02DC70" wp14:textId="77777777">
            <w:pPr>
              <w:widowControl w:val="0"/>
              <w:spacing w:before="0" w:after="0"/>
              <w:jc w:val="center"/>
              <w:rPr>
                <w:b w:val="1"/>
                <w:bCs w:val="1"/>
                <w:color w:val="000000"/>
              </w:rPr>
            </w:pPr>
            <w:r w:rsidRPr="703578A6" w:rsidR="00D2078E">
              <w:rPr>
                <w:b w:val="1"/>
                <w:bCs w:val="1"/>
                <w:color w:val="000000" w:themeColor="text1" w:themeTint="FF" w:themeShade="FF"/>
              </w:rPr>
              <w:t xml:space="preserve">Opportunities </w:t>
            </w:r>
          </w:p>
        </w:tc>
        <w:tc>
          <w:tcPr>
            <w:tcW w:w="4680" w:type="dxa"/>
            <w:tcMar>
              <w:top w:w="100" w:type="dxa"/>
              <w:left w:w="100" w:type="dxa"/>
              <w:bottom w:w="100" w:type="dxa"/>
              <w:right w:w="100" w:type="dxa"/>
            </w:tcMar>
          </w:tcPr>
          <w:p w:rsidR="00296AB9" w:rsidRDefault="00D2078E" w14:paraId="413022BA" wp14:textId="77777777">
            <w:pPr>
              <w:widowControl w:val="0"/>
              <w:spacing w:before="0" w:after="0"/>
              <w:jc w:val="center"/>
              <w:rPr>
                <w:b w:val="1"/>
                <w:bCs w:val="1"/>
                <w:color w:val="000000"/>
              </w:rPr>
            </w:pPr>
            <w:r w:rsidRPr="703578A6" w:rsidR="00D2078E">
              <w:rPr>
                <w:b w:val="1"/>
                <w:bCs w:val="1"/>
                <w:color w:val="000000" w:themeColor="text1" w:themeTint="FF" w:themeShade="FF"/>
              </w:rPr>
              <w:t>Threats</w:t>
            </w:r>
          </w:p>
        </w:tc>
      </w:tr>
      <w:tr xmlns:wp14="http://schemas.microsoft.com/office/word/2010/wordml" w:rsidR="00296AB9" w:rsidTr="703578A6" w14:paraId="749A5F24" wp14:textId="77777777">
        <w:tc>
          <w:tcPr>
            <w:tcW w:w="4680" w:type="dxa"/>
            <w:tcMar>
              <w:top w:w="100" w:type="dxa"/>
              <w:left w:w="100" w:type="dxa"/>
              <w:bottom w:w="100" w:type="dxa"/>
              <w:right w:w="100" w:type="dxa"/>
            </w:tcMar>
          </w:tcPr>
          <w:p w:rsidR="00296AB9" w:rsidRDefault="00D2078E" w14:paraId="0ACDB2BF" wp14:textId="77777777">
            <w:pPr>
              <w:widowControl w:val="0"/>
              <w:numPr>
                <w:ilvl w:val="0"/>
                <w:numId w:val="3"/>
              </w:numPr>
              <w:spacing w:before="0" w:after="0"/>
              <w:rPr>
                <w:color w:val="000000"/>
              </w:rPr>
            </w:pPr>
            <w:r w:rsidRPr="703578A6" w:rsidR="00D2078E">
              <w:rPr>
                <w:color w:val="000000" w:themeColor="text1" w:themeTint="FF" w:themeShade="FF"/>
              </w:rPr>
              <w:t xml:space="preserve">Accenture can focus on adopting </w:t>
            </w:r>
            <w:r w:rsidRPr="703578A6" w:rsidR="00D2078E">
              <w:rPr>
                <w:color w:val="000000" w:themeColor="text1" w:themeTint="FF" w:themeShade="FF"/>
              </w:rPr>
              <w:t>new technologies</w:t>
            </w:r>
            <w:r w:rsidRPr="703578A6" w:rsidR="00D2078E">
              <w:rPr>
                <w:color w:val="000000" w:themeColor="text1" w:themeTint="FF" w:themeShade="FF"/>
              </w:rPr>
              <w:t>, such as AI and IoT, to improve its operations in India.</w:t>
            </w:r>
          </w:p>
          <w:p w:rsidR="00296AB9" w:rsidRDefault="00D2078E" w14:paraId="767D461C" wp14:textId="77777777">
            <w:pPr>
              <w:widowControl w:val="0"/>
              <w:numPr>
                <w:ilvl w:val="0"/>
                <w:numId w:val="3"/>
              </w:numPr>
              <w:spacing w:before="0" w:after="0"/>
              <w:rPr>
                <w:color w:val="000000"/>
              </w:rPr>
            </w:pPr>
            <w:r w:rsidRPr="703578A6" w:rsidR="00D2078E">
              <w:rPr>
                <w:color w:val="000000" w:themeColor="text1" w:themeTint="FF" w:themeShade="FF"/>
              </w:rPr>
              <w:t xml:space="preserve">The company can collaborate with technology partners in India </w:t>
            </w:r>
            <w:r w:rsidRPr="703578A6" w:rsidR="00D2078E">
              <w:rPr>
                <w:color w:val="000000" w:themeColor="text1" w:themeTint="FF" w:themeShade="FF"/>
              </w:rPr>
              <w:t>in order to</w:t>
            </w:r>
            <w:r w:rsidRPr="703578A6" w:rsidR="00D2078E">
              <w:rPr>
                <w:color w:val="000000" w:themeColor="text1" w:themeTint="FF" w:themeShade="FF"/>
              </w:rPr>
              <w:t xml:space="preserve"> foster innovations within its workplaces. </w:t>
            </w:r>
          </w:p>
          <w:p w:rsidR="00296AB9" w:rsidRDefault="00D2078E" w14:paraId="12BDEA61" wp14:textId="77777777">
            <w:pPr>
              <w:widowControl w:val="0"/>
              <w:numPr>
                <w:ilvl w:val="0"/>
                <w:numId w:val="3"/>
              </w:numPr>
              <w:spacing w:before="0" w:after="0"/>
              <w:rPr>
                <w:color w:val="000000"/>
              </w:rPr>
            </w:pPr>
            <w:r w:rsidRPr="703578A6" w:rsidR="00D2078E">
              <w:rPr>
                <w:color w:val="000000" w:themeColor="text1" w:themeTint="FF" w:themeShade="FF"/>
              </w:rPr>
              <w:t xml:space="preserve">The company can focus on mergers </w:t>
            </w:r>
            <w:r w:rsidRPr="703578A6" w:rsidR="00D2078E">
              <w:rPr>
                <w:color w:val="000000" w:themeColor="text1" w:themeTint="FF" w:themeShade="FF"/>
              </w:rPr>
              <w:t>&amp; acquisitions in India to enhance its performance</w:t>
            </w:r>
            <w:r w:rsidRPr="703578A6" w:rsidR="00D2078E">
              <w:rPr>
                <w:color w:val="000000" w:themeColor="text1" w:themeTint="FF" w:themeShade="FF"/>
              </w:rPr>
              <w:t xml:space="preserve">.  </w:t>
            </w:r>
          </w:p>
        </w:tc>
        <w:tc>
          <w:tcPr>
            <w:tcW w:w="4680" w:type="dxa"/>
            <w:tcMar>
              <w:top w:w="100" w:type="dxa"/>
              <w:left w:w="100" w:type="dxa"/>
              <w:bottom w:w="100" w:type="dxa"/>
              <w:right w:w="100" w:type="dxa"/>
            </w:tcMar>
          </w:tcPr>
          <w:p w:rsidR="00296AB9" w:rsidRDefault="00D2078E" w14:paraId="2B20F698" wp14:textId="77777777">
            <w:pPr>
              <w:widowControl w:val="0"/>
              <w:numPr>
                <w:ilvl w:val="0"/>
                <w:numId w:val="3"/>
              </w:numPr>
              <w:spacing w:before="0" w:after="0"/>
              <w:rPr>
                <w:color w:val="000000"/>
              </w:rPr>
            </w:pPr>
            <w:r w:rsidRPr="703578A6" w:rsidR="00D2078E">
              <w:rPr>
                <w:color w:val="000000" w:themeColor="text1" w:themeTint="FF" w:themeShade="FF"/>
              </w:rPr>
              <w:t>Accenture can face intensive competition from existing IT organisations in India.</w:t>
            </w:r>
          </w:p>
          <w:p w:rsidR="00296AB9" w:rsidRDefault="00D2078E" w14:paraId="62A18D15" wp14:textId="77777777">
            <w:pPr>
              <w:widowControl w:val="0"/>
              <w:numPr>
                <w:ilvl w:val="0"/>
                <w:numId w:val="3"/>
              </w:numPr>
              <w:spacing w:before="0" w:after="0"/>
              <w:rPr>
                <w:color w:val="000000"/>
              </w:rPr>
            </w:pPr>
            <w:r w:rsidRPr="703578A6" w:rsidR="00D2078E">
              <w:rPr>
                <w:color w:val="000000" w:themeColor="text1" w:themeTint="FF" w:themeShade="FF"/>
              </w:rPr>
              <w:t>The company can struggle in engaging its stakeholders with its business operations due to a poor understanding of stakeh</w:t>
            </w:r>
            <w:r w:rsidRPr="703578A6" w:rsidR="00D2078E">
              <w:rPr>
                <w:color w:val="000000" w:themeColor="text1" w:themeTint="FF" w:themeShade="FF"/>
              </w:rPr>
              <w:t xml:space="preserve">olders’ perspectives </w:t>
            </w:r>
            <w:r w:rsidRPr="703578A6" w:rsidR="00D2078E">
              <w:rPr>
                <w:color w:val="000000" w:themeColor="text1" w:themeTint="FF" w:themeShade="FF"/>
              </w:rPr>
              <w:t>(</w:t>
            </w:r>
            <w:r w:rsidRPr="703578A6" w:rsidR="00D2078E">
              <w:rPr>
                <w:color w:val="000000" w:themeColor="text1" w:themeTint="FF" w:themeShade="FF"/>
                <w:highlight w:val="white"/>
              </w:rPr>
              <w:t xml:space="preserve">Olawale, and </w:t>
            </w:r>
            <w:r w:rsidRPr="703578A6" w:rsidR="00D2078E">
              <w:rPr>
                <w:color w:val="000000" w:themeColor="text1" w:themeTint="FF" w:themeShade="FF"/>
                <w:highlight w:val="white"/>
              </w:rPr>
              <w:t>Akinbola</w:t>
            </w:r>
            <w:r w:rsidRPr="703578A6" w:rsidR="00D2078E">
              <w:rPr>
                <w:color w:val="000000" w:themeColor="text1" w:themeTint="FF" w:themeShade="FF"/>
                <w:highlight w:val="white"/>
              </w:rPr>
              <w:t>, 2024)</w:t>
            </w:r>
            <w:r w:rsidRPr="703578A6" w:rsidR="00D2078E">
              <w:rPr>
                <w:color w:val="000000" w:themeColor="text1" w:themeTint="FF" w:themeShade="FF"/>
              </w:rPr>
              <w:t xml:space="preserve">. </w:t>
            </w:r>
          </w:p>
          <w:p w:rsidR="00296AB9" w:rsidRDefault="00D2078E" w14:paraId="3504389A" wp14:textId="77777777">
            <w:pPr>
              <w:widowControl w:val="0"/>
              <w:numPr>
                <w:ilvl w:val="0"/>
                <w:numId w:val="3"/>
              </w:numPr>
              <w:spacing w:before="0" w:after="0"/>
              <w:rPr>
                <w:color w:val="000000"/>
              </w:rPr>
            </w:pPr>
            <w:r w:rsidRPr="703578A6" w:rsidR="00D2078E">
              <w:rPr>
                <w:color w:val="000000" w:themeColor="text1" w:themeTint="FF" w:themeShade="FF"/>
              </w:rPr>
              <w:t xml:space="preserve">An inconsistent workforce can reduce its productivity and performance in India. </w:t>
            </w:r>
          </w:p>
        </w:tc>
      </w:tr>
    </w:tbl>
    <w:p xmlns:wp14="http://schemas.microsoft.com/office/word/2010/wordml" w:rsidR="00296AB9" w:rsidRDefault="00D2078E" w14:paraId="31F45057" wp14:textId="77777777">
      <w:pPr>
        <w:jc w:val="center"/>
        <w:rPr>
          <w:b/>
          <w:bCs/>
          <w:color w:val="000000"/>
        </w:rPr>
      </w:pPr>
      <w:r>
        <w:rPr>
          <w:b/>
          <w:bCs/>
          <w:color w:val="000000"/>
        </w:rPr>
        <w:t>Table 2: SWOT analysis of Accenture</w:t>
      </w:r>
    </w:p>
    <w:p xmlns:wp14="http://schemas.microsoft.com/office/word/2010/wordml" w:rsidR="00296AB9" w:rsidRDefault="00D2078E" w14:paraId="5E0AA65D" wp14:textId="77777777">
      <w:pPr>
        <w:jc w:val="center"/>
      </w:pPr>
      <w:r>
        <w:rPr>
          <w:b/>
          <w:bCs/>
          <w:color w:val="000000"/>
        </w:rPr>
        <w:t>Source: (Self-created)</w:t>
      </w:r>
    </w:p>
    <w:p xmlns:wp14="http://schemas.microsoft.com/office/word/2010/wordml" w:rsidR="00296AB9" w:rsidRDefault="00D2078E" w14:paraId="7728C133" wp14:textId="77777777">
      <w:pPr>
        <w:pStyle w:val="Heading4"/>
      </w:pPr>
      <w:bookmarkStart w:name="_heading=h.18xvrpwmrzil" w:colFirst="0" w:colLast="0" w:id="14"/>
      <w:bookmarkEnd w:id="14"/>
      <w:r>
        <w:t>4.2.5 BCG matrix on relative IT market share &amp; growth for chos</w:t>
      </w:r>
      <w:r>
        <w:t>en MNC in India</w:t>
      </w:r>
    </w:p>
    <w:p xmlns:wp14="http://schemas.microsoft.com/office/word/2010/wordml" w:rsidR="00296AB9" w:rsidRDefault="00D2078E" w14:paraId="44EAFD9C" wp14:textId="77777777">
      <w:pPr>
        <w:jc w:val="center"/>
        <w:rPr>
          <w:b/>
          <w:bCs/>
          <w:color w:val="000000"/>
        </w:rPr>
      </w:pPr>
      <w:r>
        <w:rPr>
          <w:b/>
          <w:bCs/>
          <w:noProof/>
          <w:color w:val="000000"/>
        </w:rPr>
        <w:drawing>
          <wp:inline xmlns:wp14="http://schemas.microsoft.com/office/word/2010/wordprocessingDrawing" distT="114300" distB="114300" distL="114300" distR="114300" wp14:anchorId="64D2F8BD" wp14:editId="7777777">
            <wp:extent cx="5467350" cy="3524250"/>
            <wp:effectExtent l="0" t="0" r="0" b="0"/>
            <wp:docPr id="4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a:stretch>
                      <a:fillRect/>
                    </a:stretch>
                  </pic:blipFill>
                  <pic:spPr>
                    <a:xfrm>
                      <a:off x="0" y="0"/>
                      <a:ext cx="5467350" cy="3524250"/>
                    </a:xfrm>
                    <a:prstGeom prst="rect">
                      <a:avLst/>
                    </a:prstGeom>
                    <a:ln/>
                  </pic:spPr>
                </pic:pic>
              </a:graphicData>
            </a:graphic>
          </wp:inline>
        </w:drawing>
      </w:r>
    </w:p>
    <w:p xmlns:wp14="http://schemas.microsoft.com/office/word/2010/wordml" w:rsidR="00296AB9" w:rsidRDefault="00D2078E" w14:paraId="7738CF21" wp14:textId="77777777">
      <w:pPr>
        <w:jc w:val="center"/>
        <w:rPr>
          <w:b/>
          <w:bCs/>
          <w:color w:val="000000"/>
        </w:rPr>
      </w:pPr>
      <w:r>
        <w:rPr>
          <w:b/>
          <w:bCs/>
          <w:color w:val="000000"/>
        </w:rPr>
        <w:t>Figure 8: BCG Matrix</w:t>
      </w:r>
    </w:p>
    <w:p xmlns:wp14="http://schemas.microsoft.com/office/word/2010/wordml" w:rsidR="00296AB9" w:rsidRDefault="00D2078E" w14:paraId="53024D8F" wp14:textId="77777777">
      <w:pPr>
        <w:jc w:val="center"/>
        <w:rPr>
          <w:b/>
          <w:bCs/>
          <w:color w:val="000000"/>
        </w:rPr>
      </w:pPr>
      <w:r>
        <w:rPr>
          <w:b/>
          <w:bCs/>
          <w:color w:val="000000"/>
        </w:rPr>
        <w:t>Source: (BCG, 2025)</w:t>
      </w:r>
    </w:p>
    <w:p xmlns:wp14="http://schemas.microsoft.com/office/word/2010/wordml" w:rsidR="00296AB9" w:rsidRDefault="00D2078E" w14:paraId="5803B455" wp14:textId="77777777">
      <w:pPr>
        <w:rPr>
          <w:color w:val="000000"/>
        </w:rPr>
      </w:pPr>
      <w:r w:rsidRPr="703578A6" w:rsidR="00D2078E">
        <w:rPr>
          <w:color w:val="000000" w:themeColor="text1" w:themeTint="FF" w:themeShade="FF"/>
        </w:rPr>
        <w:t>The BCG matrix helps to analyse the product portfolio</w:t>
      </w:r>
      <w:r w:rsidRPr="703578A6" w:rsidR="00D2078E">
        <w:rPr>
          <w:color w:val="000000" w:themeColor="text1" w:themeTint="FF" w:themeShade="FF"/>
        </w:rPr>
        <w:t xml:space="preserve"> of businesses by considering the market growth rate and market share of products </w:t>
      </w:r>
      <w:r w:rsidRPr="703578A6" w:rsidR="00D2078E">
        <w:rPr>
          <w:color w:val="000000" w:themeColor="text1" w:themeTint="FF" w:themeShade="FF"/>
        </w:rPr>
        <w:t>(BCG, 2025)</w:t>
      </w:r>
      <w:r w:rsidRPr="703578A6" w:rsidR="00D2078E">
        <w:rPr>
          <w:color w:val="000000" w:themeColor="text1" w:themeTint="FF" w:themeShade="FF"/>
        </w:rPr>
        <w:t>. It includes four quadrants, such as stars, questi</w:t>
      </w:r>
      <w:r w:rsidRPr="703578A6" w:rsidR="00D2078E">
        <w:rPr>
          <w:color w:val="000000" w:themeColor="text1" w:themeTint="FF" w:themeShade="FF"/>
        </w:rPr>
        <w:t xml:space="preserve">on marks, </w:t>
      </w:r>
      <w:r w:rsidRPr="703578A6" w:rsidR="00D2078E">
        <w:rPr>
          <w:color w:val="000000" w:themeColor="text1" w:themeTint="FF" w:themeShade="FF"/>
        </w:rPr>
        <w:t>cash cows</w:t>
      </w:r>
      <w:r w:rsidRPr="703578A6" w:rsidR="00D2078E">
        <w:rPr>
          <w:color w:val="000000" w:themeColor="text1" w:themeTint="FF" w:themeShade="FF"/>
        </w:rPr>
        <w:t>, and dogs, which help to categorise the products of businesses. The BCG matrix of Accenture in the Indian IT market is illustrated below.</w:t>
      </w:r>
    </w:p>
    <w:p xmlns:wp14="http://schemas.microsoft.com/office/word/2010/wordml" w:rsidR="00296AB9" w:rsidRDefault="00D2078E" w14:paraId="6B5BA87D" wp14:textId="77777777">
      <w:pPr>
        <w:rPr>
          <w:color w:val="000000"/>
        </w:rPr>
      </w:pPr>
      <w:r w:rsidRPr="703578A6" w:rsidR="00D2078E">
        <w:rPr>
          <w:b w:val="1"/>
          <w:bCs w:val="1"/>
          <w:i w:val="1"/>
          <w:iCs w:val="1"/>
          <w:color w:val="000000" w:themeColor="text1" w:themeTint="FF" w:themeShade="FF"/>
        </w:rPr>
        <w:t>Cash cows</w:t>
      </w:r>
      <w:r w:rsidRPr="703578A6" w:rsidR="00D2078E">
        <w:rPr>
          <w:color w:val="000000" w:themeColor="text1" w:themeTint="FF" w:themeShade="FF"/>
        </w:rPr>
        <w:t xml:space="preserve">: This quadrant of the framework highlights the products of firms with a low growth rate </w:t>
      </w:r>
      <w:r w:rsidRPr="703578A6" w:rsidR="00D2078E">
        <w:rPr>
          <w:color w:val="000000" w:themeColor="text1" w:themeTint="FF" w:themeShade="FF"/>
        </w:rPr>
        <w:t xml:space="preserve">and a high market share. The IT outsourcing and application management services, along with the managed services of Accenture, have a low growth rate in the Indian market, with a high market share, which helps the company to gain the required cash flow to </w:t>
      </w:r>
      <w:r w:rsidRPr="703578A6" w:rsidR="00D2078E">
        <w:rPr>
          <w:color w:val="000000" w:themeColor="text1" w:themeTint="FF" w:themeShade="FF"/>
        </w:rPr>
        <w:t xml:space="preserve">reinvest in its operations </w:t>
      </w:r>
      <w:r w:rsidRPr="703578A6" w:rsidR="00D2078E">
        <w:rPr>
          <w:color w:val="000000" w:themeColor="text1" w:themeTint="FF" w:themeShade="FF"/>
        </w:rPr>
        <w:t>(</w:t>
      </w:r>
      <w:r w:rsidRPr="703578A6" w:rsidR="00D2078E">
        <w:rPr>
          <w:color w:val="000000" w:themeColor="text1" w:themeTint="FF" w:themeShade="FF"/>
          <w:highlight w:val="white"/>
        </w:rPr>
        <w:t>Shreyash Mangale 2026).</w:t>
      </w:r>
    </w:p>
    <w:p xmlns:wp14="http://schemas.microsoft.com/office/word/2010/wordml" w:rsidR="00296AB9" w:rsidRDefault="00D2078E" w14:paraId="137C4F54" wp14:textId="77777777">
      <w:pPr>
        <w:rPr>
          <w:color w:val="000000"/>
        </w:rPr>
      </w:pPr>
      <w:r w:rsidRPr="703578A6" w:rsidR="00D2078E">
        <w:rPr>
          <w:b w:val="1"/>
          <w:bCs w:val="1"/>
          <w:i w:val="1"/>
          <w:iCs w:val="1"/>
          <w:color w:val="000000" w:themeColor="text1" w:themeTint="FF" w:themeShade="FF"/>
        </w:rPr>
        <w:t>Stars</w:t>
      </w:r>
      <w:r w:rsidRPr="703578A6" w:rsidR="00D2078E">
        <w:rPr>
          <w:color w:val="000000" w:themeColor="text1" w:themeTint="FF" w:themeShade="FF"/>
        </w:rPr>
        <w:t xml:space="preserve">: Products in this category have high market shares and growth rates. Cloud Services and Generative AI are the primary products which are stars for Accenture in India. Based on the report of </w:t>
      </w:r>
      <w:r w:rsidRPr="703578A6" w:rsidR="00D2078E">
        <w:rPr>
          <w:color w:val="000000" w:themeColor="text1" w:themeTint="FF" w:themeShade="FF"/>
        </w:rPr>
        <w:t>IDC (202</w:t>
      </w:r>
      <w:r w:rsidRPr="703578A6" w:rsidR="00D2078E">
        <w:rPr>
          <w:color w:val="000000" w:themeColor="text1" w:themeTint="FF" w:themeShade="FF"/>
        </w:rPr>
        <w:t>5),</w:t>
      </w:r>
      <w:r w:rsidRPr="703578A6" w:rsidR="00D2078E">
        <w:rPr>
          <w:color w:val="000000" w:themeColor="text1" w:themeTint="FF" w:themeShade="FF"/>
        </w:rPr>
        <w:t xml:space="preserve"> it can be determined that the Cloud Service market of India increased to $10.9 billion in 2024, which is also projected to reach $30.4 billion by the end of 2029, with an annual growth rate of 22.6% between 2024 and 2029 </w:t>
      </w:r>
      <w:r w:rsidRPr="703578A6" w:rsidR="00D2078E">
        <w:rPr>
          <w:color w:val="000000" w:themeColor="text1" w:themeTint="FF" w:themeShade="FF"/>
        </w:rPr>
        <w:t xml:space="preserve">(IDC 2025). </w:t>
      </w:r>
      <w:r w:rsidRPr="703578A6" w:rsidR="00D2078E">
        <w:rPr>
          <w:color w:val="000000" w:themeColor="text1" w:themeTint="FF" w:themeShade="FF"/>
        </w:rPr>
        <w:t xml:space="preserve">On the other hand, it can also be specified that the Generative AI market of India was valued at 1,468.7 million USD in 2025, which is predicted to reach 23,003.5 million USD by 2033 with a 42% CAGR between 2026 and 2033 </w:t>
      </w:r>
      <w:r w:rsidRPr="703578A6" w:rsidR="00D2078E">
        <w:rPr>
          <w:color w:val="000000" w:themeColor="text1" w:themeTint="FF" w:themeShade="FF"/>
        </w:rPr>
        <w:t>(Grand View Research, 2025)</w:t>
      </w:r>
      <w:r w:rsidRPr="703578A6" w:rsidR="00D2078E">
        <w:rPr>
          <w:color w:val="000000" w:themeColor="text1" w:themeTint="FF" w:themeShade="FF"/>
        </w:rPr>
        <w:t>. Theref</w:t>
      </w:r>
      <w:r w:rsidRPr="703578A6" w:rsidR="00D2078E">
        <w:rPr>
          <w:color w:val="000000" w:themeColor="text1" w:themeTint="FF" w:themeShade="FF"/>
        </w:rPr>
        <w:t xml:space="preserve">ore, these products are considered stars for the company in India. </w:t>
      </w:r>
    </w:p>
    <w:p xmlns:wp14="http://schemas.microsoft.com/office/word/2010/wordml" w:rsidR="00296AB9" w:rsidP="703578A6" w:rsidRDefault="00D2078E" w14:paraId="508655D7" wp14:textId="77777777">
      <w:pPr>
        <w:rPr>
          <w:color w:val="000000" w:themeColor="text1" w:themeTint="FF" w:themeShade="FF"/>
        </w:rPr>
      </w:pPr>
      <w:r w:rsidRPr="703578A6" w:rsidR="00D2078E">
        <w:rPr>
          <w:b w:val="1"/>
          <w:bCs w:val="1"/>
          <w:i w:val="1"/>
          <w:iCs w:val="1"/>
          <w:color w:val="000000" w:themeColor="text1" w:themeTint="FF" w:themeShade="FF"/>
        </w:rPr>
        <w:t>Question marks</w:t>
      </w:r>
      <w:r w:rsidRPr="703578A6" w:rsidR="00D2078E">
        <w:rPr>
          <w:color w:val="000000" w:themeColor="text1" w:themeTint="FF" w:themeShade="FF"/>
        </w:rPr>
        <w:t xml:space="preserve">: This category of products of businesses </w:t>
      </w:r>
      <w:r w:rsidRPr="703578A6" w:rsidR="00D2078E">
        <w:rPr>
          <w:color w:val="000000" w:themeColor="text1" w:themeTint="FF" w:themeShade="FF"/>
        </w:rPr>
        <w:t>indicates</w:t>
      </w:r>
      <w:r w:rsidRPr="703578A6" w:rsidR="00D2078E">
        <w:rPr>
          <w:color w:val="000000" w:themeColor="text1" w:themeTint="FF" w:themeShade="FF"/>
        </w:rPr>
        <w:t xml:space="preserve"> a high market growth, along with a low share of the annual revenue of the companies. Specific digital solutions, specialis</w:t>
      </w:r>
      <w:r w:rsidRPr="703578A6" w:rsidR="00D2078E">
        <w:rPr>
          <w:color w:val="000000" w:themeColor="text1" w:themeTint="FF" w:themeShade="FF"/>
        </w:rPr>
        <w:t xml:space="preserve">ed AI applications, and </w:t>
      </w:r>
      <w:r w:rsidRPr="703578A6" w:rsidR="00D2078E">
        <w:rPr>
          <w:color w:val="000000" w:themeColor="text1" w:themeTint="FF" w:themeShade="FF"/>
        </w:rPr>
        <w:t>AgriTech</w:t>
      </w:r>
      <w:r w:rsidRPr="703578A6" w:rsidR="00D2078E">
        <w:rPr>
          <w:color w:val="000000" w:themeColor="text1" w:themeTint="FF" w:themeShade="FF"/>
        </w:rPr>
        <w:t xml:space="preserve"> services of Accenture are question marks for the business, as these have high market growth rates, </w:t>
      </w:r>
      <w:r w:rsidRPr="703578A6" w:rsidR="00D2078E">
        <w:rPr>
          <w:color w:val="000000" w:themeColor="text1" w:themeTint="FF" w:themeShade="FF"/>
        </w:rPr>
        <w:t>whereas</w:t>
      </w:r>
      <w:r w:rsidRPr="703578A6" w:rsidR="00D2078E">
        <w:rPr>
          <w:color w:val="000000" w:themeColor="text1" w:themeTint="FF" w:themeShade="FF"/>
        </w:rPr>
        <w:t xml:space="preserve"> their contribution to the market share of the company is low </w:t>
      </w:r>
      <w:r w:rsidRPr="703578A6" w:rsidR="00D2078E">
        <w:rPr>
          <w:color w:val="000000" w:themeColor="text1" w:themeTint="FF" w:themeShade="FF"/>
        </w:rPr>
        <w:t>(</w:t>
      </w:r>
      <w:r w:rsidRPr="703578A6" w:rsidR="00D2078E">
        <w:rPr>
          <w:color w:val="000000" w:themeColor="text1" w:themeTint="FF" w:themeShade="FF"/>
          <w:highlight w:val="white"/>
        </w:rPr>
        <w:t>Rapberger</w:t>
      </w:r>
      <w:r w:rsidRPr="703578A6" w:rsidR="00D2078E">
        <w:rPr>
          <w:color w:val="000000" w:themeColor="text1" w:themeTint="FF" w:themeShade="FF"/>
          <w:highlight w:val="white"/>
        </w:rPr>
        <w:t>, 2018).</w:t>
      </w:r>
    </w:p>
    <w:p xmlns:wp14="http://schemas.microsoft.com/office/word/2010/wordml" w:rsidR="00296AB9" w:rsidRDefault="00D2078E" w14:paraId="64CA4FCE" wp14:textId="77777777">
      <w:r>
        <w:rPr>
          <w:b/>
          <w:bCs/>
          <w:i/>
          <w:iCs/>
          <w:color w:val="000000"/>
        </w:rPr>
        <w:t>Dogs</w:t>
      </w:r>
      <w:r>
        <w:rPr>
          <w:color w:val="000000"/>
        </w:rPr>
        <w:t>: These products have both low g</w:t>
      </w:r>
      <w:r>
        <w:rPr>
          <w:color w:val="000000"/>
        </w:rPr>
        <w:t xml:space="preserve">rowth rates and market shares. For example, the non-strategic IT management services of Accenture are dogs for the organisation in the Indian market. </w:t>
      </w:r>
    </w:p>
    <w:p xmlns:wp14="http://schemas.microsoft.com/office/word/2010/wordml" w:rsidR="00296AB9" w:rsidRDefault="00D2078E" w14:paraId="621BDB65" wp14:textId="77777777">
      <w:pPr>
        <w:pStyle w:val="Heading4"/>
      </w:pPr>
      <w:bookmarkStart w:name="_heading=h.z06zsly4vdo4" w:colFirst="0" w:colLast="0" w:id="15"/>
      <w:bookmarkEnd w:id="15"/>
      <w:r>
        <w:t>4.2.6 Based on analysis, Identifying CSFs impacting success of operations of the MNC in Indian IT industr</w:t>
      </w:r>
      <w:r>
        <w:t>y</w:t>
      </w:r>
    </w:p>
    <w:p xmlns:wp14="http://schemas.microsoft.com/office/word/2010/wordml" w:rsidR="00296AB9" w:rsidP="703578A6" w:rsidRDefault="00D2078E" w14:paraId="50E094B8" wp14:textId="77777777">
      <w:pPr>
        <w:rPr>
          <w:color w:val="000000" w:themeColor="text1" w:themeTint="FF" w:themeShade="FF"/>
        </w:rPr>
      </w:pPr>
      <w:r w:rsidRPr="703578A6" w:rsidR="00D2078E">
        <w:rPr>
          <w:color w:val="000000" w:themeColor="text1" w:themeTint="FF" w:themeShade="FF"/>
        </w:rPr>
        <w:t xml:space="preserve">Based on the above discussion, it can be concluded that the CSFs for Accenture that can </w:t>
      </w:r>
      <w:r w:rsidRPr="703578A6" w:rsidR="00D2078E">
        <w:rPr>
          <w:color w:val="000000" w:themeColor="text1" w:themeTint="FF" w:themeShade="FF"/>
        </w:rPr>
        <w:t>impact</w:t>
      </w:r>
      <w:r w:rsidRPr="703578A6" w:rsidR="00D2078E">
        <w:rPr>
          <w:color w:val="000000" w:themeColor="text1" w:themeTint="FF" w:themeShade="FF"/>
        </w:rPr>
        <w:t xml:space="preserve"> its success in the Indian IT industry are its Generative AI solutions and Cloud Services</w:t>
      </w:r>
      <w:r w:rsidRPr="703578A6" w:rsidR="00D2078E">
        <w:rPr>
          <w:color w:val="000000" w:themeColor="text1" w:themeTint="FF" w:themeShade="FF"/>
        </w:rPr>
        <w:t>. The demand for Cloud Services has increased over the years in the India</w:t>
      </w:r>
      <w:r w:rsidRPr="703578A6" w:rsidR="00D2078E">
        <w:rPr>
          <w:color w:val="000000" w:themeColor="text1" w:themeTint="FF" w:themeShade="FF"/>
        </w:rPr>
        <w:t xml:space="preserve">n IT market </w:t>
      </w:r>
      <w:r w:rsidRPr="703578A6" w:rsidR="00D2078E">
        <w:rPr>
          <w:color w:val="000000" w:themeColor="text1" w:themeTint="FF" w:themeShade="FF"/>
        </w:rPr>
        <w:t>(Grand View Research, 2025).</w:t>
      </w:r>
      <w:r w:rsidRPr="703578A6" w:rsidR="00D2078E">
        <w:rPr>
          <w:color w:val="000000" w:themeColor="text1" w:themeTint="FF" w:themeShade="FF"/>
        </w:rPr>
        <w:t xml:space="preserve"> Similarly, customers in the IT sector of India are more focused on effective Generative AI solutions to improve their working performance and enhance efficiency </w:t>
      </w:r>
      <w:r w:rsidRPr="703578A6" w:rsidR="00D2078E">
        <w:rPr>
          <w:color w:val="000000" w:themeColor="text1" w:themeTint="FF" w:themeShade="FF"/>
        </w:rPr>
        <w:t>(IDC, 2025)</w:t>
      </w:r>
      <w:r w:rsidRPr="703578A6" w:rsidR="00D2078E">
        <w:rPr>
          <w:color w:val="000000" w:themeColor="text1" w:themeTint="FF" w:themeShade="FF"/>
        </w:rPr>
        <w:t>. Moreover, it can also be detected that th</w:t>
      </w:r>
      <w:r w:rsidRPr="703578A6" w:rsidR="00D2078E">
        <w:rPr>
          <w:color w:val="000000" w:themeColor="text1" w:themeTint="FF" w:themeShade="FF"/>
        </w:rPr>
        <w:t xml:space="preserve">e growth of </w:t>
      </w:r>
      <w:r w:rsidRPr="703578A6" w:rsidR="00D2078E">
        <w:rPr>
          <w:color w:val="000000" w:themeColor="text1" w:themeTint="FF" w:themeShade="FF"/>
        </w:rPr>
        <w:t>AgriTech</w:t>
      </w:r>
      <w:r w:rsidRPr="703578A6" w:rsidR="00D2078E">
        <w:rPr>
          <w:color w:val="000000" w:themeColor="text1" w:themeTint="FF" w:themeShade="FF"/>
        </w:rPr>
        <w:t xml:space="preserve"> services and technological AI applications has also increased over the years. Therefore, these services can ensure the success of Accenture in the IT industry of India.</w:t>
      </w:r>
    </w:p>
    <w:p xmlns:wp14="http://schemas.microsoft.com/office/word/2010/wordml" w:rsidR="00296AB9" w:rsidRDefault="00D2078E" w14:paraId="5E7C42A6" wp14:textId="77777777">
      <w:pPr>
        <w:pStyle w:val="Heading4"/>
      </w:pPr>
      <w:bookmarkStart w:name="_heading=h.er0lnqh3uvyz" w:colFirst="0" w:colLast="0" w:id="16"/>
      <w:bookmarkEnd w:id="16"/>
      <w:r>
        <w:t xml:space="preserve">4.2.7 Value chain framework on operational success for the MNC in </w:t>
      </w:r>
      <w:r>
        <w:t>IT sector of India</w:t>
      </w:r>
    </w:p>
    <w:p xmlns:wp14="http://schemas.microsoft.com/office/word/2010/wordml" w:rsidR="00296AB9" w:rsidRDefault="00D2078E" w14:paraId="4B94D5A5" wp14:textId="77777777">
      <w:pPr>
        <w:pStyle w:val="Heading2"/>
        <w:jc w:val="center"/>
      </w:pPr>
      <w:bookmarkStart w:name="_heading=h.hxhd3hlmlbl2" w:colFirst="0" w:colLast="0" w:id="17"/>
      <w:bookmarkEnd w:id="17"/>
      <w:r>
        <w:rPr>
          <w:noProof/>
        </w:rPr>
        <w:drawing>
          <wp:inline xmlns:wp14="http://schemas.microsoft.com/office/word/2010/wordprocessingDrawing" distT="114300" distB="114300" distL="114300" distR="114300" wp14:anchorId="08F1F991" wp14:editId="7777777">
            <wp:extent cx="5943600" cy="2057400"/>
            <wp:effectExtent l="0" t="0" r="0" b="0"/>
            <wp:docPr id="4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8"/>
                    <a:srcRect/>
                    <a:stretch>
                      <a:fillRect/>
                    </a:stretch>
                  </pic:blipFill>
                  <pic:spPr>
                    <a:xfrm>
                      <a:off x="0" y="0"/>
                      <a:ext cx="5943600" cy="2057400"/>
                    </a:xfrm>
                    <a:prstGeom prst="rect">
                      <a:avLst/>
                    </a:prstGeom>
                    <a:ln/>
                  </pic:spPr>
                </pic:pic>
              </a:graphicData>
            </a:graphic>
          </wp:inline>
        </w:drawing>
      </w:r>
    </w:p>
    <w:p xmlns:wp14="http://schemas.microsoft.com/office/word/2010/wordml" w:rsidR="00296AB9" w:rsidRDefault="00D2078E" w14:paraId="6607F50F" wp14:textId="77777777">
      <w:pPr>
        <w:spacing w:before="0" w:after="0"/>
        <w:jc w:val="center"/>
        <w:rPr>
          <w:b/>
          <w:bCs/>
          <w:color w:val="000000"/>
        </w:rPr>
      </w:pPr>
      <w:r>
        <w:rPr>
          <w:b/>
          <w:bCs/>
          <w:color w:val="000000"/>
        </w:rPr>
        <w:t>Figure 9: Value chain framework</w:t>
      </w:r>
    </w:p>
    <w:p xmlns:wp14="http://schemas.microsoft.com/office/word/2010/wordml" w:rsidR="00296AB9" w:rsidRDefault="00D2078E" w14:paraId="452E4CF4" wp14:textId="77777777">
      <w:pPr>
        <w:spacing w:before="0" w:after="0"/>
        <w:jc w:val="center"/>
        <w:rPr>
          <w:b/>
          <w:bCs/>
          <w:color w:val="000000"/>
        </w:rPr>
      </w:pPr>
      <w:r>
        <w:rPr>
          <w:b/>
          <w:bCs/>
          <w:color w:val="000000"/>
        </w:rPr>
        <w:t>Source: (Kohnová and Salajová, 2023)</w:t>
      </w:r>
    </w:p>
    <w:p xmlns:wp14="http://schemas.microsoft.com/office/word/2010/wordml" w:rsidR="00296AB9" w:rsidP="703578A6" w:rsidRDefault="00D2078E" w14:paraId="5C07EDEB" wp14:textId="77777777">
      <w:pPr>
        <w:rPr>
          <w:color w:val="000000" w:themeColor="text1" w:themeTint="FF" w:themeShade="FF"/>
        </w:rPr>
      </w:pPr>
      <w:r w:rsidRPr="703578A6" w:rsidR="00D2078E">
        <w:rPr>
          <w:color w:val="000000" w:themeColor="text1" w:themeTint="FF" w:themeShade="FF"/>
        </w:rPr>
        <w:t xml:space="preserve">The value chain framework highlights the primary &amp; secondary activities of businesses that allow them to gain competitive advantages in the market </w:t>
      </w:r>
      <w:r w:rsidRPr="703578A6" w:rsidR="00D2078E">
        <w:rPr>
          <w:color w:val="000000" w:themeColor="text1" w:themeTint="FF" w:themeShade="FF"/>
        </w:rPr>
        <w:t>(</w:t>
      </w:r>
      <w:r w:rsidRPr="703578A6" w:rsidR="00D2078E">
        <w:rPr>
          <w:color w:val="000000" w:themeColor="text1" w:themeTint="FF" w:themeShade="FF"/>
        </w:rPr>
        <w:t>Kohnová</w:t>
      </w:r>
      <w:r w:rsidRPr="703578A6" w:rsidR="00D2078E">
        <w:rPr>
          <w:color w:val="000000" w:themeColor="text1" w:themeTint="FF" w:themeShade="FF"/>
        </w:rPr>
        <w:t xml:space="preserve"> and </w:t>
      </w:r>
      <w:r w:rsidRPr="703578A6" w:rsidR="00D2078E">
        <w:rPr>
          <w:color w:val="000000" w:themeColor="text1" w:themeTint="FF" w:themeShade="FF"/>
        </w:rPr>
        <w:t>Salajo</w:t>
      </w:r>
      <w:r w:rsidRPr="703578A6" w:rsidR="00D2078E">
        <w:rPr>
          <w:color w:val="000000" w:themeColor="text1" w:themeTint="FF" w:themeShade="FF"/>
        </w:rPr>
        <w:t>vá</w:t>
      </w:r>
      <w:r w:rsidRPr="703578A6" w:rsidR="00D2078E">
        <w:rPr>
          <w:color w:val="000000" w:themeColor="text1" w:themeTint="FF" w:themeShade="FF"/>
        </w:rPr>
        <w:t>, 2023).</w:t>
      </w:r>
      <w:r w:rsidRPr="703578A6" w:rsidR="00D2078E">
        <w:rPr>
          <w:color w:val="000000" w:themeColor="text1" w:themeTint="FF" w:themeShade="FF"/>
        </w:rPr>
        <w:t xml:space="preserve"> The value chain analysis of Accenture in the Indian IT sector is explained below. </w:t>
      </w:r>
    </w:p>
    <w:p xmlns:wp14="http://schemas.microsoft.com/office/word/2010/wordml" w:rsidR="00296AB9" w:rsidRDefault="00D2078E" w14:paraId="7FB74036" wp14:textId="77777777">
      <w:pPr>
        <w:spacing w:before="0" w:after="0"/>
        <w:rPr>
          <w:b w:val="1"/>
          <w:bCs w:val="1"/>
          <w:color w:val="000000"/>
        </w:rPr>
      </w:pPr>
      <w:r w:rsidRPr="703578A6" w:rsidR="00D2078E">
        <w:rPr>
          <w:b w:val="1"/>
          <w:bCs w:val="1"/>
          <w:color w:val="000000" w:themeColor="text1" w:themeTint="FF" w:themeShade="FF"/>
        </w:rPr>
        <w:t>Primary activities:</w:t>
      </w:r>
    </w:p>
    <w:p xmlns:wp14="http://schemas.microsoft.com/office/word/2010/wordml" w:rsidR="00296AB9" w:rsidP="703578A6" w:rsidRDefault="00D2078E" w14:paraId="29FA45F7" wp14:textId="77777777">
      <w:pPr>
        <w:spacing w:before="0" w:after="0"/>
        <w:rPr>
          <w:color w:val="000000" w:themeColor="text1" w:themeTint="FF" w:themeShade="FF"/>
        </w:rPr>
      </w:pPr>
      <w:r w:rsidRPr="703578A6" w:rsidR="00D2078E">
        <w:rPr>
          <w:b w:val="1"/>
          <w:bCs w:val="1"/>
          <w:i w:val="1"/>
          <w:iCs w:val="1"/>
          <w:color w:val="000000" w:themeColor="text1" w:themeTint="FF" w:themeShade="FF"/>
          <w:u w:val="single"/>
        </w:rPr>
        <w:t>Inbound Logistics</w:t>
      </w:r>
      <w:r w:rsidRPr="703578A6" w:rsidR="00D2078E">
        <w:rPr>
          <w:color w:val="000000" w:themeColor="text1" w:themeTint="FF" w:themeShade="FF"/>
        </w:rPr>
        <w:t>: Accenture effectively manages its manufacturing and goods transportation to meet the demand and improve its inventory in th</w:t>
      </w:r>
      <w:r w:rsidRPr="703578A6" w:rsidR="00D2078E">
        <w:rPr>
          <w:color w:val="000000" w:themeColor="text1" w:themeTint="FF" w:themeShade="FF"/>
        </w:rPr>
        <w:t xml:space="preserve">e market </w:t>
      </w:r>
      <w:r w:rsidRPr="703578A6" w:rsidR="00D2078E">
        <w:rPr>
          <w:color w:val="000000" w:themeColor="text1" w:themeTint="FF" w:themeShade="FF"/>
        </w:rPr>
        <w:t xml:space="preserve">(Accenture, 2024). </w:t>
      </w:r>
    </w:p>
    <w:p xmlns:wp14="http://schemas.microsoft.com/office/word/2010/wordml" w:rsidR="00296AB9" w:rsidP="703578A6" w:rsidRDefault="00D2078E" w14:paraId="7CFD2C6A" wp14:textId="77777777">
      <w:pPr>
        <w:spacing w:before="0" w:after="0"/>
        <w:rPr>
          <w:color w:val="000000" w:themeColor="text1" w:themeTint="FF" w:themeShade="FF"/>
        </w:rPr>
      </w:pPr>
      <w:r w:rsidRPr="703578A6" w:rsidR="00D2078E">
        <w:rPr>
          <w:b w:val="1"/>
          <w:bCs w:val="1"/>
          <w:i w:val="1"/>
          <w:iCs w:val="1"/>
          <w:color w:val="000000" w:themeColor="text1" w:themeTint="FF" w:themeShade="FF"/>
          <w:u w:val="single"/>
        </w:rPr>
        <w:t>Operations</w:t>
      </w:r>
      <w:r w:rsidRPr="703578A6" w:rsidR="00D2078E">
        <w:rPr>
          <w:color w:val="000000" w:themeColor="text1" w:themeTint="FF" w:themeShade="FF"/>
        </w:rPr>
        <w:t xml:space="preserve">: Accenture provides transformative corporate operations solutions with the aid of intelligent operations procedures, which sustain its growth in the Indian market </w:t>
      </w:r>
      <w:r w:rsidRPr="703578A6" w:rsidR="00D2078E">
        <w:rPr>
          <w:color w:val="000000" w:themeColor="text1" w:themeTint="FF" w:themeShade="FF"/>
        </w:rPr>
        <w:t>(Accenture, 2025).</w:t>
      </w:r>
    </w:p>
    <w:p xmlns:wp14="http://schemas.microsoft.com/office/word/2010/wordml" w:rsidR="00296AB9" w:rsidRDefault="00D2078E" w14:paraId="50EBF3F4" wp14:textId="77777777">
      <w:pPr>
        <w:spacing w:before="0" w:after="0"/>
        <w:rPr>
          <w:color w:val="000000"/>
        </w:rPr>
      </w:pPr>
      <w:r w:rsidRPr="703578A6" w:rsidR="00D2078E">
        <w:rPr>
          <w:b w:val="1"/>
          <w:bCs w:val="1"/>
          <w:i w:val="1"/>
          <w:iCs w:val="1"/>
          <w:color w:val="000000" w:themeColor="text1" w:themeTint="FF" w:themeShade="FF"/>
          <w:u w:val="single"/>
        </w:rPr>
        <w:t>Outbound Logistics</w:t>
      </w:r>
      <w:r w:rsidRPr="703578A6" w:rsidR="00D2078E">
        <w:rPr>
          <w:color w:val="000000" w:themeColor="text1" w:themeTint="FF" w:themeShade="FF"/>
        </w:rPr>
        <w:t>: Real-time coor</w:t>
      </w:r>
      <w:r w:rsidRPr="703578A6" w:rsidR="00D2078E">
        <w:rPr>
          <w:color w:val="000000" w:themeColor="text1" w:themeTint="FF" w:themeShade="FF"/>
        </w:rPr>
        <w:t xml:space="preserve">dination of Accenture across its transportation, global trade, order management, reverse </w:t>
      </w:r>
      <w:r w:rsidRPr="703578A6" w:rsidR="00D2078E">
        <w:rPr>
          <w:color w:val="000000" w:themeColor="text1" w:themeTint="FF" w:themeShade="FF"/>
        </w:rPr>
        <w:t>logistics</w:t>
      </w:r>
      <w:r w:rsidRPr="703578A6" w:rsidR="00D2078E">
        <w:rPr>
          <w:color w:val="000000" w:themeColor="text1" w:themeTint="FF" w:themeShade="FF"/>
        </w:rPr>
        <w:t>, and warehousing ensures the faster delivery of its services (</w:t>
      </w:r>
      <w:r w:rsidRPr="703578A6" w:rsidR="00D2078E">
        <w:rPr>
          <w:color w:val="000000" w:themeColor="text1" w:themeTint="FF" w:themeShade="FF"/>
        </w:rPr>
        <w:t>Accenture, 2023).</w:t>
      </w:r>
      <w:r w:rsidRPr="703578A6" w:rsidR="00D2078E">
        <w:rPr>
          <w:color w:val="000000" w:themeColor="text1" w:themeTint="FF" w:themeShade="FF"/>
        </w:rPr>
        <w:t xml:space="preserve"> </w:t>
      </w:r>
    </w:p>
    <w:p xmlns:wp14="http://schemas.microsoft.com/office/word/2010/wordml" w:rsidR="00296AB9" w:rsidRDefault="00D2078E" w14:paraId="4A3A0A5D" wp14:textId="77777777">
      <w:pPr>
        <w:spacing w:before="0" w:after="0"/>
        <w:rPr>
          <w:color w:val="000000"/>
        </w:rPr>
      </w:pPr>
      <w:r w:rsidRPr="703578A6" w:rsidR="00D2078E">
        <w:rPr>
          <w:b w:val="1"/>
          <w:bCs w:val="1"/>
          <w:i w:val="1"/>
          <w:iCs w:val="1"/>
          <w:color w:val="000000" w:themeColor="text1" w:themeTint="FF" w:themeShade="FF"/>
          <w:u w:val="single"/>
        </w:rPr>
        <w:t>Marketing and Sales</w:t>
      </w:r>
      <w:r w:rsidRPr="703578A6" w:rsidR="00D2078E">
        <w:rPr>
          <w:color w:val="000000" w:themeColor="text1" w:themeTint="FF" w:themeShade="FF"/>
        </w:rPr>
        <w:t>: The global reputation of Accenture helps it in securing</w:t>
      </w:r>
      <w:r w:rsidRPr="703578A6" w:rsidR="00D2078E">
        <w:rPr>
          <w:color w:val="000000" w:themeColor="text1" w:themeTint="FF" w:themeShade="FF"/>
        </w:rPr>
        <w:t xml:space="preserve"> its large contracts in the IT market of India.</w:t>
      </w:r>
    </w:p>
    <w:p xmlns:wp14="http://schemas.microsoft.com/office/word/2010/wordml" w:rsidR="00296AB9" w:rsidRDefault="00D2078E" w14:paraId="71C2970A" wp14:textId="77777777">
      <w:pPr>
        <w:spacing w:before="0" w:after="0"/>
        <w:rPr>
          <w:color w:val="000000"/>
        </w:rPr>
      </w:pPr>
      <w:r w:rsidRPr="703578A6" w:rsidR="00D2078E">
        <w:rPr>
          <w:b w:val="1"/>
          <w:bCs w:val="1"/>
          <w:i w:val="1"/>
          <w:iCs w:val="1"/>
          <w:color w:val="000000" w:themeColor="text1" w:themeTint="FF" w:themeShade="FF"/>
          <w:u w:val="single"/>
        </w:rPr>
        <w:t>Service</w:t>
      </w:r>
      <w:r w:rsidRPr="703578A6" w:rsidR="00D2078E">
        <w:rPr>
          <w:color w:val="000000" w:themeColor="text1" w:themeTint="FF" w:themeShade="FF"/>
        </w:rPr>
        <w:t xml:space="preserve">: Accenture offers 24/7 hours of customer, outsourcing, and maintenance services to its clients in the market, helping it to improve its performance. </w:t>
      </w:r>
    </w:p>
    <w:p xmlns:wp14="http://schemas.microsoft.com/office/word/2010/wordml" w:rsidR="00296AB9" w:rsidRDefault="00D2078E" w14:paraId="5118CABF" wp14:textId="77777777">
      <w:pPr>
        <w:spacing w:before="0" w:after="0"/>
        <w:rPr>
          <w:b w:val="1"/>
          <w:bCs w:val="1"/>
          <w:color w:val="000000"/>
        </w:rPr>
      </w:pPr>
      <w:r w:rsidRPr="703578A6" w:rsidR="00D2078E">
        <w:rPr>
          <w:b w:val="1"/>
          <w:bCs w:val="1"/>
          <w:color w:val="000000" w:themeColor="text1" w:themeTint="FF" w:themeShade="FF"/>
        </w:rPr>
        <w:t>Support Activities:</w:t>
      </w:r>
    </w:p>
    <w:p xmlns:wp14="http://schemas.microsoft.com/office/word/2010/wordml" w:rsidR="00296AB9" w:rsidRDefault="00D2078E" w14:paraId="7A8CBF7E" wp14:textId="77777777">
      <w:pPr>
        <w:spacing w:before="0" w:after="0"/>
        <w:rPr>
          <w:color w:val="000000"/>
        </w:rPr>
      </w:pPr>
      <w:r w:rsidRPr="703578A6" w:rsidR="00D2078E">
        <w:rPr>
          <w:b w:val="1"/>
          <w:bCs w:val="1"/>
          <w:i w:val="1"/>
          <w:iCs w:val="1"/>
          <w:color w:val="000000" w:themeColor="text1" w:themeTint="FF" w:themeShade="FF"/>
          <w:u w:val="single"/>
        </w:rPr>
        <w:t>Firm Infrastructure</w:t>
      </w:r>
      <w:r w:rsidRPr="703578A6" w:rsidR="00D2078E">
        <w:rPr>
          <w:color w:val="000000" w:themeColor="text1" w:themeTint="FF" w:themeShade="FF"/>
        </w:rPr>
        <w:t>: Accenture</w:t>
      </w:r>
      <w:r w:rsidRPr="703578A6" w:rsidR="00D2078E">
        <w:rPr>
          <w:color w:val="000000" w:themeColor="text1" w:themeTint="FF" w:themeShade="FF"/>
        </w:rPr>
        <w:t xml:space="preserve"> has a robust infrastructure enabling the corporation to </w:t>
      </w:r>
      <w:r w:rsidRPr="703578A6" w:rsidR="00D2078E">
        <w:rPr>
          <w:color w:val="000000" w:themeColor="text1" w:themeTint="FF" w:themeShade="FF"/>
        </w:rPr>
        <w:t>maintain</w:t>
      </w:r>
      <w:r w:rsidRPr="703578A6" w:rsidR="00D2078E">
        <w:rPr>
          <w:color w:val="000000" w:themeColor="text1" w:themeTint="FF" w:themeShade="FF"/>
        </w:rPr>
        <w:t xml:space="preserve"> its operations effectively. </w:t>
      </w:r>
    </w:p>
    <w:p xmlns:wp14="http://schemas.microsoft.com/office/word/2010/wordml" w:rsidR="00296AB9" w:rsidP="703578A6" w:rsidRDefault="00D2078E" w14:paraId="1603563F" wp14:textId="77777777">
      <w:pPr>
        <w:spacing w:before="0" w:after="0"/>
        <w:rPr>
          <w:color w:val="000000" w:themeColor="text1" w:themeTint="FF" w:themeShade="FF"/>
        </w:rPr>
      </w:pPr>
      <w:r w:rsidRPr="703578A6" w:rsidR="00D2078E">
        <w:rPr>
          <w:b w:val="1"/>
          <w:bCs w:val="1"/>
          <w:i w:val="1"/>
          <w:iCs w:val="1"/>
          <w:color w:val="000000" w:themeColor="text1" w:themeTint="FF" w:themeShade="FF"/>
          <w:u w:val="single"/>
        </w:rPr>
        <w:t>Human Resource Management</w:t>
      </w:r>
      <w:r w:rsidRPr="703578A6" w:rsidR="00D2078E">
        <w:rPr>
          <w:color w:val="000000" w:themeColor="text1" w:themeTint="FF" w:themeShade="FF"/>
        </w:rPr>
        <w:t xml:space="preserve">: Accenture has around 3 lakh talented and skilled staff in India, who help to streamline its business operations in India </w:t>
      </w:r>
      <w:r w:rsidRPr="703578A6" w:rsidR="00D2078E">
        <w:rPr>
          <w:color w:val="000000" w:themeColor="text1" w:themeTint="FF" w:themeShade="FF"/>
        </w:rPr>
        <w:t>(The Times of India, 2024)</w:t>
      </w:r>
    </w:p>
    <w:p xmlns:wp14="http://schemas.microsoft.com/office/word/2010/wordml" w:rsidR="00296AB9" w:rsidRDefault="00D2078E" w14:paraId="7D3633E1" wp14:textId="77777777">
      <w:pPr>
        <w:spacing w:before="0" w:after="0"/>
        <w:rPr>
          <w:color w:val="000000"/>
        </w:rPr>
      </w:pPr>
      <w:r w:rsidRPr="703578A6" w:rsidR="00D2078E">
        <w:rPr>
          <w:b w:val="1"/>
          <w:bCs w:val="1"/>
          <w:i w:val="1"/>
          <w:iCs w:val="1"/>
          <w:color w:val="000000" w:themeColor="text1" w:themeTint="FF" w:themeShade="FF"/>
          <w:u w:val="single"/>
        </w:rPr>
        <w:t>Technology Development</w:t>
      </w:r>
      <w:r w:rsidRPr="703578A6" w:rsidR="00D2078E">
        <w:rPr>
          <w:color w:val="000000" w:themeColor="text1" w:themeTint="FF" w:themeShade="FF"/>
        </w:rPr>
        <w:t xml:space="preserve">: Accenture </w:t>
      </w:r>
      <w:r w:rsidRPr="703578A6" w:rsidR="00D2078E">
        <w:rPr>
          <w:color w:val="000000" w:themeColor="text1" w:themeTint="FF" w:themeShade="FF"/>
        </w:rPr>
        <w:t>facilitated</w:t>
      </w:r>
      <w:r w:rsidRPr="703578A6" w:rsidR="00D2078E">
        <w:rPr>
          <w:color w:val="000000" w:themeColor="text1" w:themeTint="FF" w:themeShade="FF"/>
        </w:rPr>
        <w:t xml:space="preserve"> its investment in technology adoption to implement </w:t>
      </w:r>
      <w:r w:rsidRPr="703578A6" w:rsidR="00D2078E">
        <w:rPr>
          <w:color w:val="000000" w:themeColor="text1" w:themeTint="FF" w:themeShade="FF"/>
        </w:rPr>
        <w:t>new technologies</w:t>
      </w:r>
      <w:r w:rsidRPr="703578A6" w:rsidR="00D2078E">
        <w:rPr>
          <w:color w:val="000000" w:themeColor="text1" w:themeTint="FF" w:themeShade="FF"/>
        </w:rPr>
        <w:t xml:space="preserve"> to enhance </w:t>
      </w:r>
      <w:r w:rsidRPr="703578A6" w:rsidR="00D2078E">
        <w:rPr>
          <w:color w:val="000000" w:themeColor="text1" w:themeTint="FF" w:themeShade="FF"/>
        </w:rPr>
        <w:t>iots</w:t>
      </w:r>
      <w:r w:rsidRPr="703578A6" w:rsidR="00D2078E">
        <w:rPr>
          <w:color w:val="000000" w:themeColor="text1" w:themeTint="FF" w:themeShade="FF"/>
        </w:rPr>
        <w:t xml:space="preserve"> operational efficiency. </w:t>
      </w:r>
    </w:p>
    <w:p xmlns:wp14="http://schemas.microsoft.com/office/word/2010/wordml" w:rsidR="00296AB9" w:rsidP="703578A6" w:rsidRDefault="00D2078E" w14:paraId="78412A50" wp14:textId="77777777">
      <w:pPr>
        <w:spacing w:before="0" w:after="0"/>
        <w:rPr>
          <w:color w:val="000000" w:themeColor="text1" w:themeTint="FF" w:themeShade="FF"/>
        </w:rPr>
      </w:pPr>
      <w:r w:rsidRPr="703578A6" w:rsidR="00D2078E">
        <w:rPr>
          <w:b w:val="1"/>
          <w:bCs w:val="1"/>
          <w:i w:val="1"/>
          <w:iCs w:val="1"/>
          <w:color w:val="000000" w:themeColor="text1" w:themeTint="FF" w:themeShade="FF"/>
          <w:u w:val="single"/>
        </w:rPr>
        <w:t>Procurement</w:t>
      </w:r>
      <w:r w:rsidRPr="703578A6" w:rsidR="00D2078E">
        <w:rPr>
          <w:color w:val="000000" w:themeColor="text1" w:themeTint="FF" w:themeShade="FF"/>
        </w:rPr>
        <w:t>: The procurement practices of Accenture are based on the produ</w:t>
      </w:r>
      <w:r w:rsidRPr="703578A6" w:rsidR="00D2078E">
        <w:rPr>
          <w:color w:val="000000" w:themeColor="text1" w:themeTint="FF" w:themeShade="FF"/>
        </w:rPr>
        <w:t xml:space="preserve">ction of software licenses and IT hardware to support the projects of its clients. </w:t>
      </w:r>
    </w:p>
    <w:p xmlns:wp14="http://schemas.microsoft.com/office/word/2010/wordml" w:rsidR="00296AB9" w:rsidP="703578A6" w:rsidRDefault="00D2078E" w14:paraId="4A4546DA" wp14:textId="77777777">
      <w:pPr>
        <w:pStyle w:val="Heading2"/>
        <w:rPr>
          <w:color w:val="000000" w:themeColor="text1" w:themeTint="FF" w:themeShade="FF"/>
        </w:rPr>
      </w:pPr>
      <w:bookmarkStart w:name="_heading=h.ye52jlb4zoea" w:id="18"/>
      <w:bookmarkEnd w:id="18"/>
      <w:r w:rsidRPr="703578A6" w:rsidR="00D2078E">
        <w:rPr>
          <w:color w:val="000000" w:themeColor="text1" w:themeTint="FF" w:themeShade="FF"/>
        </w:rPr>
        <w:t xml:space="preserve">5. Conclusion to the report </w:t>
      </w:r>
    </w:p>
    <w:p xmlns:wp14="http://schemas.microsoft.com/office/word/2010/wordml" w:rsidR="00296AB9" w:rsidP="703578A6" w:rsidRDefault="00D2078E" w14:paraId="74330316" wp14:textId="77777777">
      <w:pPr>
        <w:spacing w:before="240" w:after="240"/>
        <w:rPr>
          <w:color w:val="000000" w:themeColor="text1" w:themeTint="FF" w:themeShade="FF"/>
        </w:rPr>
      </w:pPr>
      <w:r w:rsidRPr="703578A6" w:rsidR="00D2078E">
        <w:rPr>
          <w:color w:val="000000" w:themeColor="text1" w:themeTint="FF" w:themeShade="FF"/>
        </w:rPr>
        <w:t>The above analysis infers that the IT sector is a significant contributor to the enhancement of the nation's economy. The sector also highlight</w:t>
      </w:r>
      <w:r w:rsidRPr="703578A6" w:rsidR="00D2078E">
        <w:rPr>
          <w:color w:val="000000" w:themeColor="text1" w:themeTint="FF" w:themeShade="FF"/>
        </w:rPr>
        <w:t xml:space="preserve">s the engagement of skilled professionals, integration of improvised infrastructure, and the presence of supportive government policies and norms. It can be summarised that the sector is </w:t>
      </w:r>
      <w:r w:rsidRPr="703578A6" w:rsidR="00D2078E">
        <w:rPr>
          <w:color w:val="000000" w:themeColor="text1" w:themeTint="FF" w:themeShade="FF"/>
        </w:rPr>
        <w:t>showcasing</w:t>
      </w:r>
      <w:r w:rsidRPr="703578A6" w:rsidR="00D2078E">
        <w:rPr>
          <w:color w:val="000000" w:themeColor="text1" w:themeTint="FF" w:themeShade="FF"/>
        </w:rPr>
        <w:t xml:space="preserve"> remarkable growth across both the domestic and global IT m</w:t>
      </w:r>
      <w:r w:rsidRPr="703578A6" w:rsidR="00D2078E">
        <w:rPr>
          <w:color w:val="000000" w:themeColor="text1" w:themeTint="FF" w:themeShade="FF"/>
        </w:rPr>
        <w:t xml:space="preserve">arketplace. The report has recognised the presence of robot competition between domestic and multinational firms, such as TCS, Infosys, HCL, Accenture, </w:t>
      </w:r>
      <w:r w:rsidRPr="703578A6" w:rsidR="00D2078E">
        <w:rPr>
          <w:color w:val="000000" w:themeColor="text1" w:themeTint="FF" w:themeShade="FF"/>
        </w:rPr>
        <w:t>Cognizant</w:t>
      </w:r>
      <w:r w:rsidRPr="703578A6" w:rsidR="00D2078E">
        <w:rPr>
          <w:color w:val="000000" w:themeColor="text1" w:themeTint="FF" w:themeShade="FF"/>
        </w:rPr>
        <w:t xml:space="preserve"> and others. Moreover, the sector tends to offer a ripple effect on the Indian economy by enabl</w:t>
      </w:r>
      <w:r w:rsidRPr="703578A6" w:rsidR="00D2078E">
        <w:rPr>
          <w:color w:val="000000" w:themeColor="text1" w:themeTint="FF" w:themeShade="FF"/>
        </w:rPr>
        <w:t xml:space="preserve">ing the nation to sustain </w:t>
      </w:r>
      <w:r w:rsidRPr="703578A6" w:rsidR="00D2078E">
        <w:rPr>
          <w:color w:val="000000" w:themeColor="text1" w:themeTint="FF" w:themeShade="FF"/>
        </w:rPr>
        <w:t>feasible</w:t>
      </w:r>
      <w:r w:rsidRPr="703578A6" w:rsidR="00D2078E">
        <w:rPr>
          <w:color w:val="000000" w:themeColor="text1" w:themeTint="FF" w:themeShade="FF"/>
        </w:rPr>
        <w:t xml:space="preserve"> opportunities, appropriately fulfilling the needs and demands of businesses, entrepreneurs, and professionals in response to the attainment of digital infrastructure and services. In the holistic sense, the sector </w:t>
      </w:r>
      <w:r w:rsidRPr="703578A6" w:rsidR="00D2078E">
        <w:rPr>
          <w:color w:val="000000" w:themeColor="text1" w:themeTint="FF" w:themeShade="FF"/>
        </w:rPr>
        <w:t>showcas</w:t>
      </w:r>
      <w:r w:rsidRPr="703578A6" w:rsidR="00D2078E">
        <w:rPr>
          <w:color w:val="000000" w:themeColor="text1" w:themeTint="FF" w:themeShade="FF"/>
        </w:rPr>
        <w:t>es</w:t>
      </w:r>
      <w:r w:rsidRPr="703578A6" w:rsidR="00D2078E">
        <w:rPr>
          <w:color w:val="000000" w:themeColor="text1" w:themeTint="FF" w:themeShade="FF"/>
        </w:rPr>
        <w:t xml:space="preserve"> </w:t>
      </w:r>
      <w:r w:rsidRPr="703578A6" w:rsidR="00D2078E">
        <w:rPr>
          <w:color w:val="000000" w:themeColor="text1" w:themeTint="FF" w:themeShade="FF"/>
        </w:rPr>
        <w:t>a strong foundation</w:t>
      </w:r>
      <w:r w:rsidRPr="703578A6" w:rsidR="00D2078E">
        <w:rPr>
          <w:color w:val="000000" w:themeColor="text1" w:themeTint="FF" w:themeShade="FF"/>
        </w:rPr>
        <w:t xml:space="preserve"> and presence of favourable market conditions, in support of the upcoming growth trajectory in terms of becoming a global leader in the segment of digital innovation and the establishment of potential IT </w:t>
      </w:r>
      <w:r w:rsidRPr="703578A6" w:rsidR="00D2078E">
        <w:rPr>
          <w:color w:val="000000" w:themeColor="text1" w:themeTint="FF" w:themeShade="FF"/>
        </w:rPr>
        <w:t>hubs.</w:t>
      </w:r>
      <w:r w:rsidRPr="703578A6">
        <w:rPr>
          <w:color w:val="000000" w:themeColor="text1" w:themeTint="FF" w:themeShade="FF"/>
        </w:rPr>
        <w:br w:type="page"/>
      </w:r>
    </w:p>
    <w:p xmlns:wp14="http://schemas.microsoft.com/office/word/2010/wordml" w:rsidR="00296AB9" w:rsidRDefault="00D2078E" w14:paraId="678F4B7F" wp14:textId="77777777">
      <w:pPr>
        <w:pStyle w:val="Heading1"/>
        <w:rPr>
          <w:color w:val="000000"/>
          <w:highlight w:val="yellow"/>
        </w:rPr>
      </w:pPr>
      <w:bookmarkStart w:name="_heading=h.15thh9xdarpv" w:id="19"/>
      <w:bookmarkEnd w:id="19"/>
      <w:r w:rsidRPr="703578A6" w:rsidR="00D2078E">
        <w:rPr>
          <w:color w:val="000000" w:themeColor="text1" w:themeTint="FF" w:themeShade="FF"/>
        </w:rPr>
        <w:t xml:space="preserve">Section 2:  Reflective </w:t>
      </w:r>
      <w:r w:rsidRPr="703578A6" w:rsidR="00D2078E">
        <w:rPr>
          <w:color w:val="000000" w:themeColor="text1" w:themeTint="FF" w:themeShade="FF"/>
        </w:rPr>
        <w:t>Account</w:t>
      </w:r>
    </w:p>
    <w:p xmlns:wp14="http://schemas.microsoft.com/office/word/2010/wordml" w:rsidR="00296AB9" w:rsidRDefault="00D2078E" w14:paraId="1BD84EFD" wp14:textId="77777777">
      <w:pPr>
        <w:pStyle w:val="Heading2"/>
        <w:rPr>
          <w:color w:val="000000"/>
          <w:highlight w:val="yellow"/>
        </w:rPr>
      </w:pPr>
      <w:bookmarkStart w:name="_heading=h.g7rlv9hti8dc" w:id="20"/>
      <w:bookmarkEnd w:id="20"/>
      <w:r w:rsidRPr="703578A6" w:rsidR="00D2078E">
        <w:rPr>
          <w:color w:val="000000" w:themeColor="text1" w:themeTint="FF" w:themeShade="FF"/>
        </w:rPr>
        <w:t>Introducing reflective model: Gibbs reflective cycle</w:t>
      </w:r>
    </w:p>
    <w:p xmlns:wp14="http://schemas.microsoft.com/office/word/2010/wordml" w:rsidR="00296AB9" w:rsidRDefault="00D2078E" w14:paraId="6A2FA458" wp14:textId="77777777">
      <w:pPr>
        <w:rPr>
          <w:color w:val="000000"/>
        </w:rPr>
      </w:pPr>
      <w:r w:rsidRPr="703578A6" w:rsidR="00D2078E">
        <w:rPr>
          <w:color w:val="000000" w:themeColor="text1" w:themeTint="FF" w:themeShade="FF"/>
        </w:rPr>
        <w:t>Adeani</w:t>
      </w:r>
      <w:r w:rsidRPr="703578A6" w:rsidR="00D2078E">
        <w:rPr>
          <w:color w:val="000000" w:themeColor="text1" w:themeTint="FF" w:themeShade="FF"/>
        </w:rPr>
        <w:t xml:space="preserve">, </w:t>
      </w:r>
      <w:r w:rsidRPr="703578A6" w:rsidR="00D2078E">
        <w:rPr>
          <w:color w:val="000000" w:themeColor="text1" w:themeTint="FF" w:themeShade="FF"/>
        </w:rPr>
        <w:t>Febriani</w:t>
      </w:r>
      <w:r w:rsidRPr="703578A6" w:rsidR="00D2078E">
        <w:rPr>
          <w:color w:val="000000" w:themeColor="text1" w:themeTint="FF" w:themeShade="FF"/>
        </w:rPr>
        <w:t xml:space="preserve"> and </w:t>
      </w:r>
      <w:r w:rsidRPr="703578A6" w:rsidR="00D2078E">
        <w:rPr>
          <w:color w:val="000000" w:themeColor="text1" w:themeTint="FF" w:themeShade="FF"/>
        </w:rPr>
        <w:t>Syafryadin</w:t>
      </w:r>
      <w:r w:rsidRPr="703578A6" w:rsidR="00D2078E">
        <w:rPr>
          <w:color w:val="000000" w:themeColor="text1" w:themeTint="FF" w:themeShade="FF"/>
        </w:rPr>
        <w:t>, (2020)</w:t>
      </w:r>
      <w:r w:rsidRPr="703578A6" w:rsidR="00D2078E">
        <w:rPr>
          <w:color w:val="000000" w:themeColor="text1" w:themeTint="FF" w:themeShade="FF"/>
        </w:rPr>
        <w:t>, presented Gibbs’ reflective cycle as an efficient framework while structuring literary insights about work and well-segmented reflection to examine in-dep</w:t>
      </w:r>
      <w:r w:rsidRPr="703578A6" w:rsidR="00D2078E">
        <w:rPr>
          <w:color w:val="000000" w:themeColor="text1" w:themeTint="FF" w:themeShade="FF"/>
        </w:rPr>
        <w:t xml:space="preserve">th evaluation. Gibbs serves as a six-stage model customized to structure reflection on experiences, </w:t>
      </w:r>
      <w:r w:rsidRPr="703578A6" w:rsidR="00D2078E">
        <w:rPr>
          <w:color w:val="000000" w:themeColor="text1" w:themeTint="FF" w:themeShade="FF"/>
        </w:rPr>
        <w:t>assisting</w:t>
      </w:r>
      <w:r w:rsidRPr="703578A6" w:rsidR="00D2078E">
        <w:rPr>
          <w:color w:val="000000" w:themeColor="text1" w:themeTint="FF" w:themeShade="FF"/>
        </w:rPr>
        <w:t xml:space="preserve"> spontaneous learning and professional growth </w:t>
      </w:r>
      <w:r w:rsidRPr="703578A6" w:rsidR="00D2078E">
        <w:rPr>
          <w:color w:val="000000" w:themeColor="text1" w:themeTint="FF" w:themeShade="FF"/>
        </w:rPr>
        <w:t xml:space="preserve">(Ocampo </w:t>
      </w:r>
      <w:r w:rsidRPr="703578A6" w:rsidR="00D2078E">
        <w:rPr>
          <w:i w:val="1"/>
          <w:iCs w:val="1"/>
          <w:color w:val="000000" w:themeColor="text1" w:themeTint="FF" w:themeShade="FF"/>
        </w:rPr>
        <w:t>et al.</w:t>
      </w:r>
      <w:r w:rsidRPr="703578A6" w:rsidR="00D2078E">
        <w:rPr>
          <w:color w:val="000000" w:themeColor="text1" w:themeTint="FF" w:themeShade="FF"/>
        </w:rPr>
        <w:t>, 2025).</w:t>
      </w:r>
      <w:r w:rsidRPr="703578A6" w:rsidR="00D2078E">
        <w:rPr>
          <w:color w:val="000000" w:themeColor="text1" w:themeTint="FF" w:themeShade="FF"/>
        </w:rPr>
        <w:t xml:space="preserve"> Under the lens of description, feelings, evaluation, analysis, conclusion and </w:t>
      </w:r>
      <w:r w:rsidRPr="703578A6" w:rsidR="00D2078E">
        <w:rPr>
          <w:color w:val="000000" w:themeColor="text1" w:themeTint="FF" w:themeShade="FF"/>
        </w:rPr>
        <w:t xml:space="preserve">action plan, allow us to understand the process, </w:t>
      </w:r>
      <w:r w:rsidRPr="703578A6" w:rsidR="00D2078E">
        <w:rPr>
          <w:color w:val="000000" w:themeColor="text1" w:themeTint="FF" w:themeShade="FF"/>
        </w:rPr>
        <w:t>reason</w:t>
      </w:r>
      <w:r w:rsidRPr="703578A6" w:rsidR="00D2078E">
        <w:rPr>
          <w:color w:val="000000" w:themeColor="text1" w:themeTint="FF" w:themeShade="FF"/>
        </w:rPr>
        <w:t xml:space="preserve"> and improve </w:t>
      </w:r>
      <w:r w:rsidRPr="703578A6" w:rsidR="00D2078E">
        <w:rPr>
          <w:color w:val="000000" w:themeColor="text1" w:themeTint="FF" w:themeShade="FF"/>
        </w:rPr>
        <w:t>future prospects</w:t>
      </w:r>
      <w:r w:rsidRPr="703578A6" w:rsidR="00D2078E">
        <w:rPr>
          <w:color w:val="000000" w:themeColor="text1" w:themeTint="FF" w:themeShade="FF"/>
        </w:rPr>
        <w:t>.</w:t>
      </w:r>
    </w:p>
    <w:p xmlns:wp14="http://schemas.microsoft.com/office/word/2010/wordml" w:rsidR="00296AB9" w:rsidRDefault="00D2078E" w14:paraId="622712DD" wp14:textId="77777777">
      <w:pPr>
        <w:pStyle w:val="Heading2"/>
        <w:rPr>
          <w:color w:val="000000"/>
        </w:rPr>
      </w:pPr>
      <w:bookmarkStart w:name="_heading=h.duf9vetbv7u2" w:colFirst="0" w:colLast="0" w:id="21"/>
      <w:bookmarkEnd w:id="21"/>
      <w:r>
        <w:rPr>
          <w:color w:val="000000"/>
        </w:rPr>
        <w:t>Gibbs' reflection on reflective process of my researching, analysing and preparing previous section of the assignment</w:t>
      </w:r>
    </w:p>
    <w:p xmlns:wp14="http://schemas.microsoft.com/office/word/2010/wordml" w:rsidR="00296AB9" w:rsidRDefault="00D2078E" w14:paraId="3DEEC669" wp14:textId="77777777">
      <w:pPr>
        <w:jc w:val="center"/>
        <w:rPr>
          <w:b/>
          <w:bCs/>
          <w:color w:val="000000"/>
        </w:rPr>
      </w:pPr>
      <w:r>
        <w:rPr>
          <w:b/>
          <w:bCs/>
          <w:noProof/>
          <w:color w:val="000000"/>
        </w:rPr>
        <w:drawing>
          <wp:inline xmlns:wp14="http://schemas.microsoft.com/office/word/2010/wordprocessingDrawing" distT="114300" distB="114300" distL="114300" distR="114300" wp14:anchorId="55371A42" wp14:editId="7777777">
            <wp:extent cx="2902206" cy="2902206"/>
            <wp:effectExtent l="12700" t="12700" r="12700" b="12700"/>
            <wp:docPr id="4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2902206" cy="2902206"/>
                    </a:xfrm>
                    <a:prstGeom prst="rect">
                      <a:avLst/>
                    </a:prstGeom>
                    <a:ln w="12700">
                      <a:solidFill>
                        <a:srgbClr val="000000"/>
                      </a:solidFill>
                      <a:prstDash val="solid"/>
                    </a:ln>
                  </pic:spPr>
                </pic:pic>
              </a:graphicData>
            </a:graphic>
          </wp:inline>
        </w:drawing>
      </w:r>
    </w:p>
    <w:p xmlns:wp14="http://schemas.microsoft.com/office/word/2010/wordml" w:rsidR="00296AB9" w:rsidRDefault="00D2078E" w14:paraId="560C22F7" wp14:textId="77777777">
      <w:pPr>
        <w:jc w:val="center"/>
        <w:rPr>
          <w:b/>
          <w:bCs/>
          <w:color w:val="000000"/>
        </w:rPr>
      </w:pPr>
      <w:r>
        <w:rPr>
          <w:b/>
          <w:bCs/>
          <w:color w:val="000000"/>
        </w:rPr>
        <w:t>Figure 10: Gibbs' reflection cycle</w:t>
      </w:r>
    </w:p>
    <w:p xmlns:wp14="http://schemas.microsoft.com/office/word/2010/wordml" w:rsidR="00296AB9" w:rsidRDefault="00D2078E" w14:paraId="6CB5449E" wp14:textId="77777777">
      <w:pPr>
        <w:jc w:val="center"/>
        <w:rPr>
          <w:b/>
          <w:bCs/>
          <w:color w:val="000000"/>
        </w:rPr>
      </w:pPr>
      <w:r>
        <w:rPr>
          <w:b/>
          <w:bCs/>
          <w:color w:val="000000"/>
        </w:rPr>
        <w:t>Source :(The University of Edinburgh, 2024)</w:t>
      </w:r>
    </w:p>
    <w:p xmlns:wp14="http://schemas.microsoft.com/office/word/2010/wordml" w:rsidR="00296AB9" w:rsidRDefault="00D2078E" w14:paraId="6C7F3E71" wp14:textId="77777777">
      <w:pPr>
        <w:pStyle w:val="Heading3"/>
        <w:rPr>
          <w:color w:val="000000"/>
          <w:highlight w:val="yellow"/>
        </w:rPr>
      </w:pPr>
      <w:bookmarkStart w:name="_heading=h.7xlhgiy6v3uz" w:colFirst="0" w:colLast="0" w:id="22"/>
      <w:bookmarkEnd w:id="22"/>
      <w:r>
        <w:rPr>
          <w:color w:val="000000"/>
        </w:rPr>
        <w:t>Description:</w:t>
      </w:r>
    </w:p>
    <w:p xmlns:wp14="http://schemas.microsoft.com/office/word/2010/wordml" w:rsidR="00296AB9" w:rsidP="703578A6" w:rsidRDefault="00D2078E" w14:paraId="01C0112A" wp14:textId="77777777">
      <w:pPr>
        <w:rPr>
          <w:color w:val="000000" w:themeColor="text1" w:themeTint="FF" w:themeShade="FF"/>
        </w:rPr>
      </w:pPr>
      <w:r w:rsidR="00D2078E">
        <w:rPr/>
        <w:t>The above segment of the assignment has evaluated the information technology industry of India under the lens of a “multinational corporation</w:t>
      </w:r>
      <w:r w:rsidR="00D2078E">
        <w:rPr/>
        <w:t>”,</w:t>
      </w:r>
      <w:r w:rsidR="00D2078E">
        <w:rPr/>
        <w:t xml:space="preserve"> projected to evaluate the </w:t>
      </w:r>
      <w:r w:rsidR="00D2078E">
        <w:rPr/>
        <w:t>structure, competitiveness an</w:t>
      </w:r>
      <w:r w:rsidR="00D2078E">
        <w:rPr/>
        <w:t xml:space="preserve">d global incorporation within the Indian IT sector while addressing challenges and opportunities. This assignment </w:t>
      </w:r>
      <w:r w:rsidR="00D2078E">
        <w:rPr/>
        <w:t>initiated</w:t>
      </w:r>
      <w:r w:rsidR="00D2078E">
        <w:rPr/>
        <w:t xml:space="preserve"> with an industry overview, including its size, revenue of $232.2 billion by 2033, along with scope and conducting Global competitive</w:t>
      </w:r>
      <w:r w:rsidR="00D2078E">
        <w:rPr/>
        <w:t>ness using Porter diamond model with the involvement of stat</w:t>
      </w:r>
      <w:r w:rsidRPr="703578A6" w:rsidR="00D2078E">
        <w:rPr>
          <w:color w:val="000000" w:themeColor="text1" w:themeTint="FF" w:themeShade="FF"/>
        </w:rPr>
        <w:t xml:space="preserve">istical data about market development, FDI and employment in </w:t>
      </w:r>
      <w:r w:rsidRPr="703578A6" w:rsidR="00D2078E">
        <w:rPr>
          <w:color w:val="000000" w:themeColor="text1" w:themeTint="FF" w:themeShade="FF"/>
        </w:rPr>
        <w:t>India</w:t>
      </w:r>
      <w:r w:rsidRPr="703578A6" w:rsidR="00D2078E">
        <w:rPr>
          <w:color w:val="000000" w:themeColor="text1" w:themeTint="FF" w:themeShade="FF"/>
        </w:rPr>
        <w:t>(</w:t>
      </w:r>
      <w:r w:rsidRPr="703578A6" w:rsidR="00D2078E">
        <w:rPr>
          <w:color w:val="000000" w:themeColor="text1" w:themeTint="FF" w:themeShade="FF"/>
          <w:sz w:val="23"/>
          <w:szCs w:val="23"/>
          <w:highlight w:val="white"/>
        </w:rPr>
        <w:t>Grandviewresearch.com. 2024)</w:t>
      </w:r>
      <w:r w:rsidRPr="703578A6" w:rsidR="00D2078E">
        <w:rPr>
          <w:color w:val="000000" w:themeColor="text1" w:themeTint="FF" w:themeShade="FF"/>
        </w:rPr>
        <w:t xml:space="preserve">. How about this report recognising the various domestic and MNCs navigating in the IT sector with a </w:t>
      </w:r>
      <w:r w:rsidRPr="703578A6" w:rsidR="00D2078E">
        <w:rPr>
          <w:color w:val="000000" w:themeColor="text1" w:themeTint="FF" w:themeShade="FF"/>
        </w:rPr>
        <w:t xml:space="preserve">focus on TCS, Infosys, </w:t>
      </w:r>
      <w:r w:rsidRPr="703578A6" w:rsidR="00D2078E">
        <w:rPr>
          <w:color w:val="000000" w:themeColor="text1" w:themeTint="FF" w:themeShade="FF"/>
        </w:rPr>
        <w:t>Accenture</w:t>
      </w:r>
      <w:r w:rsidRPr="703578A6" w:rsidR="00D2078E">
        <w:rPr>
          <w:color w:val="000000" w:themeColor="text1" w:themeTint="FF" w:themeShade="FF"/>
        </w:rPr>
        <w:t xml:space="preserve"> and Cognizant, with a focus on global footprint and potential, with a focus on the demand, factor and related and supportive organisations with organisational strategy and rivalry. Accenture has been selected as an MNC as t</w:t>
      </w:r>
      <w:r w:rsidRPr="703578A6" w:rsidR="00D2078E">
        <w:rPr>
          <w:color w:val="000000" w:themeColor="text1" w:themeTint="FF" w:themeShade="FF"/>
        </w:rPr>
        <w:t xml:space="preserve">he case organisation for evaluating IT operations in India </w:t>
      </w:r>
      <w:r w:rsidRPr="703578A6" w:rsidR="00D2078E">
        <w:rPr>
          <w:color w:val="000000" w:themeColor="text1" w:themeTint="FF" w:themeShade="FF"/>
        </w:rPr>
        <w:t>(Aithal and Rao, 2024).</w:t>
      </w:r>
      <w:r w:rsidRPr="703578A6" w:rsidR="00D2078E">
        <w:rPr>
          <w:color w:val="000000" w:themeColor="text1" w:themeTint="FF" w:themeShade="FF"/>
        </w:rPr>
        <w:t xml:space="preserve"> External environment impact has been evaluated by using PESTLE, CAGE framework, Porter's five forces has been used for assessing the competitive market, SWOT analysis and va</w:t>
      </w:r>
      <w:r w:rsidRPr="703578A6" w:rsidR="00D2078E">
        <w:rPr>
          <w:color w:val="000000" w:themeColor="text1" w:themeTint="FF" w:themeShade="FF"/>
        </w:rPr>
        <w:t>lue chain framework has been conducted to present MNCs consider India as a favourable destination for IT hub.</w:t>
      </w:r>
    </w:p>
    <w:p xmlns:wp14="http://schemas.microsoft.com/office/word/2010/wordml" w:rsidR="00296AB9" w:rsidRDefault="00D2078E" w14:paraId="15DD4156" wp14:textId="77777777">
      <w:pPr>
        <w:pStyle w:val="Heading3"/>
        <w:rPr>
          <w:color w:val="000000"/>
          <w:highlight w:val="yellow"/>
        </w:rPr>
      </w:pPr>
      <w:bookmarkStart w:name="_heading=h.w5zwlpwtnk7j" w:id="23"/>
      <w:bookmarkEnd w:id="23"/>
      <w:r w:rsidRPr="703578A6" w:rsidR="00D2078E">
        <w:rPr>
          <w:color w:val="000000" w:themeColor="text1" w:themeTint="FF" w:themeShade="FF"/>
        </w:rPr>
        <w:t>Feelings:</w:t>
      </w:r>
    </w:p>
    <w:p xmlns:wp14="http://schemas.microsoft.com/office/word/2010/wordml" w:rsidR="00296AB9" w:rsidRDefault="00D2078E" w14:paraId="2907A983" wp14:textId="77777777">
      <w:pPr>
        <w:rPr>
          <w:color w:val="000000"/>
        </w:rPr>
      </w:pPr>
      <w:r w:rsidRPr="703578A6" w:rsidR="00D2078E">
        <w:rPr>
          <w:color w:val="000000" w:themeColor="text1" w:themeTint="FF" w:themeShade="FF"/>
        </w:rPr>
        <w:t>During this assignment procedure, primarily, I felt motivated as the Indian IT sector is highly relevant to the Global economy and techn</w:t>
      </w:r>
      <w:r w:rsidRPr="703578A6" w:rsidR="00D2078E">
        <w:rPr>
          <w:color w:val="000000" w:themeColor="text1" w:themeTint="FF" w:themeShade="FF"/>
        </w:rPr>
        <w:t xml:space="preserve">ology revolution </w:t>
      </w:r>
      <w:r w:rsidRPr="703578A6" w:rsidR="00D2078E">
        <w:rPr>
          <w:color w:val="000000" w:themeColor="text1" w:themeTint="FF" w:themeShade="FF"/>
        </w:rPr>
        <w:t>(Adebanjo</w:t>
      </w:r>
      <w:r w:rsidRPr="703578A6" w:rsidR="00D2078E">
        <w:rPr>
          <w:i w:val="1"/>
          <w:iCs w:val="1"/>
          <w:color w:val="000000" w:themeColor="text1" w:themeTint="FF" w:themeShade="FF"/>
        </w:rPr>
        <w:t xml:space="preserve"> et al., </w:t>
      </w:r>
      <w:r w:rsidRPr="703578A6" w:rsidR="00D2078E">
        <w:rPr>
          <w:color w:val="000000" w:themeColor="text1" w:themeTint="FF" w:themeShade="FF"/>
        </w:rPr>
        <w:t>2021)</w:t>
      </w:r>
      <w:r w:rsidRPr="703578A6" w:rsidR="00D2078E">
        <w:rPr>
          <w:color w:val="000000" w:themeColor="text1" w:themeTint="FF" w:themeShade="FF"/>
        </w:rPr>
        <w:t xml:space="preserve">. Following that I faced some challenges while researching credible and updated qualitative sources and industrial reports that can </w:t>
      </w:r>
      <w:r w:rsidRPr="703578A6" w:rsidR="00D2078E">
        <w:rPr>
          <w:color w:val="000000" w:themeColor="text1" w:themeTint="FF" w:themeShade="FF"/>
        </w:rPr>
        <w:t>assist</w:t>
      </w:r>
      <w:r w:rsidRPr="703578A6" w:rsidR="00D2078E">
        <w:rPr>
          <w:color w:val="000000" w:themeColor="text1" w:themeTint="FF" w:themeShade="FF"/>
        </w:rPr>
        <w:t xml:space="preserve"> my explanation and reasoning </w:t>
      </w:r>
      <w:r w:rsidRPr="703578A6" w:rsidR="00D2078E">
        <w:rPr>
          <w:color w:val="000000" w:themeColor="text1" w:themeTint="FF" w:themeShade="FF"/>
        </w:rPr>
        <w:t>regarding</w:t>
      </w:r>
      <w:r w:rsidRPr="703578A6" w:rsidR="00D2078E">
        <w:rPr>
          <w:color w:val="000000" w:themeColor="text1" w:themeTint="FF" w:themeShade="FF"/>
        </w:rPr>
        <w:t xml:space="preserve"> the points </w:t>
      </w:r>
      <w:r w:rsidRPr="703578A6" w:rsidR="00D2078E">
        <w:rPr>
          <w:color w:val="000000" w:themeColor="text1" w:themeTint="FF" w:themeShade="FF"/>
        </w:rPr>
        <w:t>(</w:t>
      </w:r>
      <w:r w:rsidRPr="703578A6" w:rsidR="00D2078E">
        <w:rPr>
          <w:color w:val="000000" w:themeColor="text1" w:themeTint="FF" w:themeShade="FF"/>
        </w:rPr>
        <w:t>Taherdoost</w:t>
      </w:r>
      <w:r w:rsidRPr="703578A6" w:rsidR="00D2078E">
        <w:rPr>
          <w:color w:val="000000" w:themeColor="text1" w:themeTint="FF" w:themeShade="FF"/>
        </w:rPr>
        <w:t>, 2021).</w:t>
      </w:r>
      <w:r w:rsidRPr="703578A6" w:rsidR="00D2078E">
        <w:rPr>
          <w:color w:val="000000" w:themeColor="text1" w:themeTint="FF" w:themeShade="FF"/>
        </w:rPr>
        <w:t xml:space="preserve"> Address</w:t>
      </w:r>
      <w:r w:rsidRPr="703578A6" w:rsidR="00D2078E">
        <w:rPr>
          <w:color w:val="000000" w:themeColor="text1" w:themeTint="FF" w:themeShade="FF"/>
        </w:rPr>
        <w:t>ing authentic statistical data and incorporating them with theoretical models such as Porter's Five Forces, diamond model, PESTLE, SWOT, and others requires a detailed appraisal of diverse articles and reports. After that, multiple sources and volumes of i</w:t>
      </w:r>
      <w:r w:rsidRPr="703578A6" w:rsidR="00D2078E">
        <w:rPr>
          <w:color w:val="000000" w:themeColor="text1" w:themeTint="FF" w:themeShade="FF"/>
        </w:rPr>
        <w:t>nformation have created confusion about the most relevant data supporting the argument. Instead of these barriers, I gained confidence as properly provided with information to support my opinion in the research result by incorporating theoretical framework</w:t>
      </w:r>
      <w:r w:rsidRPr="703578A6" w:rsidR="00D2078E">
        <w:rPr>
          <w:color w:val="000000" w:themeColor="text1" w:themeTint="FF" w:themeShade="FF"/>
        </w:rPr>
        <w:t>s</w:t>
      </w:r>
      <w:r w:rsidRPr="703578A6" w:rsidR="00D2078E">
        <w:rPr>
          <w:color w:val="000000" w:themeColor="text1" w:themeTint="FF" w:themeShade="FF"/>
        </w:rPr>
        <w:t xml:space="preserve"> (Passey, 2020)</w:t>
      </w:r>
      <w:r w:rsidRPr="703578A6" w:rsidR="00D2078E">
        <w:rPr>
          <w:color w:val="000000" w:themeColor="text1" w:themeTint="FF" w:themeShade="FF"/>
        </w:rPr>
        <w:t>.</w:t>
      </w:r>
    </w:p>
    <w:p xmlns:wp14="http://schemas.microsoft.com/office/word/2010/wordml" w:rsidR="00296AB9" w:rsidRDefault="00D2078E" w14:paraId="0DFB42F6" wp14:textId="77777777">
      <w:pPr>
        <w:pStyle w:val="Heading3"/>
        <w:rPr>
          <w:color w:val="000000"/>
          <w:highlight w:val="yellow"/>
        </w:rPr>
      </w:pPr>
      <w:bookmarkStart w:name="_heading=h.plscfgo9co55" w:id="24"/>
      <w:bookmarkEnd w:id="24"/>
      <w:r w:rsidRPr="703578A6" w:rsidR="00D2078E">
        <w:rPr>
          <w:color w:val="000000" w:themeColor="text1" w:themeTint="FF" w:themeShade="FF"/>
        </w:rPr>
        <w:t>Evaluation:</w:t>
      </w:r>
    </w:p>
    <w:p xmlns:wp14="http://schemas.microsoft.com/office/word/2010/wordml" w:rsidR="00296AB9" w:rsidRDefault="00D2078E" w14:paraId="5595C4F4" wp14:textId="77777777">
      <w:pPr>
        <w:rPr>
          <w:color w:val="000000"/>
        </w:rPr>
      </w:pPr>
      <w:bookmarkStart w:name="_heading=h.s2us45qxa92b" w:id="25"/>
      <w:bookmarkEnd w:id="25"/>
      <w:r w:rsidRPr="703578A6" w:rsidR="00D2078E">
        <w:rPr>
          <w:color w:val="000000" w:themeColor="text1" w:themeTint="FF" w:themeShade="FF"/>
        </w:rPr>
        <w:t>While conducting the assignment, I noticed various part was efficient as the main positive prospect of this assignment includes the utilisation of authentic data sources, news articles and industry reports such as “IBEF, Grand View Research, Times of India</w:t>
      </w:r>
      <w:r w:rsidRPr="703578A6" w:rsidR="00D2078E">
        <w:rPr>
          <w:color w:val="000000" w:themeColor="text1" w:themeTint="FF" w:themeShade="FF"/>
        </w:rPr>
        <w:t>, Economic Times and credible articles from Google scholars” regarding the development in the Indian IT industry. These sources delivered relatable statistical information on the market size and employment, which improves the economic importance in industr</w:t>
      </w:r>
      <w:r w:rsidRPr="703578A6" w:rsidR="00D2078E">
        <w:rPr>
          <w:color w:val="000000" w:themeColor="text1" w:themeTint="FF" w:themeShade="FF"/>
        </w:rPr>
        <w:t xml:space="preserve">y </w:t>
      </w:r>
      <w:r w:rsidRPr="703578A6" w:rsidR="00D2078E">
        <w:rPr>
          <w:color w:val="000000" w:themeColor="text1" w:themeTint="FF" w:themeShade="FF"/>
        </w:rPr>
        <w:t>(Hamzat, Abiodun and Joseph, 2023).</w:t>
      </w:r>
      <w:r w:rsidRPr="703578A6" w:rsidR="00D2078E">
        <w:rPr>
          <w:color w:val="000000" w:themeColor="text1" w:themeTint="FF" w:themeShade="FF"/>
        </w:rPr>
        <w:t xml:space="preserve"> Strength depends on the utilisation of the analytical framework of “Porter's diamond model, PESTLE, CAGE, SWOT, porter five forces” which enables research to transition beyond smooth description and deliver in death in</w:t>
      </w:r>
      <w:r w:rsidRPr="703578A6" w:rsidR="00D2078E">
        <w:rPr>
          <w:color w:val="000000" w:themeColor="text1" w:themeTint="FF" w:themeShade="FF"/>
        </w:rPr>
        <w:t xml:space="preserve">formation. The barriers I faced was recognising the proper and recent market information </w:t>
      </w:r>
      <w:r w:rsidRPr="703578A6" w:rsidR="00D2078E">
        <w:rPr>
          <w:color w:val="000000" w:themeColor="text1" w:themeTint="FF" w:themeShade="FF"/>
        </w:rPr>
        <w:t>regarding</w:t>
      </w:r>
      <w:r w:rsidRPr="703578A6" w:rsidR="00D2078E">
        <w:rPr>
          <w:color w:val="000000" w:themeColor="text1" w:themeTint="FF" w:themeShade="FF"/>
        </w:rPr>
        <w:t xml:space="preserve"> the IT sector. As various websites delivered inconsistent data about industry size and development functionality for these challenges, I cross-checked inform</w:t>
      </w:r>
      <w:r w:rsidRPr="703578A6" w:rsidR="00D2078E">
        <w:rPr>
          <w:color w:val="000000" w:themeColor="text1" w:themeTint="FF" w:themeShade="FF"/>
        </w:rPr>
        <w:t xml:space="preserve">ation over various reports and used the authentic ones </w:t>
      </w:r>
      <w:r w:rsidRPr="703578A6" w:rsidR="00D2078E">
        <w:rPr>
          <w:color w:val="000000" w:themeColor="text1" w:themeTint="FF" w:themeShade="FF"/>
        </w:rPr>
        <w:t>(Markowitz</w:t>
      </w:r>
      <w:r w:rsidRPr="703578A6" w:rsidR="00D2078E">
        <w:rPr>
          <w:i w:val="1"/>
          <w:iCs w:val="1"/>
          <w:color w:val="000000" w:themeColor="text1" w:themeTint="FF" w:themeShade="FF"/>
        </w:rPr>
        <w:t xml:space="preserve"> et al</w:t>
      </w:r>
      <w:r w:rsidRPr="703578A6" w:rsidR="00D2078E">
        <w:rPr>
          <w:color w:val="000000" w:themeColor="text1" w:themeTint="FF" w:themeShade="FF"/>
        </w:rPr>
        <w:t xml:space="preserve">., 2023). </w:t>
      </w:r>
      <w:r w:rsidRPr="703578A6" w:rsidR="00D2078E">
        <w:rPr>
          <w:color w:val="000000" w:themeColor="text1" w:themeTint="FF" w:themeShade="FF"/>
        </w:rPr>
        <w:t>While incorporating theory, it was primarily challenging to connect theoretical ideas with the real-world insights and mitigate the issue through using data from India's large</w:t>
      </w:r>
      <w:r w:rsidRPr="703578A6" w:rsidR="00D2078E">
        <w:rPr>
          <w:color w:val="000000" w:themeColor="text1" w:themeTint="FF" w:themeShade="FF"/>
        </w:rPr>
        <w:t xml:space="preserve"> STEM graduate population and enhancing digital transitional requirements with solidified evaluation. By applying PESTLE, SWOT, BCG matrix, and CAGE needs particular policy, cultural and geographical functions and relevant strengths and weaknesses faced va</w:t>
      </w:r>
      <w:r w:rsidRPr="703578A6" w:rsidR="00D2078E">
        <w:rPr>
          <w:color w:val="000000" w:themeColor="text1" w:themeTint="FF" w:themeShade="FF"/>
        </w:rPr>
        <w:t>rious difficulties through reaving government policies, including GST, tax, cultural practices, average GDP and recognising the accurate star, dog services, I became able to deliver a clear example of external factors impacting the IT hub of India.</w:t>
      </w:r>
    </w:p>
    <w:p xmlns:wp14="http://schemas.microsoft.com/office/word/2010/wordml" w:rsidR="00296AB9" w:rsidRDefault="00D2078E" w14:paraId="7B3A94C0" wp14:textId="77777777">
      <w:pPr>
        <w:pStyle w:val="Heading3"/>
        <w:rPr>
          <w:color w:val="000000"/>
          <w:highlight w:val="yellow"/>
        </w:rPr>
      </w:pPr>
      <w:bookmarkStart w:name="_heading=h.p1xtocct2q66" w:id="26"/>
      <w:bookmarkEnd w:id="26"/>
      <w:r w:rsidRPr="703578A6" w:rsidR="00D2078E">
        <w:rPr>
          <w:color w:val="000000" w:themeColor="text1" w:themeTint="FF" w:themeShade="FF"/>
        </w:rPr>
        <w:t>Analysi</w:t>
      </w:r>
      <w:r w:rsidRPr="703578A6" w:rsidR="00D2078E">
        <w:rPr>
          <w:color w:val="000000" w:themeColor="text1" w:themeTint="FF" w:themeShade="FF"/>
        </w:rPr>
        <w:t>s:</w:t>
      </w:r>
    </w:p>
    <w:p xmlns:wp14="http://schemas.microsoft.com/office/word/2010/wordml" w:rsidR="00296AB9" w:rsidRDefault="00D2078E" w14:paraId="325A0530" wp14:textId="77777777">
      <w:pPr>
        <w:rPr>
          <w:color w:val="000000"/>
        </w:rPr>
      </w:pPr>
      <w:r w:rsidRPr="703578A6" w:rsidR="00D2078E">
        <w:rPr>
          <w:color w:val="000000" w:themeColor="text1" w:themeTint="FF" w:themeShade="FF"/>
        </w:rPr>
        <w:t>The evaluation unit of this assignment used various strategic frameworks and models to examine the Indian IT sector and operational setting with the MNCs. The primary framework used was the Porter diamond model, which allowed me to examine the reasons I</w:t>
      </w:r>
      <w:r w:rsidRPr="703578A6" w:rsidR="00D2078E">
        <w:rPr>
          <w:color w:val="000000" w:themeColor="text1" w:themeTint="FF" w:themeShade="FF"/>
        </w:rPr>
        <w:t xml:space="preserve">ndia became a dominant competitive leader in the global information technology sector </w:t>
      </w:r>
      <w:r w:rsidRPr="703578A6" w:rsidR="00D2078E">
        <w:rPr>
          <w:color w:val="000000" w:themeColor="text1" w:themeTint="FF" w:themeShade="FF"/>
        </w:rPr>
        <w:t xml:space="preserve">(Sengupta, </w:t>
      </w:r>
      <w:r w:rsidRPr="703578A6" w:rsidR="00D2078E">
        <w:rPr>
          <w:color w:val="000000" w:themeColor="text1" w:themeTint="FF" w:themeShade="FF"/>
        </w:rPr>
        <w:t>Patel</w:t>
      </w:r>
      <w:r w:rsidRPr="703578A6" w:rsidR="00D2078E">
        <w:rPr>
          <w:color w:val="000000" w:themeColor="text1" w:themeTint="FF" w:themeShade="FF"/>
        </w:rPr>
        <w:t xml:space="preserve"> and Zaman, 2020)</w:t>
      </w:r>
      <w:r w:rsidRPr="703578A6" w:rsidR="00D2078E">
        <w:rPr>
          <w:color w:val="000000" w:themeColor="text1" w:themeTint="FF" w:themeShade="FF"/>
        </w:rPr>
        <w:t xml:space="preserve">. As the factor condition element </w:t>
      </w:r>
      <w:r w:rsidRPr="703578A6" w:rsidR="00D2078E">
        <w:rPr>
          <w:color w:val="000000" w:themeColor="text1" w:themeTint="FF" w:themeShade="FF"/>
        </w:rPr>
        <w:t>presented about wider employees and accessibility of the STEM graduate community and IT experts. This d</w:t>
      </w:r>
      <w:r w:rsidRPr="703578A6" w:rsidR="00D2078E">
        <w:rPr>
          <w:color w:val="000000" w:themeColor="text1" w:themeTint="FF" w:themeShade="FF"/>
        </w:rPr>
        <w:t xml:space="preserve">elivers multinational organisations the credibility and resources to gain cost-effective and skilled employees </w:t>
      </w:r>
      <w:r w:rsidRPr="703578A6" w:rsidR="00D2078E">
        <w:rPr>
          <w:color w:val="000000" w:themeColor="text1" w:themeTint="FF" w:themeShade="FF"/>
        </w:rPr>
        <w:t>(</w:t>
      </w:r>
      <w:r w:rsidRPr="703578A6" w:rsidR="00D2078E">
        <w:rPr>
          <w:color w:val="000000" w:themeColor="text1" w:themeTint="FF" w:themeShade="FF"/>
        </w:rPr>
        <w:t>Tayali</w:t>
      </w:r>
      <w:r w:rsidRPr="703578A6" w:rsidR="00D2078E">
        <w:rPr>
          <w:color w:val="000000" w:themeColor="text1" w:themeTint="FF" w:themeShade="FF"/>
        </w:rPr>
        <w:t xml:space="preserve"> and Sakyi, 2020).</w:t>
      </w:r>
      <w:r w:rsidRPr="703578A6" w:rsidR="00D2078E">
        <w:rPr>
          <w:color w:val="000000" w:themeColor="text1" w:themeTint="FF" w:themeShade="FF"/>
        </w:rPr>
        <w:t xml:space="preserve"> PESTLE framework utilisation revealed about the IT sector for providing knowledge to Accenture as well</w:t>
      </w:r>
      <w:r w:rsidR="00D2078E">
        <w:rPr/>
        <w:t xml:space="preserve"> as MNCs in India</w:t>
      </w:r>
      <w:r w:rsidR="00D2078E">
        <w:rPr/>
        <w:t xml:space="preserve"> while </w:t>
      </w:r>
      <w:r w:rsidR="00D2078E">
        <w:rPr/>
        <w:t>operating</w:t>
      </w:r>
      <w:r w:rsidR="00D2078E">
        <w:rPr/>
        <w:t xml:space="preserve"> with the lens of trade agreement, tax policies, inflation rate, environmental </w:t>
      </w:r>
      <w:r w:rsidR="00D2078E">
        <w:rPr/>
        <w:t>regulations</w:t>
      </w:r>
      <w:r w:rsidR="00D2078E">
        <w:rPr/>
        <w:t xml:space="preserve"> and social requirements for tech-skilled people. The CAGE framework </w:t>
      </w:r>
      <w:r w:rsidR="00D2078E">
        <w:rPr/>
        <w:t>properly evaluates</w:t>
      </w:r>
      <w:r w:rsidR="00D2078E">
        <w:rPr/>
        <w:t xml:space="preserve"> the distances segmenting with cultural, administrative geograp</w:t>
      </w:r>
      <w:r w:rsidR="00D2078E">
        <w:rPr/>
        <w:t>hic and economic factors, alo</w:t>
      </w:r>
      <w:r w:rsidRPr="703578A6" w:rsidR="00D2078E">
        <w:rPr>
          <w:color w:val="000000" w:themeColor="text1" w:themeTint="FF" w:themeShade="FF"/>
        </w:rPr>
        <w:t xml:space="preserve">ng with Porter's 5 forces, </w:t>
      </w:r>
      <w:r w:rsidRPr="703578A6" w:rsidR="00D2078E">
        <w:rPr>
          <w:color w:val="000000" w:themeColor="text1" w:themeTint="FF" w:themeShade="FF"/>
        </w:rPr>
        <w:t>demonstrating</w:t>
      </w:r>
      <w:r w:rsidRPr="703578A6" w:rsidR="00D2078E">
        <w:rPr>
          <w:color w:val="000000" w:themeColor="text1" w:themeTint="FF" w:themeShade="FF"/>
        </w:rPr>
        <w:t xml:space="preserve"> the high impact from rivalry, buyer power and low threat from new entrants and supplier power, along with medium from substitutes</w:t>
      </w:r>
      <w:r w:rsidRPr="703578A6" w:rsidR="00D2078E">
        <w:rPr>
          <w:color w:val="000000" w:themeColor="text1" w:themeTint="FF" w:themeShade="FF"/>
        </w:rPr>
        <w:t xml:space="preserve"> (Ndzabukelwako </w:t>
      </w:r>
      <w:r w:rsidRPr="703578A6" w:rsidR="00D2078E">
        <w:rPr>
          <w:i w:val="1"/>
          <w:iCs w:val="1"/>
          <w:color w:val="000000" w:themeColor="text1" w:themeTint="FF" w:themeShade="FF"/>
        </w:rPr>
        <w:t>et al.,</w:t>
      </w:r>
      <w:r w:rsidRPr="703578A6" w:rsidR="00D2078E">
        <w:rPr>
          <w:color w:val="000000" w:themeColor="text1" w:themeTint="FF" w:themeShade="FF"/>
        </w:rPr>
        <w:t xml:space="preserve"> 2024)</w:t>
      </w:r>
      <w:r w:rsidRPr="703578A6" w:rsidR="00D2078E">
        <w:rPr>
          <w:color w:val="000000" w:themeColor="text1" w:themeTint="FF" w:themeShade="FF"/>
        </w:rPr>
        <w:t>. I have used the SWOT and B</w:t>
      </w:r>
      <w:r w:rsidRPr="703578A6" w:rsidR="00D2078E">
        <w:rPr>
          <w:color w:val="000000" w:themeColor="text1" w:themeTint="FF" w:themeShade="FF"/>
        </w:rPr>
        <w:t xml:space="preserve">CG matrix as they help to deliver the actual strengths, </w:t>
      </w:r>
      <w:r w:rsidRPr="703578A6" w:rsidR="00D2078E">
        <w:rPr>
          <w:color w:val="000000" w:themeColor="text1" w:themeTint="FF" w:themeShade="FF"/>
        </w:rPr>
        <w:t>opportunities</w:t>
      </w:r>
      <w:r w:rsidRPr="703578A6" w:rsidR="00D2078E">
        <w:rPr>
          <w:color w:val="000000" w:themeColor="text1" w:themeTint="FF" w:themeShade="FF"/>
        </w:rPr>
        <w:t xml:space="preserve"> and threat sources to improve understanding and the BCG matrix to address the comparison between IT market share and development. I could use the Ansoff matrix, the 7 Ps marketing model,</w:t>
      </w:r>
      <w:r w:rsidRPr="703578A6" w:rsidR="00D2078E">
        <w:rPr>
          <w:color w:val="000000" w:themeColor="text1" w:themeTint="FF" w:themeShade="FF"/>
        </w:rPr>
        <w:t xml:space="preserve"> to address the actual service-oriented competitors and allow Accenture to recognise the authentic market opportunities and mitigate threats.</w:t>
      </w:r>
    </w:p>
    <w:p xmlns:wp14="http://schemas.microsoft.com/office/word/2010/wordml" w:rsidR="00296AB9" w:rsidRDefault="00D2078E" w14:paraId="392B4835" wp14:textId="77777777">
      <w:pPr>
        <w:pStyle w:val="Heading3"/>
        <w:rPr>
          <w:color w:val="000000"/>
          <w:highlight w:val="yellow"/>
        </w:rPr>
      </w:pPr>
      <w:bookmarkStart w:name="_heading=h.nx2912f2nby" w:id="27"/>
      <w:bookmarkEnd w:id="27"/>
      <w:r w:rsidRPr="703578A6" w:rsidR="00D2078E">
        <w:rPr>
          <w:color w:val="000000" w:themeColor="text1" w:themeTint="FF" w:themeShade="FF"/>
        </w:rPr>
        <w:t xml:space="preserve">Conclusion: </w:t>
      </w:r>
    </w:p>
    <w:p xmlns:wp14="http://schemas.microsoft.com/office/word/2010/wordml" w:rsidR="00296AB9" w:rsidRDefault="00D2078E" w14:paraId="5B3B1262" wp14:textId="77777777">
      <w:pPr>
        <w:rPr>
          <w:color w:val="000000"/>
        </w:rPr>
      </w:pPr>
      <w:r w:rsidRPr="703578A6" w:rsidR="00D2078E">
        <w:rPr>
          <w:color w:val="000000" w:themeColor="text1" w:themeTint="FF" w:themeShade="FF"/>
        </w:rPr>
        <w:t xml:space="preserve">I have gained in-depth insight from this assignment </w:t>
      </w:r>
      <w:r w:rsidRPr="703578A6" w:rsidR="00D2078E">
        <w:rPr>
          <w:color w:val="000000" w:themeColor="text1" w:themeTint="FF" w:themeShade="FF"/>
        </w:rPr>
        <w:t>regarding</w:t>
      </w:r>
      <w:r w:rsidRPr="703578A6" w:rsidR="00D2078E">
        <w:rPr>
          <w:color w:val="000000" w:themeColor="text1" w:themeTint="FF" w:themeShade="FF"/>
        </w:rPr>
        <w:t xml:space="preserve"> the Global c</w:t>
      </w:r>
      <w:r w:rsidRPr="703578A6" w:rsidR="00D2078E">
        <w:rPr>
          <w:color w:val="000000" w:themeColor="text1" w:themeTint="FF" w:themeShade="FF"/>
        </w:rPr>
        <w:t>ompetition of the Indian IT</w:t>
      </w:r>
      <w:r w:rsidRPr="703578A6" w:rsidR="00D2078E">
        <w:rPr>
          <w:color w:val="000000" w:themeColor="text1" w:themeTint="FF" w:themeShade="FF"/>
        </w:rPr>
        <w:t xml:space="preserve"> market and the pivotal role of multinational firms such as Accenture. The learning aspect relies on the significance of integrating credible and relevant theoretical frameworks with the practical and current industry information to deliver evidence-orient</w:t>
      </w:r>
      <w:r w:rsidRPr="703578A6" w:rsidR="00D2078E">
        <w:rPr>
          <w:color w:val="000000" w:themeColor="text1" w:themeTint="FF" w:themeShade="FF"/>
        </w:rPr>
        <w:t>ed outcomes.</w:t>
      </w:r>
    </w:p>
    <w:p xmlns:wp14="http://schemas.microsoft.com/office/word/2010/wordml" w:rsidR="00296AB9" w:rsidRDefault="00D2078E" w14:paraId="4B7F2FE0" wp14:textId="77777777">
      <w:pPr>
        <w:pStyle w:val="Heading3"/>
        <w:rPr>
          <w:color w:val="000000"/>
          <w:highlight w:val="yellow"/>
        </w:rPr>
      </w:pPr>
      <w:bookmarkStart w:name="_heading=h.eypzj3ocx9v6" w:colFirst="0" w:colLast="0" w:id="28"/>
      <w:bookmarkEnd w:id="28"/>
      <w:r>
        <w:rPr>
          <w:color w:val="000000"/>
        </w:rPr>
        <w:t xml:space="preserve">Action plan </w:t>
      </w:r>
    </w:p>
    <w:p xmlns:wp14="http://schemas.microsoft.com/office/word/2010/wordml" w:rsidR="00296AB9" w:rsidRDefault="00D2078E" w14:paraId="3BCF8966" wp14:textId="77777777">
      <w:pPr>
        <w:rPr>
          <w:color w:val="000000"/>
        </w:rPr>
      </w:pPr>
      <w:bookmarkStart w:name="_heading=h.64eolbzavgdi" w:id="29"/>
      <w:bookmarkEnd w:id="29"/>
      <w:r w:rsidRPr="703578A6" w:rsidR="00D2078E">
        <w:rPr>
          <w:color w:val="000000" w:themeColor="text1" w:themeTint="FF" w:themeShade="FF"/>
        </w:rPr>
        <w:t>I</w:t>
      </w:r>
      <w:r w:rsidRPr="703578A6" w:rsidR="00D2078E">
        <w:rPr>
          <w:color w:val="000000" w:themeColor="text1" w:themeTint="FF" w:themeShade="FF"/>
        </w:rPr>
        <w:t xml:space="preserve"> have designed to expand my research and analytical skills through using a broader range of academic journals, peer-reviewed articles, rather than using mostly the industry and news websites for enhancing the reliability of any f</w:t>
      </w:r>
      <w:r w:rsidRPr="703578A6" w:rsidR="00D2078E">
        <w:rPr>
          <w:color w:val="000000" w:themeColor="text1" w:themeTint="FF" w:themeShade="FF"/>
        </w:rPr>
        <w:t xml:space="preserve">uture assignment </w:t>
      </w:r>
      <w:r w:rsidRPr="703578A6" w:rsidR="00D2078E">
        <w:rPr>
          <w:color w:val="000000" w:themeColor="text1" w:themeTint="FF" w:themeShade="FF"/>
        </w:rPr>
        <w:t>(</w:t>
      </w:r>
      <w:r w:rsidRPr="703578A6" w:rsidR="00D2078E">
        <w:rPr>
          <w:color w:val="000000" w:themeColor="text1" w:themeTint="FF" w:themeShade="FF"/>
        </w:rPr>
        <w:t>Chertow</w:t>
      </w:r>
      <w:r w:rsidRPr="703578A6" w:rsidR="00D2078E">
        <w:rPr>
          <w:color w:val="000000" w:themeColor="text1" w:themeTint="FF" w:themeShade="FF"/>
        </w:rPr>
        <w:t xml:space="preserve">, </w:t>
      </w:r>
      <w:r w:rsidRPr="703578A6" w:rsidR="00D2078E">
        <w:rPr>
          <w:color w:val="000000" w:themeColor="text1" w:themeTint="FF" w:themeShade="FF"/>
        </w:rPr>
        <w:t>Kanaoka</w:t>
      </w:r>
      <w:r w:rsidRPr="703578A6" w:rsidR="00D2078E">
        <w:rPr>
          <w:color w:val="000000" w:themeColor="text1" w:themeTint="FF" w:themeShade="FF"/>
        </w:rPr>
        <w:t xml:space="preserve"> and Park, 2021)</w:t>
      </w:r>
      <w:r w:rsidRPr="703578A6" w:rsidR="00D2078E">
        <w:rPr>
          <w:color w:val="000000" w:themeColor="text1" w:themeTint="FF" w:themeShade="FF"/>
        </w:rPr>
        <w:t xml:space="preserve">. Creating a transparent research structure at the start of the assignment can help me to improve the research outcome through using critical thinking skills </w:t>
      </w:r>
      <w:r w:rsidRPr="703578A6" w:rsidR="00D2078E">
        <w:rPr>
          <w:color w:val="000000" w:themeColor="text1" w:themeTint="FF" w:themeShade="FF"/>
        </w:rPr>
        <w:t>(Reynders et al., 2020).</w:t>
      </w:r>
      <w:r w:rsidRPr="703578A6" w:rsidR="00D2078E">
        <w:rPr>
          <w:color w:val="000000" w:themeColor="text1" w:themeTint="FF" w:themeShade="FF"/>
        </w:rPr>
        <w:t xml:space="preserve"> Additionally, I have in</w:t>
      </w:r>
      <w:r w:rsidRPr="703578A6" w:rsidR="00D2078E">
        <w:rPr>
          <w:color w:val="000000" w:themeColor="text1" w:themeTint="FF" w:themeShade="FF"/>
        </w:rPr>
        <w:t xml:space="preserve">tended to improve </w:t>
      </w:r>
      <w:r w:rsidRPr="703578A6" w:rsidR="00D2078E">
        <w:rPr>
          <w:color w:val="000000" w:themeColor="text1" w:themeTint="FF" w:themeShade="FF"/>
        </w:rPr>
        <w:t>my potential in using and integrating theoretica</w:t>
      </w:r>
      <w:r w:rsidRPr="703578A6" w:rsidR="00D2078E">
        <w:rPr>
          <w:color w:val="000000" w:themeColor="text1" w:themeTint="FF" w:themeShade="FF"/>
        </w:rPr>
        <w:t>l models with industry data through using analytical skills in future. On the other hand, I will focus on improving my academic writing skills to improve the referencing accuracy and critic</w:t>
      </w:r>
      <w:r w:rsidRPr="703578A6" w:rsidR="00D2078E">
        <w:rPr>
          <w:color w:val="000000" w:themeColor="text1" w:themeTint="FF" w:themeShade="FF"/>
        </w:rPr>
        <w:t>a</w:t>
      </w:r>
      <w:r w:rsidRPr="703578A6" w:rsidR="00D2078E">
        <w:rPr>
          <w:color w:val="000000" w:themeColor="text1" w:themeTint="FF" w:themeShade="FF"/>
        </w:rPr>
        <w:t xml:space="preserve">l assessment prospect to improve the supporting data while presenting arguments </w:t>
      </w:r>
      <w:r w:rsidRPr="703578A6" w:rsidR="00D2078E">
        <w:rPr>
          <w:color w:val="000000" w:themeColor="text1" w:themeTint="FF" w:themeShade="FF"/>
        </w:rPr>
        <w:t>(Zhang and Wu, 2024)</w:t>
      </w:r>
      <w:r w:rsidRPr="703578A6" w:rsidR="00D2078E">
        <w:rPr>
          <w:color w:val="000000" w:themeColor="text1" w:themeTint="FF" w:themeShade="FF"/>
        </w:rPr>
        <w:t>. Focusing on this perspective, I can create an in-depth exploration and a transparent</w:t>
      </w:r>
      <w:r w:rsidRPr="703578A6" w:rsidR="00D2078E">
        <w:rPr>
          <w:color w:val="000000" w:themeColor="text1" w:themeTint="FF" w:themeShade="FF"/>
        </w:rPr>
        <w:t xml:space="preserve"> argument while improving academic reliability in future </w:t>
      </w:r>
      <w:r w:rsidRPr="703578A6" w:rsidR="00D2078E">
        <w:rPr>
          <w:color w:val="000000" w:themeColor="text1" w:themeTint="FF" w:themeShade="FF"/>
        </w:rPr>
        <w:t>work.</w:t>
      </w:r>
      <w:r>
        <w:br w:type="page"/>
      </w:r>
    </w:p>
    <w:p xmlns:wp14="http://schemas.microsoft.com/office/word/2010/wordml" w:rsidR="00296AB9" w:rsidRDefault="00D2078E" w14:paraId="459C7026" wp14:textId="77777777">
      <w:pPr>
        <w:pStyle w:val="Heading1"/>
      </w:pPr>
      <w:bookmarkStart w:name="_heading=h.aadvmt289b8i" w:colFirst="0" w:colLast="0" w:id="30"/>
      <w:bookmarkEnd w:id="30"/>
      <w:r>
        <w:t>Refere</w:t>
      </w:r>
      <w:r>
        <w:t xml:space="preserve">nces </w:t>
      </w:r>
    </w:p>
    <w:p xmlns:wp14="http://schemas.microsoft.com/office/word/2010/wordml" w:rsidR="00CF2856" w:rsidRDefault="00CF2856" w14:paraId="1830E08D" wp14:textId="77777777">
      <w:pPr>
        <w:spacing w:before="0" w:after="0"/>
      </w:pPr>
      <w:r>
        <w:t xml:space="preserve">24 Time Zones (2025). </w:t>
      </w:r>
      <w:r>
        <w:rPr>
          <w:i/>
          <w:iCs/>
        </w:rPr>
        <w:t>Ireland time to India time conversion</w:t>
      </w:r>
      <w:r>
        <w:t xml:space="preserve">. [online] 24timezones.com. Available at: </w:t>
      </w:r>
      <w:hyperlink r:id="rId20">
        <w:r>
          <w:rPr>
            <w:color w:val="1155CC"/>
            <w:u w:val="single"/>
          </w:rPr>
          <w:t>https://24timezones.com/difference/ireland/india</w:t>
        </w:r>
      </w:hyperlink>
      <w:r>
        <w:t xml:space="preserve">. </w:t>
      </w:r>
    </w:p>
    <w:p xmlns:wp14="http://schemas.microsoft.com/office/word/2010/wordml" w:rsidR="00CF2856" w:rsidRDefault="00CF2856" w14:paraId="18DF3C8B" wp14:textId="77777777">
      <w:pPr>
        <w:spacing w:before="0" w:after="0"/>
      </w:pPr>
      <w:r>
        <w:t xml:space="preserve">Accenture (2023). </w:t>
      </w:r>
      <w:r>
        <w:rPr>
          <w:i/>
          <w:iCs/>
        </w:rPr>
        <w:t>Unlock Autonomous Fulfillment for Supply Chain | Accenture</w:t>
      </w:r>
      <w:r>
        <w:t xml:space="preserve">. [online] Accenture.com. Available at: </w:t>
      </w:r>
      <w:hyperlink r:id="rId21">
        <w:r>
          <w:rPr>
            <w:color w:val="1155CC"/>
            <w:u w:val="single"/>
          </w:rPr>
          <w:t>https://www.accenture.com/us-en/services/supply-chain/autonomous-fulfillment</w:t>
        </w:r>
      </w:hyperlink>
      <w:r>
        <w:t xml:space="preserve">. </w:t>
      </w:r>
    </w:p>
    <w:p xmlns:wp14="http://schemas.microsoft.com/office/word/2010/wordml" w:rsidR="00CF2856" w:rsidRDefault="00CF2856" w14:paraId="0262B247" wp14:textId="77777777">
      <w:pPr>
        <w:spacing w:before="0" w:after="0"/>
        <w:rPr>
          <w:color w:val="1F1F1F"/>
          <w:highlight w:val="white"/>
        </w:rPr>
      </w:pPr>
      <w:r>
        <w:rPr>
          <w:color w:val="1F1F1F"/>
          <w:highlight w:val="white"/>
        </w:rPr>
        <w:t xml:space="preserve">Accenture (2024). </w:t>
      </w:r>
      <w:r>
        <w:rPr>
          <w:i/>
          <w:iCs/>
          <w:color w:val="1F1F1F"/>
          <w:highlight w:val="white"/>
        </w:rPr>
        <w:t>Delivering value from every angle</w:t>
      </w:r>
      <w:r>
        <w:rPr>
          <w:color w:val="1F1F1F"/>
          <w:highlight w:val="white"/>
        </w:rPr>
        <w:t xml:space="preserve">. [online] Available at: </w:t>
      </w:r>
      <w:hyperlink r:id="rId22">
        <w:r>
          <w:rPr>
            <w:color w:val="1155CC"/>
            <w:highlight w:val="white"/>
            <w:u w:val="single"/>
          </w:rPr>
          <w:t>https://www.accenture.com/content/dam/accenture/final/corporate/company-information/document/Accenture-360-Value-Report-2024.pdf</w:t>
        </w:r>
      </w:hyperlink>
      <w:r>
        <w:rPr>
          <w:color w:val="1F1F1F"/>
          <w:highlight w:val="white"/>
        </w:rPr>
        <w:t xml:space="preserve">. </w:t>
      </w:r>
    </w:p>
    <w:p xmlns:wp14="http://schemas.microsoft.com/office/word/2010/wordml" w:rsidR="00CF2856" w:rsidRDefault="00CF2856" w14:paraId="02330CFE" wp14:textId="77777777">
      <w:pPr>
        <w:spacing w:before="0" w:after="0"/>
      </w:pPr>
      <w:r>
        <w:t xml:space="preserve">Accenture (2024). </w:t>
      </w:r>
      <w:r>
        <w:rPr>
          <w:i/>
          <w:iCs/>
        </w:rPr>
        <w:t>What is Supply Chain Management (SCM)? | Accenture</w:t>
      </w:r>
      <w:r>
        <w:t xml:space="preserve">. [online] www.accenture.com. Available at: </w:t>
      </w:r>
      <w:hyperlink r:id="rId23">
        <w:r>
          <w:rPr>
            <w:color w:val="1155CC"/>
            <w:u w:val="single"/>
          </w:rPr>
          <w:t>https://www.accenture.com/in-en/insights/supply-chain-operations/supply-chain-management-operations-index</w:t>
        </w:r>
      </w:hyperlink>
      <w:r>
        <w:t xml:space="preserve">. </w:t>
      </w:r>
    </w:p>
    <w:p xmlns:wp14="http://schemas.microsoft.com/office/word/2010/wordml" w:rsidR="00CF2856" w:rsidRDefault="00CF2856" w14:paraId="37ED0C60" wp14:textId="77777777">
      <w:pPr>
        <w:spacing w:before="0" w:after="0"/>
      </w:pPr>
      <w:r>
        <w:t xml:space="preserve">Accenture (2025). </w:t>
      </w:r>
      <w:r>
        <w:rPr>
          <w:i/>
          <w:iCs/>
        </w:rPr>
        <w:t>Managed Services</w:t>
      </w:r>
      <w:r>
        <w:t xml:space="preserve">. [online] Accenture.com. Available at: </w:t>
      </w:r>
      <w:hyperlink r:id="rId24">
        <w:r>
          <w:rPr>
            <w:color w:val="1155CC"/>
            <w:u w:val="single"/>
          </w:rPr>
          <w:t>https://www.accenture.com/pl-pl/about/operations-index</w:t>
        </w:r>
      </w:hyperlink>
      <w:r>
        <w:t xml:space="preserve">. </w:t>
      </w:r>
    </w:p>
    <w:p xmlns:wp14="http://schemas.microsoft.com/office/word/2010/wordml" w:rsidR="00CF2856" w:rsidRDefault="00CF2856" w14:paraId="749ED6D3" wp14:textId="77777777">
      <w:pPr>
        <w:spacing w:before="0" w:after="0"/>
      </w:pPr>
      <w:r>
        <w:t xml:space="preserve">Accenture (2026). </w:t>
      </w:r>
      <w:r>
        <w:rPr>
          <w:i/>
          <w:iCs/>
        </w:rPr>
        <w:t>Perception is reality: Closing stakeholder consensus gaps to shape sustainable organizations</w:t>
      </w:r>
      <w:r>
        <w:t xml:space="preserve">. [online] www.accenture.com. Available at: </w:t>
      </w:r>
      <w:hyperlink r:id="rId25">
        <w:r>
          <w:rPr>
            <w:color w:val="1155CC"/>
            <w:u w:val="single"/>
          </w:rPr>
          <w:t>https://www.accenture.com/content/dam/accenture/final/a-com-migration/thought-leadership-assets/accenture-sustainability-consensus-gap-report2.pdf</w:t>
        </w:r>
      </w:hyperlink>
      <w:r>
        <w:t xml:space="preserve">. </w:t>
      </w:r>
    </w:p>
    <w:p xmlns:wp14="http://schemas.microsoft.com/office/word/2010/wordml" w:rsidR="00CF2856" w:rsidRDefault="00CF2856" w14:paraId="785D88A8" wp14:textId="77777777">
      <w:pPr>
        <w:spacing w:before="0" w:after="0"/>
        <w:rPr>
          <w:color w:val="222222"/>
          <w:highlight w:val="white"/>
        </w:rPr>
      </w:pPr>
      <w:r>
        <w:rPr>
          <w:color w:val="222222"/>
          <w:highlight w:val="white"/>
        </w:rPr>
        <w:t xml:space="preserve">Adeani, I.S., Febriani, R.B. and Syafryadin, S., 2020. Using GIBBS’reflective cycle in making reflections of literary analysis. </w:t>
      </w:r>
      <w:r>
        <w:rPr>
          <w:i/>
          <w:iCs/>
          <w:color w:val="222222"/>
          <w:highlight w:val="white"/>
        </w:rPr>
        <w:t>Indonesian EFL Journal</w:t>
      </w:r>
      <w:r>
        <w:rPr>
          <w:color w:val="222222"/>
          <w:highlight w:val="white"/>
        </w:rPr>
        <w:t xml:space="preserve">, </w:t>
      </w:r>
      <w:r>
        <w:rPr>
          <w:i/>
          <w:iCs/>
          <w:color w:val="222222"/>
          <w:highlight w:val="white"/>
        </w:rPr>
        <w:t>6</w:t>
      </w:r>
      <w:r>
        <w:rPr>
          <w:color w:val="222222"/>
          <w:highlight w:val="white"/>
        </w:rPr>
        <w:t>(2), pp.139-148.</w:t>
      </w:r>
      <w:hyperlink r:id="rId26">
        <w:r>
          <w:rPr>
            <w:color w:val="1155CC"/>
            <w:highlight w:val="white"/>
            <w:u w:val="single"/>
          </w:rPr>
          <w:t>https://journal.uniku.ac.id/index.php/IEFLJ/article/download/3382/2034/0</w:t>
        </w:r>
      </w:hyperlink>
    </w:p>
    <w:p xmlns:wp14="http://schemas.microsoft.com/office/word/2010/wordml" w:rsidR="00CF2856" w:rsidRDefault="00CF2856" w14:paraId="44E53150" wp14:textId="77777777">
      <w:pPr>
        <w:spacing w:before="0"/>
        <w:rPr>
          <w:color w:val="000000"/>
        </w:rPr>
      </w:pPr>
      <w:r>
        <w:rPr>
          <w:color w:val="000000"/>
        </w:rPr>
        <w:t>Adebanjo, D., Laosirihongthong, T., Samaranayake, P. and Teh, P.L., 2021. Key enablers of industry 4.0 development at firm level: Findings from an emerging economy. IEEE Transactions on Engineering Management, 70(2), pp.400-416.</w:t>
      </w:r>
      <w:hyperlink r:id="rId27">
        <w:r>
          <w:rPr>
            <w:color w:val="1155CC"/>
            <w:u w:val="single"/>
          </w:rPr>
          <w:t>https://gala.gre.ac.uk/id/eprint/30880/3/30880%20ADEBANJO_Key_Enablers_of_Industry_%28AAM%29_2021.pdf</w:t>
        </w:r>
      </w:hyperlink>
      <w:r>
        <w:rPr>
          <w:color w:val="000000"/>
        </w:rPr>
        <w:t xml:space="preserve"> </w:t>
      </w:r>
    </w:p>
    <w:p xmlns:wp14="http://schemas.microsoft.com/office/word/2010/wordml" w:rsidR="00CF2856" w:rsidRDefault="00CF2856" w14:paraId="683779E1" wp14:textId="77777777">
      <w:pPr>
        <w:spacing w:before="0"/>
        <w:rPr>
          <w:color w:val="000000"/>
        </w:rPr>
      </w:pPr>
      <w:r>
        <w:rPr>
          <w:color w:val="000000"/>
        </w:rPr>
        <w:t>Aithal, P.S. and Rao, A.S., 2024. Infosys: A Case Study of IT Service Evolution, Technology Adoption &amp; Innovation Strategies. Poornaprajna International Journal of Teaching &amp; Research Case Studies (PIJTRCS), 1(2), pp.77-129.</w:t>
      </w:r>
      <w:hyperlink r:id="rId28">
        <w:r>
          <w:rPr>
            <w:color w:val="1155CC"/>
            <w:u w:val="single"/>
          </w:rPr>
          <w:t>https://papers.ssrn.com/sol3/Delivery.cfm?abstractid=5192367</w:t>
        </w:r>
      </w:hyperlink>
      <w:r>
        <w:rPr>
          <w:color w:val="000000"/>
        </w:rPr>
        <w:t xml:space="preserve"> </w:t>
      </w:r>
    </w:p>
    <w:p xmlns:wp14="http://schemas.microsoft.com/office/word/2010/wordml" w:rsidR="00CF2856" w:rsidRDefault="00CF2856" w14:paraId="705356A1" wp14:textId="77777777">
      <w:pPr>
        <w:spacing w:before="0" w:after="0"/>
        <w:rPr>
          <w:color w:val="000000"/>
        </w:rPr>
      </w:pPr>
      <w:r>
        <w:rPr>
          <w:color w:val="000000"/>
        </w:rPr>
        <w:t xml:space="preserve">Bansal, N. (2025). New GST Rate For It Services 2026 | Latest Rate, Price &amp; Impact Guide. [online] BUSY Infotech Pvt. Ltd. Available at: </w:t>
      </w:r>
      <w:hyperlink r:id="rId29">
        <w:r>
          <w:rPr>
            <w:color w:val="1155CC"/>
            <w:u w:val="single"/>
          </w:rPr>
          <w:t>https://busy.in/gst-rates/it-services/</w:t>
        </w:r>
      </w:hyperlink>
      <w:r>
        <w:rPr>
          <w:color w:val="000000"/>
        </w:rPr>
        <w:t xml:space="preserve"> [Accessed 5 Mar. 2026]. </w:t>
      </w:r>
    </w:p>
    <w:p xmlns:wp14="http://schemas.microsoft.com/office/word/2010/wordml" w:rsidR="00CF2856" w:rsidRDefault="00CF2856" w14:paraId="0958DB03" wp14:textId="77777777">
      <w:pPr>
        <w:spacing w:before="0" w:after="0"/>
      </w:pPr>
      <w:r>
        <w:t xml:space="preserve">BCG (2025). </w:t>
      </w:r>
      <w:r>
        <w:rPr>
          <w:i/>
          <w:iCs/>
        </w:rPr>
        <w:t>What Is The Growth Share Matrix?</w:t>
      </w:r>
      <w:r>
        <w:t xml:space="preserve"> [online] BCG Global. Available at: </w:t>
      </w:r>
      <w:hyperlink r:id="rId30">
        <w:r>
          <w:rPr>
            <w:color w:val="1155CC"/>
            <w:u w:val="single"/>
          </w:rPr>
          <w:t>https://www.bcg.com/about/overview/our-history/growth-share-matrix</w:t>
        </w:r>
      </w:hyperlink>
      <w:r>
        <w:t xml:space="preserve">. </w:t>
      </w:r>
    </w:p>
    <w:p xmlns:wp14="http://schemas.microsoft.com/office/word/2010/wordml" w:rsidR="00CF2856" w:rsidRDefault="00CF2856" w14:paraId="73336471" wp14:textId="77777777">
      <w:pPr>
        <w:spacing w:before="0" w:after="0"/>
      </w:pPr>
      <w:r>
        <w:t xml:space="preserve">Bruin, L. de (2018). </w:t>
      </w:r>
      <w:r>
        <w:rPr>
          <w:i/>
          <w:iCs/>
        </w:rPr>
        <w:t>Porter’s Diamond Model EXPLAINED with EXAMPLES | B2U</w:t>
      </w:r>
      <w:r>
        <w:t xml:space="preserve">. [online] B2U - Business-to-you.com. Available at: </w:t>
      </w:r>
      <w:hyperlink r:id="rId31">
        <w:r>
          <w:rPr>
            <w:color w:val="1155CC"/>
            <w:u w:val="single"/>
          </w:rPr>
          <w:t>https://www.business-to-you.com/porter-diamond-model/</w:t>
        </w:r>
      </w:hyperlink>
      <w:r>
        <w:t xml:space="preserve">. </w:t>
      </w:r>
    </w:p>
    <w:p xmlns:wp14="http://schemas.microsoft.com/office/word/2010/wordml" w:rsidR="00CF2856" w:rsidRDefault="00CF2856" w14:paraId="48CAEFF3" wp14:textId="77777777">
      <w:pPr>
        <w:spacing w:before="0"/>
        <w:rPr>
          <w:color w:val="000000"/>
        </w:rPr>
      </w:pPr>
      <w:r>
        <w:rPr>
          <w:color w:val="000000"/>
        </w:rPr>
        <w:t>Chertow, M.R., Kanaoka, K.S. and Park, J., 2021. Tracking the diffusion of industrial symbiosis scholarship using bibliometrics: Comparing across Web of Science, Scopus, and Google Scholar. Journal of Industrial Ecology, 25(4), pp.913-931.</w:t>
      </w:r>
      <w:hyperlink r:id="rId32">
        <w:r>
          <w:rPr>
            <w:color w:val="1155CC"/>
            <w:u w:val="single"/>
          </w:rPr>
          <w:t>https://www.researchgate.net/profile/Marian-Chertow/publication/348546102_Tracking_the_diffusion_of_industrial_symbiosis_scholarship_using_bibliometrics_Comparing_across_Web_of_Science_Scopus_and_Google_Scholar/links/62bc61ac056dae24e8ed09fb/Tracking-the-diffusion-of-industrial-symbiosis-scholarship-using-bibliometrics-Comparing-across-Web-of-Science-Scopus-and-Google-Scholar.pdf?_sg%5B0%5D=started_experiment_milestone&amp;_sg%5B1%5D=started_experiment_milestone&amp;origin=journalDetail</w:t>
        </w:r>
      </w:hyperlink>
      <w:r>
        <w:rPr>
          <w:color w:val="000000"/>
        </w:rPr>
        <w:t xml:space="preserve"> </w:t>
      </w:r>
    </w:p>
    <w:p xmlns:wp14="http://schemas.microsoft.com/office/word/2010/wordml" w:rsidR="00CF2856" w:rsidRDefault="00CF2856" w14:paraId="6755ADB8" wp14:textId="77777777">
      <w:pPr>
        <w:spacing w:before="0" w:after="0"/>
      </w:pPr>
      <w:r>
        <w:t xml:space="preserve">Chowdhry, A. (2024). </w:t>
      </w:r>
      <w:r>
        <w:rPr>
          <w:i/>
          <w:iCs/>
        </w:rPr>
        <w:t>Report of Task Force to suggest measures to stimulate the growth of IT, ITES and Electronics Hardware manufacturing industry in India</w:t>
      </w:r>
      <w:r>
        <w:t xml:space="preserve">. [online] Available at: </w:t>
      </w:r>
      <w:hyperlink r:id="rId33">
        <w:r>
          <w:rPr>
            <w:color w:val="1155CC"/>
            <w:u w:val="single"/>
          </w:rPr>
          <w:t>https://www.meity.gov.in/static/uploads/2024/02/24ab.pdf</w:t>
        </w:r>
      </w:hyperlink>
      <w:r>
        <w:t xml:space="preserve">  [Accessed 5 Mar. 2026].</w:t>
      </w:r>
    </w:p>
    <w:p xmlns:wp14="http://schemas.microsoft.com/office/word/2010/wordml" w:rsidR="00CF2856" w:rsidRDefault="00CF2856" w14:paraId="1DBA0DFD" wp14:textId="77777777">
      <w:pPr>
        <w:spacing w:before="0" w:after="0"/>
      </w:pPr>
      <w:r>
        <w:t xml:space="preserve">CSO (2025). </w:t>
      </w:r>
      <w:r>
        <w:rPr>
          <w:i/>
          <w:iCs/>
        </w:rPr>
        <w:t>Earnings and Labour Costs Q4 2024 (Final) Q1 2025 (Preliminary Estimates) - Central Statistics Office</w:t>
      </w:r>
      <w:r>
        <w:t xml:space="preserve">. [online] Www.cso.ie. Available at: </w:t>
      </w:r>
      <w:hyperlink r:id="rId34">
        <w:r>
          <w:rPr>
            <w:color w:val="1155CC"/>
            <w:u w:val="single"/>
          </w:rPr>
          <w:t>https://www.cso.ie/en/releasesandpublications/ep/p-elcq/earningsandlabourcostsq42024finalq12025preliminaryestimates/</w:t>
        </w:r>
      </w:hyperlink>
      <w:r>
        <w:t xml:space="preserve">. </w:t>
      </w:r>
    </w:p>
    <w:p xmlns:wp14="http://schemas.microsoft.com/office/word/2010/wordml" w:rsidR="00CF2856" w:rsidRDefault="00CF2856" w14:paraId="11ACE14F" wp14:textId="77777777">
      <w:pPr>
        <w:spacing w:before="0" w:after="0"/>
      </w:pPr>
      <w:r>
        <w:t xml:space="preserve">Darsana M (2019). </w:t>
      </w:r>
      <w:r>
        <w:rPr>
          <w:i/>
          <w:iCs/>
        </w:rPr>
        <w:t>AN OVERVIEW OF GROWTH OF IT SECTOR IN INDIA</w:t>
      </w:r>
      <w:r>
        <w:t xml:space="preserve">. [online] www.researchpublish.com. Available at: </w:t>
      </w:r>
      <w:hyperlink r:id="rId35">
        <w:r>
          <w:rPr>
            <w:color w:val="1155CC"/>
            <w:u w:val="single"/>
          </w:rPr>
          <w:t>https://www.researchpublish.com/upload/book/AN%20OVERVIEW%20OF%20GROWTH-8228.pdf</w:t>
        </w:r>
      </w:hyperlink>
      <w:r>
        <w:t xml:space="preserve">. </w:t>
      </w:r>
    </w:p>
    <w:p xmlns:wp14="http://schemas.microsoft.com/office/word/2010/wordml" w:rsidR="00CF2856" w:rsidRDefault="00CF2856" w14:paraId="6367E660" wp14:textId="77777777">
      <w:pPr>
        <w:spacing w:before="0" w:after="0"/>
      </w:pPr>
      <w:r>
        <w:t xml:space="preserve">DGFT (2026). </w:t>
      </w:r>
      <w:r>
        <w:rPr>
          <w:i/>
          <w:iCs/>
        </w:rPr>
        <w:t>Official Language Activities</w:t>
      </w:r>
      <w:r>
        <w:t xml:space="preserve">. [online] Dgft.gov.in. Available at: </w:t>
      </w:r>
      <w:hyperlink r:id="rId36">
        <w:r>
          <w:rPr>
            <w:color w:val="1155CC"/>
            <w:u w:val="single"/>
          </w:rPr>
          <w:t>https://www.dgft.gov.in/CP/?opt=official-language</w:t>
        </w:r>
      </w:hyperlink>
      <w:r>
        <w:t xml:space="preserve">. </w:t>
      </w:r>
    </w:p>
    <w:p xmlns:wp14="http://schemas.microsoft.com/office/word/2010/wordml" w:rsidR="00CF2856" w:rsidRDefault="00CF2856" w14:paraId="5F942956" wp14:textId="77777777">
      <w:pPr>
        <w:spacing w:before="0" w:after="0"/>
      </w:pPr>
      <w:r>
        <w:t xml:space="preserve">Dhar, S. and Amu, A. (2022). </w:t>
      </w:r>
      <w:r>
        <w:rPr>
          <w:i/>
          <w:iCs/>
        </w:rPr>
        <w:t>Competitive Advantageof Indian IT Industry</w:t>
      </w:r>
      <w:r>
        <w:t xml:space="preserve">. [online] Available at: </w:t>
      </w:r>
      <w:hyperlink r:id="rId37">
        <w:r>
          <w:rPr>
            <w:color w:val="1155CC"/>
            <w:u w:val="single"/>
          </w:rPr>
          <w:t>https://apps.aima.in/ejournal_new/articlesPDF/Suparna-Dhar.pdf</w:t>
        </w:r>
      </w:hyperlink>
      <w:r>
        <w:t xml:space="preserve">. </w:t>
      </w:r>
    </w:p>
    <w:p xmlns:wp14="http://schemas.microsoft.com/office/word/2010/wordml" w:rsidR="00CF2856" w:rsidRDefault="00CF2856" w14:paraId="6C53520C" wp14:textId="77777777">
      <w:pPr>
        <w:spacing w:before="0" w:after="0"/>
        <w:rPr>
          <w:color w:val="000000"/>
        </w:rPr>
      </w:pPr>
      <w:r>
        <w:rPr>
          <w:color w:val="000000"/>
        </w:rPr>
        <w:t xml:space="preserve">ET CONTRIBUTORS (2025). India’s IT workforce: A strategic asset in a fragmented world. [online] The Economic Times. Available at: </w:t>
      </w:r>
      <w:hyperlink r:id="rId38">
        <w:r>
          <w:rPr>
            <w:color w:val="1155CC"/>
            <w:u w:val="single"/>
          </w:rPr>
          <w:t>https://economictimes.indiatimes.com/small-biz/security-tech/technology/indias-it-workforce-a-strategic-asset-in-a-fragmented-world/articleshow/124937558.cms?from=mdr</w:t>
        </w:r>
      </w:hyperlink>
      <w:r>
        <w:rPr>
          <w:color w:val="000000"/>
        </w:rPr>
        <w:t xml:space="preserve">. </w:t>
      </w:r>
    </w:p>
    <w:p xmlns:wp14="http://schemas.microsoft.com/office/word/2010/wordml" w:rsidR="00CF2856" w:rsidRDefault="00CF2856" w14:paraId="12BEE9EF" wp14:textId="77777777">
      <w:pPr>
        <w:spacing w:before="0" w:after="0"/>
      </w:pPr>
      <w:r>
        <w:t xml:space="preserve">Europa.eu (2024). </w:t>
      </w:r>
      <w:r>
        <w:rPr>
          <w:i/>
          <w:iCs/>
        </w:rPr>
        <w:t>National legislation | European e-Justice Portal</w:t>
      </w:r>
      <w:r>
        <w:t xml:space="preserve">. [online] Europa.eu. Available at: </w:t>
      </w:r>
      <w:hyperlink r:id="rId39">
        <w:r>
          <w:rPr>
            <w:color w:val="1155CC"/>
            <w:u w:val="single"/>
          </w:rPr>
          <w:t>https://e-justice.europa.eu/topics/legislation-and-case-law/national-legislation/ie_en</w:t>
        </w:r>
      </w:hyperlink>
      <w:r>
        <w:t xml:space="preserve">. </w:t>
      </w:r>
    </w:p>
    <w:p xmlns:wp14="http://schemas.microsoft.com/office/word/2010/wordml" w:rsidR="00CF2856" w:rsidRDefault="00CF2856" w14:paraId="5A850EF9" wp14:textId="77777777">
      <w:pPr>
        <w:spacing w:before="0" w:after="0"/>
        <w:rPr>
          <w:color w:val="000000"/>
        </w:rPr>
      </w:pPr>
      <w:r>
        <w:rPr>
          <w:color w:val="000000"/>
        </w:rPr>
        <w:t xml:space="preserve">Ferreira, J. (2024). India Inflation Rate Below Forecasts. [online] Tradingeconomics.com. Available at: </w:t>
      </w:r>
      <w:hyperlink r:id="rId40">
        <w:r>
          <w:rPr>
            <w:color w:val="1155CC"/>
            <w:u w:val="single"/>
          </w:rPr>
          <w:t>https://tradingeconomics.com/india/inflation-cpi</w:t>
        </w:r>
      </w:hyperlink>
      <w:r>
        <w:rPr>
          <w:color w:val="000000"/>
        </w:rPr>
        <w:t xml:space="preserve">. </w:t>
      </w:r>
    </w:p>
    <w:p xmlns:wp14="http://schemas.microsoft.com/office/word/2010/wordml" w:rsidR="00CF2856" w:rsidRDefault="00CF2856" w14:paraId="766E93FD" wp14:textId="77777777">
      <w:pPr>
        <w:spacing w:before="0" w:after="0"/>
      </w:pPr>
      <w:r>
        <w:t xml:space="preserve">Forbes (2025). </w:t>
      </w:r>
      <w:r>
        <w:rPr>
          <w:i/>
          <w:iCs/>
        </w:rPr>
        <w:t>Top 10 IT companies in India in 2023 by market capitalisation</w:t>
      </w:r>
      <w:r>
        <w:t xml:space="preserve">. [online] Forbes India. Available at: </w:t>
      </w:r>
      <w:hyperlink r:id="rId41">
        <w:r>
          <w:rPr>
            <w:color w:val="1155CC"/>
            <w:u w:val="single"/>
          </w:rPr>
          <w:t>https://www.forbesindia.com/article/explainers/top-10-it-companies-in-india/87143/1</w:t>
        </w:r>
      </w:hyperlink>
      <w:r>
        <w:t xml:space="preserve">. </w:t>
      </w:r>
    </w:p>
    <w:p xmlns:wp14="http://schemas.microsoft.com/office/word/2010/wordml" w:rsidR="00CF2856" w:rsidRDefault="00CF2856" w14:paraId="2967624D" wp14:textId="77777777">
      <w:pPr>
        <w:spacing w:before="0" w:after="0"/>
      </w:pPr>
      <w:r>
        <w:t xml:space="preserve">Forbes India (2024). </w:t>
      </w:r>
      <w:r>
        <w:rPr>
          <w:i/>
          <w:iCs/>
        </w:rPr>
        <w:t>Top 10 IT companies in India in 2023 by market capitalisation</w:t>
      </w:r>
      <w:r>
        <w:t xml:space="preserve">. [online] Forbes India. Available at: </w:t>
      </w:r>
      <w:hyperlink r:id="rId42">
        <w:r>
          <w:rPr>
            <w:color w:val="1155CC"/>
            <w:u w:val="single"/>
          </w:rPr>
          <w:t>https://www.forbesindia.com/article/explainers/top-10-it-companies-in-india/87143/1</w:t>
        </w:r>
      </w:hyperlink>
      <w:r>
        <w:t xml:space="preserve">. </w:t>
      </w:r>
    </w:p>
    <w:p xmlns:wp14="http://schemas.microsoft.com/office/word/2010/wordml" w:rsidR="00CF2856" w:rsidRDefault="00CF2856" w14:paraId="245B9BF3" wp14:textId="77777777">
      <w:pPr>
        <w:spacing w:before="0" w:after="0"/>
        <w:rPr>
          <w:color w:val="1F1F1F"/>
          <w:highlight w:val="white"/>
        </w:rPr>
      </w:pPr>
      <w:r>
        <w:rPr>
          <w:color w:val="1F1F1F"/>
          <w:highlight w:val="white"/>
        </w:rPr>
        <w:t xml:space="preserve">Forbes India (2024). Top 10 IT companies in India in 2023 by market capitalisation. [online] Forbes India. Available at: </w:t>
      </w:r>
      <w:hyperlink r:id="rId43">
        <w:r>
          <w:rPr>
            <w:color w:val="1155CC"/>
            <w:highlight w:val="white"/>
            <w:u w:val="single"/>
          </w:rPr>
          <w:t>https://www.forbesindia.com/article/explainers/top-10-it-companies-in-india/87143/1</w:t>
        </w:r>
      </w:hyperlink>
      <w:r>
        <w:rPr>
          <w:color w:val="1F1F1F"/>
          <w:highlight w:val="white"/>
        </w:rPr>
        <w:t xml:space="preserve">. </w:t>
      </w:r>
    </w:p>
    <w:p xmlns:wp14="http://schemas.microsoft.com/office/word/2010/wordml" w:rsidR="00CF2856" w:rsidRDefault="00CF2856" w14:paraId="50E6B9FF" wp14:textId="77777777">
      <w:pPr>
        <w:spacing w:before="0" w:after="0"/>
      </w:pPr>
      <w:r>
        <w:t xml:space="preserve">Fortune (2026). </w:t>
      </w:r>
      <w:r>
        <w:rPr>
          <w:i/>
          <w:iCs/>
        </w:rPr>
        <w:t>Digital Transformation Market Size, Share, Growth | Report, 2028</w:t>
      </w:r>
      <w:r>
        <w:t xml:space="preserve">. [online] www.fortunebusinessinsights.com. Available at: </w:t>
      </w:r>
      <w:hyperlink r:id="rId44">
        <w:r>
          <w:rPr>
            <w:color w:val="1155CC"/>
            <w:u w:val="single"/>
          </w:rPr>
          <w:t>https://www.fortunebusinessinsights.com/digital-transformation-market-104878</w:t>
        </w:r>
      </w:hyperlink>
      <w:r>
        <w:t xml:space="preserve">. </w:t>
      </w:r>
    </w:p>
    <w:p xmlns:wp14="http://schemas.microsoft.com/office/word/2010/wordml" w:rsidR="00CF2856" w:rsidRDefault="00CF2856" w14:paraId="6C5088E8" wp14:textId="77777777">
      <w:pPr>
        <w:spacing w:before="0" w:after="0"/>
      </w:pPr>
      <w:r>
        <w:t xml:space="preserve">Gov.in (2025). </w:t>
      </w:r>
      <w:r>
        <w:rPr>
          <w:i/>
          <w:iCs/>
        </w:rPr>
        <w:t>Year End Review 2025 : Ministry of Skill Development and Entrepreneurship</w:t>
      </w:r>
      <w:r>
        <w:t xml:space="preserve">. [online] Pib.gov.in. Available at: </w:t>
      </w:r>
      <w:hyperlink r:id="rId45">
        <w:r>
          <w:rPr>
            <w:color w:val="1155CC"/>
            <w:u w:val="single"/>
          </w:rPr>
          <w:t>https://www.pib.gov.in/PressReleasePage.aspx?PRID=2217881®=3&amp;lang=2</w:t>
        </w:r>
      </w:hyperlink>
      <w:r>
        <w:t xml:space="preserve">. </w:t>
      </w:r>
    </w:p>
    <w:p xmlns:wp14="http://schemas.microsoft.com/office/word/2010/wordml" w:rsidR="00CF2856" w:rsidRDefault="00CF2856" w14:paraId="5B4229BC" wp14:textId="77777777">
      <w:pPr>
        <w:spacing w:before="0" w:after="0"/>
      </w:pPr>
      <w:r>
        <w:t xml:space="preserve">Grand View Research (2025). </w:t>
      </w:r>
      <w:r>
        <w:rPr>
          <w:i/>
          <w:iCs/>
        </w:rPr>
        <w:t>India Generative AI Market Size &amp; Outlook, 2030</w:t>
      </w:r>
      <w:r>
        <w:t xml:space="preserve">. [online] Grandviewresearch.com. Available at: </w:t>
      </w:r>
      <w:hyperlink r:id="rId46">
        <w:r>
          <w:rPr>
            <w:color w:val="1155CC"/>
            <w:u w:val="single"/>
          </w:rPr>
          <w:t>https://www.grandviewresearch.com/horizon/outlook/generative-ai-market/india</w:t>
        </w:r>
      </w:hyperlink>
      <w:r>
        <w:t xml:space="preserve">. </w:t>
      </w:r>
    </w:p>
    <w:p xmlns:wp14="http://schemas.microsoft.com/office/word/2010/wordml" w:rsidR="00CF2856" w:rsidRDefault="00CF2856" w14:paraId="0793B0A7" wp14:textId="77777777">
      <w:pPr>
        <w:spacing w:before="0" w:after="0"/>
      </w:pPr>
      <w:r>
        <w:t xml:space="preserve">Grand View Research (2025). </w:t>
      </w:r>
      <w:r>
        <w:rPr>
          <w:i/>
          <w:iCs/>
        </w:rPr>
        <w:t>India IT Services Market Size &amp; Outlook, 2030</w:t>
      </w:r>
      <w:r>
        <w:t xml:space="preserve">. [online] Grandviewresearch.com. Available at: </w:t>
      </w:r>
      <w:hyperlink r:id="rId47">
        <w:r>
          <w:rPr>
            <w:color w:val="1155CC"/>
            <w:u w:val="single"/>
          </w:rPr>
          <w:t>https://www.grandviewresearch.com/horizon/outlook/it-services-market/india</w:t>
        </w:r>
      </w:hyperlink>
      <w:r>
        <w:t xml:space="preserve">. </w:t>
      </w:r>
    </w:p>
    <w:p xmlns:wp14="http://schemas.microsoft.com/office/word/2010/wordml" w:rsidR="00CF2856" w:rsidRDefault="00CF2856" w14:paraId="74817036" wp14:textId="77777777">
      <w:pPr>
        <w:spacing w:before="0" w:after="0"/>
      </w:pPr>
      <w:r>
        <w:rPr>
          <w:color w:val="1F1F1F"/>
          <w:highlight w:val="white"/>
        </w:rPr>
        <w:t xml:space="preserve">Grandviewresearch.com. (2024). India IT Services Market Size &amp; Outlook, 2030. [online] Available at: </w:t>
      </w:r>
      <w:hyperlink r:id="rId48">
        <w:r>
          <w:rPr>
            <w:color w:val="1155CC"/>
            <w:highlight w:val="white"/>
            <w:u w:val="single"/>
          </w:rPr>
          <w:t>https://www.grandviewresearch.com/horizon/outlook/it-services-market/india</w:t>
        </w:r>
      </w:hyperlink>
      <w:r>
        <w:rPr>
          <w:color w:val="1F1F1F"/>
          <w:highlight w:val="white"/>
        </w:rPr>
        <w:t xml:space="preserve"> .</w:t>
      </w:r>
      <w:r>
        <w:t>[Accessed 5 Mar. 2026].</w:t>
      </w:r>
    </w:p>
    <w:p xmlns:wp14="http://schemas.microsoft.com/office/word/2010/wordml" w:rsidR="00CF2856" w:rsidRDefault="00CF2856" w14:paraId="768C66B7" wp14:textId="77777777">
      <w:pPr>
        <w:spacing w:before="0" w:after="0"/>
        <w:rPr>
          <w:color w:val="222222"/>
          <w:highlight w:val="white"/>
        </w:rPr>
      </w:pPr>
      <w:r>
        <w:rPr>
          <w:color w:val="222222"/>
          <w:highlight w:val="white"/>
        </w:rPr>
        <w:t>Hamzat, L., Abiodun, D. and Joseph, A., 2023. Empowering entrepreneurial growth through data-driven financial literacy, market research, and personalized education tool. World Journal of Advanced Research and Reviews, 19(2), pp.1692-1711.</w:t>
      </w:r>
      <w:hyperlink r:id="rId49">
        <w:r>
          <w:rPr>
            <w:color w:val="1155CC"/>
            <w:highlight w:val="white"/>
            <w:u w:val="single"/>
          </w:rPr>
          <w:t>https://www.researchgate.net/profile/Lolade-Hamzat/publication/391666310_Empowering_entrepreneurial_growth_through_data-driven_financial_literacy_market_research_and_personalized_education_tool/links/6821fe13bd3f1930dd709dd1/Empowering-entrepreneurial-growth-through-data-driven-financial-literacy-market-research-and-personalized-education-tool.pdf</w:t>
        </w:r>
      </w:hyperlink>
    </w:p>
    <w:p xmlns:wp14="http://schemas.microsoft.com/office/word/2010/wordml" w:rsidR="00CF2856" w:rsidRDefault="00CF2856" w14:paraId="5D0DE486" wp14:textId="77777777">
      <w:pPr>
        <w:spacing w:before="0" w:after="0"/>
      </w:pPr>
      <w:r>
        <w:t xml:space="preserve">IBEF (2025). </w:t>
      </w:r>
      <w:r>
        <w:rPr>
          <w:i/>
          <w:iCs/>
        </w:rPr>
        <w:t>IT &amp; BPM Industry in India: Market Size, Opportunities, Growth, Report | IBEF</w:t>
      </w:r>
      <w:r>
        <w:t xml:space="preserve">. [online] www.ibef.org. Available at: </w:t>
      </w:r>
      <w:hyperlink r:id="rId50">
        <w:r>
          <w:rPr>
            <w:color w:val="1155CC"/>
            <w:u w:val="single"/>
          </w:rPr>
          <w:t>https://www.ibef.org/industry/information-technology-india</w:t>
        </w:r>
      </w:hyperlink>
      <w:r>
        <w:t xml:space="preserve">. </w:t>
      </w:r>
    </w:p>
    <w:p xmlns:wp14="http://schemas.microsoft.com/office/word/2010/wordml" w:rsidR="00CF2856" w:rsidRDefault="00CF2856" w14:paraId="34EC205C" wp14:textId="77777777">
      <w:pPr>
        <w:spacing w:before="0" w:after="0"/>
        <w:rPr>
          <w:color w:val="1F1F1F"/>
          <w:highlight w:val="white"/>
        </w:rPr>
      </w:pPr>
      <w:r>
        <w:rPr>
          <w:color w:val="1F1F1F"/>
          <w:highlight w:val="white"/>
        </w:rPr>
        <w:t xml:space="preserve">IBEF (2025). </w:t>
      </w:r>
      <w:r>
        <w:rPr>
          <w:i/>
          <w:iCs/>
          <w:color w:val="1F1F1F"/>
          <w:highlight w:val="white"/>
        </w:rPr>
        <w:t>IT &amp; BPM Industry in India: Market Size, Opportunities, Growth, Report | IBEF</w:t>
      </w:r>
      <w:r>
        <w:rPr>
          <w:color w:val="1F1F1F"/>
          <w:highlight w:val="white"/>
        </w:rPr>
        <w:t xml:space="preserve">. [online] www.ibef.org. Available at: </w:t>
      </w:r>
      <w:hyperlink r:id="rId51">
        <w:r>
          <w:rPr>
            <w:color w:val="1155CC"/>
            <w:highlight w:val="white"/>
            <w:u w:val="single"/>
          </w:rPr>
          <w:t>https://www.ibef.org/industry/information-technology-india</w:t>
        </w:r>
      </w:hyperlink>
      <w:r>
        <w:rPr>
          <w:color w:val="1F1F1F"/>
          <w:highlight w:val="white"/>
        </w:rPr>
        <w:t xml:space="preserve">. </w:t>
      </w:r>
    </w:p>
    <w:p xmlns:wp14="http://schemas.microsoft.com/office/word/2010/wordml" w:rsidR="00CF2856" w:rsidRDefault="00CF2856" w14:paraId="0026C3C8" wp14:textId="77777777">
      <w:pPr>
        <w:spacing w:before="0" w:after="0"/>
      </w:pPr>
      <w:r>
        <w:t xml:space="preserve">IBEF (2026). </w:t>
      </w:r>
      <w:r>
        <w:rPr>
          <w:i/>
          <w:iCs/>
        </w:rPr>
        <w:t>IT &amp; BPM Industry in India: Market Size, Opportunities, Growth, Report | IBEF</w:t>
      </w:r>
      <w:r>
        <w:t xml:space="preserve">. [online] www.ibef.org. Available at: </w:t>
      </w:r>
      <w:hyperlink r:id="rId52">
        <w:r>
          <w:rPr>
            <w:color w:val="1155CC"/>
            <w:u w:val="single"/>
          </w:rPr>
          <w:t>https://www.ibef.org/industry/information-technology-india</w:t>
        </w:r>
      </w:hyperlink>
      <w:r>
        <w:t xml:space="preserve">. </w:t>
      </w:r>
    </w:p>
    <w:p xmlns:wp14="http://schemas.microsoft.com/office/word/2010/wordml" w:rsidR="00CF2856" w:rsidRDefault="00CF2856" w14:paraId="2CC5AA65" wp14:textId="77777777">
      <w:pPr>
        <w:spacing w:before="0" w:after="0"/>
      </w:pPr>
      <w:r>
        <w:t xml:space="preserve">IDC (2025). </w:t>
      </w:r>
      <w:r>
        <w:rPr>
          <w:i/>
          <w:iCs/>
        </w:rPr>
        <w:t>Indian Public Cloud Services Market to Reach $30.4 Billion by 2029, Growing at 22.6% CAGR: IDC</w:t>
      </w:r>
      <w:r>
        <w:t xml:space="preserve">. [online] IDC: The premier global market intelligence company. Available at: </w:t>
      </w:r>
      <w:hyperlink r:id="rId53">
        <w:r>
          <w:rPr>
            <w:color w:val="1155CC"/>
            <w:u w:val="single"/>
          </w:rPr>
          <w:t>https://my.idc.com/getdoc.jsp?containerId=prAP53678525</w:t>
        </w:r>
      </w:hyperlink>
      <w:r>
        <w:t xml:space="preserve">. </w:t>
      </w:r>
    </w:p>
    <w:p xmlns:wp14="http://schemas.microsoft.com/office/word/2010/wordml" w:rsidR="00CF2856" w:rsidRDefault="00CF2856" w14:paraId="76AA5E90" wp14:textId="77777777">
      <w:pPr>
        <w:spacing w:before="0"/>
        <w:rPr>
          <w:color w:val="000000"/>
        </w:rPr>
      </w:pPr>
      <w:r>
        <w:rPr>
          <w:color w:val="000000"/>
        </w:rPr>
        <w:t xml:space="preserve">India.gov.in. (2026). India.gov.in | National Portal India: Where Government Information Converges. [online] Available at: </w:t>
      </w:r>
      <w:hyperlink r:id="rId54">
        <w:r>
          <w:rPr>
            <w:color w:val="1155CC"/>
            <w:u w:val="single"/>
          </w:rPr>
          <w:t>https://www.india.gov.in/my-</w:t>
        </w:r>
        <w:r>
          <w:rPr>
            <w:color w:val="1155CC"/>
            <w:u w:val="single"/>
          </w:rPr>
          <w:t>government/documents/details/national-policy-on-information-technology-2012</w:t>
        </w:r>
      </w:hyperlink>
      <w:r>
        <w:rPr>
          <w:color w:val="000000"/>
        </w:rPr>
        <w:t xml:space="preserve"> [Accessed 31 Mar. 2026].</w:t>
      </w:r>
    </w:p>
    <w:p xmlns:wp14="http://schemas.microsoft.com/office/word/2010/wordml" w:rsidR="00CF2856" w:rsidRDefault="00CF2856" w14:paraId="3BCE4182" wp14:textId="77777777">
      <w:pPr>
        <w:spacing w:before="0" w:after="0"/>
      </w:pPr>
      <w:r>
        <w:rPr>
          <w:color w:val="000000"/>
        </w:rPr>
        <w:t xml:space="preserve">Indiacode.nic.in. (2016). India Code: Already Registered. [online] Available at: </w:t>
      </w:r>
      <w:hyperlink r:id="rId55">
        <w:r>
          <w:rPr>
            <w:color w:val="1155CC"/>
            <w:u w:val="single"/>
          </w:rPr>
          <w:t>https://www.indiacode.nic.in/handle/123456789/1362/simple-search?query=Plastic%20Waste%20Management%20Rules%202016&amp;searchradio=rules</w:t>
        </w:r>
      </w:hyperlink>
      <w:r>
        <w:rPr>
          <w:color w:val="000000"/>
        </w:rPr>
        <w:t xml:space="preserve"> [Accessed 5 Mar. 2026].</w:t>
      </w:r>
    </w:p>
    <w:p xmlns:wp14="http://schemas.microsoft.com/office/word/2010/wordml" w:rsidR="00CF2856" w:rsidRDefault="00CF2856" w14:paraId="538E9AD7" wp14:textId="77777777">
      <w:pPr>
        <w:spacing w:before="0" w:after="0"/>
      </w:pPr>
      <w:r>
        <w:t xml:space="preserve">Infotyke (2025). </w:t>
      </w:r>
      <w:r>
        <w:rPr>
          <w:i/>
          <w:iCs/>
        </w:rPr>
        <w:t>Infosys vs TCS vs Tech Mahindra vs HCL vs Wipro</w:t>
      </w:r>
      <w:r>
        <w:t xml:space="preserve">. [online] Infotyke. Available at: </w:t>
      </w:r>
      <w:hyperlink r:id="rId56">
        <w:r>
          <w:rPr>
            <w:color w:val="1155CC"/>
            <w:u w:val="single"/>
          </w:rPr>
          <w:t>https://infotyke.com/2025/03/26/infosys-vs-tcs-vs-tech-mahindra-vs-hcl-vs-wipro/</w:t>
        </w:r>
      </w:hyperlink>
      <w:r>
        <w:t xml:space="preserve">. </w:t>
      </w:r>
    </w:p>
    <w:p xmlns:wp14="http://schemas.microsoft.com/office/word/2010/wordml" w:rsidR="00CF2856" w:rsidRDefault="00CF2856" w14:paraId="042808BF" wp14:textId="77777777">
      <w:pPr>
        <w:spacing w:before="0" w:after="0"/>
      </w:pPr>
      <w:r>
        <w:t xml:space="preserve">Ireland.com (2022). </w:t>
      </w:r>
      <w:r>
        <w:rPr>
          <w:i/>
          <w:iCs/>
        </w:rPr>
        <w:t>Languages of Ireland</w:t>
      </w:r>
      <w:r>
        <w:t xml:space="preserve">. [online] Ireland.com. Available at: </w:t>
      </w:r>
      <w:hyperlink r:id="rId57">
        <w:r>
          <w:rPr>
            <w:color w:val="1155CC"/>
            <w:u w:val="single"/>
          </w:rPr>
          <w:t>https://www.ireland.com/en-us/help-and-advice/practical-information/languages-of-ireland/</w:t>
        </w:r>
      </w:hyperlink>
      <w:r>
        <w:t xml:space="preserve">. </w:t>
      </w:r>
    </w:p>
    <w:p xmlns:wp14="http://schemas.microsoft.com/office/word/2010/wordml" w:rsidR="00CF2856" w:rsidRDefault="00CF2856" w14:paraId="3663BE82" wp14:textId="77777777">
      <w:pPr>
        <w:spacing w:before="0" w:after="0"/>
      </w:pPr>
      <w:r>
        <w:t xml:space="preserve">Kohnová, L. and Salajová, N. (2023). Impact of industry 4.0 on companies: Value chain model analysis. </w:t>
      </w:r>
      <w:r>
        <w:rPr>
          <w:i/>
          <w:iCs/>
        </w:rPr>
        <w:t>Administrative Sciences</w:t>
      </w:r>
      <w:r>
        <w:t>, 13(2), p.35. doi:</w:t>
      </w:r>
      <w:hyperlink r:id="rId58">
        <w:r>
          <w:rPr>
            <w:color w:val="1155CC"/>
            <w:u w:val="single"/>
          </w:rPr>
          <w:t>https://doi.org/10.3390/admsci13020035</w:t>
        </w:r>
      </w:hyperlink>
      <w:r>
        <w:t xml:space="preserve">. </w:t>
      </w:r>
    </w:p>
    <w:p xmlns:wp14="http://schemas.microsoft.com/office/word/2010/wordml" w:rsidR="00CF2856" w:rsidRDefault="00CF2856" w14:paraId="3646FB11" wp14:textId="77777777">
      <w:pPr>
        <w:spacing w:before="0"/>
        <w:rPr>
          <w:color w:val="000000"/>
        </w:rPr>
      </w:pPr>
      <w:r>
        <w:rPr>
          <w:color w:val="000000"/>
        </w:rPr>
        <w:t>Markowitz, D.M., Levine, T.R., Serota, K.B. and Moore, A.D., 2023. Cross-checking journalistic fact-checkers: The role of sampling and scaling in interpreting false and misleading statements. Plos one, 18(7), p.e0289004.</w:t>
      </w:r>
      <w:hyperlink r:id="rId59">
        <w:r>
          <w:rPr>
            <w:color w:val="1155CC"/>
            <w:u w:val="single"/>
          </w:rPr>
          <w:t>https://journals.plos.org/plosone/article/file?id=10.1371/journal.pone.0289004&amp;type=printable</w:t>
        </w:r>
      </w:hyperlink>
      <w:r>
        <w:rPr>
          <w:color w:val="000000"/>
        </w:rPr>
        <w:t xml:space="preserve"> </w:t>
      </w:r>
    </w:p>
    <w:p xmlns:wp14="http://schemas.microsoft.com/office/word/2010/wordml" w:rsidR="00CF2856" w:rsidRDefault="00CF2856" w14:paraId="76A92272" wp14:textId="77777777">
      <w:pPr>
        <w:spacing w:before="0" w:after="0"/>
      </w:pPr>
      <w:r>
        <w:t xml:space="preserve">Minattur, J. (2026). </w:t>
      </w:r>
      <w:r>
        <w:rPr>
          <w:i/>
          <w:iCs/>
        </w:rPr>
        <w:t>Indian Legal System | Office of Justice Programs</w:t>
      </w:r>
      <w:r>
        <w:t xml:space="preserve">. [online] www.ojp.gov. Available at: </w:t>
      </w:r>
      <w:hyperlink r:id="rId60">
        <w:r>
          <w:rPr>
            <w:color w:val="1155CC"/>
            <w:u w:val="single"/>
          </w:rPr>
          <w:t>https://www.ojp.gov/ncjrs/virtual-library/abstracts/indian-legal-system</w:t>
        </w:r>
      </w:hyperlink>
      <w:r>
        <w:t xml:space="preserve">. </w:t>
      </w:r>
    </w:p>
    <w:p xmlns:wp14="http://schemas.microsoft.com/office/word/2010/wordml" w:rsidR="00CF2856" w:rsidRDefault="00CF2856" w14:paraId="4B45A609" wp14:textId="77777777">
      <w:pPr>
        <w:spacing w:before="0" w:after="0"/>
      </w:pPr>
      <w:r>
        <w:t xml:space="preserve">Mordor Intelligence (2025). </w:t>
      </w:r>
      <w:r>
        <w:rPr>
          <w:i/>
          <w:iCs/>
        </w:rPr>
        <w:t>India IT Services Market Size, Share &amp; 2030 Trends Report</w:t>
      </w:r>
      <w:r>
        <w:t xml:space="preserve">. [online] Mordor Intelligence. Available at: </w:t>
      </w:r>
      <w:hyperlink r:id="rId61">
        <w:r>
          <w:rPr>
            <w:color w:val="1155CC"/>
            <w:u w:val="single"/>
          </w:rPr>
          <w:t>https://www.mordorintelligence.com/industry-reports/india-it-services-market</w:t>
        </w:r>
      </w:hyperlink>
      <w:r>
        <w:t xml:space="preserve">. </w:t>
      </w:r>
    </w:p>
    <w:p xmlns:wp14="http://schemas.microsoft.com/office/word/2010/wordml" w:rsidR="00CF2856" w:rsidRDefault="00CF2856" w14:paraId="7396B825" wp14:textId="77777777">
      <w:pPr>
        <w:spacing w:before="0" w:after="0"/>
      </w:pPr>
      <w:r>
        <w:t xml:space="preserve">Nasscom (2023). </w:t>
      </w:r>
      <w:r>
        <w:rPr>
          <w:i/>
          <w:iCs/>
        </w:rPr>
        <w:t>India Tech Industry Digital Talent Demand and Supply 2023 | nasscom</w:t>
      </w:r>
      <w:r>
        <w:t xml:space="preserve">. [online] nasscom.in. Available at: </w:t>
      </w:r>
      <w:hyperlink r:id="rId62">
        <w:r>
          <w:rPr>
            <w:color w:val="1155CC"/>
            <w:u w:val="single"/>
          </w:rPr>
          <w:t>https://nasscom.in/knowledge-center/publications/india-tech-industry-digital-talent-demand-and-supply-2023</w:t>
        </w:r>
      </w:hyperlink>
      <w:r>
        <w:t xml:space="preserve">. </w:t>
      </w:r>
    </w:p>
    <w:p xmlns:wp14="http://schemas.microsoft.com/office/word/2010/wordml" w:rsidR="00CF2856" w:rsidRDefault="00CF2856" w14:paraId="407AA178" wp14:textId="77777777">
      <w:pPr>
        <w:spacing w:before="0"/>
        <w:rPr>
          <w:color w:val="000000"/>
        </w:rPr>
      </w:pPr>
      <w:r>
        <w:rPr>
          <w:color w:val="000000"/>
        </w:rPr>
        <w:t>Ndzabukelwako, Z., Mereko, O., Sambo, T. and Thango, B., 2024. The impact of porter's five forces model on smes performance: A systematic review. Available at SSRN 4999059.</w:t>
      </w:r>
      <w:hyperlink r:id="rId63">
        <w:r>
          <w:rPr>
            <w:color w:val="1155CC"/>
            <w:u w:val="single"/>
          </w:rPr>
          <w:t>https://papers.ssrn.com/sol3/Delivery.cfm?abstractid=4999059</w:t>
        </w:r>
      </w:hyperlink>
      <w:r>
        <w:rPr>
          <w:color w:val="000000"/>
        </w:rPr>
        <w:t xml:space="preserve"> </w:t>
      </w:r>
    </w:p>
    <w:p xmlns:wp14="http://schemas.microsoft.com/office/word/2010/wordml" w:rsidR="00CF2856" w:rsidRDefault="00CF2856" w14:paraId="227CC428" wp14:textId="77777777">
      <w:pPr>
        <w:spacing w:before="0"/>
        <w:rPr>
          <w:color w:val="000000"/>
        </w:rPr>
      </w:pPr>
      <w:r>
        <w:rPr>
          <w:color w:val="000000"/>
        </w:rPr>
        <w:t>Ocampo, F.A., McIntyre, B.G., Massey, D. and Saunders, R., 2025. Nursing student reflections on a research internship: A reflective discussion following the Gibbs' reflective cycle. Nurse education today, 145, p.106481.</w:t>
      </w:r>
      <w:hyperlink r:id="rId64">
        <w:r>
          <w:rPr>
            <w:color w:val="1155CC"/>
            <w:u w:val="single"/>
          </w:rPr>
          <w:t>https://www.sciencedirect.com/science/article/pii/S0260691724003915</w:t>
        </w:r>
      </w:hyperlink>
      <w:r>
        <w:rPr>
          <w:color w:val="000000"/>
        </w:rPr>
        <w:t xml:space="preserve"> </w:t>
      </w:r>
    </w:p>
    <w:p xmlns:wp14="http://schemas.microsoft.com/office/word/2010/wordml" w:rsidR="00CF2856" w:rsidRDefault="00CF2856" w14:paraId="1BB324EE" wp14:textId="77777777">
      <w:pPr>
        <w:spacing w:before="0" w:after="0"/>
        <w:rPr>
          <w:color w:val="1F1F1F"/>
          <w:highlight w:val="white"/>
        </w:rPr>
      </w:pPr>
      <w:r>
        <w:rPr>
          <w:color w:val="1F1F1F"/>
          <w:highlight w:val="white"/>
        </w:rPr>
        <w:t>Olawale, A. and Akinbola, B., 2024. The relationship between financial performance, firm size, leverage, and corporate social responsibility: A case study of Accenture Plc.</w:t>
      </w:r>
      <w:hyperlink r:id="rId65">
        <w:r>
          <w:rPr>
            <w:color w:val="1155CC"/>
            <w:highlight w:val="white"/>
            <w:u w:val="single"/>
          </w:rPr>
          <w:t>https://www.researchgate.net/profile/Olawale-Akinbola/publication/384968203_The_relationship_between_financial_performance_firm_size_leverage_and_corporate_social_responsibility_A_case_study_of_Accenture_Plc/links/670fd75109ba2d0c76051bd8/The-relationship-between-financial-performance-firm-size-leverage-and-corporate-social-responsibility-A-case-study-of-Accenture-Plc.pdf</w:t>
        </w:r>
      </w:hyperlink>
      <w:r>
        <w:rPr>
          <w:color w:val="1F1F1F"/>
          <w:highlight w:val="white"/>
        </w:rPr>
        <w:t xml:space="preserve"> [Accessed 31 Mar. 2026].</w:t>
      </w:r>
    </w:p>
    <w:p xmlns:wp14="http://schemas.microsoft.com/office/word/2010/wordml" w:rsidR="00CF2856" w:rsidRDefault="00CF2856" w14:paraId="562B828E" wp14:textId="77777777">
      <w:pPr>
        <w:spacing w:before="0" w:after="0"/>
        <w:rPr>
          <w:color w:val="222222"/>
          <w:highlight w:val="white"/>
        </w:rPr>
      </w:pPr>
      <w:r>
        <w:rPr>
          <w:color w:val="222222"/>
          <w:highlight w:val="white"/>
        </w:rPr>
        <w:t>Passey, D., 2020. Theories, theoretical and conceptual frameworks, models and constructs: Limiting research outcomes through misconceptions and misunderstandings. Studies in Technology Enhanced Learning, 1(1).</w:t>
      </w:r>
      <w:hyperlink r:id="rId66">
        <w:r>
          <w:rPr>
            <w:color w:val="1155CC"/>
            <w:highlight w:val="white"/>
            <w:u w:val="single"/>
          </w:rPr>
          <w:t>https://stel.pubpub.org/pub/01-01-passey-2020</w:t>
        </w:r>
      </w:hyperlink>
    </w:p>
    <w:p xmlns:wp14="http://schemas.microsoft.com/office/word/2010/wordml" w:rsidR="00CF2856" w:rsidRDefault="00CF2856" w14:paraId="4A7115C8" wp14:textId="77777777">
      <w:pPr>
        <w:spacing w:before="0" w:after="0"/>
      </w:pPr>
      <w:r>
        <w:t xml:space="preserve">Pathak, M. and Mahesh, V. (2024). </w:t>
      </w:r>
      <w:r>
        <w:rPr>
          <w:i/>
          <w:iCs/>
        </w:rPr>
        <w:t>Telecom Industry Outlook 2024</w:t>
      </w:r>
      <w:r>
        <w:t xml:space="preserve">. [online] Infosys.com. Available at: </w:t>
      </w:r>
      <w:hyperlink r:id="rId67">
        <w:r>
          <w:rPr>
            <w:color w:val="1155CC"/>
            <w:u w:val="single"/>
          </w:rPr>
          <w:t>https://www.infosys.com/iki/research/telecom-industry-outlook2024.html</w:t>
        </w:r>
      </w:hyperlink>
      <w:r>
        <w:t xml:space="preserve">. </w:t>
      </w:r>
    </w:p>
    <w:p xmlns:wp14="http://schemas.microsoft.com/office/word/2010/wordml" w:rsidR="00CF2856" w:rsidRDefault="00CF2856" w14:paraId="72529D86" wp14:textId="77777777">
      <w:pPr>
        <w:spacing w:before="0" w:after="0"/>
      </w:pPr>
      <w:r>
        <w:t xml:space="preserve">Phadnis, S. (2026). </w:t>
      </w:r>
      <w:r>
        <w:rPr>
          <w:i/>
          <w:iCs/>
        </w:rPr>
        <w:t>Accenture India revenue up 13% in FY25</w:t>
      </w:r>
      <w:r>
        <w:t xml:space="preserve">. [online] The Times of India. Available at: </w:t>
      </w:r>
      <w:hyperlink r:id="rId68">
        <w:r>
          <w:rPr>
            <w:color w:val="1155CC"/>
            <w:u w:val="single"/>
          </w:rPr>
          <w:t>https://timesofindia.indiatimes.com/business/india-business/accenture-india-revenue-up-13-in-fy25/articleshow/126516467.cms</w:t>
        </w:r>
      </w:hyperlink>
      <w:r>
        <w:t xml:space="preserve">. </w:t>
      </w:r>
    </w:p>
    <w:p xmlns:wp14="http://schemas.microsoft.com/office/word/2010/wordml" w:rsidR="00CF2856" w:rsidRDefault="00CF2856" w14:paraId="387C627F" wp14:textId="77777777">
      <w:pPr>
        <w:spacing w:before="0" w:after="0"/>
      </w:pPr>
      <w:r>
        <w:t xml:space="preserve">Phadnis, S. (2026). </w:t>
      </w:r>
      <w:r>
        <w:rPr>
          <w:i/>
          <w:iCs/>
        </w:rPr>
        <w:t>Accenture India revenue up 13% in FY25</w:t>
      </w:r>
      <w:r>
        <w:t xml:space="preserve">. [online] The Times of India. Available at: </w:t>
      </w:r>
      <w:hyperlink r:id="rId69">
        <w:r>
          <w:rPr>
            <w:color w:val="1155CC"/>
            <w:u w:val="single"/>
          </w:rPr>
          <w:t>https://timesofindia.indiatimes.com/business/india-business/accenture-india-revenue-up-13-in-fy25/articleshow/126516467.cms</w:t>
        </w:r>
      </w:hyperlink>
      <w:r>
        <w:t xml:space="preserve">. </w:t>
      </w:r>
    </w:p>
    <w:p xmlns:wp14="http://schemas.microsoft.com/office/word/2010/wordml" w:rsidR="00CF2856" w:rsidRDefault="00CF2856" w14:paraId="261A5C39" wp14:textId="77777777">
      <w:pPr>
        <w:spacing w:before="0" w:after="0"/>
        <w:rPr>
          <w:color w:val="000000"/>
        </w:rPr>
      </w:pPr>
      <w:r>
        <w:rPr>
          <w:color w:val="000000"/>
        </w:rPr>
        <w:t xml:space="preserve">Rao, R. (2025). How India is powering Accenture’s big GenAI push globally. [online] Fortune India. Available at: </w:t>
      </w:r>
      <w:hyperlink r:id="rId70">
        <w:r>
          <w:rPr>
            <w:color w:val="1155CC"/>
            <w:u w:val="single"/>
          </w:rPr>
          <w:t>https://www.fortuneindia.com/long-reads/how-india-is-powering-accentures-big-genai-push-globally/120521</w:t>
        </w:r>
      </w:hyperlink>
      <w:r>
        <w:rPr>
          <w:color w:val="000000"/>
        </w:rPr>
        <w:t xml:space="preserve"> [Accessed 5 Mar. 2026].</w:t>
      </w:r>
    </w:p>
    <w:p xmlns:wp14="http://schemas.microsoft.com/office/word/2010/wordml" w:rsidR="00CF2856" w:rsidRDefault="00CF2856" w14:paraId="7F23D096" wp14:textId="77777777">
      <w:pPr>
        <w:spacing w:before="0" w:after="0"/>
      </w:pPr>
      <w:r>
        <w:t xml:space="preserve">Rao, R. (2026). </w:t>
      </w:r>
      <w:r>
        <w:rPr>
          <w:i/>
          <w:iCs/>
        </w:rPr>
        <w:t>MNC 500: Cognizant is back in the winner’s circle. Here’s how it got there</w:t>
      </w:r>
      <w:r>
        <w:t xml:space="preserve">. [online] Fortune India. Available at: </w:t>
      </w:r>
      <w:hyperlink r:id="rId71">
        <w:r>
          <w:rPr>
            <w:color w:val="1155CC"/>
            <w:u w:val="single"/>
          </w:rPr>
          <w:t>https://www.fortuneindia.com/long-reads/mnc-500-cognizant-is-back-in-the-winners-circle-heres-how-it-got-there/130290</w:t>
        </w:r>
      </w:hyperlink>
      <w:r>
        <w:t xml:space="preserve">  [Accessed 5 Mar. 2026].</w:t>
      </w:r>
    </w:p>
    <w:p xmlns:wp14="http://schemas.microsoft.com/office/word/2010/wordml" w:rsidR="00CF2856" w:rsidRDefault="00CF2856" w14:paraId="2B315263" wp14:textId="77777777">
      <w:pPr>
        <w:spacing w:before="0" w:after="0"/>
        <w:rPr>
          <w:color w:val="1F1F1F"/>
          <w:highlight w:val="white"/>
        </w:rPr>
      </w:pPr>
      <w:r>
        <w:rPr>
          <w:color w:val="1F1F1F"/>
          <w:highlight w:val="white"/>
        </w:rPr>
        <w:t xml:space="preserve">Rapberger, W. (2018). </w:t>
      </w:r>
      <w:r>
        <w:rPr>
          <w:i/>
          <w:iCs/>
          <w:color w:val="1F1F1F"/>
          <w:highlight w:val="white"/>
        </w:rPr>
        <w:t>Agri-tech—the opportunities for insurers</w:t>
      </w:r>
      <w:r>
        <w:rPr>
          <w:color w:val="1F1F1F"/>
          <w:highlight w:val="white"/>
        </w:rPr>
        <w:t xml:space="preserve">. [online] Insurance Blog | Accenture. Available at: </w:t>
      </w:r>
      <w:hyperlink r:id="rId72">
        <w:r>
          <w:rPr>
            <w:color w:val="1155CC"/>
            <w:highlight w:val="white"/>
            <w:u w:val="single"/>
          </w:rPr>
          <w:t>https://insuranceblog.accenture.com/agri-tech-the-opportunities-for-insurers</w:t>
        </w:r>
      </w:hyperlink>
      <w:r>
        <w:rPr>
          <w:color w:val="1F1F1F"/>
          <w:highlight w:val="white"/>
        </w:rPr>
        <w:t xml:space="preserve">  [Accessed 31 Mar. 2026].</w:t>
      </w:r>
    </w:p>
    <w:p xmlns:wp14="http://schemas.microsoft.com/office/word/2010/wordml" w:rsidR="00CF2856" w:rsidRDefault="00CF2856" w14:paraId="3E3CAC9B" wp14:textId="77777777">
      <w:pPr>
        <w:spacing w:before="0" w:after="0"/>
        <w:rPr>
          <w:color w:val="000000"/>
        </w:rPr>
      </w:pPr>
      <w:r>
        <w:rPr>
          <w:color w:val="222222"/>
          <w:highlight w:val="white"/>
        </w:rPr>
        <w:t>Reynders, G., Lantz, J., Ruder, S.M., Stanford, C.L. and Cole, R.S., 2020. Rubrics to assess critical thinking and information processing in undergraduate STEM courses. International Journal of STEM Education, 7(1), p.9.</w:t>
      </w:r>
      <w:hyperlink r:id="rId73">
        <w:r>
          <w:rPr>
            <w:color w:val="1155CC"/>
            <w:highlight w:val="white"/>
            <w:u w:val="single"/>
          </w:rPr>
          <w:t>https://link.springer.com/content/pdf/10.1186/s40594-020-00208-5.pdf</w:t>
        </w:r>
      </w:hyperlink>
    </w:p>
    <w:p xmlns:wp14="http://schemas.microsoft.com/office/word/2010/wordml" w:rsidR="00CF2856" w:rsidRDefault="00CF2856" w14:paraId="4A1DD429" wp14:textId="77777777">
      <w:pPr>
        <w:spacing w:before="0" w:after="0"/>
      </w:pPr>
      <w:r>
        <w:t xml:space="preserve">Santander (2026). </w:t>
      </w:r>
      <w:r>
        <w:rPr>
          <w:i/>
          <w:iCs/>
        </w:rPr>
        <w:t>Foreign investment in India - Santandertrade.com</w:t>
      </w:r>
      <w:r>
        <w:t xml:space="preserve">. [online] Santandertrade.com. Available at: </w:t>
      </w:r>
      <w:hyperlink r:id="rId74">
        <w:r>
          <w:rPr>
            <w:color w:val="1155CC"/>
            <w:u w:val="single"/>
          </w:rPr>
          <w:t>https://santandertrade.com/en/portal/establish-overseas/india/foreign-investment</w:t>
        </w:r>
      </w:hyperlink>
      <w:r>
        <w:t xml:space="preserve">. </w:t>
      </w:r>
    </w:p>
    <w:p xmlns:wp14="http://schemas.microsoft.com/office/word/2010/wordml" w:rsidR="00CF2856" w:rsidRDefault="00CF2856" w14:paraId="6F37DDC2" wp14:textId="77777777">
      <w:pPr>
        <w:spacing w:before="0" w:after="0"/>
      </w:pPr>
      <w:r>
        <w:t xml:space="preserve">Saville, A.D., Macleod, I. and Onaji-Benson, T. (2021). </w:t>
      </w:r>
      <w:r>
        <w:rPr>
          <w:i/>
          <w:iCs/>
        </w:rPr>
        <w:t>Platforms of Prosperity: The Africa Edition</w:t>
      </w:r>
      <w:r>
        <w:t xml:space="preserve">. [online] ResearchGate. Available at: </w:t>
      </w:r>
      <w:hyperlink r:id="rId75">
        <w:r>
          <w:rPr>
            <w:color w:val="1155CC"/>
            <w:u w:val="single"/>
          </w:rPr>
          <w:t>https://www.researchgate.net/publication/354022814_Platforms_of_Prosperity_The_Africa_Edition</w:t>
        </w:r>
      </w:hyperlink>
      <w:r>
        <w:t xml:space="preserve">. </w:t>
      </w:r>
    </w:p>
    <w:p xmlns:wp14="http://schemas.microsoft.com/office/word/2010/wordml" w:rsidR="00CF2856" w:rsidRDefault="00CF2856" w14:paraId="5939CF45" wp14:textId="77777777">
      <w:pPr>
        <w:spacing w:before="0"/>
        <w:rPr>
          <w:color w:val="000000"/>
        </w:rPr>
      </w:pPr>
      <w:r>
        <w:rPr>
          <w:color w:val="000000"/>
        </w:rPr>
        <w:t>Sengupta, S., Patel, P. and Zaman, S., 2020. Fostering business growth and innovation through internationalization: the interesting illustration of the Indian IT industry. In Technological Innovation and International Competitiveness for Business Growth: Challenges and Opportunities (pp. 361-387). Cham: Springer International Publishing.</w:t>
      </w:r>
      <w:hyperlink r:id="rId76">
        <w:r>
          <w:rPr>
            <w:color w:val="1155CC"/>
            <w:u w:val="single"/>
          </w:rPr>
          <w:t>https://www.academia.edu/download/107060383/1B6D4EB4-3D5A-4C1B-A648-C4FA61C8916E.pdf</w:t>
        </w:r>
      </w:hyperlink>
      <w:r>
        <w:rPr>
          <w:color w:val="000000"/>
        </w:rPr>
        <w:t xml:space="preserve"> </w:t>
      </w:r>
    </w:p>
    <w:p xmlns:wp14="http://schemas.microsoft.com/office/word/2010/wordml" w:rsidR="00CF2856" w:rsidRDefault="00CF2856" w14:paraId="4EBA6A1F" wp14:textId="77777777">
      <w:pPr>
        <w:spacing w:before="0" w:after="0"/>
        <w:rPr>
          <w:color w:val="1F1F1F"/>
          <w:highlight w:val="white"/>
        </w:rPr>
      </w:pPr>
      <w:r>
        <w:rPr>
          <w:color w:val="1F1F1F"/>
          <w:highlight w:val="white"/>
        </w:rPr>
        <w:t xml:space="preserve">Shilpa Phadnis (2026). Accenture India revenue up 13% in FY25. [online] The Times of India. Available at: </w:t>
      </w:r>
      <w:hyperlink r:id="rId77">
        <w:r>
          <w:rPr>
            <w:color w:val="1155CC"/>
            <w:highlight w:val="white"/>
            <w:u w:val="single"/>
          </w:rPr>
          <w:t>https://timesofindia.indiatimes.com/business/india-business/accenture-india-revenue-up-13-in-fy25/articleshow/126516467.cms</w:t>
        </w:r>
      </w:hyperlink>
      <w:r>
        <w:rPr>
          <w:color w:val="1F1F1F"/>
          <w:highlight w:val="white"/>
        </w:rPr>
        <w:t xml:space="preserve">. </w:t>
      </w:r>
    </w:p>
    <w:p xmlns:wp14="http://schemas.microsoft.com/office/word/2010/wordml" w:rsidR="00CF2856" w:rsidRDefault="00CF2856" w14:paraId="6B4AEB75" wp14:textId="77777777">
      <w:pPr>
        <w:spacing w:before="0" w:after="0"/>
      </w:pPr>
      <w:r>
        <w:t xml:space="preserve">Shira, D. (2025). </w:t>
      </w:r>
      <w:r>
        <w:rPr>
          <w:i/>
          <w:iCs/>
        </w:rPr>
        <w:t>A Guide to Minimum Wage in India</w:t>
      </w:r>
      <w:r>
        <w:t xml:space="preserve">. [online] India Briefing News. Available at: </w:t>
      </w:r>
      <w:hyperlink r:id="rId78">
        <w:r>
          <w:rPr>
            <w:color w:val="1155CC"/>
            <w:u w:val="single"/>
          </w:rPr>
          <w:t>https://www.india-briefing.com/news/guide-minimum-wage-india-19406.html/</w:t>
        </w:r>
      </w:hyperlink>
      <w:r>
        <w:t xml:space="preserve">. </w:t>
      </w:r>
    </w:p>
    <w:p xmlns:wp14="http://schemas.microsoft.com/office/word/2010/wordml" w:rsidR="00CF2856" w:rsidRDefault="00CF2856" w14:paraId="3C1876E4" wp14:textId="77777777">
      <w:pPr>
        <w:spacing w:before="0" w:after="0"/>
        <w:rPr>
          <w:color w:val="1F1F1F"/>
          <w:highlight w:val="white"/>
        </w:rPr>
      </w:pPr>
      <w:r>
        <w:rPr>
          <w:color w:val="1F1F1F"/>
          <w:highlight w:val="white"/>
        </w:rPr>
        <w:t xml:space="preserve">Shreyash Mangale (2026). Indian IT sector is at a strategic crossroads. [online] LinkedIn. Available at: </w:t>
      </w:r>
      <w:hyperlink r:id="rId79">
        <w:r>
          <w:rPr>
            <w:color w:val="1155CC"/>
            <w:highlight w:val="white"/>
            <w:u w:val="single"/>
          </w:rPr>
          <w:t>https://www.linkedin.com/posts/shreyash-mangale_indian-it-sector-is-at-a-strategic-crossroads-activity-7427886742923427840-dMn1</w:t>
        </w:r>
      </w:hyperlink>
      <w:r>
        <w:rPr>
          <w:color w:val="1F1F1F"/>
          <w:highlight w:val="white"/>
        </w:rPr>
        <w:t xml:space="preserve">  [Accessed 31 Mar. 2026].</w:t>
      </w:r>
    </w:p>
    <w:p xmlns:wp14="http://schemas.microsoft.com/office/word/2010/wordml" w:rsidR="00CF2856" w:rsidRDefault="00CF2856" w14:paraId="01470359" wp14:textId="77777777">
      <w:pPr>
        <w:spacing w:before="0" w:after="0"/>
        <w:rPr>
          <w:color w:val="1F1F1F"/>
          <w:highlight w:val="white"/>
        </w:rPr>
      </w:pPr>
      <w:r>
        <w:rPr>
          <w:color w:val="1F1F1F"/>
          <w:highlight w:val="white"/>
        </w:rPr>
        <w:t>Srivastava, S., Hallur, G.G. and Mukitm, A., 2023, September. Advanced-data analytics in telecommunications industry: A case study of accenture. In AIP Conference Proceedings (Vol. 2736, No. 1, p. 060036). AIP Publishing LLC.</w:t>
      </w:r>
      <w:hyperlink r:id="rId80">
        <w:r>
          <w:rPr>
            <w:color w:val="1155CC"/>
            <w:highlight w:val="white"/>
            <w:u w:val="single"/>
          </w:rPr>
          <w:t>https://pubs.aip.org/aip/acp/article-pdf/doi/10.1063/5.0170732/18141743/060036_1_5.0170732.pdf</w:t>
        </w:r>
      </w:hyperlink>
      <w:r>
        <w:rPr>
          <w:color w:val="1F1F1F"/>
          <w:highlight w:val="white"/>
        </w:rPr>
        <w:t xml:space="preserve">  [Accessed 31 Mar. 2026].</w:t>
      </w:r>
    </w:p>
    <w:p xmlns:wp14="http://schemas.microsoft.com/office/word/2010/wordml" w:rsidR="00CF2856" w:rsidRDefault="00CF2856" w14:paraId="12B241A9" wp14:textId="77777777">
      <w:pPr>
        <w:spacing w:before="0"/>
        <w:rPr>
          <w:color w:val="000000"/>
        </w:rPr>
      </w:pPr>
      <w:r>
        <w:rPr>
          <w:color w:val="000000"/>
        </w:rPr>
        <w:t>Taherdoost, H., 2021. Data collection methods and tools for research; a step-by-step guide to choose data collection technique for academic and business research projects. International journal of academic research in management (IJARM), 10(1), pp.10-38.</w:t>
      </w:r>
      <w:hyperlink r:id="rId81">
        <w:r>
          <w:rPr>
            <w:color w:val="1155CC"/>
            <w:u w:val="single"/>
          </w:rPr>
          <w:t>https://hal.science/hal-03741847v1/file/Data%20Collection%20Methods%20and%20Tools%20for%20Research%20.pdf</w:t>
        </w:r>
      </w:hyperlink>
      <w:r>
        <w:rPr>
          <w:color w:val="000000"/>
        </w:rPr>
        <w:t xml:space="preserve"> </w:t>
      </w:r>
    </w:p>
    <w:p xmlns:wp14="http://schemas.microsoft.com/office/word/2010/wordml" w:rsidR="00CF2856" w:rsidRDefault="00CF2856" w14:paraId="4EE3BFF4" wp14:textId="77777777">
      <w:pPr>
        <w:spacing w:before="0" w:after="0"/>
      </w:pPr>
      <w:r>
        <w:t xml:space="preserve">Tan, K.H. (2025). Porter’s Diamond Model and Global Competitive Advantage Strategic Marketing. </w:t>
      </w:r>
      <w:r>
        <w:rPr>
          <w:i/>
          <w:iCs/>
        </w:rPr>
        <w:t>ResearchGate</w:t>
      </w:r>
      <w:r>
        <w:t>. [online] doi:</w:t>
      </w:r>
      <w:hyperlink r:id="rId82">
        <w:r>
          <w:rPr>
            <w:color w:val="1155CC"/>
            <w:u w:val="single"/>
          </w:rPr>
          <w:t>https://doi.org/10.13140/RG.2.2.25399.64161</w:t>
        </w:r>
      </w:hyperlink>
      <w:r>
        <w:t xml:space="preserve">. </w:t>
      </w:r>
    </w:p>
    <w:p xmlns:wp14="http://schemas.microsoft.com/office/word/2010/wordml" w:rsidR="00CF2856" w:rsidRDefault="00CF2856" w14:paraId="3F851EB3" wp14:textId="77777777">
      <w:pPr>
        <w:spacing w:before="0"/>
        <w:rPr>
          <w:color w:val="000000"/>
        </w:rPr>
      </w:pPr>
      <w:r>
        <w:rPr>
          <w:color w:val="000000"/>
        </w:rPr>
        <w:t>Tayali, E.M. and Sakyi, K.A., 2020. Reputable relevant realistic reliable and rigorous human resource management strategic approaches and practices in the 21st century. Adv Soc Sci Res J, 7(6), pp.600-621.</w:t>
      </w:r>
      <w:hyperlink r:id="rId83">
        <w:r>
          <w:rPr>
            <w:color w:val="1155CC"/>
            <w:u w:val="single"/>
          </w:rPr>
          <w:t>https://www.researchgate.net/profile/Esnart-Tayali/publication/342665954_Reputable_Relevant_Realistic_Reliable_and_Rigorous_Human_Resource_Management_Strategic_Approaches_and_Practices_in_the_21st_Century/links/5eff78a7a6fdcc4ca4481d65/Reputable-Relevant-Realistic-Reliable-and-Rigorous-Human-Resource-Management-Strategic-Approaches-and-Practices-in-the-21st-Century.pdf</w:t>
        </w:r>
      </w:hyperlink>
      <w:r>
        <w:rPr>
          <w:color w:val="000000"/>
        </w:rPr>
        <w:t xml:space="preserve"> </w:t>
      </w:r>
    </w:p>
    <w:p xmlns:wp14="http://schemas.microsoft.com/office/word/2010/wordml" w:rsidR="00CF2856" w:rsidRDefault="00CF2856" w14:paraId="4E646673" wp14:textId="77777777">
      <w:pPr>
        <w:spacing w:before="0" w:after="0"/>
        <w:rPr>
          <w:color w:val="000000"/>
        </w:rPr>
      </w:pPr>
      <w:r>
        <w:rPr>
          <w:color w:val="000000"/>
        </w:rPr>
        <w:t xml:space="preserve">Tcs.com. (2025). TCS CrystallusTM: Driving Seamless Enterprise Digital Transformation. [online] Available at: </w:t>
      </w:r>
      <w:hyperlink r:id="rId84">
        <w:r>
          <w:rPr>
            <w:color w:val="1155CC"/>
            <w:u w:val="single"/>
          </w:rPr>
          <w:t>https://www.tcs.com/what-we-do/services/enterprise-solutions/solution/crystallus-enterprise-digital-transformation</w:t>
        </w:r>
      </w:hyperlink>
      <w:r>
        <w:rPr>
          <w:color w:val="000000"/>
        </w:rPr>
        <w:t xml:space="preserve">. </w:t>
      </w:r>
    </w:p>
    <w:p xmlns:wp14="http://schemas.microsoft.com/office/word/2010/wordml" w:rsidR="00CF2856" w:rsidRDefault="00CF2856" w14:paraId="6C1B2AC5" wp14:textId="77777777">
      <w:pPr>
        <w:spacing w:before="0" w:after="0"/>
      </w:pPr>
      <w:r>
        <w:t xml:space="preserve">Technavio (2025). </w:t>
      </w:r>
      <w:r>
        <w:rPr>
          <w:i/>
          <w:iCs/>
        </w:rPr>
        <w:t>Business Process Outsourcing (BPO) Services Market Trends</w:t>
      </w:r>
      <w:r>
        <w:t xml:space="preserve">. [online] www.technavio.com. Available at: </w:t>
      </w:r>
      <w:hyperlink r:id="rId85">
        <w:r>
          <w:rPr>
            <w:color w:val="1155CC"/>
            <w:u w:val="single"/>
          </w:rPr>
          <w:t>https://www.technavio.com/report/it-and-bpo-services-market-in-india-industry-analysis</w:t>
        </w:r>
      </w:hyperlink>
      <w:r>
        <w:t xml:space="preserve">. </w:t>
      </w:r>
    </w:p>
    <w:p xmlns:wp14="http://schemas.microsoft.com/office/word/2010/wordml" w:rsidR="00CF2856" w:rsidRDefault="00CF2856" w14:paraId="2048B2D2" wp14:textId="77777777">
      <w:pPr>
        <w:spacing w:before="0" w:after="0"/>
      </w:pPr>
      <w:r>
        <w:t xml:space="preserve">Technocomet (2025). Available at: </w:t>
      </w:r>
      <w:hyperlink r:id="rId86">
        <w:r>
          <w:rPr>
            <w:color w:val="1155CC"/>
            <w:u w:val="single"/>
          </w:rPr>
          <w:t>https://technocometsolutions.com/top-ten-indian-it-companies-2025</w:t>
        </w:r>
      </w:hyperlink>
      <w:r>
        <w:t xml:space="preserve">. </w:t>
      </w:r>
    </w:p>
    <w:p xmlns:wp14="http://schemas.microsoft.com/office/word/2010/wordml" w:rsidR="00CF2856" w:rsidRDefault="00CF2856" w14:paraId="3CF8D3E2" wp14:textId="77777777">
      <w:pPr>
        <w:spacing w:before="0" w:after="0"/>
      </w:pPr>
      <w:r>
        <w:t xml:space="preserve">The Times of India (2024). </w:t>
      </w:r>
      <w:r>
        <w:rPr>
          <w:i/>
          <w:iCs/>
        </w:rPr>
        <w:t>Accenture to hire more in India: CEO</w:t>
      </w:r>
      <w:r>
        <w:t xml:space="preserve">. [online] The Times of India. Available at: </w:t>
      </w:r>
      <w:hyperlink r:id="rId87">
        <w:r>
          <w:rPr>
            <w:color w:val="1155CC"/>
            <w:u w:val="single"/>
          </w:rPr>
          <w:t>https://timesofindia.indiatimes.com/business/india-business/accenture-to-hire-more-in-india-ceo/articleshow/113719885.cms</w:t>
        </w:r>
      </w:hyperlink>
      <w:r>
        <w:t xml:space="preserve">. </w:t>
      </w:r>
    </w:p>
    <w:p xmlns:wp14="http://schemas.microsoft.com/office/word/2010/wordml" w:rsidR="00CF2856" w:rsidRDefault="00CF2856" w14:paraId="4D1055ED" wp14:textId="77777777">
      <w:pPr>
        <w:spacing w:before="0" w:after="0"/>
      </w:pPr>
      <w:r>
        <w:t xml:space="preserve">The Times of India (2025). </w:t>
      </w:r>
      <w:r>
        <w:rPr>
          <w:i/>
          <w:iCs/>
        </w:rPr>
        <w:t>Accenture lays off more than 11,000 employees: 5 lessons for white-collar professionals from CEO Julie Sweet’s warning</w:t>
      </w:r>
      <w:r>
        <w:t xml:space="preserve">. [online] The Times of India. Available at: </w:t>
      </w:r>
      <w:hyperlink r:id="rId88">
        <w:r>
          <w:rPr>
            <w:color w:val="1155CC"/>
            <w:u w:val="single"/>
          </w:rPr>
          <w:t>https://timesofindia.indiatimes.com/education/careers/news/accenture-lays-off-more-than-11000-employees-5-lessons-for-white-collar-professionals-from-ceo-julie-sweets-warning/articleshow/124179052.cms</w:t>
        </w:r>
      </w:hyperlink>
      <w:r>
        <w:t xml:space="preserve">. </w:t>
      </w:r>
    </w:p>
    <w:p xmlns:wp14="http://schemas.microsoft.com/office/word/2010/wordml" w:rsidR="00CF2856" w:rsidRDefault="00CF2856" w14:paraId="5FD71786" wp14:textId="77777777">
      <w:pPr>
        <w:spacing w:before="0" w:after="0"/>
        <w:rPr>
          <w:color w:val="222222"/>
          <w:highlight w:val="white"/>
        </w:rPr>
      </w:pPr>
      <w:r>
        <w:rPr>
          <w:color w:val="222222"/>
          <w:highlight w:val="white"/>
        </w:rPr>
        <w:t xml:space="preserve">The University of Edinburgh (2024). Gibbs’ Reflective Cycle. [online] The University of Edinburgh. Available at: </w:t>
      </w:r>
      <w:hyperlink r:id="rId89">
        <w:r>
          <w:rPr>
            <w:color w:val="1155CC"/>
            <w:highlight w:val="white"/>
            <w:u w:val="single"/>
          </w:rPr>
          <w:t>https://reflection.ed.ac.uk/reflectors-toolkit/reflecting-on-experience/gibbs-reflective-cycle</w:t>
        </w:r>
      </w:hyperlink>
      <w:r>
        <w:rPr>
          <w:color w:val="222222"/>
          <w:highlight w:val="white"/>
        </w:rPr>
        <w:t xml:space="preserve">. </w:t>
      </w:r>
    </w:p>
    <w:p xmlns:wp14="http://schemas.microsoft.com/office/word/2010/wordml" w:rsidR="00CF2856" w:rsidRDefault="00CF2856" w14:paraId="6351AAA1" wp14:textId="77777777">
      <w:pPr>
        <w:spacing w:before="0" w:after="0"/>
        <w:rPr>
          <w:color w:val="000000"/>
        </w:rPr>
      </w:pPr>
      <w:r>
        <w:rPr>
          <w:color w:val="000000"/>
        </w:rPr>
        <w:t xml:space="preserve">TNN (2024). Accenture to hire more in India: CEO. [online] The Times of India. Available at: </w:t>
      </w:r>
      <w:hyperlink r:id="rId90">
        <w:r>
          <w:rPr>
            <w:color w:val="1155CC"/>
            <w:u w:val="single"/>
          </w:rPr>
          <w:t>https://timesofindia.indiatimes.com/business/india-business/accenture-to-hire-more-in-india-ceo/articleshow/113719885.cms</w:t>
        </w:r>
      </w:hyperlink>
      <w:r>
        <w:rPr>
          <w:color w:val="000000"/>
        </w:rPr>
        <w:t xml:space="preserve">. </w:t>
      </w:r>
    </w:p>
    <w:p xmlns:wp14="http://schemas.microsoft.com/office/word/2010/wordml" w:rsidR="00CF2856" w:rsidRDefault="00CF2856" w14:paraId="2E4887FE" wp14:textId="77777777">
      <w:pPr>
        <w:spacing w:before="0" w:after="0"/>
        <w:rPr>
          <w:color w:val="000000"/>
        </w:rPr>
      </w:pPr>
      <w:r>
        <w:rPr>
          <w:color w:val="000000"/>
        </w:rPr>
        <w:t xml:space="preserve">TNN (2025). Indian IT sector to cross $400bn by 2030: Report. [online] The Times of India. Available at: </w:t>
      </w:r>
      <w:hyperlink r:id="rId91">
        <w:r>
          <w:rPr>
            <w:color w:val="1155CC"/>
            <w:u w:val="single"/>
          </w:rPr>
          <w:t>https://timesofindia.indiatimes.com/business/india-business/indian-it-sector-to-cross-400bn-by-2030-report/articleshow/124861026.cms</w:t>
        </w:r>
      </w:hyperlink>
      <w:r>
        <w:rPr>
          <w:color w:val="000000"/>
        </w:rPr>
        <w:t>.</w:t>
      </w:r>
    </w:p>
    <w:p xmlns:wp14="http://schemas.microsoft.com/office/word/2010/wordml" w:rsidR="00CF2856" w:rsidRDefault="00CF2856" w14:paraId="72AC4471" wp14:textId="77777777">
      <w:pPr>
        <w:spacing w:before="0" w:after="0"/>
        <w:rPr>
          <w:color w:val="000000"/>
        </w:rPr>
      </w:pPr>
      <w:r>
        <w:rPr>
          <w:color w:val="000000"/>
        </w:rPr>
        <w:t xml:space="preserve">Trade and Economic Security. (2024). MEMO: EU-INDIA Free Trade Agreement Chapter by Chapter Summary. [online] Available at: </w:t>
      </w:r>
      <w:hyperlink r:id="rId92">
        <w:r>
          <w:rPr>
            <w:color w:val="1155CC"/>
            <w:u w:val="single"/>
          </w:rPr>
          <w:t>https://policy.trade.ec.europa.eu/eu-trade-relationships-country-and-region/countries-and-regions/india/eu-india-agreements/memo-eu-india-free-trade-agreement-chapter-chapter-summary_en</w:t>
        </w:r>
      </w:hyperlink>
      <w:r>
        <w:rPr>
          <w:color w:val="000000"/>
        </w:rPr>
        <w:t>.</w:t>
      </w:r>
    </w:p>
    <w:p xmlns:wp14="http://schemas.microsoft.com/office/word/2010/wordml" w:rsidR="00CF2856" w:rsidRDefault="00CF2856" w14:paraId="7EE677CA" wp14:textId="77777777">
      <w:pPr>
        <w:spacing w:before="0" w:after="0"/>
      </w:pPr>
      <w:r>
        <w:t xml:space="preserve">Trading Economics (2025). </w:t>
      </w:r>
      <w:r>
        <w:rPr>
          <w:i/>
          <w:iCs/>
        </w:rPr>
        <w:t>India GDP per capita</w:t>
      </w:r>
      <w:r>
        <w:t xml:space="preserve">. [online] Tradingeconomics.com. Available at: </w:t>
      </w:r>
      <w:hyperlink r:id="rId93">
        <w:r>
          <w:rPr>
            <w:color w:val="1155CC"/>
            <w:u w:val="single"/>
          </w:rPr>
          <w:t>https://tradingeconomics.com/india/gdp-per-capita</w:t>
        </w:r>
      </w:hyperlink>
      <w:r>
        <w:t xml:space="preserve">. </w:t>
      </w:r>
    </w:p>
    <w:p xmlns:wp14="http://schemas.microsoft.com/office/word/2010/wordml" w:rsidR="00CF2856" w:rsidRDefault="00CF2856" w14:paraId="50D2576E" wp14:textId="77777777">
      <w:pPr>
        <w:spacing w:before="0" w:after="0"/>
      </w:pPr>
      <w:r>
        <w:t xml:space="preserve">Trading Economics (2026). </w:t>
      </w:r>
      <w:r>
        <w:rPr>
          <w:i/>
          <w:iCs/>
        </w:rPr>
        <w:t>Ireland GDP per capita | 1970-2018 Data | 2019-2020 Forecast | Calendar | Historical</w:t>
      </w:r>
      <w:r>
        <w:t xml:space="preserve">. [online] tradingeconomics.com. Available at: </w:t>
      </w:r>
      <w:hyperlink r:id="rId94">
        <w:r>
          <w:rPr>
            <w:color w:val="1155CC"/>
            <w:u w:val="single"/>
          </w:rPr>
          <w:t>https://tradingeconomics.com/ireland/gdp-per-capita</w:t>
        </w:r>
      </w:hyperlink>
      <w:r>
        <w:t xml:space="preserve">. </w:t>
      </w:r>
    </w:p>
    <w:p xmlns:wp14="http://schemas.microsoft.com/office/word/2010/wordml" w:rsidR="00CF2856" w:rsidRDefault="00CF2856" w14:paraId="2E9CE3B3" wp14:textId="77777777">
      <w:pPr>
        <w:spacing w:before="0" w:after="0"/>
      </w:pPr>
      <w:r>
        <w:t xml:space="preserve">Travelmath (2026). </w:t>
      </w:r>
      <w:r>
        <w:rPr>
          <w:i/>
          <w:iCs/>
        </w:rPr>
        <w:t>Distance from India to Ireland</w:t>
      </w:r>
      <w:r>
        <w:t xml:space="preserve">. [online] Travelmath.com. Available at: </w:t>
      </w:r>
      <w:hyperlink r:id="rId95">
        <w:r>
          <w:rPr>
            <w:color w:val="1155CC"/>
            <w:u w:val="single"/>
          </w:rPr>
          <w:t>https://www.travelmath.com/distance/from/India/to/Ireland</w:t>
        </w:r>
      </w:hyperlink>
      <w:r>
        <w:t xml:space="preserve">. </w:t>
      </w:r>
    </w:p>
    <w:p xmlns:wp14="http://schemas.microsoft.com/office/word/2010/wordml" w:rsidR="00CF2856" w:rsidRDefault="00CF2856" w14:paraId="066AF836" wp14:textId="77777777">
      <w:pPr>
        <w:spacing w:before="0" w:after="0"/>
        <w:rPr>
          <w:color w:val="1F1F1F"/>
          <w:highlight w:val="white"/>
        </w:rPr>
      </w:pPr>
      <w:r>
        <w:rPr>
          <w:color w:val="1F1F1F"/>
          <w:highlight w:val="white"/>
        </w:rPr>
        <w:t>Yathiraju, N., 2022. Investigating the use of an artificial intelligence model in an ERP cloud-based system. International Journal of Electrical, Electronics and Computers, 7(2),</w:t>
      </w:r>
      <w:bookmarkStart w:name="_GoBack" w:id="31"/>
      <w:bookmarkEnd w:id="31"/>
      <w:r>
        <w:rPr>
          <w:color w:val="1F1F1F"/>
          <w:highlight w:val="white"/>
        </w:rPr>
        <w:t xml:space="preserve"> pp.1-26.</w:t>
      </w:r>
      <w:hyperlink r:id="rId96">
        <w:r>
          <w:rPr>
            <w:color w:val="1155CC"/>
            <w:highlight w:val="white"/>
            <w:u w:val="single"/>
          </w:rPr>
          <w:t>https://www.academia.edu/download/85514837/IJEEC_01_march_april_2022.pdf</w:t>
        </w:r>
      </w:hyperlink>
      <w:r>
        <w:rPr>
          <w:color w:val="1F1F1F"/>
          <w:highlight w:val="white"/>
        </w:rPr>
        <w:t xml:space="preserve"> [Accessed 31 Mar. 2026].</w:t>
      </w:r>
    </w:p>
    <w:p xmlns:wp14="http://schemas.microsoft.com/office/word/2010/wordml" w:rsidR="00CF2856" w:rsidRDefault="00CF2856" w14:paraId="3142E860" wp14:textId="77777777">
      <w:pPr>
        <w:spacing w:before="0" w:after="0"/>
      </w:pPr>
      <w:r>
        <w:t xml:space="preserve">Yue, C.S. and Lim, J.J. (2023). 10. Singapore: A Regional Hub in ICT. </w:t>
      </w:r>
      <w:r>
        <w:rPr>
          <w:i/>
          <w:iCs/>
        </w:rPr>
        <w:t>ISEAS Publishing eBooks</w:t>
      </w:r>
      <w:r>
        <w:t>, pp.259–298. doi:</w:t>
      </w:r>
      <w:hyperlink r:id="rId97">
        <w:r>
          <w:rPr>
            <w:color w:val="1155CC"/>
            <w:u w:val="single"/>
          </w:rPr>
          <w:t>https://doi.org/10.1355/9789812305848-015</w:t>
        </w:r>
      </w:hyperlink>
      <w:r>
        <w:t xml:space="preserve">. </w:t>
      </w:r>
    </w:p>
    <w:p xmlns:wp14="http://schemas.microsoft.com/office/word/2010/wordml" w:rsidR="00CF2856" w:rsidRDefault="00CF2856" w14:paraId="4334B57E" wp14:textId="77777777">
      <w:pPr>
        <w:spacing w:before="0"/>
      </w:pPr>
      <w:r>
        <w:rPr>
          <w:color w:val="000000"/>
        </w:rPr>
        <w:t>Zhang, L. and Wu, Z., 2024. Enhancing postgraduate academic writing skills through course reform: An action research study. Social Education Research, pp.217-233.</w:t>
      </w:r>
      <w:hyperlink r:id="rId98">
        <w:r>
          <w:rPr>
            <w:color w:val="1155CC"/>
            <w:u w:val="single"/>
          </w:rPr>
          <w:t>https://ojs.wiserpub.com/index.php/SER/article/download/4202/2177</w:t>
        </w:r>
      </w:hyperlink>
      <w:r>
        <w:rPr>
          <w:color w:val="000000"/>
        </w:rPr>
        <w:t xml:space="preserve"> </w:t>
      </w:r>
    </w:p>
    <w:p xmlns:wp14="http://schemas.microsoft.com/office/word/2010/wordml" w:rsidR="00CF2856" w:rsidRDefault="00CF2856" w14:paraId="490E2D19" wp14:textId="77777777">
      <w:pPr>
        <w:spacing w:before="0" w:after="0"/>
      </w:pPr>
      <w:r>
        <w:t xml:space="preserve">Zion Market Research (2025). </w:t>
      </w:r>
      <w:r>
        <w:rPr>
          <w:i/>
          <w:iCs/>
        </w:rPr>
        <w:t>India Data Center Market Size &amp; Share, Forecast 2034</w:t>
      </w:r>
      <w:r>
        <w:t xml:space="preserve">. [online] Zion Market Research. Available at: </w:t>
      </w:r>
      <w:hyperlink r:id="rId99">
        <w:r>
          <w:rPr>
            <w:color w:val="1155CC"/>
            <w:u w:val="single"/>
          </w:rPr>
          <w:t>https://www.zionmarketresearch.com/report/india-data-center-market</w:t>
        </w:r>
      </w:hyperlink>
      <w:r>
        <w:t xml:space="preserve">  [Accessed 5 Mar. 2026].</w:t>
      </w:r>
    </w:p>
    <w:p xmlns:wp14="http://schemas.microsoft.com/office/word/2010/wordml" w:rsidR="00296AB9" w:rsidRDefault="00296AB9" w14:paraId="3656B9AB" wp14:textId="77777777">
      <w:pPr>
        <w:spacing w:before="0" w:after="0"/>
        <w:rPr>
          <w:rFonts w:ascii="Roboto" w:hAnsi="Roboto" w:eastAsia="Roboto" w:cs="Roboto"/>
          <w:color w:val="1F1F1F"/>
          <w:sz w:val="21"/>
          <w:szCs w:val="21"/>
          <w:highlight w:val="white"/>
        </w:rPr>
      </w:pPr>
    </w:p>
    <w:p xmlns:wp14="http://schemas.microsoft.com/office/word/2010/wordml" w:rsidR="00296AB9" w:rsidRDefault="00296AB9" w14:paraId="45FB0818" wp14:textId="77777777">
      <w:pPr>
        <w:spacing w:before="0" w:after="0"/>
        <w:rPr>
          <w:color w:val="1F1F1F"/>
          <w:highlight w:val="white"/>
        </w:rPr>
      </w:pPr>
    </w:p>
    <w:p xmlns:wp14="http://schemas.microsoft.com/office/word/2010/wordml" w:rsidR="00296AB9" w:rsidRDefault="00D2078E" w14:paraId="09650FB8" wp14:textId="77777777">
      <w:pPr>
        <w:spacing w:before="240" w:after="240"/>
        <w:rPr>
          <w:rFonts w:ascii="Calibri" w:hAnsi="Calibri" w:eastAsia="Calibri" w:cs="Calibri"/>
          <w:color w:val="1F1F1F"/>
          <w:highlight w:val="white"/>
        </w:rPr>
      </w:pPr>
      <w:r>
        <w:rPr>
          <w:rFonts w:ascii="Calibri" w:hAnsi="Calibri" w:eastAsia="Calibri" w:cs="Calibri"/>
          <w:color w:val="1F1F1F"/>
          <w:highlight w:val="white"/>
        </w:rPr>
        <w:t>‌</w:t>
      </w:r>
    </w:p>
    <w:p xmlns:wp14="http://schemas.microsoft.com/office/word/2010/wordml" w:rsidR="00296AB9" w:rsidRDefault="00296AB9" w14:paraId="049F31CB" wp14:textId="77777777">
      <w:pPr>
        <w:spacing w:before="0" w:after="0"/>
        <w:rPr>
          <w:color w:val="1F1F1F"/>
          <w:highlight w:val="white"/>
        </w:rPr>
      </w:pPr>
    </w:p>
    <w:p xmlns:wp14="http://schemas.microsoft.com/office/word/2010/wordml" w:rsidR="00296AB9" w:rsidRDefault="00D2078E" w14:paraId="45443EFB" wp14:textId="77777777">
      <w:pPr>
        <w:spacing w:before="240" w:after="240"/>
        <w:rPr>
          <w:color w:val="1F1F1F"/>
          <w:highlight w:val="white"/>
        </w:rPr>
      </w:pPr>
      <w:r>
        <w:rPr>
          <w:color w:val="1F1F1F"/>
          <w:highlight w:val="white"/>
        </w:rPr>
        <w:t>‌</w:t>
      </w:r>
    </w:p>
    <w:p xmlns:wp14="http://schemas.microsoft.com/office/word/2010/wordml" w:rsidR="00296AB9" w:rsidRDefault="00296AB9" w14:paraId="53128261" wp14:textId="77777777">
      <w:pPr>
        <w:spacing w:before="0" w:after="0"/>
        <w:rPr>
          <w:rFonts w:ascii="Roboto" w:hAnsi="Roboto" w:eastAsia="Roboto" w:cs="Roboto"/>
          <w:color w:val="1F1F1F"/>
          <w:sz w:val="21"/>
          <w:szCs w:val="21"/>
          <w:highlight w:val="white"/>
        </w:rPr>
      </w:pPr>
    </w:p>
    <w:p xmlns:wp14="http://schemas.microsoft.com/office/word/2010/wordml" w:rsidR="00296AB9" w:rsidRDefault="00D2078E" w14:paraId="7C6BFF72" wp14:textId="77777777">
      <w:pPr>
        <w:spacing w:before="0" w:after="0"/>
        <w:rPr>
          <w:rFonts w:ascii="Roboto" w:hAnsi="Roboto" w:eastAsia="Roboto" w:cs="Roboto"/>
          <w:color w:val="1F1F1F"/>
          <w:sz w:val="21"/>
          <w:szCs w:val="21"/>
          <w:highlight w:val="white"/>
        </w:rPr>
      </w:pPr>
      <w:r>
        <w:rPr>
          <w:rFonts w:ascii="Roboto" w:hAnsi="Roboto" w:eastAsia="Roboto" w:cs="Roboto"/>
          <w:color w:val="1F1F1F"/>
          <w:sz w:val="21"/>
          <w:szCs w:val="21"/>
          <w:highlight w:val="white"/>
        </w:rPr>
        <w:t>‌</w:t>
      </w:r>
    </w:p>
    <w:p xmlns:wp14="http://schemas.microsoft.com/office/word/2010/wordml" w:rsidR="00296AB9" w:rsidRDefault="00296AB9" w14:paraId="62486C05" wp14:textId="77777777">
      <w:pPr>
        <w:spacing w:before="0" w:after="0"/>
        <w:rPr>
          <w:color w:val="1F1F1F"/>
          <w:highlight w:val="white"/>
        </w:rPr>
      </w:pPr>
    </w:p>
    <w:p xmlns:wp14="http://schemas.microsoft.com/office/word/2010/wordml" w:rsidR="00296AB9" w:rsidRDefault="00D2078E" w14:paraId="3CDA6CF4" wp14:textId="77777777">
      <w:pPr>
        <w:spacing w:before="240" w:after="240"/>
        <w:rPr>
          <w:rFonts w:ascii="Calibri" w:hAnsi="Calibri" w:eastAsia="Calibri" w:cs="Calibri"/>
          <w:color w:val="1F1F1F"/>
          <w:highlight w:val="white"/>
        </w:rPr>
      </w:pPr>
      <w:r>
        <w:rPr>
          <w:rFonts w:ascii="Calibri" w:hAnsi="Calibri" w:eastAsia="Calibri" w:cs="Calibri"/>
          <w:color w:val="1F1F1F"/>
          <w:highlight w:val="white"/>
        </w:rPr>
        <w:t>‌</w:t>
      </w:r>
    </w:p>
    <w:p xmlns:wp14="http://schemas.microsoft.com/office/word/2010/wordml" w:rsidR="00296AB9" w:rsidRDefault="00296AB9" w14:paraId="4101652C" wp14:textId="77777777">
      <w:pPr>
        <w:spacing w:before="0" w:after="0"/>
        <w:rPr>
          <w:color w:val="1F1F1F"/>
          <w:highlight w:val="white"/>
        </w:rPr>
      </w:pPr>
    </w:p>
    <w:p xmlns:wp14="http://schemas.microsoft.com/office/word/2010/wordml" w:rsidR="00296AB9" w:rsidRDefault="00296AB9" w14:paraId="4B99056E" wp14:textId="77777777">
      <w:pPr>
        <w:spacing w:before="0" w:after="0"/>
        <w:rPr>
          <w:color w:val="1F1F1F"/>
          <w:highlight w:val="white"/>
        </w:rPr>
      </w:pPr>
    </w:p>
    <w:sectPr w:rsidR="00296AB9">
      <w:footerReference w:type="default" r:id="rId100"/>
      <w:footerReference w:type="first" r:id="rId101"/>
      <w:pgSz w:w="12240" w:h="15840" w:orient="portrait"/>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xmlns:wp14="http://schemas.microsoft.com/office/word/2010/wordml" w:rsidR="00D2078E" w:rsidRDefault="00D2078E" w14:paraId="3461D779" wp14:textId="77777777">
      <w:pPr>
        <w:spacing w:before="0" w:after="0" w:line="240" w:lineRule="auto"/>
      </w:pPr>
      <w:r>
        <w:separator/>
      </w:r>
    </w:p>
  </w:endnote>
  <w:endnote w:type="continuationSeparator" w:id="0">
    <w:p xmlns:wp14="http://schemas.microsoft.com/office/word/2010/wordml" w:rsidR="00D2078E" w:rsidRDefault="00D2078E" w14:paraId="3CF2D8B6" wp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Roboto">
    <w:charset w:val="00"/>
    <w:family w:val="auto"/>
    <w:pitch w:val="default"/>
    <w:embedRegular w:fontKey="{C0CB3D15-BE89-4F3D-9E46-E993BE79FEFE}" r:id="rId1"/>
  </w:font>
  <w:font w:name="Calibri">
    <w:panose1 w:val="020F0502020204030204"/>
    <w:charset w:val="00"/>
    <w:family w:val="swiss"/>
    <w:pitch w:val="variable"/>
    <w:sig w:usb0="E00002FF" w:usb1="4000ACFF" w:usb2="00000001" w:usb3="00000000" w:csb0="0000019F" w:csb1="00000000"/>
    <w:embedRegular w:fontKey="{39CD13BD-EA63-44A8-A7E4-C95BF278928E}" r:id="rId2"/>
  </w:font>
  <w:font w:name="Cambria">
    <w:panose1 w:val="02040503050406030204"/>
    <w:charset w:val="00"/>
    <w:family w:val="roman"/>
    <w:pitch w:val="variable"/>
    <w:sig w:usb0="E00002FF" w:usb1="400004FF" w:usb2="00000000" w:usb3="00000000" w:csb0="0000019F" w:csb1="00000000"/>
    <w:embedRegular w:fontKey="{BA61D5F7-824D-4E32-9967-3CE74F04A3B9}" r:id="rId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xmlns:wp14="http://schemas.microsoft.com/office/word/2010/wordml" w:rsidR="00296AB9" w:rsidRDefault="00D2078E" w14:paraId="6860B6AA" wp14:textId="77777777">
    <w:pPr>
      <w:jc w:val="right"/>
    </w:pPr>
    <w:r>
      <w:fldChar w:fldCharType="begin"/>
    </w:r>
    <w:r>
      <w:instrText>PAGE</w:instrText>
    </w:r>
    <w:r w:rsidR="00CF2856">
      <w:fldChar w:fldCharType="separate"/>
    </w:r>
    <w:r w:rsidR="005446C4">
      <w:rPr>
        <w:noProof/>
      </w:rPr>
      <w:t>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xmlns:wp14="http://schemas.microsoft.com/office/word/2010/wordml" w:rsidR="00296AB9" w:rsidRDefault="00296AB9" w14:paraId="0FB78278" wp14:textId="7777777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xmlns:wp14="http://schemas.microsoft.com/office/word/2010/wordml" w:rsidR="00D2078E" w:rsidRDefault="00D2078E" w14:paraId="1299C43A" wp14:textId="77777777">
      <w:pPr>
        <w:spacing w:before="0" w:after="0" w:line="240" w:lineRule="auto"/>
      </w:pPr>
      <w:r>
        <w:separator/>
      </w:r>
    </w:p>
  </w:footnote>
  <w:footnote w:type="continuationSeparator" w:id="0">
    <w:p xmlns:wp14="http://schemas.microsoft.com/office/word/2010/wordml" w:rsidR="00D2078E" w:rsidRDefault="00D2078E" w14:paraId="4DDBEF00" wp14:textId="77777777">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D5EFC"/>
    <w:multiLevelType w:val="multilevel"/>
    <w:tmpl w:val="896A13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35F8231A"/>
    <w:multiLevelType w:val="multilevel"/>
    <w:tmpl w:val="94CA6C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396F0C7A"/>
    <w:multiLevelType w:val="multilevel"/>
    <w:tmpl w:val="C52E2C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3EBB3DB4"/>
    <w:multiLevelType w:val="multilevel"/>
    <w:tmpl w:val="AE4874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654304B5"/>
    <w:multiLevelType w:val="multilevel"/>
    <w:tmpl w:val="9D403A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6A922079"/>
    <w:multiLevelType w:val="multilevel"/>
    <w:tmpl w:val="E1CE58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7120226A"/>
    <w:multiLevelType w:val="multilevel"/>
    <w:tmpl w:val="EC841F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4"/>
  </w:num>
  <w:num w:numId="3">
    <w:abstractNumId w:val="2"/>
  </w:num>
  <w:num w:numId="4">
    <w:abstractNumId w:val="5"/>
  </w:num>
  <w:num w:numId="5">
    <w:abstractNumId w:val="0"/>
  </w:num>
  <w:num w:numId="6">
    <w:abstractNumId w:val="6"/>
  </w:num>
  <w:num w:numId="7">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00"/>
  <w:embedTrueTypeFont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296AB9"/>
    <w:rsid w:val="00296AB9"/>
    <w:rsid w:val="004B7256"/>
    <w:rsid w:val="005446C4"/>
    <w:rsid w:val="00CF2856"/>
    <w:rsid w:val="00D2078E"/>
    <w:rsid w:val="00F2A82D"/>
    <w:rsid w:val="1803862C"/>
    <w:rsid w:val="251F9359"/>
    <w:rsid w:val="34420A3A"/>
    <w:rsid w:val="3C323ECC"/>
    <w:rsid w:val="3EA03FE9"/>
    <w:rsid w:val="4061BF82"/>
    <w:rsid w:val="442B6A6F"/>
    <w:rsid w:val="4C495D02"/>
    <w:rsid w:val="57CBADF8"/>
    <w:rsid w:val="57F1496F"/>
    <w:rsid w:val="5B903374"/>
    <w:rsid w:val="5B988E47"/>
    <w:rsid w:val="5DAA9C21"/>
    <w:rsid w:val="5FF71F3D"/>
    <w:rsid w:val="6ABE6F19"/>
    <w:rsid w:val="703578A6"/>
    <w:rsid w:val="747D3A75"/>
    <w:rsid w:val="76AB2934"/>
    <w:rsid w:val="7D117C42"/>
    <w:rsid w:val="7F921C99"/>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CD189"/>
  <w15:docId w15:val="{E732DF69-54E0-4C19-A87D-4DBAC448B6F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Arial" w:hAnsi="Arial" w:eastAsia="Arial" w:cs="Arial"/>
        <w:color w:val="313131"/>
        <w:sz w:val="24"/>
        <w:szCs w:val="24"/>
        <w:lang w:val="en-AU" w:eastAsia="en-AU" w:bidi="ar-SA"/>
      </w:rPr>
    </w:rPrDefault>
    <w:pPrDefault>
      <w:pPr>
        <w:spacing w:before="200" w:after="200" w:line="360" w:lineRule="auto"/>
        <w:jc w:val="both"/>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style>
  <w:style w:type="paragraph" w:styleId="Heading1">
    <w:name w:val="heading 1"/>
    <w:basedOn w:val="Normal"/>
    <w:next w:val="Normal"/>
    <w:pPr>
      <w:keepNext/>
      <w:keepLines/>
      <w:outlineLvl w:val="0"/>
    </w:pPr>
    <w:rPr>
      <w:b/>
      <w:bCs/>
    </w:rPr>
  </w:style>
  <w:style w:type="paragraph" w:styleId="Heading2">
    <w:name w:val="heading 2"/>
    <w:basedOn w:val="Normal"/>
    <w:next w:val="Normal"/>
    <w:pPr>
      <w:keepNext/>
      <w:keepLines/>
      <w:outlineLvl w:val="1"/>
    </w:pPr>
    <w:rPr>
      <w:b/>
      <w:bCs/>
    </w:rPr>
  </w:style>
  <w:style w:type="paragraph" w:styleId="Heading3">
    <w:name w:val="heading 3"/>
    <w:basedOn w:val="Normal"/>
    <w:next w:val="Normal"/>
    <w:pPr>
      <w:keepNext/>
      <w:keepLines/>
      <w:outlineLvl w:val="2"/>
    </w:pPr>
    <w:rPr>
      <w:b/>
      <w:bCs/>
    </w:rPr>
  </w:style>
  <w:style w:type="paragraph" w:styleId="Heading4">
    <w:name w:val="heading 4"/>
    <w:basedOn w:val="Normal"/>
    <w:next w:val="Normal"/>
    <w:pPr>
      <w:keepNext/>
      <w:keepLines/>
      <w:outlineLvl w:val="3"/>
    </w:pPr>
    <w:rPr>
      <w:b/>
      <w:bCs/>
      <w:i/>
      <w:iCs/>
      <w:color w:val="000000"/>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0" w:after="60"/>
    </w:pPr>
    <w:rPr>
      <w:sz w:val="52"/>
      <w:szCs w:val="52"/>
    </w:rPr>
  </w:style>
  <w:style w:type="table" w:styleId="TableNormal1" w:customStyle="1">
    <w:name w:val="TableNormal0"/>
    <w:tblPr>
      <w:tblCellMar>
        <w:top w:w="100" w:type="dxa"/>
        <w:left w:w="100" w:type="dxa"/>
        <w:bottom w:w="100" w:type="dxa"/>
        <w:right w:w="100" w:type="dxa"/>
      </w:tblCellMar>
    </w:tblPr>
  </w:style>
  <w:style w:type="table" w:styleId="TableNormal2" w:customStyle="1">
    <w:name w:val="TableNormal1"/>
    <w:tblPr>
      <w:tblCellMar>
        <w:top w:w="100" w:type="dxa"/>
        <w:left w:w="100" w:type="dxa"/>
        <w:bottom w:w="100" w:type="dxa"/>
        <w:right w:w="100" w:type="dxa"/>
      </w:tblCellMar>
    </w:tblPr>
  </w:style>
  <w:style w:type="table" w:styleId="TableNormal3" w:customStyle="1">
    <w:name w:val="TableNormal2"/>
    <w:tblPr>
      <w:tblCellMar>
        <w:top w:w="100" w:type="dxa"/>
        <w:left w:w="100" w:type="dxa"/>
        <w:bottom w:w="100" w:type="dxa"/>
        <w:right w:w="100" w:type="dxa"/>
      </w:tblCellMar>
    </w:tblPr>
  </w:style>
  <w:style w:type="table" w:styleId="a" w:customStyle="1">
    <w:basedOn w:val="TableNormal3"/>
    <w:tblPr>
      <w:tblStyleRowBandSize w:val="1"/>
      <w:tblStyleColBandSize w:val="1"/>
      <w:tblCellMar>
        <w:top w:w="100" w:type="dxa"/>
        <w:left w:w="100" w:type="dxa"/>
        <w:bottom w:w="100" w:type="dxa"/>
        <w:right w:w="100" w:type="dxa"/>
      </w:tblCellMar>
    </w:tblPr>
  </w:style>
  <w:style w:type="table" w:styleId="a0" w:customStyle="1">
    <w:basedOn w:val="TableNormal3"/>
    <w:tblPr>
      <w:tblStyleRowBandSize w:val="1"/>
      <w:tblStyleColBandSize w:val="1"/>
      <w:tblCellMar>
        <w:top w:w="100" w:type="dxa"/>
        <w:left w:w="100" w:type="dxa"/>
        <w:bottom w:w="100" w:type="dxa"/>
        <w:right w:w="100" w:type="dxa"/>
      </w:tblCellMar>
    </w:tblPr>
  </w:style>
  <w:style w:type="table" w:styleId="a1" w:customStyle="1">
    <w:basedOn w:val="TableNormal3"/>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24446A"/>
    <w:pPr>
      <w:spacing w:before="0"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24446A"/>
    <w:rPr>
      <w:rFonts w:ascii="Tahoma" w:hAnsi="Tahoma" w:cs="Tahoma"/>
      <w:sz w:val="16"/>
      <w:szCs w:val="16"/>
    </w:rPr>
  </w:style>
  <w:style w:type="paragraph" w:styleId="TOC1">
    <w:name w:val="toc 1"/>
    <w:basedOn w:val="Normal"/>
    <w:next w:val="Normal"/>
    <w:autoRedefine/>
    <w:uiPriority w:val="39"/>
    <w:unhideWhenUsed/>
    <w:rsid w:val="0024446A"/>
    <w:pPr>
      <w:spacing w:after="100"/>
    </w:pPr>
  </w:style>
  <w:style w:type="paragraph" w:styleId="TOC2">
    <w:name w:val="toc 2"/>
    <w:basedOn w:val="Normal"/>
    <w:next w:val="Normal"/>
    <w:autoRedefine/>
    <w:uiPriority w:val="39"/>
    <w:unhideWhenUsed/>
    <w:rsid w:val="0024446A"/>
    <w:pPr>
      <w:spacing w:after="100"/>
      <w:ind w:left="240"/>
    </w:pPr>
  </w:style>
  <w:style w:type="paragraph" w:styleId="TOC3">
    <w:name w:val="toc 3"/>
    <w:basedOn w:val="Normal"/>
    <w:next w:val="Normal"/>
    <w:autoRedefine/>
    <w:uiPriority w:val="39"/>
    <w:unhideWhenUsed/>
    <w:rsid w:val="0024446A"/>
    <w:pPr>
      <w:spacing w:after="100"/>
      <w:ind w:left="480"/>
    </w:pPr>
  </w:style>
  <w:style w:type="paragraph" w:styleId="TOC4">
    <w:name w:val="toc 4"/>
    <w:basedOn w:val="Normal"/>
    <w:next w:val="Normal"/>
    <w:autoRedefine/>
    <w:uiPriority w:val="39"/>
    <w:unhideWhenUsed/>
    <w:rsid w:val="0024446A"/>
    <w:pPr>
      <w:spacing w:after="100"/>
      <w:ind w:left="720"/>
    </w:pPr>
  </w:style>
  <w:style w:type="character" w:styleId="Hyperlink">
    <w:name w:val="Hyperlink"/>
    <w:basedOn w:val="DefaultParagraphFont"/>
    <w:uiPriority w:val="99"/>
    <w:unhideWhenUsed/>
    <w:rsid w:val="0024446A"/>
    <w:rPr>
      <w:color w:val="0000FF" w:themeColor="hyperlink"/>
      <w:u w:val="single"/>
    </w:rPr>
  </w:style>
  <w:style w:type="table" w:styleId="a2" w:customStyle="1">
    <w:basedOn w:val="TableNormal"/>
    <w:tblPr>
      <w:tblStyleRowBandSize w:val="1"/>
      <w:tblStyleColBandSize w:val="1"/>
      <w:tblInd w:w="0" w:type="dxa"/>
      <w:tblCellMar>
        <w:top w:w="0" w:type="dxa"/>
        <w:left w:w="108" w:type="dxa"/>
        <w:bottom w:w="0" w:type="dxa"/>
        <w:right w:w="108" w:type="dxa"/>
      </w:tblCellMar>
    </w:tblPr>
  </w:style>
  <w:style w:type="table" w:styleId="a3" w:customStyle="1">
    <w:basedOn w:val="TableNormal"/>
    <w:tblPr>
      <w:tblStyleRowBandSize w:val="1"/>
      <w:tblStyleColBandSize w:val="1"/>
      <w:tblInd w:w="0" w:type="dxa"/>
      <w:tblCellMar>
        <w:top w:w="0" w:type="dxa"/>
        <w:left w:w="108" w:type="dxa"/>
        <w:bottom w:w="0" w:type="dxa"/>
        <w:right w:w="108" w:type="dxa"/>
      </w:tblCellMar>
    </w:tblPr>
  </w:style>
  <w:style w:type="table" w:styleId="a4" w:customStyle="1">
    <w:basedOn w:val="TableNormal"/>
    <w:tblPr>
      <w:tblStyleRowBandSize w:val="1"/>
      <w:tblStyleColBandSize w:val="1"/>
      <w:tblInd w:w="0" w:type="dxa"/>
      <w:tblCellMar>
        <w:top w:w="0" w:type="dxa"/>
        <w:left w:w="108" w:type="dxa"/>
        <w:bottom w:w="0" w:type="dxa"/>
        <w:right w:w="108" w:type="dxa"/>
      </w:tblCellMar>
    </w:tblPr>
  </w:style>
  <w:style w:type="table" w:styleId="a5" w:customStyle="1">
    <w:basedOn w:val="TableNormal"/>
    <w:tblPr>
      <w:tblStyleRowBandSize w:val="1"/>
      <w:tblStyleColBandSize w:val="1"/>
      <w:tblInd w:w="0" w:type="dxa"/>
      <w:tblCellMar>
        <w:top w:w="0" w:type="dxa"/>
        <w:left w:w="108" w:type="dxa"/>
        <w:bottom w:w="0" w:type="dxa"/>
        <w:right w:w="108" w:type="dxa"/>
      </w:tblCellMar>
    </w:tblPr>
  </w:style>
  <w:style w:type="table" w:styleId="a6" w:customStyle="1">
    <w:basedOn w:val="TableNormal"/>
    <w:tblPr>
      <w:tblStyleRowBandSize w:val="1"/>
      <w:tblStyleColBandSize w:val="1"/>
      <w:tblInd w:w="0" w:type="dxa"/>
      <w:tblCellMar>
        <w:top w:w="0" w:type="dxa"/>
        <w:left w:w="108" w:type="dxa"/>
        <w:bottom w:w="0" w:type="dxa"/>
        <w:right w:w="108" w:type="dxa"/>
      </w:tblCellMar>
    </w:tblPr>
  </w:style>
  <w:style w:type="table" w:styleId="a7" w:customStyle="1">
    <w:basedOn w:val="TableNormal"/>
    <w:tblPr>
      <w:tblStyleRowBandSize w:val="1"/>
      <w:tblStyleColBandSize w:val="1"/>
      <w:tblInd w:w="0" w:type="dxa"/>
      <w:tblCellMar>
        <w:top w:w="0" w:type="dxa"/>
        <w:left w:w="108" w:type="dxa"/>
        <w:bottom w:w="0" w:type="dxa"/>
        <w:right w:w="108" w:type="dxa"/>
      </w:tblCellMar>
    </w:tblPr>
  </w:style>
  <w:style w:type="paragraph" w:styleId="Subtitle">
    <w:name w:val="Subtitle"/>
    <w:basedOn w:val="Normal"/>
    <w:next w:val="Normal"/>
    <w:pPr>
      <w:keepNext/>
      <w:keepLines/>
      <w:spacing w:before="0" w:after="320"/>
    </w:pPr>
    <w:rPr>
      <w:color w:val="666666"/>
      <w:sz w:val="30"/>
      <w:szCs w:val="30"/>
    </w:rPr>
  </w:style>
  <w:style w:type="table" w:styleId="a8" w:customStyle="1">
    <w:basedOn w:val="TableNormal"/>
    <w:tblPr>
      <w:tblStyleRowBandSize w:val="1"/>
      <w:tblStyleColBandSize w:val="1"/>
      <w:tblInd w:w="0" w:type="dxa"/>
      <w:tblCellMar>
        <w:top w:w="0" w:type="dxa"/>
        <w:left w:w="108" w:type="dxa"/>
        <w:bottom w:w="0" w:type="dxa"/>
        <w:right w:w="108" w:type="dxa"/>
      </w:tblCellMar>
    </w:tblPr>
  </w:style>
  <w:style w:type="table" w:styleId="a9" w:customStyle="1">
    <w:basedOn w:val="TableNormal"/>
    <w:tblPr>
      <w:tblStyleRowBandSize w:val="1"/>
      <w:tblStyleColBandSize w:val="1"/>
      <w:tblInd w:w="0" w:type="dxa"/>
      <w:tblCellMar>
        <w:top w:w="0" w:type="dxa"/>
        <w:left w:w="108" w:type="dxa"/>
        <w:bottom w:w="0" w:type="dxa"/>
        <w:right w:w="108" w:type="dxa"/>
      </w:tblCellMar>
    </w:tblPr>
  </w:style>
  <w:style w:type="table" w:styleId="aa" w:customStyle="1">
    <w:basedOn w:val="TableNormal"/>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313131"/>
        <w:sz w:val="24"/>
        <w:szCs w:val="24"/>
        <w:lang w:val="en-AU" w:eastAsia="en-AU" w:bidi="ar-SA"/>
      </w:rPr>
    </w:rPrDefault>
    <w:pPrDefault>
      <w:pPr>
        <w:spacing w:before="200"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outlineLvl w:val="0"/>
    </w:pPr>
    <w:rPr>
      <w:b/>
      <w:bCs/>
    </w:rPr>
  </w:style>
  <w:style w:type="paragraph" w:styleId="Heading2">
    <w:name w:val="heading 2"/>
    <w:basedOn w:val="Normal"/>
    <w:next w:val="Normal"/>
    <w:pPr>
      <w:keepNext/>
      <w:keepLines/>
      <w:outlineLvl w:val="1"/>
    </w:pPr>
    <w:rPr>
      <w:b/>
      <w:bCs/>
    </w:rPr>
  </w:style>
  <w:style w:type="paragraph" w:styleId="Heading3">
    <w:name w:val="heading 3"/>
    <w:basedOn w:val="Normal"/>
    <w:next w:val="Normal"/>
    <w:pPr>
      <w:keepNext/>
      <w:keepLines/>
      <w:outlineLvl w:val="2"/>
    </w:pPr>
    <w:rPr>
      <w:b/>
      <w:bCs/>
    </w:rPr>
  </w:style>
  <w:style w:type="paragraph" w:styleId="Heading4">
    <w:name w:val="heading 4"/>
    <w:basedOn w:val="Normal"/>
    <w:next w:val="Normal"/>
    <w:pPr>
      <w:keepNext/>
      <w:keepLines/>
      <w:outlineLvl w:val="3"/>
    </w:pPr>
    <w:rPr>
      <w:b/>
      <w:bCs/>
      <w:i/>
      <w:iCs/>
      <w:color w:val="000000"/>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0"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a">
    <w:basedOn w:val="TableNormal3"/>
    <w:tblPr>
      <w:tblStyleRowBandSize w:val="1"/>
      <w:tblStyleColBandSize w:val="1"/>
      <w:tblCellMar>
        <w:top w:w="100" w:type="dxa"/>
        <w:left w:w="100" w:type="dxa"/>
        <w:bottom w:w="100" w:type="dxa"/>
        <w:right w:w="100" w:type="dxa"/>
      </w:tblCellMar>
    </w:tblPr>
  </w:style>
  <w:style w:type="table" w:customStyle="1" w:styleId="a0">
    <w:basedOn w:val="TableNormal3"/>
    <w:tblPr>
      <w:tblStyleRowBandSize w:val="1"/>
      <w:tblStyleColBandSize w:val="1"/>
      <w:tblCellMar>
        <w:top w:w="100" w:type="dxa"/>
        <w:left w:w="100" w:type="dxa"/>
        <w:bottom w:w="100" w:type="dxa"/>
        <w:right w:w="100" w:type="dxa"/>
      </w:tblCellMar>
    </w:tblPr>
  </w:style>
  <w:style w:type="table" w:customStyle="1" w:styleId="a1">
    <w:basedOn w:val="TableNormal3"/>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24446A"/>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446A"/>
    <w:rPr>
      <w:rFonts w:ascii="Tahoma" w:hAnsi="Tahoma" w:cs="Tahoma"/>
      <w:sz w:val="16"/>
      <w:szCs w:val="16"/>
    </w:rPr>
  </w:style>
  <w:style w:type="paragraph" w:styleId="TOC1">
    <w:name w:val="toc 1"/>
    <w:basedOn w:val="Normal"/>
    <w:next w:val="Normal"/>
    <w:autoRedefine/>
    <w:uiPriority w:val="39"/>
    <w:unhideWhenUsed/>
    <w:rsid w:val="0024446A"/>
    <w:pPr>
      <w:spacing w:after="100"/>
    </w:pPr>
  </w:style>
  <w:style w:type="paragraph" w:styleId="TOC2">
    <w:name w:val="toc 2"/>
    <w:basedOn w:val="Normal"/>
    <w:next w:val="Normal"/>
    <w:autoRedefine/>
    <w:uiPriority w:val="39"/>
    <w:unhideWhenUsed/>
    <w:rsid w:val="0024446A"/>
    <w:pPr>
      <w:spacing w:after="100"/>
      <w:ind w:left="240"/>
    </w:pPr>
  </w:style>
  <w:style w:type="paragraph" w:styleId="TOC3">
    <w:name w:val="toc 3"/>
    <w:basedOn w:val="Normal"/>
    <w:next w:val="Normal"/>
    <w:autoRedefine/>
    <w:uiPriority w:val="39"/>
    <w:unhideWhenUsed/>
    <w:rsid w:val="0024446A"/>
    <w:pPr>
      <w:spacing w:after="100"/>
      <w:ind w:left="480"/>
    </w:pPr>
  </w:style>
  <w:style w:type="paragraph" w:styleId="TOC4">
    <w:name w:val="toc 4"/>
    <w:basedOn w:val="Normal"/>
    <w:next w:val="Normal"/>
    <w:autoRedefine/>
    <w:uiPriority w:val="39"/>
    <w:unhideWhenUsed/>
    <w:rsid w:val="0024446A"/>
    <w:pPr>
      <w:spacing w:after="100"/>
      <w:ind w:left="720"/>
    </w:pPr>
  </w:style>
  <w:style w:type="character" w:styleId="Hyperlink">
    <w:name w:val="Hyperlink"/>
    <w:basedOn w:val="DefaultParagraphFont"/>
    <w:uiPriority w:val="99"/>
    <w:unhideWhenUsed/>
    <w:rsid w:val="0024446A"/>
    <w:rPr>
      <w:color w:val="0000FF" w:themeColor="hyperlink"/>
      <w:u w:val="single"/>
    </w:r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tblPr>
      <w:tblStyleRowBandSize w:val="1"/>
      <w:tblStyleColBandSize w:val="1"/>
      <w:tblInd w:w="0" w:type="dxa"/>
      <w:tblCellMar>
        <w:top w:w="0" w:type="dxa"/>
        <w:left w:w="108" w:type="dxa"/>
        <w:bottom w:w="0" w:type="dxa"/>
        <w:right w:w="108" w:type="dxa"/>
      </w:tblCellMar>
    </w:tblPr>
  </w:style>
  <w:style w:type="table" w:customStyle="1" w:styleId="a5">
    <w:basedOn w:val="TableNormal"/>
    <w:tblPr>
      <w:tblStyleRowBandSize w:val="1"/>
      <w:tblStyleColBandSize w:val="1"/>
      <w:tblInd w:w="0" w:type="dxa"/>
      <w:tblCellMar>
        <w:top w:w="0" w:type="dxa"/>
        <w:left w:w="108" w:type="dxa"/>
        <w:bottom w:w="0" w:type="dxa"/>
        <w:right w:w="108" w:type="dxa"/>
      </w:tblCellMar>
    </w:tblPr>
  </w:style>
  <w:style w:type="table" w:customStyle="1" w:styleId="a6">
    <w:basedOn w:val="TableNormal"/>
    <w:tblPr>
      <w:tblStyleRowBandSize w:val="1"/>
      <w:tblStyleColBandSize w:val="1"/>
      <w:tblInd w:w="0" w:type="dxa"/>
      <w:tblCellMar>
        <w:top w:w="0" w:type="dxa"/>
        <w:left w:w="108" w:type="dxa"/>
        <w:bottom w:w="0" w:type="dxa"/>
        <w:right w:w="108" w:type="dxa"/>
      </w:tblCellMar>
    </w:tblPr>
  </w:style>
  <w:style w:type="table" w:customStyle="1" w:styleId="a7">
    <w:basedOn w:val="TableNormal"/>
    <w:tblPr>
      <w:tblStyleRowBandSize w:val="1"/>
      <w:tblStyleColBandSize w:val="1"/>
      <w:tblInd w:w="0" w:type="dxa"/>
      <w:tblCellMar>
        <w:top w:w="0" w:type="dxa"/>
        <w:left w:w="108" w:type="dxa"/>
        <w:bottom w:w="0" w:type="dxa"/>
        <w:right w:w="108" w:type="dxa"/>
      </w:tblCellMar>
    </w:tblPr>
  </w:style>
  <w:style w:type="paragraph" w:styleId="Subtitle">
    <w:name w:val="Subtitle"/>
    <w:basedOn w:val="Normal"/>
    <w:next w:val="Normal"/>
    <w:pPr>
      <w:keepNext/>
      <w:keepLines/>
      <w:spacing w:before="0" w:after="320"/>
    </w:pPr>
    <w:rPr>
      <w:color w:val="666666"/>
      <w:sz w:val="30"/>
      <w:szCs w:val="30"/>
    </w:rPr>
  </w:style>
  <w:style w:type="table" w:customStyle="1" w:styleId="a8">
    <w:basedOn w:val="TableNormal"/>
    <w:tblPr>
      <w:tblStyleRowBandSize w:val="1"/>
      <w:tblStyleColBandSize w:val="1"/>
      <w:tblInd w:w="0" w:type="dxa"/>
      <w:tblCellMar>
        <w:top w:w="0" w:type="dxa"/>
        <w:left w:w="108" w:type="dxa"/>
        <w:bottom w:w="0" w:type="dxa"/>
        <w:right w:w="108" w:type="dxa"/>
      </w:tblCellMar>
    </w:tblPr>
  </w:style>
  <w:style w:type="table" w:customStyle="1" w:styleId="a9">
    <w:basedOn w:val="TableNormal"/>
    <w:tblPr>
      <w:tblStyleRowBandSize w:val="1"/>
      <w:tblStyleColBandSize w:val="1"/>
      <w:tblInd w:w="0" w:type="dxa"/>
      <w:tblCellMar>
        <w:top w:w="0" w:type="dxa"/>
        <w:left w:w="108" w:type="dxa"/>
        <w:bottom w:w="0" w:type="dxa"/>
        <w:right w:w="108" w:type="dxa"/>
      </w:tblCellMar>
    </w:tblPr>
  </w:style>
  <w:style w:type="table" w:customStyle="1" w:styleId="aa">
    <w:basedOn w:val="TableNormal"/>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&#65279;<?xml version="1.0" encoding="utf-8"?><Relationships xmlns="http://schemas.openxmlformats.org/package/2006/relationships"><Relationship Type="http://schemas.openxmlformats.org/officeDocument/2006/relationships/hyperlink" Target="https://journal.uniku.ac.id/index.php/IEFLJ/article/download/3382/2034/0" TargetMode="External" Id="rId26" /><Relationship Type="http://schemas.openxmlformats.org/officeDocument/2006/relationships/hyperlink" Target="https://www.accenture.com/us-en/services/supply-chain/autonomous-fulfillment" TargetMode="External" Id="rId21" /><Relationship Type="http://schemas.openxmlformats.org/officeDocument/2006/relationships/hyperlink" Target="https://www.forbesindia.com/article/explainers/top-10-it-companies-in-india/87143/1" TargetMode="External" Id="rId42" /><Relationship Type="http://schemas.openxmlformats.org/officeDocument/2006/relationships/hyperlink" Target="https://www.grandviewresearch.com/horizon/outlook/it-services-market/india" TargetMode="External" Id="rId47" /><Relationship Type="http://schemas.openxmlformats.org/officeDocument/2006/relationships/hyperlink" Target="https://papers.ssrn.com/sol3/Delivery.cfm?abstractid=4999059" TargetMode="External" Id="rId63" /><Relationship Type="http://schemas.openxmlformats.org/officeDocument/2006/relationships/hyperlink" Target="https://timesofindia.indiatimes.com/business/india-business/accenture-india-revenue-up-13-in-fy25/articleshow/126516467.cms" TargetMode="External" Id="rId68" /><Relationship Type="http://schemas.openxmlformats.org/officeDocument/2006/relationships/hyperlink" Target="https://www.tcs.com/what-we-do/services/enterprise-solutions/solution/crystallus-enterprise-digital-transformation" TargetMode="External" Id="rId84" /><Relationship Type="http://schemas.openxmlformats.org/officeDocument/2006/relationships/hyperlink" Target="https://reflection.ed.ac.uk/reflectors-toolkit/reflecting-on-experience/gibbs-reflective-cycle" TargetMode="External" Id="rId89" /><Relationship Type="http://schemas.openxmlformats.org/officeDocument/2006/relationships/footnotes" Target="footnotes.xml" Id="rId7" /><Relationship Type="http://schemas.openxmlformats.org/officeDocument/2006/relationships/hyperlink" Target="https://www.fortuneindia.com/long-reads/mnc-500-cognizant-is-back-in-the-winners-circle-heres-how-it-got-there/130290" TargetMode="External" Id="rId71" /><Relationship Type="http://schemas.openxmlformats.org/officeDocument/2006/relationships/hyperlink" Target="https://policy.trade.ec.europa.eu/eu-trade-relationships-country-and-region/countries-and-regions/india/eu-india-agreements/memo-eu-india-free-trade-agreement-chapter-chapter-summary_en" TargetMode="External" Id="rId92" /><Relationship Type="http://schemas.openxmlformats.org/officeDocument/2006/relationships/numbering" Target="numbering.xml" Id="rId2" /><Relationship Type="http://schemas.openxmlformats.org/officeDocument/2006/relationships/image" Target="media/image8.png" Id="rId16" /><Relationship Type="http://schemas.openxmlformats.org/officeDocument/2006/relationships/hyperlink" Target="https://busy.in/gst-rates/it-services/" TargetMode="External" Id="rId29" /><Relationship Type="http://schemas.openxmlformats.org/officeDocument/2006/relationships/image" Target="media/image3.png" Id="rId11" /><Relationship Type="http://schemas.openxmlformats.org/officeDocument/2006/relationships/hyperlink" Target="https://www.accenture.com/pl-pl/about/operations-index" TargetMode="External" Id="rId24" /><Relationship Type="http://schemas.openxmlformats.org/officeDocument/2006/relationships/hyperlink" Target="https://www.researchgate.net/profile/Marian-Chertow/publication/348546102_Tracking_the_diffusion_of_industrial_symbiosis_scholarship_using_bibliometrics_Comparing_across_Web_of_Science_Scopus_and_Google_Scholar/links/62bc61ac056dae24e8ed09fb/Tracking-the-diffusion-of-industrial-symbiosis-scholarship-using-bibliometrics-Comparing-across-Web-of-Science-Scopus-and-Google-Scholar.pdf?_sg%5B0%5D=started_experiment_milestone&amp;_sg%5B1%5D=started_experiment_milestone&amp;origin=journalDetail" TargetMode="External" Id="rId32" /><Relationship Type="http://schemas.openxmlformats.org/officeDocument/2006/relationships/hyperlink" Target="https://apps.aima.in/ejournal_new/articlesPDF/Suparna-Dhar.pdf" TargetMode="External" Id="rId37" /><Relationship Type="http://schemas.openxmlformats.org/officeDocument/2006/relationships/hyperlink" Target="https://tradingeconomics.com/india/inflation-cpi" TargetMode="External" Id="rId40" /><Relationship Type="http://schemas.openxmlformats.org/officeDocument/2006/relationships/hyperlink" Target="https://www.pib.gov.in/PressReleasePage.aspx?PRID=2217881%C2%AE=3&amp;lang=2" TargetMode="External" Id="rId45" /><Relationship Type="http://schemas.openxmlformats.org/officeDocument/2006/relationships/hyperlink" Target="https://my.idc.com/getdoc.jsp?containerId=prAP53678525" TargetMode="External" Id="rId53" /><Relationship Type="http://schemas.openxmlformats.org/officeDocument/2006/relationships/hyperlink" Target="https://doi.org/10.3390/admsci13020035" TargetMode="External" Id="rId58" /><Relationship Type="http://schemas.openxmlformats.org/officeDocument/2006/relationships/hyperlink" Target="https://stel.pubpub.org/pub/01-01-passey-2020" TargetMode="External" Id="rId66" /><Relationship Type="http://schemas.openxmlformats.org/officeDocument/2006/relationships/hyperlink" Target="https://santandertrade.com/en/portal/establish-overseas/india/foreign-investment" TargetMode="External" Id="rId74" /><Relationship Type="http://schemas.openxmlformats.org/officeDocument/2006/relationships/hyperlink" Target="https://www.linkedin.com/posts/shreyash-mangale_indian-it-sector-is-at-a-strategic-crossroads-activity-7427886742923427840-dMn1" TargetMode="External" Id="rId79" /><Relationship Type="http://schemas.openxmlformats.org/officeDocument/2006/relationships/hyperlink" Target="https://timesofindia.indiatimes.com/business/india-business/accenture-to-hire-more-in-india-ceo/articleshow/113719885.cms" TargetMode="External" Id="rId87" /><Relationship Type="http://schemas.openxmlformats.org/officeDocument/2006/relationships/fontTable" Target="fontTable.xml" Id="rId102" /><Relationship Type="http://schemas.openxmlformats.org/officeDocument/2006/relationships/settings" Target="settings.xml" Id="rId5" /><Relationship Type="http://schemas.openxmlformats.org/officeDocument/2006/relationships/hyperlink" Target="https://www.mordorintelligence.com/industry-reports/india-it-services-market" TargetMode="External" Id="rId61" /><Relationship Type="http://schemas.openxmlformats.org/officeDocument/2006/relationships/hyperlink" Target="https://doi.org/10.13140/RG.2.2.25399.64161" TargetMode="External" Id="rId82" /><Relationship Type="http://schemas.openxmlformats.org/officeDocument/2006/relationships/hyperlink" Target="https://timesofindia.indiatimes.com/business/india-business/accenture-to-hire-more-in-india-ceo/articleshow/113719885.cms" TargetMode="External" Id="rId90" /><Relationship Type="http://schemas.openxmlformats.org/officeDocument/2006/relationships/hyperlink" Target="https://www.travelmath.com/distance/from/India/to/Ireland" TargetMode="External" Id="rId95" /><Relationship Type="http://schemas.openxmlformats.org/officeDocument/2006/relationships/image" Target="media/image11.png" Id="rId19" /><Relationship Type="http://schemas.openxmlformats.org/officeDocument/2006/relationships/image" Target="media/image6.png" Id="rId14" /><Relationship Type="http://schemas.openxmlformats.org/officeDocument/2006/relationships/hyperlink" Target="https://www.accenture.com/content/dam/accenture/final/corporate/company-information/document/Accenture-360-Value-Report-2024.pdf" TargetMode="External" Id="rId22" /><Relationship Type="http://schemas.openxmlformats.org/officeDocument/2006/relationships/hyperlink" Target="https://gala.gre.ac.uk/id/eprint/30880/3/30880%20ADEBANJO_Key_Enablers_of_Industry_%28AAM%29_2021.pdf" TargetMode="External" Id="rId27" /><Relationship Type="http://schemas.openxmlformats.org/officeDocument/2006/relationships/hyperlink" Target="https://www.bcg.com/about/overview/our-history/growth-share-matrix" TargetMode="External" Id="rId30" /><Relationship Type="http://schemas.openxmlformats.org/officeDocument/2006/relationships/hyperlink" Target="https://www.researchpublish.com/upload/book/AN%20OVERVIEW%20OF%20GROWTH-8228.pdf" TargetMode="External" Id="rId35" /><Relationship Type="http://schemas.openxmlformats.org/officeDocument/2006/relationships/hyperlink" Target="https://www.forbesindia.com/article/explainers/top-10-it-companies-in-india/87143/1" TargetMode="External" Id="rId43" /><Relationship Type="http://schemas.openxmlformats.org/officeDocument/2006/relationships/hyperlink" Target="https://www.grandviewresearch.com/horizon/outlook/it-services-market/india" TargetMode="External" Id="rId48" /><Relationship Type="http://schemas.openxmlformats.org/officeDocument/2006/relationships/hyperlink" Target="https://infotyke.com/2025/03/26/infosys-vs-tcs-vs-tech-mahindra-vs-hcl-vs-wipro/" TargetMode="External" Id="rId56" /><Relationship Type="http://schemas.openxmlformats.org/officeDocument/2006/relationships/hyperlink" Target="https://www.sciencedirect.com/science/article/pii/S0260691724003915" TargetMode="External" Id="rId64" /><Relationship Type="http://schemas.openxmlformats.org/officeDocument/2006/relationships/hyperlink" Target="https://timesofindia.indiatimes.com/business/india-business/accenture-india-revenue-up-13-in-fy25/articleshow/126516467.cms" TargetMode="External" Id="rId69" /><Relationship Type="http://schemas.openxmlformats.org/officeDocument/2006/relationships/hyperlink" Target="https://timesofindia.indiatimes.com/business/india-business/accenture-india-revenue-up-13-in-fy25/articleshow/126516467.cms" TargetMode="External" Id="rId77" /><Relationship Type="http://schemas.openxmlformats.org/officeDocument/2006/relationships/footer" Target="footer1.xml" Id="rId100" /><Relationship Type="http://schemas.openxmlformats.org/officeDocument/2006/relationships/endnotes" Target="endnotes.xml" Id="rId8" /><Relationship Type="http://schemas.openxmlformats.org/officeDocument/2006/relationships/hyperlink" Target="https://www.ibef.org/industry/information-technology-india" TargetMode="External" Id="rId51" /><Relationship Type="http://schemas.openxmlformats.org/officeDocument/2006/relationships/hyperlink" Target="https://insuranceblog.accenture.com/agri-tech-the-opportunities-for-insurers" TargetMode="External" Id="rId72" /><Relationship Type="http://schemas.openxmlformats.org/officeDocument/2006/relationships/hyperlink" Target="https://pubs.aip.org/aip/acp/article-pdf/doi/10.1063/5.0170732/18141743/060036_1_5.0170732.pdf" TargetMode="External" Id="rId80" /><Relationship Type="http://schemas.openxmlformats.org/officeDocument/2006/relationships/hyperlink" Target="https://www.technavio.com/report/it-and-bpo-services-market-in-india-industry-analysis" TargetMode="External" Id="rId85" /><Relationship Type="http://schemas.openxmlformats.org/officeDocument/2006/relationships/hyperlink" Target="https://tradingeconomics.com/india/gdp-per-capita" TargetMode="External" Id="rId93" /><Relationship Type="http://schemas.openxmlformats.org/officeDocument/2006/relationships/hyperlink" Target="https://ojs.wiserpub.com/index.php/SER/article/download/4202/2177" TargetMode="External" Id="rId98" /><Relationship Type="http://schemas.openxmlformats.org/officeDocument/2006/relationships/styles" Target="styles.xml" Id="rId3" /><Relationship Type="http://schemas.openxmlformats.org/officeDocument/2006/relationships/image" Target="media/image4.png" Id="rId12" /><Relationship Type="http://schemas.openxmlformats.org/officeDocument/2006/relationships/image" Target="media/image9.png" Id="rId17" /><Relationship Type="http://schemas.openxmlformats.org/officeDocument/2006/relationships/hyperlink" Target="https://www.accenture.com/content/dam/accenture/final/a-com-migration/thought-leadership-assets/accenture-sustainability-consensus-gap-report2.pdf" TargetMode="External" Id="rId25" /><Relationship Type="http://schemas.openxmlformats.org/officeDocument/2006/relationships/hyperlink" Target="https://www.meity.gov.in/static/uploads/2024/02/24ab.pdf" TargetMode="External" Id="rId33" /><Relationship Type="http://schemas.openxmlformats.org/officeDocument/2006/relationships/hyperlink" Target="https://economictimes.indiatimes.com/small-biz/security-tech/technology/indias-it-workforce-a-strategic-asset-in-a-fragmented-world/articleshow/124937558.cms?from=mdr" TargetMode="External" Id="rId38" /><Relationship Type="http://schemas.openxmlformats.org/officeDocument/2006/relationships/hyperlink" Target="https://www.grandviewresearch.com/horizon/outlook/generative-ai-market/india" TargetMode="External" Id="rId46" /><Relationship Type="http://schemas.openxmlformats.org/officeDocument/2006/relationships/hyperlink" Target="https://journals.plos.org/plosone/article/file?id=10.1371/journal.pone.0289004&amp;type=printable" TargetMode="External" Id="rId59" /><Relationship Type="http://schemas.openxmlformats.org/officeDocument/2006/relationships/hyperlink" Target="https://www.infosys.com/iki/research/telecom-industry-outlook2024.html" TargetMode="External" Id="rId67" /><Relationship Type="http://schemas.openxmlformats.org/officeDocument/2006/relationships/theme" Target="theme/theme1.xml" Id="rId103" /><Relationship Type="http://schemas.openxmlformats.org/officeDocument/2006/relationships/hyperlink" Target="https://24timezones.com/difference/ireland/india" TargetMode="External" Id="rId20" /><Relationship Type="http://schemas.openxmlformats.org/officeDocument/2006/relationships/hyperlink" Target="https://www.forbesindia.com/article/explainers/top-10-it-companies-in-india/87143/1" TargetMode="External" Id="rId41" /><Relationship Type="http://schemas.openxmlformats.org/officeDocument/2006/relationships/hyperlink" Target="https://www.india.gov.in/my-government/documents/details/national-policy-on-information-technology-2012" TargetMode="External" Id="rId54" /><Relationship Type="http://schemas.openxmlformats.org/officeDocument/2006/relationships/hyperlink" Target="https://nasscom.in/knowledge-center/publications/india-tech-industry-digital-talent-demand-and-supply-2023" TargetMode="External" Id="rId62" /><Relationship Type="http://schemas.openxmlformats.org/officeDocument/2006/relationships/hyperlink" Target="https://www.fortuneindia.com/long-reads/how-india-is-powering-accentures-big-genai-push-globally/120521" TargetMode="External" Id="rId70" /><Relationship Type="http://schemas.openxmlformats.org/officeDocument/2006/relationships/hyperlink" Target="https://www.researchgate.net/publication/354022814_Platforms_of_Prosperity_The_Africa_Edition" TargetMode="External" Id="rId75" /><Relationship Type="http://schemas.openxmlformats.org/officeDocument/2006/relationships/hyperlink" Target="https://www.researchgate.net/profile/Esnart-Tayali/publication/342665954_Reputable_Relevant_Realistic_Reliable_and_Rigorous_Human_Resource_Management_Strategic_Approaches_and_Practices_in_the_21st_Century/links/5eff78a7a6fdcc4ca4481d65/Reputable-Relevant-Realistic-Reliable-and-Rigorous-Human-Resource-Management-Strategic-Approaches-and-Practices-in-the-21st-Century.pdf" TargetMode="External" Id="rId83" /><Relationship Type="http://schemas.openxmlformats.org/officeDocument/2006/relationships/hyperlink" Target="https://timesofindia.indiatimes.com/education/careers/news/accenture-lays-off-more-than-11000-employees-5-lessons-for-white-collar-professionals-from-ceo-julie-sweets-warning/articleshow/124179052.cms" TargetMode="External" Id="rId88" /><Relationship Type="http://schemas.openxmlformats.org/officeDocument/2006/relationships/hyperlink" Target="https://timesofindia.indiatimes.com/business/india-business/indian-it-sector-to-cross-400bn-by-2030-report/articleshow/124861026.cms" TargetMode="External" Id="rId91" /><Relationship Type="http://schemas.openxmlformats.org/officeDocument/2006/relationships/hyperlink" Target="https://www.academia.edu/download/85514837/IJEEC_01_march_april_2022.pdf" TargetMode="External" Id="rId9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7.png" Id="rId15" /><Relationship Type="http://schemas.openxmlformats.org/officeDocument/2006/relationships/hyperlink" Target="https://www.accenture.com/in-en/insights/supply-chain-operations/supply-chain-management-operations-index" TargetMode="External" Id="rId23" /><Relationship Type="http://schemas.openxmlformats.org/officeDocument/2006/relationships/hyperlink" Target="https://papers.ssrn.com/sol3/Delivery.cfm?abstractid=5192367" TargetMode="External" Id="rId28" /><Relationship Type="http://schemas.openxmlformats.org/officeDocument/2006/relationships/hyperlink" Target="https://www.dgft.gov.in/CP/?opt=official-language" TargetMode="External" Id="rId36" /><Relationship Type="http://schemas.openxmlformats.org/officeDocument/2006/relationships/hyperlink" Target="https://www.researchgate.net/profile/Lolade-Hamzat/publication/391666310_Empowering_entrepreneurial_growth_through_data-driven_financial_literacy_market_research_and_personalized_education_tool/links/6821fe13bd3f1930dd709dd1/Empowering-entrepreneurial-growth-through-data-driven-financial-literacy-market-research-and-personalized-education-tool.pdf" TargetMode="External" Id="rId49" /><Relationship Type="http://schemas.openxmlformats.org/officeDocument/2006/relationships/hyperlink" Target="https://www.ireland.com/en-us/help-and-advice/practical-information/languages-of-ireland/" TargetMode="External" Id="rId57" /><Relationship Type="http://schemas.openxmlformats.org/officeDocument/2006/relationships/image" Target="media/image2.png" Id="rId10" /><Relationship Type="http://schemas.openxmlformats.org/officeDocument/2006/relationships/hyperlink" Target="https://www.business-to-you.com/porter-diamond-model/" TargetMode="External" Id="rId31" /><Relationship Type="http://schemas.openxmlformats.org/officeDocument/2006/relationships/hyperlink" Target="https://www.fortunebusinessinsights.com/digital-transformation-market-104878" TargetMode="External" Id="rId44" /><Relationship Type="http://schemas.openxmlformats.org/officeDocument/2006/relationships/hyperlink" Target="https://www.ibef.org/industry/information-technology-india" TargetMode="External" Id="rId52" /><Relationship Type="http://schemas.openxmlformats.org/officeDocument/2006/relationships/hyperlink" Target="https://www.ojp.gov/ncjrs/virtual-library/abstracts/indian-legal-system" TargetMode="External" Id="rId60" /><Relationship Type="http://schemas.openxmlformats.org/officeDocument/2006/relationships/hyperlink" Target="https://www.researchgate.net/profile/Olawale-Akinbola/publication/384968203_The_relationship_between_financial_performance_firm_size_leverage_and_corporate_social_responsibility_A_case_study_of_Accenture_Plc/links/670fd75109ba2d0c76051bd8/The-relationship-between-financial-performance-firm-size-leverage-and-corporate-social-responsibility-A-case-study-of-Accenture-Plc.pdf" TargetMode="External" Id="rId65" /><Relationship Type="http://schemas.openxmlformats.org/officeDocument/2006/relationships/hyperlink" Target="https://link.springer.com/content/pdf/10.1186/s40594-020-00208-5.pdf" TargetMode="External" Id="rId73" /><Relationship Type="http://schemas.openxmlformats.org/officeDocument/2006/relationships/hyperlink" Target="https://www.india-briefing.com/news/guide-minimum-wage-india-19406.html/" TargetMode="External" Id="rId78" /><Relationship Type="http://schemas.openxmlformats.org/officeDocument/2006/relationships/hyperlink" Target="https://hal.science/hal-03741847v1/file/Data%20Collection%20Methods%20and%20Tools%20for%20Research%20.pdf" TargetMode="External" Id="rId81" /><Relationship Type="http://schemas.openxmlformats.org/officeDocument/2006/relationships/hyperlink" Target="https://technocometsolutions.com/top-ten-indian-it-companies-2025" TargetMode="External" Id="rId86" /><Relationship Type="http://schemas.openxmlformats.org/officeDocument/2006/relationships/hyperlink" Target="https://tradingeconomics.com/ireland/gdp-per-capita" TargetMode="External" Id="rId94" /><Relationship Type="http://schemas.openxmlformats.org/officeDocument/2006/relationships/hyperlink" Target="https://www.zionmarketresearch.com/report/india-data-center-market" TargetMode="External" Id="rId99" /><Relationship Type="http://schemas.openxmlformats.org/officeDocument/2006/relationships/footer" Target="footer2.xml" Id="rId101" /><Relationship Type="http://schemas.microsoft.com/office/2007/relationships/stylesWithEffects" Target="stylesWithEffects.xml" Id="rId4" /><Relationship Type="http://schemas.openxmlformats.org/officeDocument/2006/relationships/image" Target="media/image1.jpg" Id="rId9" /><Relationship Type="http://schemas.openxmlformats.org/officeDocument/2006/relationships/image" Target="media/image5.png" Id="rId13" /><Relationship Type="http://schemas.openxmlformats.org/officeDocument/2006/relationships/image" Target="media/image10.png" Id="rId18" /><Relationship Type="http://schemas.openxmlformats.org/officeDocument/2006/relationships/hyperlink" Target="https://e-justice.europa.eu/topics/legislation-and-case-law/national-legislation/ie_en" TargetMode="External" Id="rId39" /><Relationship Type="http://schemas.openxmlformats.org/officeDocument/2006/relationships/hyperlink" Target="https://www.cso.ie/en/releasesandpublications/ep/p-elcq/earningsandlabourcostsq42024finalq12025preliminaryestimates/" TargetMode="External" Id="rId34" /><Relationship Type="http://schemas.openxmlformats.org/officeDocument/2006/relationships/hyperlink" Target="https://www.ibef.org/industry/information-technology-india" TargetMode="External" Id="rId50" /><Relationship Type="http://schemas.openxmlformats.org/officeDocument/2006/relationships/hyperlink" Target="https://www.indiacode.nic.in/handle/123456789/1362/simple-search?query=Plastic%20Waste%20Management%20Rules%202016&amp;searchradio=rules" TargetMode="External" Id="rId55" /><Relationship Type="http://schemas.openxmlformats.org/officeDocument/2006/relationships/hyperlink" Target="https://www.academia.edu/download/107060383/1B6D4EB4-3D5A-4C1B-A648-C4FA61C8916E.pdf" TargetMode="External" Id="rId76" /><Relationship Type="http://schemas.openxmlformats.org/officeDocument/2006/relationships/hyperlink" Target="https://doi.org/10.1355/9789812305848-015" TargetMode="External" Id="rId97"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ZUdcaUraS+IHfwkqgwZldy6XUQ==">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2026-03-31T06:00:00.0000000Z</dcterms:created>
  <dcterms:modified xsi:type="dcterms:W3CDTF">2026-04-10T11:44:20.7919375Z</dcterms:modified>
  <lastModifiedBy>Taranjot Randev (2436053)</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71dfef02-62aa-4ebc-92a7-6595959f7266</vt:lpwstr>
  </property>
</Properties>
</file>