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Default Extension="odttf" ContentType="application/vnd.openxmlformats-officedocument.obfuscatedFont"/>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0401DA" w:rsidRDefault="00C10A37">
      <w:pPr>
        <w:pStyle w:val="normal0"/>
        <w:jc w:val="center"/>
        <w:rPr>
          <w:b/>
          <w:bCs/>
          <w:sz w:val="32"/>
          <w:szCs w:val="32"/>
        </w:rPr>
      </w:pPr>
      <w:r>
        <w:rPr>
          <w:noProof/>
        </w:rPr>
        <w:drawing>
          <wp:anchor distT="0" distB="0" distL="114300" distR="114300" simplePos="0" relativeHeight="251658240" behindDoc="0" locked="0" layoutInCell="1" allowOverlap="1">
            <wp:simplePos x="0" y="0"/>
            <wp:positionH relativeFrom="column">
              <wp:posOffset>1960725</wp:posOffset>
            </wp:positionH>
            <wp:positionV relativeFrom="paragraph">
              <wp:posOffset>0</wp:posOffset>
            </wp:positionV>
            <wp:extent cx="1809750" cy="723900"/>
            <wp:effectExtent l="0" t="0" r="0" b="0"/>
            <wp:wrapSquare wrapText="bothSides" distT="0" distB="0" distL="114300" distR="114300"/>
            <wp:docPr id="7" name="image1.png"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0" name="image1.png" descr="Discover University of Wales Trinity Saint David"/>
                    <pic:cNvPicPr preferRelativeResize="0"/>
                  </pic:nvPicPr>
                  <pic:blipFill>
                    <a:blip r:embed="rId7" cstate="print"/>
                    <a:srcRect/>
                    <a:stretch>
                      <a:fillRect/>
                    </a:stretch>
                  </pic:blipFill>
                  <pic:spPr>
                    <a:xfrm>
                      <a:off x="0" y="0"/>
                      <a:ext cx="1809750" cy="723900"/>
                    </a:xfrm>
                    <a:prstGeom prst="rect">
                      <a:avLst/>
                    </a:prstGeom>
                    <a:ln/>
                  </pic:spPr>
                </pic:pic>
              </a:graphicData>
            </a:graphic>
          </wp:anchor>
        </w:drawing>
      </w:r>
    </w:p>
    <w:p w:rsidR="000401DA" w:rsidRDefault="000401DA">
      <w:pPr>
        <w:pStyle w:val="normal0"/>
        <w:jc w:val="center"/>
        <w:rPr>
          <w:b/>
          <w:bCs/>
          <w:sz w:val="32"/>
          <w:szCs w:val="32"/>
        </w:rPr>
      </w:pPr>
    </w:p>
    <w:p w:rsidR="000401DA" w:rsidRDefault="000401DA">
      <w:pPr>
        <w:pStyle w:val="normal0"/>
        <w:jc w:val="center"/>
        <w:rPr>
          <w:b/>
          <w:bCs/>
          <w:sz w:val="32"/>
          <w:szCs w:val="32"/>
        </w:rPr>
      </w:pPr>
    </w:p>
    <w:p w:rsidR="000401DA" w:rsidRDefault="00C10A37">
      <w:pPr>
        <w:pStyle w:val="normal0"/>
        <w:jc w:val="center"/>
        <w:rPr>
          <w:b/>
          <w:bCs/>
          <w:sz w:val="32"/>
          <w:szCs w:val="32"/>
        </w:rPr>
      </w:pPr>
      <w:r>
        <w:rPr>
          <w:b/>
          <w:bCs/>
          <w:sz w:val="32"/>
          <w:szCs w:val="32"/>
        </w:rPr>
        <w:t>Programme: BSc Health and Social Care</w:t>
      </w:r>
    </w:p>
    <w:p w:rsidR="000401DA" w:rsidRDefault="00C10A37">
      <w:pPr>
        <w:pStyle w:val="normal0"/>
        <w:jc w:val="center"/>
        <w:rPr>
          <w:b/>
          <w:bCs/>
          <w:sz w:val="32"/>
          <w:szCs w:val="32"/>
        </w:rPr>
      </w:pPr>
      <w:r>
        <w:rPr>
          <w:b/>
          <w:bCs/>
          <w:sz w:val="32"/>
          <w:szCs w:val="32"/>
        </w:rPr>
        <w:t>Module: Protecting and Supporting Families in Health and Care</w:t>
      </w:r>
    </w:p>
    <w:p w:rsidR="000401DA" w:rsidRDefault="00C10A37">
      <w:pPr>
        <w:pStyle w:val="normal0"/>
        <w:jc w:val="center"/>
        <w:rPr>
          <w:b/>
          <w:bCs/>
          <w:sz w:val="32"/>
          <w:szCs w:val="32"/>
        </w:rPr>
      </w:pPr>
      <w:r>
        <w:rPr>
          <w:b/>
          <w:bCs/>
          <w:sz w:val="32"/>
          <w:szCs w:val="32"/>
        </w:rPr>
        <w:t>Module code: BMHP5021</w:t>
      </w:r>
    </w:p>
    <w:p w:rsidR="000868FD" w:rsidRDefault="000868FD">
      <w:pPr>
        <w:pStyle w:val="normal0"/>
        <w:jc w:val="center"/>
        <w:rPr>
          <w:b/>
          <w:bCs/>
          <w:sz w:val="32"/>
          <w:szCs w:val="32"/>
        </w:rPr>
      </w:pPr>
      <w:r>
        <w:rPr>
          <w:b/>
          <w:bCs/>
          <w:sz w:val="32"/>
          <w:szCs w:val="32"/>
        </w:rPr>
        <w:t xml:space="preserve">Student name: </w:t>
      </w:r>
      <w:proofErr w:type="spellStart"/>
      <w:r>
        <w:rPr>
          <w:b/>
          <w:bCs/>
          <w:sz w:val="32"/>
          <w:szCs w:val="32"/>
        </w:rPr>
        <w:t>Ionica</w:t>
      </w:r>
      <w:proofErr w:type="spellEnd"/>
      <w:r>
        <w:rPr>
          <w:b/>
          <w:bCs/>
          <w:sz w:val="32"/>
          <w:szCs w:val="32"/>
        </w:rPr>
        <w:t xml:space="preserve"> </w:t>
      </w:r>
      <w:proofErr w:type="spellStart"/>
      <w:r>
        <w:rPr>
          <w:b/>
          <w:bCs/>
          <w:sz w:val="32"/>
          <w:szCs w:val="32"/>
        </w:rPr>
        <w:t>Madalina</w:t>
      </w:r>
      <w:proofErr w:type="spellEnd"/>
      <w:r>
        <w:rPr>
          <w:b/>
          <w:bCs/>
          <w:sz w:val="32"/>
          <w:szCs w:val="32"/>
        </w:rPr>
        <w:t xml:space="preserve"> </w:t>
      </w:r>
      <w:proofErr w:type="spellStart"/>
      <w:r>
        <w:rPr>
          <w:b/>
          <w:bCs/>
          <w:sz w:val="32"/>
          <w:szCs w:val="32"/>
        </w:rPr>
        <w:t>Trufanda</w:t>
      </w:r>
      <w:proofErr w:type="spellEnd"/>
    </w:p>
    <w:p w:rsidR="000868FD" w:rsidRDefault="000868FD">
      <w:pPr>
        <w:pStyle w:val="normal0"/>
        <w:jc w:val="center"/>
        <w:rPr>
          <w:b/>
          <w:bCs/>
          <w:sz w:val="32"/>
          <w:szCs w:val="32"/>
        </w:rPr>
      </w:pPr>
      <w:r>
        <w:rPr>
          <w:b/>
          <w:bCs/>
          <w:sz w:val="32"/>
          <w:szCs w:val="32"/>
        </w:rPr>
        <w:t>Student id: 2330230</w:t>
      </w:r>
    </w:p>
    <w:p w:rsidR="000401DA" w:rsidRDefault="00C10A37">
      <w:pPr>
        <w:pStyle w:val="normal0"/>
        <w:jc w:val="center"/>
        <w:rPr>
          <w:b/>
          <w:bCs/>
          <w:sz w:val="32"/>
          <w:szCs w:val="32"/>
        </w:rPr>
      </w:pPr>
      <w:r>
        <w:rPr>
          <w:b/>
          <w:bCs/>
          <w:sz w:val="32"/>
          <w:szCs w:val="32"/>
        </w:rPr>
        <w:t>Assignment Title: Component 2: Written Report</w:t>
      </w:r>
    </w:p>
    <w:p w:rsidR="000401DA" w:rsidRDefault="000401DA">
      <w:pPr>
        <w:pStyle w:val="normal0"/>
        <w:jc w:val="center"/>
        <w:rPr>
          <w:b/>
          <w:bCs/>
          <w:sz w:val="32"/>
          <w:szCs w:val="32"/>
        </w:rPr>
      </w:pPr>
    </w:p>
    <w:p w:rsidR="000401DA" w:rsidRDefault="00C10A37">
      <w:pPr>
        <w:pStyle w:val="normal0"/>
        <w:jc w:val="center"/>
        <w:rPr>
          <w:b/>
          <w:bCs/>
          <w:sz w:val="32"/>
          <w:szCs w:val="32"/>
        </w:rPr>
      </w:pPr>
      <w:r>
        <w:rPr>
          <w:b/>
          <w:bCs/>
          <w:sz w:val="28"/>
          <w:szCs w:val="28"/>
        </w:rPr>
        <w:t>Title of Task: An examination and analysis of how the ‘Early Help’ system is signposted to UK families by their local authority website</w:t>
      </w:r>
      <w:r>
        <w:br w:type="page"/>
      </w:r>
    </w:p>
    <w:p w:rsidR="000401DA" w:rsidRDefault="00C10A37">
      <w:pPr>
        <w:pStyle w:val="normal0"/>
        <w:keepNext/>
        <w:keepLines/>
        <w:pBdr>
          <w:top w:val="nil"/>
          <w:left w:val="nil"/>
          <w:bottom w:val="nil"/>
          <w:right w:val="nil"/>
          <w:between w:val="nil"/>
        </w:pBdr>
        <w:spacing w:before="240" w:after="0" w:line="259" w:lineRule="auto"/>
        <w:jc w:val="center"/>
        <w:rPr>
          <w:b/>
          <w:bCs/>
          <w:color w:val="000000"/>
          <w:sz w:val="28"/>
          <w:szCs w:val="28"/>
        </w:rPr>
      </w:pPr>
      <w:bookmarkStart w:id="0" w:name="_heading=h.5xw800rjbrgj" w:colFirst="0" w:colLast="0"/>
      <w:bookmarkEnd w:id="0"/>
      <w:r>
        <w:rPr>
          <w:b/>
          <w:bCs/>
          <w:color w:val="000000"/>
          <w:sz w:val="28"/>
          <w:szCs w:val="28"/>
        </w:rPr>
        <w:lastRenderedPageBreak/>
        <w:t>Table of Contents</w:t>
      </w:r>
    </w:p>
    <w:sdt>
      <w:sdtPr>
        <w:id w:val="-587342702"/>
        <w:docPartObj>
          <w:docPartGallery w:val="Table of Contents"/>
          <w:docPartUnique/>
        </w:docPartObj>
      </w:sdtPr>
      <w:sdtContent>
        <w:p w:rsidR="000401DA" w:rsidRDefault="000401DA">
          <w:pPr>
            <w:pStyle w:val="normal0"/>
            <w:pBdr>
              <w:top w:val="nil"/>
              <w:left w:val="nil"/>
              <w:bottom w:val="nil"/>
              <w:right w:val="nil"/>
              <w:between w:val="nil"/>
            </w:pBdr>
            <w:tabs>
              <w:tab w:val="right" w:leader="dot" w:pos="9019"/>
            </w:tabs>
            <w:spacing w:after="100"/>
            <w:rPr>
              <w:color w:val="000000"/>
            </w:rPr>
          </w:pPr>
          <w:r>
            <w:fldChar w:fldCharType="begin"/>
          </w:r>
          <w:r w:rsidR="00C10A37">
            <w:instrText xml:space="preserve"> TOC \h \u \z \t "Heading 1,1,Heading 2,2,Heading 3,3,"</w:instrText>
          </w:r>
          <w:r>
            <w:fldChar w:fldCharType="separate"/>
          </w:r>
          <w:hyperlink w:anchor="_heading=h.xcjeotkvvprm">
            <w:r w:rsidR="00C10A37">
              <w:rPr>
                <w:color w:val="000000"/>
              </w:rPr>
              <w:t>In</w:t>
            </w:r>
            <w:r w:rsidR="00C10A37">
              <w:rPr>
                <w:color w:val="000000"/>
              </w:rPr>
              <w:t>troduction</w:t>
            </w:r>
            <w:r w:rsidR="00C10A37">
              <w:rPr>
                <w:color w:val="000000"/>
              </w:rPr>
              <w:tab/>
              <w:t>3</w:t>
            </w:r>
          </w:hyperlink>
        </w:p>
        <w:p w:rsidR="000401DA" w:rsidRDefault="000401DA">
          <w:pPr>
            <w:pStyle w:val="normal0"/>
            <w:pBdr>
              <w:top w:val="nil"/>
              <w:left w:val="nil"/>
              <w:bottom w:val="nil"/>
              <w:right w:val="nil"/>
              <w:between w:val="nil"/>
            </w:pBdr>
            <w:tabs>
              <w:tab w:val="right" w:leader="dot" w:pos="9019"/>
            </w:tabs>
            <w:spacing w:after="100"/>
            <w:rPr>
              <w:color w:val="000000"/>
            </w:rPr>
          </w:pPr>
          <w:hyperlink w:anchor="_heading=h.5vflb0t50ykf">
            <w:r w:rsidR="00C10A37">
              <w:rPr>
                <w:color w:val="000000"/>
              </w:rPr>
              <w:t>Explanation of the Early Help System</w:t>
            </w:r>
            <w:r w:rsidR="00C10A37">
              <w:rPr>
                <w:color w:val="000000"/>
              </w:rPr>
              <w:tab/>
              <w:t>3</w:t>
            </w:r>
          </w:hyperlink>
        </w:p>
        <w:p w:rsidR="000401DA" w:rsidRDefault="000401DA">
          <w:pPr>
            <w:pStyle w:val="normal0"/>
            <w:pBdr>
              <w:top w:val="nil"/>
              <w:left w:val="nil"/>
              <w:bottom w:val="nil"/>
              <w:right w:val="nil"/>
              <w:between w:val="nil"/>
            </w:pBdr>
            <w:tabs>
              <w:tab w:val="right" w:leader="dot" w:pos="9019"/>
            </w:tabs>
            <w:spacing w:after="100"/>
            <w:rPr>
              <w:color w:val="000000"/>
            </w:rPr>
          </w:pPr>
          <w:hyperlink w:anchor="_heading=h.aflxnemyfki9">
            <w:r w:rsidR="00C10A37">
              <w:rPr>
                <w:color w:val="000000"/>
              </w:rPr>
              <w:t>Explanation of multi-agency working</w:t>
            </w:r>
            <w:r w:rsidR="00C10A37">
              <w:rPr>
                <w:color w:val="000000"/>
              </w:rPr>
              <w:tab/>
              <w:t>5</w:t>
            </w:r>
          </w:hyperlink>
        </w:p>
        <w:p w:rsidR="000401DA" w:rsidRDefault="000401DA">
          <w:pPr>
            <w:pStyle w:val="normal0"/>
            <w:pBdr>
              <w:top w:val="nil"/>
              <w:left w:val="nil"/>
              <w:bottom w:val="nil"/>
              <w:right w:val="nil"/>
              <w:between w:val="nil"/>
            </w:pBdr>
            <w:tabs>
              <w:tab w:val="right" w:leader="dot" w:pos="9019"/>
            </w:tabs>
            <w:spacing w:after="100"/>
            <w:rPr>
              <w:color w:val="000000"/>
            </w:rPr>
          </w:pPr>
          <w:hyperlink w:anchor="_heading=h.8fbwpo5c3xiv">
            <w:r w:rsidR="00C10A37">
              <w:rPr>
                <w:color w:val="000000"/>
              </w:rPr>
              <w:t>Evaluation of Local Authority Webs</w:t>
            </w:r>
            <w:r w:rsidR="00C10A37">
              <w:rPr>
                <w:color w:val="000000"/>
              </w:rPr>
              <w:t>ites</w:t>
            </w:r>
            <w:r w:rsidR="00C10A37">
              <w:rPr>
                <w:color w:val="000000"/>
              </w:rPr>
              <w:tab/>
              <w:t>6</w:t>
            </w:r>
          </w:hyperlink>
        </w:p>
        <w:p w:rsidR="000401DA" w:rsidRDefault="000401DA">
          <w:pPr>
            <w:pStyle w:val="normal0"/>
            <w:pBdr>
              <w:top w:val="nil"/>
              <w:left w:val="nil"/>
              <w:bottom w:val="nil"/>
              <w:right w:val="nil"/>
              <w:between w:val="nil"/>
            </w:pBdr>
            <w:tabs>
              <w:tab w:val="right" w:leader="dot" w:pos="9019"/>
            </w:tabs>
            <w:spacing w:after="100"/>
            <w:rPr>
              <w:color w:val="000000"/>
            </w:rPr>
          </w:pPr>
          <w:hyperlink w:anchor="_heading=h.efocj35dmbgo">
            <w:r w:rsidR="00C10A37">
              <w:rPr>
                <w:color w:val="000000"/>
              </w:rPr>
              <w:t>Comparative Analysis of Strengths and Weaknesses</w:t>
            </w:r>
            <w:r w:rsidR="00C10A37">
              <w:rPr>
                <w:color w:val="000000"/>
              </w:rPr>
              <w:tab/>
              <w:t>7</w:t>
            </w:r>
          </w:hyperlink>
        </w:p>
        <w:p w:rsidR="000401DA" w:rsidRDefault="000401DA">
          <w:pPr>
            <w:pStyle w:val="normal0"/>
            <w:pBdr>
              <w:top w:val="nil"/>
              <w:left w:val="nil"/>
              <w:bottom w:val="nil"/>
              <w:right w:val="nil"/>
              <w:between w:val="nil"/>
            </w:pBdr>
            <w:tabs>
              <w:tab w:val="right" w:leader="dot" w:pos="9019"/>
            </w:tabs>
            <w:spacing w:after="100"/>
            <w:rPr>
              <w:color w:val="000000"/>
            </w:rPr>
          </w:pPr>
          <w:hyperlink w:anchor="_heading=h.f1n8rktz2zkq">
            <w:r w:rsidR="00C10A37">
              <w:rPr>
                <w:color w:val="000000"/>
              </w:rPr>
              <w:t>Recommendations</w:t>
            </w:r>
            <w:r w:rsidR="00C10A37">
              <w:rPr>
                <w:color w:val="000000"/>
              </w:rPr>
              <w:tab/>
              <w:t>8</w:t>
            </w:r>
          </w:hyperlink>
        </w:p>
        <w:p w:rsidR="000401DA" w:rsidRDefault="000401DA">
          <w:pPr>
            <w:pStyle w:val="normal0"/>
            <w:pBdr>
              <w:top w:val="nil"/>
              <w:left w:val="nil"/>
              <w:bottom w:val="nil"/>
              <w:right w:val="nil"/>
              <w:between w:val="nil"/>
            </w:pBdr>
            <w:tabs>
              <w:tab w:val="right" w:leader="dot" w:pos="9019"/>
            </w:tabs>
            <w:spacing w:after="100"/>
            <w:rPr>
              <w:color w:val="000000"/>
            </w:rPr>
          </w:pPr>
          <w:hyperlink w:anchor="_heading=h.i5yeqjf9ur7x">
            <w:r w:rsidR="00C10A37">
              <w:rPr>
                <w:color w:val="000000"/>
              </w:rPr>
              <w:t>Conclusion</w:t>
            </w:r>
            <w:r w:rsidR="00C10A37">
              <w:rPr>
                <w:color w:val="000000"/>
              </w:rPr>
              <w:tab/>
              <w:t>8</w:t>
            </w:r>
          </w:hyperlink>
        </w:p>
        <w:p w:rsidR="000401DA" w:rsidRDefault="000401DA">
          <w:pPr>
            <w:pStyle w:val="normal0"/>
            <w:pBdr>
              <w:top w:val="nil"/>
              <w:left w:val="nil"/>
              <w:bottom w:val="nil"/>
              <w:right w:val="nil"/>
              <w:between w:val="nil"/>
            </w:pBdr>
            <w:tabs>
              <w:tab w:val="right" w:leader="dot" w:pos="9019"/>
            </w:tabs>
            <w:spacing w:after="100"/>
            <w:rPr>
              <w:color w:val="000000"/>
            </w:rPr>
          </w:pPr>
          <w:hyperlink w:anchor="_heading=h.v3zvhl4g4mr4">
            <w:r w:rsidR="00C10A37">
              <w:rPr>
                <w:color w:val="000000"/>
              </w:rPr>
              <w:t>References</w:t>
            </w:r>
            <w:r w:rsidR="00C10A37">
              <w:rPr>
                <w:color w:val="000000"/>
              </w:rPr>
              <w:tab/>
              <w:t>10</w:t>
            </w:r>
          </w:hyperlink>
        </w:p>
        <w:p w:rsidR="000401DA" w:rsidRDefault="000401DA">
          <w:pPr>
            <w:pStyle w:val="normal0"/>
          </w:pPr>
          <w:r>
            <w:fldChar w:fldCharType="end"/>
          </w:r>
        </w:p>
      </w:sdtContent>
    </w:sdt>
    <w:p w:rsidR="000401DA" w:rsidRDefault="00C10A37">
      <w:pPr>
        <w:pStyle w:val="normal0"/>
        <w:rPr>
          <w:b/>
          <w:bCs/>
          <w:sz w:val="28"/>
          <w:szCs w:val="28"/>
        </w:rPr>
      </w:pPr>
      <w:r>
        <w:br w:type="page"/>
      </w:r>
    </w:p>
    <w:p w:rsidR="000401DA" w:rsidRDefault="00C10A37">
      <w:pPr>
        <w:pStyle w:val="Heading1"/>
      </w:pPr>
      <w:bookmarkStart w:id="1" w:name="_heading=h.xcjeotkvvprm" w:colFirst="0" w:colLast="0"/>
      <w:bookmarkEnd w:id="1"/>
      <w:r>
        <w:lastRenderedPageBreak/>
        <w:t>Introduction</w:t>
      </w:r>
    </w:p>
    <w:p w:rsidR="000401DA" w:rsidRDefault="00C10A37">
      <w:pPr>
        <w:pStyle w:val="normal0"/>
      </w:pPr>
      <w:r>
        <w:rPr>
          <w:highlight w:val="white"/>
        </w:rPr>
        <w:t>The Early Help system is an important part of the safeguarding system of the UK, as it is intended to assist children, young people, and families at the earliest stage of need. It</w:t>
      </w:r>
      <w:r>
        <w:rPr>
          <w:highlight w:val="white"/>
        </w:rPr>
        <w:t xml:space="preserve"> encourages early intervention, whereby families can be able to overcome the challenges before they degenerate into severe issues. This report assesses the way in which Leicestershire County Council, Norfolk County Council and Southwark Council are communi</w:t>
      </w:r>
      <w:r>
        <w:rPr>
          <w:highlight w:val="white"/>
        </w:rPr>
        <w:t>cating and signposting their Early Help services on their official websites. It evaluates the availability, clarity, and efficiency of presented information with attention to the manner in which each authority promotes family engagement, early intervention</w:t>
      </w:r>
      <w:r>
        <w:rPr>
          <w:highlight w:val="white"/>
        </w:rPr>
        <w:t>, and teamwork between multi-agency professionals.</w:t>
      </w:r>
    </w:p>
    <w:p w:rsidR="000401DA" w:rsidRDefault="00C10A37">
      <w:pPr>
        <w:pStyle w:val="Heading1"/>
      </w:pPr>
      <w:bookmarkStart w:id="2" w:name="_heading=h.5vflb0t50ykf" w:colFirst="0" w:colLast="0"/>
      <w:bookmarkEnd w:id="2"/>
      <w:r>
        <w:t>Explanation of the Early Help System</w:t>
      </w:r>
    </w:p>
    <w:p w:rsidR="000401DA" w:rsidRDefault="00C10A37">
      <w:pPr>
        <w:pStyle w:val="normal0"/>
        <w:rPr>
          <w:highlight w:val="white"/>
        </w:rPr>
      </w:pPr>
      <w:r>
        <w:rPr>
          <w:highlight w:val="white"/>
        </w:rPr>
        <w:t xml:space="preserve">Early Help system is a well-organised model of recognising children and family needs and responding to them in the </w:t>
      </w:r>
      <w:proofErr w:type="gramStart"/>
      <w:r>
        <w:rPr>
          <w:highlight w:val="white"/>
        </w:rPr>
        <w:t>most timely</w:t>
      </w:r>
      <w:proofErr w:type="gramEnd"/>
      <w:r>
        <w:rPr>
          <w:highlight w:val="white"/>
        </w:rPr>
        <w:t xml:space="preserve"> manner, when the problems remain at the l</w:t>
      </w:r>
      <w:r>
        <w:rPr>
          <w:highlight w:val="white"/>
        </w:rPr>
        <w:t>evel of safeguarding or legal concerns. It is founded on prevention, partnership, and empowerment, and it acknowledges that well-timed and collaborative assistance can lead to a great difference in the results of children and youth. The Early Help System G</w:t>
      </w:r>
      <w:r>
        <w:rPr>
          <w:highlight w:val="white"/>
        </w:rPr>
        <w:t>uide states that Early Help makes sure that the appropriate support is delivered at the appropriate moment (Department for Education, 2022). This is done by early identification, evaluation and interventions. This usually starts with an Early Help Assessme</w:t>
      </w:r>
      <w:r>
        <w:rPr>
          <w:highlight w:val="white"/>
        </w:rPr>
        <w:t>nt (EHA), a shared instrument that is used to determine family needs, strengths, and risks.</w:t>
      </w:r>
    </w:p>
    <w:p w:rsidR="000401DA" w:rsidRDefault="00C10A37">
      <w:pPr>
        <w:pStyle w:val="normal0"/>
        <w:jc w:val="center"/>
        <w:rPr>
          <w:highlight w:val="white"/>
        </w:rPr>
      </w:pPr>
      <w:r>
        <w:rPr>
          <w:noProof/>
          <w:highlight w:val="white"/>
        </w:rPr>
        <w:drawing>
          <wp:inline distT="114300" distB="114300" distL="114300" distR="114300">
            <wp:extent cx="4776788" cy="3039053"/>
            <wp:effectExtent l="12700" t="12700" r="12700" b="12700"/>
            <wp:docPr id="4"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8" cstate="print"/>
                    <a:srcRect/>
                    <a:stretch>
                      <a:fillRect/>
                    </a:stretch>
                  </pic:blipFill>
                  <pic:spPr>
                    <a:xfrm>
                      <a:off x="0" y="0"/>
                      <a:ext cx="4776788" cy="3039053"/>
                    </a:xfrm>
                    <a:prstGeom prst="rect">
                      <a:avLst/>
                    </a:prstGeom>
                    <a:ln w="12700">
                      <a:solidFill>
                        <a:srgbClr val="000000"/>
                      </a:solidFill>
                      <a:prstDash val="solid"/>
                    </a:ln>
                  </pic:spPr>
                </pic:pic>
              </a:graphicData>
            </a:graphic>
          </wp:inline>
        </w:drawing>
      </w:r>
    </w:p>
    <w:p w:rsidR="000401DA" w:rsidRDefault="00C10A37">
      <w:pPr>
        <w:pStyle w:val="normal0"/>
        <w:jc w:val="center"/>
        <w:rPr>
          <w:b/>
          <w:bCs/>
          <w:highlight w:val="white"/>
        </w:rPr>
      </w:pPr>
      <w:r>
        <w:rPr>
          <w:b/>
          <w:bCs/>
          <w:highlight w:val="white"/>
        </w:rPr>
        <w:lastRenderedPageBreak/>
        <w:t>Figure 1: Early Help System</w:t>
      </w:r>
    </w:p>
    <w:p w:rsidR="000401DA" w:rsidRDefault="00C10A37">
      <w:pPr>
        <w:pStyle w:val="normal0"/>
        <w:jc w:val="center"/>
        <w:rPr>
          <w:highlight w:val="white"/>
        </w:rPr>
      </w:pPr>
      <w:r>
        <w:rPr>
          <w:highlight w:val="white"/>
        </w:rPr>
        <w:t>(Source: Department for Education, 2022)</w:t>
      </w:r>
    </w:p>
    <w:p w:rsidR="000401DA" w:rsidRDefault="00C10A37">
      <w:pPr>
        <w:pStyle w:val="normal0"/>
        <w:rPr>
          <w:highlight w:val="white"/>
        </w:rPr>
      </w:pPr>
      <w:r>
        <w:rPr>
          <w:highlight w:val="white"/>
        </w:rPr>
        <w:t xml:space="preserve">The </w:t>
      </w:r>
      <w:r>
        <w:rPr>
          <w:b/>
          <w:bCs/>
          <w:i/>
          <w:iCs/>
          <w:highlight w:val="white"/>
        </w:rPr>
        <w:t xml:space="preserve">Ecological Systems theory </w:t>
      </w:r>
      <w:r>
        <w:rPr>
          <w:highlight w:val="white"/>
        </w:rPr>
        <w:t xml:space="preserve">can be used to explain the system because the development of a </w:t>
      </w:r>
      <w:r>
        <w:rPr>
          <w:highlight w:val="white"/>
        </w:rPr>
        <w:t>child is considered based on a variety of systems in the environment, such as the family, school, community, and society at large. Early Help is also compatible with the empowerment theory, which focuses on the active role of the families in the decision-m</w:t>
      </w:r>
      <w:r>
        <w:rPr>
          <w:highlight w:val="white"/>
        </w:rPr>
        <w:t xml:space="preserve">aking process and goal setting (GOV, UK, 2022). Early Help is reminiscent of such a model in the sense that it is aimed at not only solving the immediate situation of the child but also the wider social and environmental determinants of need. </w:t>
      </w:r>
    </w:p>
    <w:p w:rsidR="000401DA" w:rsidRDefault="00C10A37">
      <w:pPr>
        <w:pStyle w:val="normal0"/>
        <w:jc w:val="center"/>
        <w:rPr>
          <w:highlight w:val="white"/>
        </w:rPr>
      </w:pPr>
      <w:r>
        <w:rPr>
          <w:noProof/>
          <w:highlight w:val="white"/>
        </w:rPr>
        <w:drawing>
          <wp:inline distT="114300" distB="114300" distL="114300" distR="114300">
            <wp:extent cx="3724115" cy="2938463"/>
            <wp:effectExtent l="12700" t="12700" r="12700" b="12700"/>
            <wp:docPr id="6"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9" cstate="print"/>
                    <a:srcRect/>
                    <a:stretch>
                      <a:fillRect/>
                    </a:stretch>
                  </pic:blipFill>
                  <pic:spPr>
                    <a:xfrm>
                      <a:off x="0" y="0"/>
                      <a:ext cx="3724115" cy="2938463"/>
                    </a:xfrm>
                    <a:prstGeom prst="rect">
                      <a:avLst/>
                    </a:prstGeom>
                    <a:ln w="12700">
                      <a:solidFill>
                        <a:srgbClr val="000000"/>
                      </a:solidFill>
                      <a:prstDash val="solid"/>
                    </a:ln>
                  </pic:spPr>
                </pic:pic>
              </a:graphicData>
            </a:graphic>
          </wp:inline>
        </w:drawing>
      </w:r>
    </w:p>
    <w:p w:rsidR="000401DA" w:rsidRDefault="00C10A37">
      <w:pPr>
        <w:pStyle w:val="normal0"/>
        <w:jc w:val="center"/>
        <w:rPr>
          <w:b/>
          <w:bCs/>
          <w:highlight w:val="white"/>
        </w:rPr>
      </w:pPr>
      <w:r>
        <w:rPr>
          <w:b/>
          <w:bCs/>
          <w:highlight w:val="white"/>
        </w:rPr>
        <w:t xml:space="preserve">Figure 2: </w:t>
      </w:r>
      <w:r>
        <w:rPr>
          <w:b/>
          <w:bCs/>
          <w:highlight w:val="white"/>
        </w:rPr>
        <w:t>Ecological Systems theory</w:t>
      </w:r>
    </w:p>
    <w:p w:rsidR="000401DA" w:rsidRDefault="00C10A37">
      <w:pPr>
        <w:pStyle w:val="normal0"/>
        <w:jc w:val="center"/>
        <w:rPr>
          <w:highlight w:val="white"/>
        </w:rPr>
      </w:pPr>
      <w:r>
        <w:rPr>
          <w:highlight w:val="white"/>
        </w:rPr>
        <w:t xml:space="preserve">(Source: Khan and </w:t>
      </w:r>
      <w:proofErr w:type="spellStart"/>
      <w:r>
        <w:rPr>
          <w:highlight w:val="white"/>
        </w:rPr>
        <w:t>Dhurumraj</w:t>
      </w:r>
      <w:proofErr w:type="spellEnd"/>
      <w:r>
        <w:rPr>
          <w:highlight w:val="white"/>
        </w:rPr>
        <w:t>, 2023)</w:t>
      </w:r>
    </w:p>
    <w:p w:rsidR="000401DA" w:rsidRDefault="00C10A37">
      <w:pPr>
        <w:pStyle w:val="normal0"/>
        <w:rPr>
          <w:highlight w:val="white"/>
        </w:rPr>
      </w:pPr>
      <w:r>
        <w:rPr>
          <w:highlight w:val="white"/>
        </w:rPr>
        <w:t>This is a holistic perspective that makes interventions preventive and sustainable. Effective Early Help depends on the availability of communication, transparent referral pathways and solid inte</w:t>
      </w:r>
      <w:r>
        <w:rPr>
          <w:highlight w:val="white"/>
        </w:rPr>
        <w:t xml:space="preserve">ragency cooperation (Wyckoff </w:t>
      </w:r>
      <w:r>
        <w:rPr>
          <w:i/>
          <w:iCs/>
          <w:highlight w:val="white"/>
        </w:rPr>
        <w:t>et al.,</w:t>
      </w:r>
      <w:r>
        <w:rPr>
          <w:highlight w:val="white"/>
        </w:rPr>
        <w:t xml:space="preserve"> 2022). The central role in the publicity of these services is undertaken by local authorities whose websites, in many cases, are used to inform families and professionals about where and how to address these issues. The</w:t>
      </w:r>
      <w:r>
        <w:rPr>
          <w:highlight w:val="white"/>
        </w:rPr>
        <w:t xml:space="preserve"> Early Help system is a proactive and collaborative model of safeguarding that can address the problems at an initial stage, minimise the risk in the long term, and provide greater well-being to the family due to shared responsibility and early interventio</w:t>
      </w:r>
      <w:r>
        <w:rPr>
          <w:highlight w:val="white"/>
        </w:rPr>
        <w:t>n.</w:t>
      </w:r>
    </w:p>
    <w:p w:rsidR="000401DA" w:rsidRDefault="00C10A37">
      <w:pPr>
        <w:pStyle w:val="Heading1"/>
      </w:pPr>
      <w:bookmarkStart w:id="3" w:name="_heading=h.aflxnemyfki9" w:colFirst="0" w:colLast="0"/>
      <w:bookmarkEnd w:id="3"/>
      <w:r>
        <w:lastRenderedPageBreak/>
        <w:t>Explanation of multi-agency working</w:t>
      </w:r>
    </w:p>
    <w:p w:rsidR="000401DA" w:rsidRDefault="00C10A37">
      <w:pPr>
        <w:pStyle w:val="normal0"/>
        <w:rPr>
          <w:highlight w:val="white"/>
        </w:rPr>
      </w:pPr>
      <w:r>
        <w:rPr>
          <w:highlight w:val="white"/>
        </w:rPr>
        <w:t xml:space="preserve">Multi-agency working is the collaborative work of professionals from various </w:t>
      </w:r>
      <w:proofErr w:type="gramStart"/>
      <w:r>
        <w:rPr>
          <w:highlight w:val="white"/>
        </w:rPr>
        <w:t>fields</w:t>
      </w:r>
      <w:proofErr w:type="gramEnd"/>
      <w:r>
        <w:rPr>
          <w:highlight w:val="white"/>
        </w:rPr>
        <w:t xml:space="preserve"> health, education, social care, housing, and voluntary organisations, to assist children and families. It forms the basis of the Early Help framework as it is used to ensur</w:t>
      </w:r>
      <w:r>
        <w:rPr>
          <w:highlight w:val="white"/>
        </w:rPr>
        <w:t>e that a complex family need is met with a holistic intervention. The Working Together to Safeguard Children guidance emphasises the fact that a single professional or agency cannot address all the needs of a child (HM Government, 2023). Rather, the collab</w:t>
      </w:r>
      <w:r>
        <w:rPr>
          <w:highlight w:val="white"/>
        </w:rPr>
        <w:t>oration between agencies is guaranteed to provide early detection, communication, and full support. Shared responsibility helps to avoid vague service delivery and encourages the same standards of safeguarding.</w:t>
      </w:r>
    </w:p>
    <w:p w:rsidR="000401DA" w:rsidRDefault="00C10A37">
      <w:pPr>
        <w:pStyle w:val="normal0"/>
        <w:jc w:val="center"/>
        <w:rPr>
          <w:highlight w:val="white"/>
        </w:rPr>
      </w:pPr>
      <w:r>
        <w:rPr>
          <w:noProof/>
          <w:highlight w:val="white"/>
        </w:rPr>
        <w:drawing>
          <wp:inline distT="114300" distB="114300" distL="114300" distR="114300">
            <wp:extent cx="4757738" cy="1730805"/>
            <wp:effectExtent l="12700" t="12700" r="12700" b="12700"/>
            <wp:docPr id="5"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0" cstate="print"/>
                    <a:srcRect/>
                    <a:stretch>
                      <a:fillRect/>
                    </a:stretch>
                  </pic:blipFill>
                  <pic:spPr>
                    <a:xfrm>
                      <a:off x="0" y="0"/>
                      <a:ext cx="4757738" cy="1730805"/>
                    </a:xfrm>
                    <a:prstGeom prst="rect">
                      <a:avLst/>
                    </a:prstGeom>
                    <a:ln w="12700">
                      <a:solidFill>
                        <a:srgbClr val="000000"/>
                      </a:solidFill>
                      <a:prstDash val="solid"/>
                    </a:ln>
                  </pic:spPr>
                </pic:pic>
              </a:graphicData>
            </a:graphic>
          </wp:inline>
        </w:drawing>
      </w:r>
    </w:p>
    <w:p w:rsidR="000401DA" w:rsidRDefault="00C10A37">
      <w:pPr>
        <w:pStyle w:val="normal0"/>
        <w:jc w:val="center"/>
        <w:rPr>
          <w:b/>
          <w:bCs/>
          <w:highlight w:val="white"/>
        </w:rPr>
      </w:pPr>
      <w:r>
        <w:rPr>
          <w:b/>
          <w:bCs/>
          <w:highlight w:val="white"/>
        </w:rPr>
        <w:t xml:space="preserve">Figure 3: </w:t>
      </w:r>
      <w:proofErr w:type="spellStart"/>
      <w:r>
        <w:rPr>
          <w:b/>
          <w:bCs/>
          <w:highlight w:val="white"/>
        </w:rPr>
        <w:t>Tuckman’s</w:t>
      </w:r>
      <w:proofErr w:type="spellEnd"/>
      <w:r>
        <w:rPr>
          <w:b/>
          <w:bCs/>
          <w:highlight w:val="white"/>
        </w:rPr>
        <w:t xml:space="preserve"> Teamwork Model</w:t>
      </w:r>
    </w:p>
    <w:p w:rsidR="000401DA" w:rsidRDefault="00C10A37">
      <w:pPr>
        <w:pStyle w:val="normal0"/>
        <w:jc w:val="center"/>
        <w:rPr>
          <w:highlight w:val="white"/>
        </w:rPr>
      </w:pPr>
      <w:r>
        <w:rPr>
          <w:highlight w:val="white"/>
        </w:rPr>
        <w:t>(Source:</w:t>
      </w:r>
      <w:r>
        <w:rPr>
          <w:highlight w:val="white"/>
        </w:rPr>
        <w:t xml:space="preserve"> Shah-Nelson </w:t>
      </w:r>
      <w:r>
        <w:rPr>
          <w:i/>
          <w:iCs/>
          <w:highlight w:val="white"/>
        </w:rPr>
        <w:t>et al.,</w:t>
      </w:r>
      <w:r>
        <w:rPr>
          <w:highlight w:val="white"/>
        </w:rPr>
        <w:t xml:space="preserve"> 2020)</w:t>
      </w:r>
    </w:p>
    <w:p w:rsidR="000401DA" w:rsidRDefault="00C10A37">
      <w:pPr>
        <w:pStyle w:val="normal0"/>
        <w:rPr>
          <w:highlight w:val="white"/>
        </w:rPr>
      </w:pPr>
      <w:r>
        <w:rPr>
          <w:highlight w:val="white"/>
        </w:rPr>
        <w:t xml:space="preserve">The </w:t>
      </w:r>
      <w:r>
        <w:rPr>
          <w:b/>
          <w:bCs/>
          <w:i/>
          <w:iCs/>
          <w:highlight w:val="white"/>
        </w:rPr>
        <w:t>Teamwork Model,</w:t>
      </w:r>
      <w:r>
        <w:rPr>
          <w:highlight w:val="white"/>
        </w:rPr>
        <w:t xml:space="preserve"> comprising forming, storming, </w:t>
      </w:r>
      <w:proofErr w:type="spellStart"/>
      <w:r>
        <w:rPr>
          <w:highlight w:val="white"/>
        </w:rPr>
        <w:t>norming</w:t>
      </w:r>
      <w:proofErr w:type="spellEnd"/>
      <w:r>
        <w:rPr>
          <w:highlight w:val="white"/>
        </w:rPr>
        <w:t>, performing, and adjourning, is an example of how professionals can be able to grow together and develop cohesion and trust (</w:t>
      </w:r>
      <w:proofErr w:type="spellStart"/>
      <w:r>
        <w:rPr>
          <w:highlight w:val="white"/>
        </w:rPr>
        <w:t>Kaelin</w:t>
      </w:r>
      <w:proofErr w:type="spellEnd"/>
      <w:r>
        <w:rPr>
          <w:highlight w:val="white"/>
        </w:rPr>
        <w:t xml:space="preserve"> </w:t>
      </w:r>
      <w:r>
        <w:rPr>
          <w:i/>
          <w:iCs/>
          <w:highlight w:val="white"/>
        </w:rPr>
        <w:t>et al.,</w:t>
      </w:r>
      <w:r>
        <w:rPr>
          <w:highlight w:val="white"/>
        </w:rPr>
        <w:t xml:space="preserve"> 2024). Agencies in Early Help h</w:t>
      </w:r>
      <w:r>
        <w:rPr>
          <w:highlight w:val="white"/>
        </w:rPr>
        <w:t>ave to move within these steps to reach collaborative effectiveness with understandable roles, common goals, and with respect that is extended to each other.  According to the Early Help System Guide, a lead practitioner is the key figure in the coordinati</w:t>
      </w:r>
      <w:r>
        <w:rPr>
          <w:highlight w:val="white"/>
        </w:rPr>
        <w:t>on process, and they have to establish a high level of consistency in communication and accountability (Department for Education, 2021). This role prevents duplication and confusion, as well as providing the families with a single and trusted point of cont</w:t>
      </w:r>
      <w:r>
        <w:rPr>
          <w:highlight w:val="white"/>
        </w:rPr>
        <w:t>act. Another area that is used in multi-agency working is reliance on shared digital systems, joint training and frequent information-sharing meetings, to ensure some consistency in practice.</w:t>
      </w:r>
    </w:p>
    <w:p w:rsidR="000401DA" w:rsidRDefault="00C10A37">
      <w:pPr>
        <w:pStyle w:val="normal0"/>
        <w:rPr>
          <w:highlight w:val="white"/>
        </w:rPr>
      </w:pPr>
      <w:r>
        <w:rPr>
          <w:highlight w:val="white"/>
        </w:rPr>
        <w:t>Nonetheless, various obstacles might be caused by the different professional priorities, communication, and issues of confidentiality. These should be handled with trust, mutual understanding, and respect for information-sharing agreements, which are stres</w:t>
      </w:r>
      <w:r>
        <w:rPr>
          <w:highlight w:val="white"/>
        </w:rPr>
        <w:t xml:space="preserve">sed in the protection of guidance. Multi-agency collaboration enhances the Early Help outcomes </w:t>
      </w:r>
      <w:r>
        <w:rPr>
          <w:highlight w:val="white"/>
        </w:rPr>
        <w:lastRenderedPageBreak/>
        <w:t>through experience sharing, elimination of service inefficiency, and provision of well-coordinated and timely intervention to families (</w:t>
      </w:r>
      <w:proofErr w:type="spellStart"/>
      <w:r>
        <w:rPr>
          <w:highlight w:val="white"/>
        </w:rPr>
        <w:t>MacAlister</w:t>
      </w:r>
      <w:proofErr w:type="spellEnd"/>
      <w:r>
        <w:rPr>
          <w:highlight w:val="white"/>
        </w:rPr>
        <w:t>, 2022). It not</w:t>
      </w:r>
      <w:r>
        <w:rPr>
          <w:highlight w:val="white"/>
        </w:rPr>
        <w:t xml:space="preserve"> only improves the efficacy of professional practice but also supports a child-centred approach, which involves ensuring all the interventions are made customised, comprehensive, and actually aimed at the long-term family stability and wellbeing.</w:t>
      </w:r>
    </w:p>
    <w:p w:rsidR="000401DA" w:rsidRDefault="00C10A37">
      <w:pPr>
        <w:pStyle w:val="Heading1"/>
      </w:pPr>
      <w:bookmarkStart w:id="4" w:name="_heading=h.8fbwpo5c3xiv" w:colFirst="0" w:colLast="0"/>
      <w:bookmarkEnd w:id="4"/>
      <w:r>
        <w:t>Evaluatio</w:t>
      </w:r>
      <w:r>
        <w:t>n of Local Authority Websites</w:t>
      </w:r>
    </w:p>
    <w:p w:rsidR="000401DA" w:rsidRDefault="00C10A37">
      <w:pPr>
        <w:pStyle w:val="normal0"/>
        <w:rPr>
          <w:b/>
          <w:bCs/>
          <w:u w:val="single"/>
        </w:rPr>
      </w:pPr>
      <w:r>
        <w:rPr>
          <w:b/>
          <w:bCs/>
          <w:u w:val="single"/>
        </w:rPr>
        <w:t xml:space="preserve">Leicestershire County Council </w:t>
      </w:r>
    </w:p>
    <w:p w:rsidR="000401DA" w:rsidRDefault="00C10A37">
      <w:pPr>
        <w:pStyle w:val="normal0"/>
        <w:rPr>
          <w:b/>
          <w:bCs/>
          <w:u w:val="single"/>
        </w:rPr>
      </w:pPr>
      <w:r>
        <w:rPr>
          <w:highlight w:val="white"/>
        </w:rPr>
        <w:t>In the Leicestershire County Council, Early Help is provided in the shape of a detailed and systematic approach to the Early Help and Family Support Service pages (Leicestershire, 2024). The impo</w:t>
      </w:r>
      <w:r>
        <w:rPr>
          <w:highlight w:val="white"/>
        </w:rPr>
        <w:t>rtant areas, such as eligibility, referral processes and contacts, are explained on their website. The Multi-Agency Referral Form (MARF) is one of its strengths, whereby the professionals can make referrals online (Leicestershire, 2025). It is defined by t</w:t>
      </w:r>
      <w:r>
        <w:rPr>
          <w:highlight w:val="white"/>
        </w:rPr>
        <w:t xml:space="preserve">he focus on the partnership, such that the schools, health visitors, and youth services are listed as the main partners. The terminology used, such as referral thresholds and statutory services, would make accessibility of such parents limited who may not </w:t>
      </w:r>
      <w:r>
        <w:rPr>
          <w:highlight w:val="white"/>
        </w:rPr>
        <w:t>have knowledge of safeguarding language. The design is functional and lacks family images or interactive features that can bring people together.</w:t>
      </w:r>
    </w:p>
    <w:p w:rsidR="000401DA" w:rsidRDefault="00C10A37">
      <w:pPr>
        <w:pStyle w:val="normal0"/>
        <w:rPr>
          <w:b/>
          <w:bCs/>
          <w:u w:val="single"/>
        </w:rPr>
      </w:pPr>
      <w:r>
        <w:rPr>
          <w:b/>
          <w:bCs/>
          <w:u w:val="single"/>
        </w:rPr>
        <w:t xml:space="preserve">Norfolk County Council </w:t>
      </w:r>
    </w:p>
    <w:p w:rsidR="000401DA" w:rsidRDefault="00C10A37">
      <w:pPr>
        <w:pStyle w:val="normal0"/>
        <w:rPr>
          <w:b/>
          <w:bCs/>
          <w:u w:val="single"/>
        </w:rPr>
      </w:pPr>
      <w:r>
        <w:t>Early Help is presented in Norfolk County Council under the section Family Hubs, and s</w:t>
      </w:r>
      <w:r>
        <w:t>ervices to children are rather clear and family-oriented (Norfolk County Council, 2024). It has a Request for Support form, which promotes self-referral and professional referral as per</w:t>
      </w:r>
      <w:r>
        <w:rPr>
          <w:highlight w:val="white"/>
        </w:rPr>
        <w:t xml:space="preserve"> the postulates of Early Help. Norfolk Safeguarding Children Partnershi</w:t>
      </w:r>
      <w:r>
        <w:rPr>
          <w:highlight w:val="white"/>
        </w:rPr>
        <w:t xml:space="preserve">p </w:t>
      </w:r>
      <w:proofErr w:type="gramStart"/>
      <w:r>
        <w:rPr>
          <w:highlight w:val="white"/>
        </w:rPr>
        <w:t>assist</w:t>
      </w:r>
      <w:proofErr w:type="gramEnd"/>
      <w:r>
        <w:rPr>
          <w:highlight w:val="white"/>
        </w:rPr>
        <w:t xml:space="preserve"> families and practitioners to realise levels of service requirements. The site also brings out the role of Family Hubs, which combine health, education and community support in local neighbourhoods. This strategy is indicative of a high degree of </w:t>
      </w:r>
      <w:r>
        <w:rPr>
          <w:highlight w:val="white"/>
        </w:rPr>
        <w:t>accessibility and partner working, which means that families can access coordinated services of multiple agencies under one roof with ease.</w:t>
      </w:r>
    </w:p>
    <w:p w:rsidR="000401DA" w:rsidRDefault="00C10A37">
      <w:pPr>
        <w:pStyle w:val="normal0"/>
        <w:rPr>
          <w:b/>
          <w:bCs/>
          <w:u w:val="single"/>
        </w:rPr>
      </w:pPr>
      <w:r>
        <w:rPr>
          <w:b/>
          <w:bCs/>
          <w:u w:val="single"/>
        </w:rPr>
        <w:t>Southwark Council</w:t>
      </w:r>
    </w:p>
    <w:p w:rsidR="000401DA" w:rsidRDefault="00C10A37">
      <w:pPr>
        <w:pStyle w:val="normal0"/>
        <w:rPr>
          <w:b/>
          <w:bCs/>
          <w:u w:val="single"/>
        </w:rPr>
      </w:pPr>
      <w:r>
        <w:rPr>
          <w:highlight w:val="white"/>
        </w:rPr>
        <w:t>The Family-oriented platform offered by the Southwark Council is one of the most accessible ones (</w:t>
      </w:r>
      <w:r>
        <w:rPr>
          <w:highlight w:val="white"/>
        </w:rPr>
        <w:t>Southwark Council, 2025). The About Early Help page is easy to understand, on what Early Help is, what it is about, and how families can get Early Help. The users can discover the right level of support with the help of distinct pages like Early Help for E</w:t>
      </w:r>
      <w:r>
        <w:rPr>
          <w:highlight w:val="white"/>
        </w:rPr>
        <w:t xml:space="preserve">veryone and Extra Early Help. In addition, the site emphasises the collaboration with schools, health </w:t>
      </w:r>
      <w:r>
        <w:rPr>
          <w:highlight w:val="white"/>
        </w:rPr>
        <w:lastRenderedPageBreak/>
        <w:t>services, and voluntary organisations, which implies the integration of multiple agencies. But there are also broken links in some parts, and professional</w:t>
      </w:r>
      <w:r>
        <w:rPr>
          <w:highlight w:val="white"/>
        </w:rPr>
        <w:t xml:space="preserve"> referral forms are displayed in the inner parts of the subpages, which can be inconvenient to navigate. </w:t>
      </w:r>
    </w:p>
    <w:p w:rsidR="000401DA" w:rsidRDefault="00C10A37">
      <w:pPr>
        <w:pStyle w:val="Heading1"/>
      </w:pPr>
      <w:bookmarkStart w:id="5" w:name="_heading=h.efocj35dmbgo" w:colFirst="0" w:colLast="0"/>
      <w:bookmarkEnd w:id="5"/>
      <w:r>
        <w:t>Comparative Analysis of Strengths and Weaknesses</w:t>
      </w:r>
    </w:p>
    <w:p w:rsidR="000401DA" w:rsidRDefault="00C10A37">
      <w:pPr>
        <w:pStyle w:val="normal0"/>
      </w:pPr>
      <w:r>
        <w:t>The three chosen local authority websites, including Leicestershire County Council, Norfolk County Co</w:t>
      </w:r>
      <w:r>
        <w:t>uncil, and Southwark Council, reveal that have a dedication to assisting families with Early Help, but the websites vary significantly in terms of accessibility, ease of communication, and the inclusion of presentation. The analysis indicates the impact of</w:t>
      </w:r>
      <w:r>
        <w:t xml:space="preserve"> the strategies of the digital communication of each council on the effectiveness of the engagement of families with the existing services and the perception of the Early Help pathways by professionals.</w:t>
      </w:r>
    </w:p>
    <w:p w:rsidR="000401DA" w:rsidRDefault="00C10A37">
      <w:pPr>
        <w:pStyle w:val="normal0"/>
        <w:rPr>
          <w:highlight w:val="white"/>
        </w:rPr>
      </w:pPr>
      <w:r>
        <w:rPr>
          <w:highlight w:val="white"/>
        </w:rPr>
        <w:t>The Early Help is also provided by Leicestershire Cou</w:t>
      </w:r>
      <w:r>
        <w:rPr>
          <w:highlight w:val="white"/>
        </w:rPr>
        <w:t xml:space="preserve">nty Council, with a thorough description of this service on its pages Early Help and Family Support Service (Leicestershire, 2025). Its design is also rational, with distinct blocks of information on the eligibility of services, contact, and referral. The </w:t>
      </w:r>
      <w:r>
        <w:rPr>
          <w:highlight w:val="white"/>
        </w:rPr>
        <w:t>fact that it includes the Multi-Agency Referral Form (MARF) indicates that it is an organised and process-oriented flow that helps to engage the professionals. The site manages to promote partnership with schools, youth services, and community organisation</w:t>
      </w:r>
      <w:r>
        <w:rPr>
          <w:highlight w:val="white"/>
        </w:rPr>
        <w:t>s, which supports the significance of multi-agency work. Nevertheless, the information is very procedural and has special terms, such as case management and statutory intervention. The design, despite being practical, does not have emotional warmth or visu</w:t>
      </w:r>
      <w:r>
        <w:rPr>
          <w:highlight w:val="white"/>
        </w:rPr>
        <w:t>al appeal, which can make it less accessible to families that require assurance and advice.</w:t>
      </w:r>
    </w:p>
    <w:p w:rsidR="000401DA" w:rsidRDefault="00C10A37">
      <w:pPr>
        <w:pStyle w:val="normal0"/>
        <w:rPr>
          <w:highlight w:val="white"/>
        </w:rPr>
      </w:pPr>
      <w:r>
        <w:rPr>
          <w:highlight w:val="white"/>
        </w:rPr>
        <w:t>The Norfolk County Council is more familiar and friendly. The section of its Family Hubs and Services of Children introduces Early Help as a bonus and preventive su</w:t>
      </w:r>
      <w:r>
        <w:rPr>
          <w:highlight w:val="white"/>
        </w:rPr>
        <w:t>pport (Norfolk County Council, 2025). This is made possible by a Request for Support form that enables self-referral of professionals and families alike, which is an indicator of inclusivity and empowerment, which are essential concepts of Early Help. Sout</w:t>
      </w:r>
      <w:r>
        <w:rPr>
          <w:highlight w:val="white"/>
        </w:rPr>
        <w:t>hwark Council is the best example of a digital communication strategy (Southwark Council, 2024). The section on About Early Help is defined as Early Help for everyone, and this structure reviews the facility to have tremendous accessibility, which can be s</w:t>
      </w:r>
      <w:r>
        <w:rPr>
          <w:highlight w:val="white"/>
        </w:rPr>
        <w:t>hown by the families seeing immediately what kind of support is most adapted to their situations. Southwark also incorporates its Early Help message into the wider frameworks of safeguarding and family wellbeing, and positions Early Help as a section of th</w:t>
      </w:r>
      <w:r>
        <w:rPr>
          <w:highlight w:val="white"/>
        </w:rPr>
        <w:t>is broad spectrum of community support (Southwark Council, 2024). The only weakness is that the professional referral forms are not as high-</w:t>
      </w:r>
      <w:r>
        <w:rPr>
          <w:highlight w:val="white"/>
        </w:rPr>
        <w:lastRenderedPageBreak/>
        <w:t>profile as compared to the family-oriented information, which may be a hindrance to the efficiency of practitioners.</w:t>
      </w:r>
      <w:r>
        <w:rPr>
          <w:highlight w:val="white"/>
        </w:rPr>
        <w:t xml:space="preserve"> However, the site of Southwark offers the most balanced communication, clear, inclusive, and consistent with the Early Help principles.</w:t>
      </w:r>
    </w:p>
    <w:p w:rsidR="000401DA" w:rsidRDefault="00C10A37">
      <w:pPr>
        <w:pStyle w:val="Heading1"/>
      </w:pPr>
      <w:bookmarkStart w:id="6" w:name="_heading=h.f1n8rktz2zkq" w:colFirst="0" w:colLast="0"/>
      <w:bookmarkEnd w:id="6"/>
      <w:r>
        <w:t xml:space="preserve">Recommendations </w:t>
      </w:r>
    </w:p>
    <w:p w:rsidR="000401DA" w:rsidRDefault="00C10A37">
      <w:pPr>
        <w:pStyle w:val="normal0"/>
        <w:rPr>
          <w:b/>
          <w:bCs/>
          <w:i/>
          <w:iCs/>
          <w:highlight w:val="white"/>
        </w:rPr>
      </w:pPr>
      <w:r>
        <w:rPr>
          <w:b/>
          <w:bCs/>
          <w:i/>
          <w:iCs/>
          <w:highlight w:val="white"/>
        </w:rPr>
        <w:t>Recommendation 1: Simplify Communication and Language</w:t>
      </w:r>
    </w:p>
    <w:p w:rsidR="000401DA" w:rsidRDefault="00C10A37">
      <w:pPr>
        <w:pStyle w:val="normal0"/>
        <w:rPr>
          <w:b/>
          <w:bCs/>
          <w:i/>
          <w:iCs/>
          <w:highlight w:val="white"/>
        </w:rPr>
      </w:pPr>
      <w:r>
        <w:rPr>
          <w:highlight w:val="white"/>
        </w:rPr>
        <w:t xml:space="preserve">Local government, especially the County Council </w:t>
      </w:r>
      <w:r>
        <w:rPr>
          <w:highlight w:val="white"/>
        </w:rPr>
        <w:t>in Leicestershire, needs to employ straightforward and family-friendly language to explain the Early Help services. It would be easier to use simpler language, like avoiding professional terminology like referral thresholds or statutory intervention, as it</w:t>
      </w:r>
      <w:r>
        <w:rPr>
          <w:highlight w:val="white"/>
        </w:rPr>
        <w:t xml:space="preserve"> would be easier to understand by parents and carers. The language, short sentences, and clear illustrations of the available support can make families seek the help of Early Help at a younger age.</w:t>
      </w:r>
    </w:p>
    <w:p w:rsidR="000401DA" w:rsidRDefault="00C10A37">
      <w:pPr>
        <w:pStyle w:val="normal0"/>
        <w:rPr>
          <w:b/>
          <w:bCs/>
          <w:i/>
          <w:iCs/>
          <w:highlight w:val="white"/>
        </w:rPr>
      </w:pPr>
      <w:r>
        <w:rPr>
          <w:b/>
          <w:bCs/>
          <w:i/>
          <w:iCs/>
          <w:highlight w:val="white"/>
        </w:rPr>
        <w:t>Recommendation 2: Enhance Website Accessibility and Visual</w:t>
      </w:r>
      <w:r>
        <w:rPr>
          <w:b/>
          <w:bCs/>
          <w:i/>
          <w:iCs/>
          <w:highlight w:val="white"/>
        </w:rPr>
        <w:t xml:space="preserve"> Design</w:t>
      </w:r>
    </w:p>
    <w:p w:rsidR="000401DA" w:rsidRDefault="00C10A37">
      <w:pPr>
        <w:pStyle w:val="normal0"/>
        <w:rPr>
          <w:b/>
          <w:bCs/>
          <w:i/>
          <w:iCs/>
          <w:highlight w:val="white"/>
        </w:rPr>
      </w:pPr>
      <w:r>
        <w:rPr>
          <w:highlight w:val="white"/>
        </w:rPr>
        <w:t xml:space="preserve">The visual structure of the websites and the navigation of Norfolk County Council and Leicestershire County Council should be enhanced. It would be easier to comprehend the process of referral by adding icons, </w:t>
      </w:r>
      <w:proofErr w:type="spellStart"/>
      <w:r>
        <w:rPr>
          <w:highlight w:val="white"/>
        </w:rPr>
        <w:t>infographics</w:t>
      </w:r>
      <w:proofErr w:type="spellEnd"/>
      <w:r>
        <w:rPr>
          <w:highlight w:val="white"/>
        </w:rPr>
        <w:t>, and step-by-step guides.</w:t>
      </w:r>
      <w:r>
        <w:rPr>
          <w:highlight w:val="white"/>
        </w:rPr>
        <w:t xml:space="preserve"> Interactive resources, like short videos or flowcharts, may show the families how to seek assistance, what to anticipate, and the support they will receive. Various users should also be supported by introducing accessibility options such as translation fe</w:t>
      </w:r>
      <w:r>
        <w:rPr>
          <w:highlight w:val="white"/>
        </w:rPr>
        <w:t>atures or text-to-speech features.</w:t>
      </w:r>
    </w:p>
    <w:p w:rsidR="000401DA" w:rsidRDefault="00C10A37">
      <w:pPr>
        <w:pStyle w:val="normal0"/>
        <w:rPr>
          <w:b/>
          <w:bCs/>
          <w:i/>
          <w:iCs/>
          <w:highlight w:val="white"/>
        </w:rPr>
      </w:pPr>
      <w:r>
        <w:rPr>
          <w:b/>
          <w:bCs/>
          <w:i/>
          <w:iCs/>
          <w:highlight w:val="white"/>
        </w:rPr>
        <w:t>Recommendation 3: Strengthen Multi-Agency Signposting and Collaboration Visibility</w:t>
      </w:r>
    </w:p>
    <w:p w:rsidR="000401DA" w:rsidRDefault="00C10A37">
      <w:pPr>
        <w:pStyle w:val="normal0"/>
        <w:spacing w:before="120" w:after="120"/>
        <w:rPr>
          <w:b/>
          <w:bCs/>
          <w:i/>
          <w:iCs/>
          <w:highlight w:val="white"/>
        </w:rPr>
      </w:pPr>
      <w:r>
        <w:rPr>
          <w:highlight w:val="white"/>
        </w:rPr>
        <w:t xml:space="preserve">The partnership networks of all three councils ought to be made more visible on the internet. The fact that there will be direct links to </w:t>
      </w:r>
      <w:r>
        <w:rPr>
          <w:highlight w:val="white"/>
        </w:rPr>
        <w:t>schools, health services, as well as voluntary organisations, will be a boost to the collaborative nature of Early Help. Southwark Council can also improve it by adding a section where the different agencies can be described as to how they collaborate to h</w:t>
      </w:r>
      <w:r>
        <w:rPr>
          <w:highlight w:val="white"/>
        </w:rPr>
        <w:t>elp families. The presence of the multi-agencies on the ground establishes trust, openness, and a feeling of collective responsibility for the well-being of children and their families.</w:t>
      </w:r>
    </w:p>
    <w:p w:rsidR="000401DA" w:rsidRDefault="00C10A37">
      <w:pPr>
        <w:pStyle w:val="Heading1"/>
      </w:pPr>
      <w:bookmarkStart w:id="7" w:name="_heading=h.i5yeqjf9ur7x" w:colFirst="0" w:colLast="0"/>
      <w:bookmarkEnd w:id="7"/>
      <w:r>
        <w:t>Conclusion</w:t>
      </w:r>
    </w:p>
    <w:p w:rsidR="000401DA" w:rsidRDefault="00C10A37">
      <w:pPr>
        <w:pStyle w:val="normal0"/>
        <w:spacing w:before="120" w:after="120"/>
      </w:pPr>
      <w:r>
        <w:rPr>
          <w:highlight w:val="white"/>
        </w:rPr>
        <w:t>It is concluded that all three councils offer valuable info</w:t>
      </w:r>
      <w:r>
        <w:rPr>
          <w:highlight w:val="white"/>
        </w:rPr>
        <w:t>rmation about Early Help and family support, but they are not equally effective in providing the information. Southwark Council has the most family-friendly and accessible site, which can be seen as good adherence to the principles of Early Help about incl</w:t>
      </w:r>
      <w:r>
        <w:rPr>
          <w:highlight w:val="white"/>
        </w:rPr>
        <w:t xml:space="preserve">usion and collaboration. Norfolk County Council offers </w:t>
      </w:r>
      <w:r>
        <w:rPr>
          <w:highlight w:val="white"/>
        </w:rPr>
        <w:lastRenderedPageBreak/>
        <w:t>straightforward and helpful advice that is amenable to better graphics and graphics to navigate it easily. Despite being comprehensive and professional, Leicestershire County Council requires easier la</w:t>
      </w:r>
      <w:r>
        <w:rPr>
          <w:highlight w:val="white"/>
        </w:rPr>
        <w:t>nguage to connect with the families. Making these councils more visible, clear, and available would also contribute to better outcomes of early intervention, and the families would have an opportunity to get the support as soon as possible.</w:t>
      </w:r>
    </w:p>
    <w:p w:rsidR="000401DA" w:rsidRDefault="000401DA">
      <w:pPr>
        <w:pStyle w:val="normal0"/>
      </w:pPr>
    </w:p>
    <w:p w:rsidR="000401DA" w:rsidRDefault="00C10A37">
      <w:pPr>
        <w:pStyle w:val="Heading1"/>
      </w:pPr>
      <w:bookmarkStart w:id="8" w:name="_heading=h.vokb97axrntl" w:colFirst="0" w:colLast="0"/>
      <w:bookmarkEnd w:id="8"/>
      <w:r>
        <w:br w:type="page"/>
      </w:r>
    </w:p>
    <w:p w:rsidR="000401DA" w:rsidRDefault="00C10A37">
      <w:pPr>
        <w:pStyle w:val="Heading1"/>
      </w:pPr>
      <w:bookmarkStart w:id="9" w:name="_heading=h.v3zvhl4g4mr4" w:colFirst="0" w:colLast="0"/>
      <w:bookmarkEnd w:id="9"/>
      <w:r>
        <w:lastRenderedPageBreak/>
        <w:t xml:space="preserve">References </w:t>
      </w:r>
    </w:p>
    <w:p w:rsidR="000401DA" w:rsidRDefault="00C10A37">
      <w:pPr>
        <w:pStyle w:val="normal0"/>
      </w:pPr>
      <w:proofErr w:type="gramStart"/>
      <w:r>
        <w:t xml:space="preserve">Department for Education (2022) </w:t>
      </w:r>
      <w:r>
        <w:rPr>
          <w:i/>
          <w:iCs/>
        </w:rPr>
        <w:t>Early Help System Guide A toolkit to assist local strategic partnerships responsible for their Early Help System</w:t>
      </w:r>
      <w:r>
        <w:t>.</w:t>
      </w:r>
      <w:proofErr w:type="gramEnd"/>
      <w:r>
        <w:t xml:space="preserve"> Available at: </w:t>
      </w:r>
      <w:hyperlink r:id="rId11">
        <w:r>
          <w:rPr>
            <w:color w:val="1155CC"/>
            <w:u w:val="single"/>
          </w:rPr>
          <w:t>https://assets.publishing.service.gov.uk/media/628de13be90e071f5f7e1bd2/Early_Help_System_Guide.pdf</w:t>
        </w:r>
      </w:hyperlink>
      <w:r>
        <w:t xml:space="preserve">  (Accessed: 13 November 2025)</w:t>
      </w:r>
    </w:p>
    <w:p w:rsidR="000401DA" w:rsidRDefault="00C10A37">
      <w:pPr>
        <w:pStyle w:val="normal0"/>
      </w:pPr>
      <w:r>
        <w:t>GOV.UK (202</w:t>
      </w:r>
      <w:r>
        <w:t xml:space="preserve">2) </w:t>
      </w:r>
      <w:proofErr w:type="gramStart"/>
      <w:r>
        <w:rPr>
          <w:i/>
          <w:iCs/>
        </w:rPr>
        <w:t>What</w:t>
      </w:r>
      <w:proofErr w:type="gramEnd"/>
      <w:r>
        <w:rPr>
          <w:i/>
          <w:iCs/>
        </w:rPr>
        <w:t xml:space="preserve"> is early help? </w:t>
      </w:r>
      <w:proofErr w:type="gramStart"/>
      <w:r>
        <w:rPr>
          <w:i/>
          <w:iCs/>
        </w:rPr>
        <w:t>Concepts, policy directions and multi-agency perspectives</w:t>
      </w:r>
      <w:r>
        <w:t>.</w:t>
      </w:r>
      <w:proofErr w:type="gramEnd"/>
      <w:r>
        <w:t xml:space="preserve"> Available at: </w:t>
      </w:r>
      <w:hyperlink r:id="rId12">
        <w:r>
          <w:rPr>
            <w:color w:val="1155CC"/>
            <w:u w:val="single"/>
          </w:rPr>
          <w:t>https://assets.publishing.serv</w:t>
        </w:r>
        <w:r>
          <w:rPr>
            <w:color w:val="1155CC"/>
            <w:u w:val="single"/>
          </w:rPr>
          <w:t>ice.gov.uk/media/6203e0848fa8f5109c7f136e/Early_help_Research_in_Practice_2022.pdf</w:t>
        </w:r>
      </w:hyperlink>
      <w:r>
        <w:t xml:space="preserve">  (Accessed: 13 November 2025)</w:t>
      </w:r>
    </w:p>
    <w:p w:rsidR="000401DA" w:rsidRDefault="00C10A37">
      <w:pPr>
        <w:pStyle w:val="normal0"/>
        <w:rPr>
          <w:highlight w:val="white"/>
        </w:rPr>
      </w:pPr>
      <w:proofErr w:type="gramStart"/>
      <w:r>
        <w:rPr>
          <w:highlight w:val="white"/>
        </w:rPr>
        <w:t xml:space="preserve">HM Government (2023) </w:t>
      </w:r>
      <w:r>
        <w:rPr>
          <w:i/>
          <w:iCs/>
          <w:highlight w:val="white"/>
        </w:rPr>
        <w:t>Working Together to Safeguard Children 2023</w:t>
      </w:r>
      <w:r>
        <w:rPr>
          <w:highlight w:val="white"/>
        </w:rPr>
        <w:t>.</w:t>
      </w:r>
      <w:proofErr w:type="gramEnd"/>
      <w:r>
        <w:rPr>
          <w:highlight w:val="white"/>
        </w:rPr>
        <w:t xml:space="preserve"> Available at: </w:t>
      </w:r>
      <w:hyperlink r:id="rId13">
        <w:r>
          <w:rPr>
            <w:color w:val="1155CC"/>
            <w:highlight w:val="white"/>
            <w:u w:val="single"/>
          </w:rPr>
          <w:t>https://assets.publishing.service.gov.uk/media/6849a7b67cba25f610c7db3f/Working_together_to_safeguard_children_2023_-_statutory_guidance.pdf</w:t>
        </w:r>
      </w:hyperlink>
      <w:r>
        <w:rPr>
          <w:highlight w:val="white"/>
        </w:rPr>
        <w:t xml:space="preserve">  (Accessed: 13 Novem</w:t>
      </w:r>
      <w:r>
        <w:rPr>
          <w:highlight w:val="white"/>
        </w:rPr>
        <w:t>ber 2025)</w:t>
      </w:r>
    </w:p>
    <w:p w:rsidR="000401DA" w:rsidRDefault="00C10A37">
      <w:pPr>
        <w:pStyle w:val="normal0"/>
        <w:rPr>
          <w:highlight w:val="white"/>
        </w:rPr>
      </w:pPr>
      <w:proofErr w:type="spellStart"/>
      <w:r>
        <w:rPr>
          <w:highlight w:val="white"/>
        </w:rPr>
        <w:t>Kaelin</w:t>
      </w:r>
      <w:proofErr w:type="spellEnd"/>
      <w:r>
        <w:rPr>
          <w:highlight w:val="white"/>
        </w:rPr>
        <w:t xml:space="preserve">, V.C., </w:t>
      </w:r>
      <w:proofErr w:type="spellStart"/>
      <w:r>
        <w:rPr>
          <w:highlight w:val="white"/>
        </w:rPr>
        <w:t>Tewari</w:t>
      </w:r>
      <w:proofErr w:type="spellEnd"/>
      <w:r>
        <w:rPr>
          <w:highlight w:val="white"/>
        </w:rPr>
        <w:t xml:space="preserve">, M., </w:t>
      </w:r>
      <w:proofErr w:type="spellStart"/>
      <w:r>
        <w:rPr>
          <w:highlight w:val="white"/>
        </w:rPr>
        <w:t>Benouar</w:t>
      </w:r>
      <w:proofErr w:type="spellEnd"/>
      <w:r>
        <w:rPr>
          <w:highlight w:val="white"/>
        </w:rPr>
        <w:t xml:space="preserve">, S. and Lindgren, H. (2024) ‘Developing teamwork: transitioning between stages in human-agent collaboration’, </w:t>
      </w:r>
      <w:r>
        <w:rPr>
          <w:i/>
          <w:iCs/>
          <w:highlight w:val="white"/>
        </w:rPr>
        <w:t>Frontiers in Computer Science</w:t>
      </w:r>
      <w:r>
        <w:rPr>
          <w:highlight w:val="white"/>
        </w:rPr>
        <w:t>, 6, p. 1455903.</w:t>
      </w:r>
    </w:p>
    <w:p w:rsidR="000401DA" w:rsidRDefault="00C10A37">
      <w:pPr>
        <w:pStyle w:val="normal0"/>
        <w:rPr>
          <w:highlight w:val="white"/>
        </w:rPr>
      </w:pPr>
      <w:r>
        <w:rPr>
          <w:highlight w:val="white"/>
        </w:rPr>
        <w:t xml:space="preserve">Khan, S. and </w:t>
      </w:r>
      <w:proofErr w:type="spellStart"/>
      <w:r>
        <w:rPr>
          <w:highlight w:val="white"/>
        </w:rPr>
        <w:t>Dhurumraj</w:t>
      </w:r>
      <w:proofErr w:type="spellEnd"/>
      <w:r>
        <w:rPr>
          <w:highlight w:val="white"/>
        </w:rPr>
        <w:t xml:space="preserve">, T. (2023) ‘First-year students’ experience with engaging with curricular online at a private higher education institution during COVID-19’, </w:t>
      </w:r>
      <w:r>
        <w:rPr>
          <w:i/>
          <w:iCs/>
          <w:highlight w:val="white"/>
        </w:rPr>
        <w:t>International Journal of Research in Business and Social Science (2147-4478)</w:t>
      </w:r>
      <w:r>
        <w:rPr>
          <w:highlight w:val="white"/>
        </w:rPr>
        <w:t>, 12(6), pp. 267</w:t>
      </w:r>
      <w:r>
        <w:rPr>
          <w:highlight w:val="white"/>
        </w:rPr>
        <w:t>-274.</w:t>
      </w:r>
    </w:p>
    <w:p w:rsidR="000401DA" w:rsidRDefault="00C10A37">
      <w:pPr>
        <w:pStyle w:val="normal0"/>
        <w:rPr>
          <w:highlight w:val="white"/>
        </w:rPr>
      </w:pPr>
      <w:r>
        <w:rPr>
          <w:highlight w:val="white"/>
        </w:rPr>
        <w:t xml:space="preserve">Leicestershire (2024) </w:t>
      </w:r>
      <w:r>
        <w:rPr>
          <w:i/>
          <w:iCs/>
          <w:highlight w:val="white"/>
        </w:rPr>
        <w:t>Leicestershire County Council | Serving the people of Leicestershire</w:t>
      </w:r>
      <w:r>
        <w:rPr>
          <w:highlight w:val="white"/>
        </w:rPr>
        <w:t xml:space="preserve">. Available at: </w:t>
      </w:r>
      <w:hyperlink r:id="rId14">
        <w:r>
          <w:rPr>
            <w:color w:val="1155CC"/>
            <w:highlight w:val="white"/>
            <w:u w:val="single"/>
          </w:rPr>
          <w:t>https://www.leicestershire.gov.uk/</w:t>
        </w:r>
      </w:hyperlink>
      <w:r>
        <w:rPr>
          <w:highlight w:val="white"/>
        </w:rPr>
        <w:t xml:space="preserve">  (Accessed: 13 November 2025)</w:t>
      </w:r>
    </w:p>
    <w:p w:rsidR="000401DA" w:rsidRDefault="00C10A37">
      <w:pPr>
        <w:pStyle w:val="normal0"/>
        <w:rPr>
          <w:highlight w:val="white"/>
        </w:rPr>
      </w:pPr>
      <w:proofErr w:type="gramStart"/>
      <w:r>
        <w:rPr>
          <w:highlight w:val="white"/>
        </w:rPr>
        <w:t xml:space="preserve">Leicestershire (2025) </w:t>
      </w:r>
      <w:r>
        <w:rPr>
          <w:i/>
          <w:iCs/>
          <w:highlight w:val="white"/>
        </w:rPr>
        <w:t>Early</w:t>
      </w:r>
      <w:r>
        <w:rPr>
          <w:i/>
          <w:iCs/>
          <w:highlight w:val="white"/>
        </w:rPr>
        <w:t xml:space="preserve"> Help | Leicestershire County Council Professional Services Portal</w:t>
      </w:r>
      <w:r>
        <w:rPr>
          <w:highlight w:val="white"/>
        </w:rPr>
        <w:t>.</w:t>
      </w:r>
      <w:proofErr w:type="gramEnd"/>
      <w:r>
        <w:rPr>
          <w:highlight w:val="white"/>
        </w:rPr>
        <w:t xml:space="preserve"> Available at: </w:t>
      </w:r>
      <w:hyperlink r:id="rId15">
        <w:r>
          <w:rPr>
            <w:color w:val="1155CC"/>
            <w:highlight w:val="white"/>
            <w:u w:val="single"/>
          </w:rPr>
          <w:t>https://resources.leicestershire.gov.uk/education</w:t>
        </w:r>
        <w:r>
          <w:rPr>
            <w:color w:val="1155CC"/>
            <w:highlight w:val="white"/>
            <w:u w:val="single"/>
          </w:rPr>
          <w:t>-and-children/child-protection-and-safeguarding/early-help</w:t>
        </w:r>
      </w:hyperlink>
      <w:r>
        <w:rPr>
          <w:highlight w:val="white"/>
        </w:rPr>
        <w:t xml:space="preserve">  (Accessed: 13 November 2025)</w:t>
      </w:r>
    </w:p>
    <w:p w:rsidR="000401DA" w:rsidRDefault="00C10A37">
      <w:pPr>
        <w:pStyle w:val="normal0"/>
        <w:rPr>
          <w:highlight w:val="white"/>
        </w:rPr>
      </w:pPr>
      <w:proofErr w:type="gramStart"/>
      <w:r>
        <w:rPr>
          <w:highlight w:val="white"/>
        </w:rPr>
        <w:t xml:space="preserve">Leicestershire (2025) </w:t>
      </w:r>
      <w:r>
        <w:rPr>
          <w:i/>
          <w:iCs/>
          <w:highlight w:val="white"/>
        </w:rPr>
        <w:t>Multi-Agency Referral Form for Early Help and Social Care services (MARF) | Leicestershire County Council Professional Services Portal</w:t>
      </w:r>
      <w:r>
        <w:rPr>
          <w:highlight w:val="white"/>
        </w:rPr>
        <w:t>.</w:t>
      </w:r>
      <w:proofErr w:type="gramEnd"/>
      <w:r>
        <w:rPr>
          <w:highlight w:val="white"/>
        </w:rPr>
        <w:t xml:space="preserve"> Available</w:t>
      </w:r>
      <w:r>
        <w:rPr>
          <w:highlight w:val="white"/>
        </w:rPr>
        <w:t xml:space="preserve"> at: </w:t>
      </w:r>
      <w:hyperlink r:id="rId16">
        <w:r>
          <w:rPr>
            <w:color w:val="1155CC"/>
            <w:highlight w:val="white"/>
            <w:u w:val="single"/>
          </w:rPr>
          <w:t>https://resources.leicestershire.gov.uk/education-and-children/ch</w:t>
        </w:r>
        <w:r>
          <w:rPr>
            <w:color w:val="1155CC"/>
            <w:highlight w:val="white"/>
            <w:u w:val="single"/>
          </w:rPr>
          <w:t>ild-protection-and-safeguarding/multi-agency-referral-form-for-early-help-and-social-care-services-marf</w:t>
        </w:r>
      </w:hyperlink>
      <w:r>
        <w:rPr>
          <w:highlight w:val="white"/>
        </w:rPr>
        <w:t xml:space="preserve">  (Accessed: 13 November 2025)</w:t>
      </w:r>
    </w:p>
    <w:p w:rsidR="000401DA" w:rsidRDefault="00C10A37">
      <w:pPr>
        <w:pStyle w:val="normal0"/>
        <w:rPr>
          <w:highlight w:val="white"/>
        </w:rPr>
      </w:pPr>
      <w:proofErr w:type="spellStart"/>
      <w:r>
        <w:rPr>
          <w:highlight w:val="white"/>
        </w:rPr>
        <w:t>MacAlister</w:t>
      </w:r>
      <w:proofErr w:type="spellEnd"/>
      <w:r>
        <w:rPr>
          <w:highlight w:val="white"/>
        </w:rPr>
        <w:t xml:space="preserve">, J. (2022) ‘The independent review of children’s social care’, </w:t>
      </w:r>
      <w:r>
        <w:rPr>
          <w:i/>
          <w:iCs/>
          <w:highlight w:val="white"/>
        </w:rPr>
        <w:t>UK: UK Government</w:t>
      </w:r>
      <w:r>
        <w:rPr>
          <w:highlight w:val="white"/>
        </w:rPr>
        <w:t>.</w:t>
      </w:r>
    </w:p>
    <w:p w:rsidR="000401DA" w:rsidRDefault="00C10A37">
      <w:pPr>
        <w:pStyle w:val="normal0"/>
        <w:rPr>
          <w:highlight w:val="white"/>
        </w:rPr>
      </w:pPr>
      <w:proofErr w:type="gramStart"/>
      <w:r>
        <w:rPr>
          <w:highlight w:val="white"/>
        </w:rPr>
        <w:lastRenderedPageBreak/>
        <w:t>Norfolk County Council (2024)</w:t>
      </w:r>
      <w:r>
        <w:rPr>
          <w:highlight w:val="white"/>
        </w:rPr>
        <w:t xml:space="preserve"> </w:t>
      </w:r>
      <w:r>
        <w:rPr>
          <w:i/>
          <w:iCs/>
          <w:highlight w:val="white"/>
        </w:rPr>
        <w:t>Home - Norfolk County Council</w:t>
      </w:r>
      <w:r>
        <w:rPr>
          <w:highlight w:val="white"/>
        </w:rPr>
        <w:t>.</w:t>
      </w:r>
      <w:proofErr w:type="gramEnd"/>
      <w:r>
        <w:rPr>
          <w:highlight w:val="white"/>
        </w:rPr>
        <w:t xml:space="preserve"> Available at: </w:t>
      </w:r>
      <w:hyperlink r:id="rId17">
        <w:r>
          <w:rPr>
            <w:color w:val="1155CC"/>
            <w:highlight w:val="white"/>
            <w:u w:val="single"/>
          </w:rPr>
          <w:t>https://www.norfolk.gov.uk/</w:t>
        </w:r>
      </w:hyperlink>
      <w:r>
        <w:rPr>
          <w:highlight w:val="white"/>
        </w:rPr>
        <w:t xml:space="preserve">  (Accessed: 13 November 2025)</w:t>
      </w:r>
    </w:p>
    <w:p w:rsidR="000401DA" w:rsidRDefault="00C10A37">
      <w:pPr>
        <w:pStyle w:val="normal0"/>
        <w:rPr>
          <w:highlight w:val="white"/>
        </w:rPr>
      </w:pPr>
      <w:r>
        <w:rPr>
          <w:highlight w:val="white"/>
        </w:rPr>
        <w:t xml:space="preserve">Norfolk County Council (2025) </w:t>
      </w:r>
      <w:proofErr w:type="gramStart"/>
      <w:r>
        <w:rPr>
          <w:i/>
          <w:iCs/>
          <w:highlight w:val="white"/>
        </w:rPr>
        <w:t>Early</w:t>
      </w:r>
      <w:proofErr w:type="gramEnd"/>
      <w:r>
        <w:rPr>
          <w:i/>
          <w:iCs/>
          <w:highlight w:val="white"/>
        </w:rPr>
        <w:t xml:space="preserve"> help for children and families</w:t>
      </w:r>
      <w:r>
        <w:rPr>
          <w:highlight w:val="white"/>
        </w:rPr>
        <w:t xml:space="preserve">.  Available at: </w:t>
      </w:r>
      <w:hyperlink r:id="rId18">
        <w:r>
          <w:rPr>
            <w:color w:val="1155CC"/>
            <w:highlight w:val="white"/>
            <w:u w:val="single"/>
          </w:rPr>
          <w:t>https://www.norfolk.gov.uk/article/40407/Early-help-for-children-and-families</w:t>
        </w:r>
      </w:hyperlink>
      <w:r>
        <w:rPr>
          <w:highlight w:val="white"/>
        </w:rPr>
        <w:t xml:space="preserve">  (Accessed: 13 November 2025)</w:t>
      </w:r>
    </w:p>
    <w:p w:rsidR="000401DA" w:rsidRDefault="00C10A37">
      <w:pPr>
        <w:pStyle w:val="normal0"/>
        <w:rPr>
          <w:highlight w:val="white"/>
        </w:rPr>
      </w:pPr>
      <w:r>
        <w:rPr>
          <w:highlight w:val="white"/>
        </w:rPr>
        <w:t xml:space="preserve">Shah-Nelson, C., </w:t>
      </w:r>
      <w:proofErr w:type="spellStart"/>
      <w:r>
        <w:rPr>
          <w:highlight w:val="white"/>
        </w:rPr>
        <w:t>Blaney</w:t>
      </w:r>
      <w:proofErr w:type="spellEnd"/>
      <w:r>
        <w:rPr>
          <w:highlight w:val="white"/>
        </w:rPr>
        <w:t xml:space="preserve">, J.R. and Johnson, H.A. (2020) ‘How HRM and knowledge sharing technologies foster virtual team productivity for globally dispersed workforces: A systematic review’, </w:t>
      </w:r>
      <w:r>
        <w:rPr>
          <w:i/>
          <w:iCs/>
          <w:highlight w:val="white"/>
        </w:rPr>
        <w:t>Journal of HRM</w:t>
      </w:r>
      <w:r>
        <w:rPr>
          <w:highlight w:val="white"/>
        </w:rPr>
        <w:t>, 23(2).</w:t>
      </w:r>
    </w:p>
    <w:p w:rsidR="000401DA" w:rsidRDefault="00C10A37">
      <w:pPr>
        <w:pStyle w:val="normal0"/>
        <w:rPr>
          <w:highlight w:val="white"/>
        </w:rPr>
      </w:pPr>
      <w:r>
        <w:rPr>
          <w:highlight w:val="white"/>
        </w:rPr>
        <w:t xml:space="preserve">Southwark Council (2024) </w:t>
      </w:r>
      <w:proofErr w:type="gramStart"/>
      <w:r>
        <w:rPr>
          <w:i/>
          <w:iCs/>
          <w:highlight w:val="white"/>
        </w:rPr>
        <w:t>About</w:t>
      </w:r>
      <w:proofErr w:type="gramEnd"/>
      <w:r>
        <w:rPr>
          <w:i/>
          <w:iCs/>
          <w:highlight w:val="white"/>
        </w:rPr>
        <w:t xml:space="preserve"> early help | </w:t>
      </w:r>
      <w:r>
        <w:rPr>
          <w:i/>
          <w:iCs/>
          <w:highlight w:val="white"/>
        </w:rPr>
        <w:t>Southwark Council</w:t>
      </w:r>
      <w:r>
        <w:rPr>
          <w:highlight w:val="white"/>
        </w:rPr>
        <w:t xml:space="preserve">. Available at: </w:t>
      </w:r>
      <w:hyperlink r:id="rId19">
        <w:r>
          <w:rPr>
            <w:color w:val="1155CC"/>
            <w:highlight w:val="white"/>
            <w:u w:val="single"/>
          </w:rPr>
          <w:t>https://www.southwark.gov.uk/children-and-families/childrens-social-care/early-help/about-early-help</w:t>
        </w:r>
      </w:hyperlink>
      <w:r>
        <w:rPr>
          <w:highlight w:val="white"/>
        </w:rPr>
        <w:t xml:space="preserve">  (Ac</w:t>
      </w:r>
      <w:r>
        <w:rPr>
          <w:highlight w:val="white"/>
        </w:rPr>
        <w:t>cessed: 13 November 2025)</w:t>
      </w:r>
    </w:p>
    <w:p w:rsidR="000401DA" w:rsidRDefault="00C10A37">
      <w:pPr>
        <w:pStyle w:val="normal0"/>
        <w:rPr>
          <w:highlight w:val="white"/>
        </w:rPr>
      </w:pPr>
      <w:r>
        <w:rPr>
          <w:highlight w:val="white"/>
        </w:rPr>
        <w:t xml:space="preserve">Southwark Council (2024) </w:t>
      </w:r>
      <w:proofErr w:type="gramStart"/>
      <w:r>
        <w:rPr>
          <w:i/>
          <w:iCs/>
          <w:highlight w:val="white"/>
        </w:rPr>
        <w:t>Our</w:t>
      </w:r>
      <w:proofErr w:type="gramEnd"/>
      <w:r>
        <w:rPr>
          <w:i/>
          <w:iCs/>
          <w:highlight w:val="white"/>
        </w:rPr>
        <w:t xml:space="preserve"> digital strategy | Southwark Council</w:t>
      </w:r>
      <w:r>
        <w:rPr>
          <w:highlight w:val="white"/>
        </w:rPr>
        <w:t xml:space="preserve">. Available at: </w:t>
      </w:r>
      <w:hyperlink r:id="rId20">
        <w:r>
          <w:rPr>
            <w:color w:val="1155CC"/>
            <w:highlight w:val="white"/>
            <w:u w:val="single"/>
          </w:rPr>
          <w:t>https://www.southwar</w:t>
        </w:r>
        <w:r>
          <w:rPr>
            <w:color w:val="1155CC"/>
            <w:highlight w:val="white"/>
            <w:u w:val="single"/>
          </w:rPr>
          <w:t>k.gov.uk/about-council/how-council-works/policies-plans-and-strategies/our-digital-strategy</w:t>
        </w:r>
      </w:hyperlink>
      <w:r>
        <w:rPr>
          <w:highlight w:val="white"/>
        </w:rPr>
        <w:t xml:space="preserve">  (Accessed: 13 November 2025)</w:t>
      </w:r>
    </w:p>
    <w:p w:rsidR="000401DA" w:rsidRDefault="00C10A37">
      <w:pPr>
        <w:pStyle w:val="normal0"/>
        <w:rPr>
          <w:highlight w:val="white"/>
        </w:rPr>
      </w:pPr>
      <w:proofErr w:type="gramStart"/>
      <w:r>
        <w:rPr>
          <w:highlight w:val="white"/>
        </w:rPr>
        <w:t xml:space="preserve">Southwark Council (2025) </w:t>
      </w:r>
      <w:r>
        <w:rPr>
          <w:i/>
          <w:iCs/>
          <w:highlight w:val="white"/>
        </w:rPr>
        <w:t>Hello, welcome to Southwark</w:t>
      </w:r>
      <w:r>
        <w:rPr>
          <w:highlight w:val="white"/>
        </w:rPr>
        <w:t>.</w:t>
      </w:r>
      <w:proofErr w:type="gramEnd"/>
      <w:r>
        <w:rPr>
          <w:highlight w:val="white"/>
        </w:rPr>
        <w:t xml:space="preserve"> Available at: </w:t>
      </w:r>
      <w:hyperlink r:id="rId21">
        <w:r>
          <w:rPr>
            <w:color w:val="1155CC"/>
            <w:highlight w:val="white"/>
            <w:u w:val="single"/>
          </w:rPr>
          <w:t>https://www.southwa</w:t>
        </w:r>
        <w:r>
          <w:rPr>
            <w:color w:val="1155CC"/>
            <w:highlight w:val="white"/>
            <w:u w:val="single"/>
          </w:rPr>
          <w:t>rk.gov.uk/</w:t>
        </w:r>
      </w:hyperlink>
      <w:r>
        <w:rPr>
          <w:highlight w:val="white"/>
        </w:rPr>
        <w:t xml:space="preserve">  (Accessed: 13 November 2025)</w:t>
      </w:r>
    </w:p>
    <w:p w:rsidR="000401DA" w:rsidRDefault="00C10A37">
      <w:pPr>
        <w:pStyle w:val="normal0"/>
        <w:rPr>
          <w:highlight w:val="white"/>
        </w:rPr>
      </w:pPr>
      <w:r>
        <w:rPr>
          <w:highlight w:val="white"/>
        </w:rPr>
        <w:t xml:space="preserve">Wyckoff, M.H., Singletary, E.M., Soar, J., </w:t>
      </w:r>
      <w:proofErr w:type="spellStart"/>
      <w:r>
        <w:rPr>
          <w:highlight w:val="white"/>
        </w:rPr>
        <w:t>Olasveengen</w:t>
      </w:r>
      <w:proofErr w:type="spellEnd"/>
      <w:r>
        <w:rPr>
          <w:highlight w:val="white"/>
        </w:rPr>
        <w:t xml:space="preserve">, T.M., Greif, R., </w:t>
      </w:r>
      <w:proofErr w:type="spellStart"/>
      <w:r>
        <w:rPr>
          <w:highlight w:val="white"/>
        </w:rPr>
        <w:t>Liley</w:t>
      </w:r>
      <w:proofErr w:type="spellEnd"/>
      <w:r>
        <w:rPr>
          <w:highlight w:val="white"/>
        </w:rPr>
        <w:t xml:space="preserve">, H.G., </w:t>
      </w:r>
      <w:proofErr w:type="spellStart"/>
      <w:r>
        <w:rPr>
          <w:highlight w:val="white"/>
        </w:rPr>
        <w:t>Zideman</w:t>
      </w:r>
      <w:proofErr w:type="spellEnd"/>
      <w:r>
        <w:rPr>
          <w:highlight w:val="white"/>
        </w:rPr>
        <w:t xml:space="preserve">, D., </w:t>
      </w:r>
      <w:proofErr w:type="spellStart"/>
      <w:r>
        <w:rPr>
          <w:highlight w:val="white"/>
        </w:rPr>
        <w:t>Bhanji</w:t>
      </w:r>
      <w:proofErr w:type="spellEnd"/>
      <w:r>
        <w:rPr>
          <w:highlight w:val="white"/>
        </w:rPr>
        <w:t>, F., Andersen, L.W., Avis, S.R. and Aziz, K. (2022) ‘2021 international consensus on cardiopulmonary resuscit</w:t>
      </w:r>
      <w:r>
        <w:rPr>
          <w:highlight w:val="white"/>
        </w:rPr>
        <w:t>ation and emergency cardiovascular care science with treatment recommendations: summary from the basic life support; advanced life support; neonatal life support; education, implementation, and teams; first aid task forces; and the COVID-19 working group’,</w:t>
      </w:r>
      <w:r>
        <w:rPr>
          <w:highlight w:val="white"/>
        </w:rPr>
        <w:t xml:space="preserve"> </w:t>
      </w:r>
      <w:r>
        <w:rPr>
          <w:i/>
          <w:iCs/>
          <w:highlight w:val="white"/>
        </w:rPr>
        <w:t>Circulation</w:t>
      </w:r>
      <w:r>
        <w:rPr>
          <w:highlight w:val="white"/>
        </w:rPr>
        <w:t>, 145(9), pp. e645-e721.</w:t>
      </w:r>
    </w:p>
    <w:p w:rsidR="000401DA" w:rsidRDefault="000401DA">
      <w:pPr>
        <w:pStyle w:val="normal0"/>
      </w:pPr>
    </w:p>
    <w:p w:rsidR="000401DA" w:rsidRDefault="000401DA">
      <w:pPr>
        <w:pStyle w:val="normal0"/>
      </w:pPr>
    </w:p>
    <w:sectPr w:rsidR="000401DA" w:rsidSect="000401DA">
      <w:footerReference w:type="default" r:id="rId22"/>
      <w:pgSz w:w="11909" w:h="16834"/>
      <w:pgMar w:top="1440" w:right="1440" w:bottom="1440" w:left="1440" w:header="720" w:footer="720" w:gutter="0"/>
      <w:pgNumType w:start="1"/>
      <w:cols w:space="720"/>
      <w:titlePg/>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C10A37" w:rsidRDefault="00C10A37" w:rsidP="000401DA">
      <w:pPr>
        <w:spacing w:before="0" w:after="0" w:line="240" w:lineRule="auto"/>
      </w:pPr>
      <w:r>
        <w:separator/>
      </w:r>
    </w:p>
  </w:endnote>
  <w:endnote w:type="continuationSeparator" w:id="0">
    <w:p w:rsidR="00C10A37" w:rsidRDefault="00C10A37" w:rsidP="000401DA">
      <w:pPr>
        <w:spacing w:before="0"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C4DF6D62-938B-46E5-980D-30924C43310A}"/>
  </w:font>
  <w:font w:name="Tahoma">
    <w:panose1 w:val="020B0604030504040204"/>
    <w:charset w:val="00"/>
    <w:family w:val="swiss"/>
    <w:pitch w:val="variable"/>
    <w:sig w:usb0="E1002EFF" w:usb1="C000605B" w:usb2="00000029" w:usb3="00000000" w:csb0="000101FF" w:csb1="00000000"/>
    <w:embedRegular r:id="rId2" w:fontKey="{C6FF7365-6729-4D71-9AFA-7DE7F6653AE0}"/>
  </w:font>
  <w:font w:name="Cambria">
    <w:panose1 w:val="02040503050406030204"/>
    <w:charset w:val="00"/>
    <w:family w:val="roman"/>
    <w:pitch w:val="variable"/>
    <w:sig w:usb0="E00006FF" w:usb1="420024FF" w:usb2="02000000" w:usb3="00000000" w:csb0="0000019F" w:csb1="00000000"/>
    <w:embedRegular r:id="rId3" w:fontKey="{482FCA6E-3AC8-4A97-BBBB-C6D4B775B47D}"/>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0401DA" w:rsidRDefault="000401DA">
    <w:pPr>
      <w:pStyle w:val="normal0"/>
      <w:pBdr>
        <w:top w:val="nil"/>
        <w:left w:val="nil"/>
        <w:bottom w:val="nil"/>
        <w:right w:val="nil"/>
        <w:between w:val="nil"/>
      </w:pBdr>
      <w:tabs>
        <w:tab w:val="center" w:pos="4513"/>
        <w:tab w:val="right" w:pos="9026"/>
      </w:tabs>
      <w:spacing w:before="0" w:after="0" w:line="240" w:lineRule="auto"/>
      <w:jc w:val="right"/>
      <w:rPr>
        <w:color w:val="000000"/>
      </w:rPr>
    </w:pPr>
    <w:r>
      <w:rPr>
        <w:color w:val="000000"/>
      </w:rPr>
      <w:fldChar w:fldCharType="begin"/>
    </w:r>
    <w:r w:rsidR="00C10A37">
      <w:rPr>
        <w:color w:val="000000"/>
      </w:rPr>
      <w:instrText>PAGE</w:instrText>
    </w:r>
    <w:r w:rsidR="000868FD">
      <w:rPr>
        <w:color w:val="000000"/>
      </w:rPr>
      <w:fldChar w:fldCharType="separate"/>
    </w:r>
    <w:r w:rsidR="000868FD">
      <w:rPr>
        <w:noProof/>
        <w:color w:val="000000"/>
      </w:rPr>
      <w:t>2</w:t>
    </w:r>
    <w:r>
      <w:rPr>
        <w:color w:val="000000"/>
      </w:rPr>
      <w:fldChar w:fldCharType="end"/>
    </w:r>
  </w:p>
  <w:p w:rsidR="000401DA" w:rsidRDefault="000401DA">
    <w:pPr>
      <w:pStyle w:val="normal0"/>
      <w:pBdr>
        <w:top w:val="nil"/>
        <w:left w:val="nil"/>
        <w:bottom w:val="nil"/>
        <w:right w:val="nil"/>
        <w:between w:val="nil"/>
      </w:pBdr>
      <w:tabs>
        <w:tab w:val="center" w:pos="4513"/>
        <w:tab w:val="right" w:pos="9026"/>
      </w:tabs>
      <w:spacing w:before="0" w:after="0" w:line="240" w:lineRule="auto"/>
      <w:rPr>
        <w:color w:val="000000"/>
      </w:rP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C10A37" w:rsidRDefault="00C10A37" w:rsidP="000401DA">
      <w:pPr>
        <w:spacing w:before="0" w:after="0" w:line="240" w:lineRule="auto"/>
      </w:pPr>
      <w:r>
        <w:separator/>
      </w:r>
    </w:p>
  </w:footnote>
  <w:footnote w:type="continuationSeparator" w:id="0">
    <w:p w:rsidR="00C10A37" w:rsidRDefault="00C10A37" w:rsidP="000401DA">
      <w:pPr>
        <w:spacing w:before="0" w:after="0" w:line="240" w:lineRule="auto"/>
      </w:pPr>
      <w:r>
        <w:continuationSeparator/>
      </w:r>
    </w:p>
  </w:footnote>
</w:footnote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10"/>
  <w:embedTrueTypeFonts/>
  <w:proofState w:spelling="clean" w:grammar="clean"/>
  <w:defaultTabStop w:val="720"/>
  <w:characterSpacingControl w:val="doNotCompress"/>
  <w:footnotePr>
    <w:footnote w:id="-1"/>
    <w:footnote w:id="0"/>
  </w:footnotePr>
  <w:endnotePr>
    <w:endnote w:id="-1"/>
    <w:endnote w:id="0"/>
  </w:endnotePr>
  <w:compat/>
  <w:rsids>
    <w:rsidRoot w:val="000401DA"/>
    <w:rsid w:val="000401DA"/>
    <w:rsid w:val="000868FD"/>
    <w:rsid w:val="00C10A37"/>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Arial" w:eastAsia="Arial" w:hAnsi="Arial" w:cs="Arial"/>
        <w:sz w:val="22"/>
        <w:szCs w:val="22"/>
        <w:lang w:val="en-GB" w:eastAsia="en-GB" w:bidi="ar-SA"/>
      </w:rPr>
    </w:rPrDefault>
    <w:pPrDefault>
      <w:pPr>
        <w:spacing w:before="200" w:after="200" w:line="360" w:lineRule="auto"/>
        <w:jc w:val="both"/>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0"/>
    <w:next w:val="normal0"/>
    <w:rsid w:val="000401DA"/>
    <w:pPr>
      <w:keepNext/>
      <w:keepLines/>
      <w:outlineLvl w:val="0"/>
    </w:pPr>
    <w:rPr>
      <w:b/>
      <w:bCs/>
      <w:sz w:val="28"/>
      <w:szCs w:val="28"/>
    </w:rPr>
  </w:style>
  <w:style w:type="paragraph" w:styleId="Heading2">
    <w:name w:val="heading 2"/>
    <w:basedOn w:val="normal0"/>
    <w:next w:val="normal0"/>
    <w:rsid w:val="000401DA"/>
    <w:pPr>
      <w:keepNext/>
      <w:keepLines/>
      <w:spacing w:before="360" w:after="120"/>
      <w:outlineLvl w:val="1"/>
    </w:pPr>
    <w:rPr>
      <w:sz w:val="32"/>
      <w:szCs w:val="32"/>
    </w:rPr>
  </w:style>
  <w:style w:type="paragraph" w:styleId="Heading3">
    <w:name w:val="heading 3"/>
    <w:basedOn w:val="normal0"/>
    <w:next w:val="normal0"/>
    <w:rsid w:val="000401DA"/>
    <w:pPr>
      <w:keepNext/>
      <w:keepLines/>
      <w:spacing w:before="320" w:after="80"/>
      <w:outlineLvl w:val="2"/>
    </w:pPr>
    <w:rPr>
      <w:color w:val="434343"/>
      <w:sz w:val="28"/>
      <w:szCs w:val="28"/>
    </w:rPr>
  </w:style>
  <w:style w:type="paragraph" w:styleId="Heading4">
    <w:name w:val="heading 4"/>
    <w:basedOn w:val="normal0"/>
    <w:next w:val="normal0"/>
    <w:rsid w:val="000401DA"/>
    <w:pPr>
      <w:keepNext/>
      <w:keepLines/>
      <w:spacing w:before="280" w:after="80"/>
      <w:outlineLvl w:val="3"/>
    </w:pPr>
    <w:rPr>
      <w:color w:val="666666"/>
      <w:sz w:val="24"/>
      <w:szCs w:val="24"/>
    </w:rPr>
  </w:style>
  <w:style w:type="paragraph" w:styleId="Heading5">
    <w:name w:val="heading 5"/>
    <w:basedOn w:val="normal0"/>
    <w:next w:val="normal0"/>
    <w:rsid w:val="000401DA"/>
    <w:pPr>
      <w:keepNext/>
      <w:keepLines/>
      <w:spacing w:before="240" w:after="80"/>
      <w:outlineLvl w:val="4"/>
    </w:pPr>
    <w:rPr>
      <w:color w:val="666666"/>
    </w:rPr>
  </w:style>
  <w:style w:type="paragraph" w:styleId="Heading6">
    <w:name w:val="heading 6"/>
    <w:basedOn w:val="normal0"/>
    <w:next w:val="normal0"/>
    <w:rsid w:val="000401DA"/>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rsid w:val="000401DA"/>
    <w:tblPr>
      <w:tblCellMar>
        <w:top w:w="100" w:type="dxa"/>
        <w:left w:w="100" w:type="dxa"/>
        <w:bottom w:w="100" w:type="dxa"/>
        <w:right w:w="100" w:type="dxa"/>
      </w:tblCellMar>
    </w:tblPr>
  </w:style>
  <w:style w:type="paragraph" w:customStyle="1" w:styleId="normal0">
    <w:name w:val="normal"/>
    <w:rsid w:val="000401DA"/>
  </w:style>
  <w:style w:type="paragraph" w:styleId="Title">
    <w:name w:val="Title"/>
    <w:basedOn w:val="normal0"/>
    <w:next w:val="normal0"/>
    <w:rsid w:val="000401DA"/>
    <w:pPr>
      <w:keepNext/>
      <w:keepLines/>
      <w:spacing w:before="0" w:after="60"/>
    </w:pPr>
    <w:rPr>
      <w:sz w:val="52"/>
      <w:szCs w:val="52"/>
    </w:rPr>
  </w:style>
  <w:style w:type="table" w:customStyle="1" w:styleId="TableNormal1">
    <w:name w:val="TableNormal"/>
    <w:rsid w:val="000401DA"/>
    <w:tblPr>
      <w:tblCellMar>
        <w:top w:w="100" w:type="dxa"/>
        <w:left w:w="100" w:type="dxa"/>
        <w:bottom w:w="100" w:type="dxa"/>
        <w:right w:w="100" w:type="dxa"/>
      </w:tblCellMar>
    </w:tblPr>
  </w:style>
  <w:style w:type="paragraph" w:styleId="TOCHeading">
    <w:name w:val="TOC Heading"/>
    <w:basedOn w:val="Heading1"/>
    <w:next w:val="normal0"/>
    <w:uiPriority w:val="39"/>
    <w:unhideWhenUsed/>
    <w:qFormat/>
    <w:rsid w:val="00DE0B96"/>
    <w:pPr>
      <w:spacing w:before="240" w:after="0" w:line="259" w:lineRule="auto"/>
      <w:jc w:val="left"/>
      <w:outlineLvl w:val="9"/>
    </w:pPr>
    <w:rPr>
      <w:rFonts w:asciiTheme="majorHAnsi" w:eastAsiaTheme="majorEastAsia" w:hAnsiTheme="majorHAnsi" w:cstheme="majorBidi"/>
      <w:b w:val="0"/>
      <w:bCs w:val="0"/>
      <w:color w:val="365F91" w:themeColor="accent1" w:themeShade="BF"/>
      <w:sz w:val="32"/>
      <w:szCs w:val="32"/>
      <w:lang w:val="en-US" w:eastAsia="en-US"/>
    </w:rPr>
  </w:style>
  <w:style w:type="paragraph" w:styleId="TOC1">
    <w:name w:val="toc 1"/>
    <w:basedOn w:val="normal0"/>
    <w:next w:val="normal0"/>
    <w:autoRedefine/>
    <w:uiPriority w:val="39"/>
    <w:unhideWhenUsed/>
    <w:rsid w:val="00DE0B96"/>
    <w:pPr>
      <w:spacing w:after="100"/>
    </w:pPr>
  </w:style>
  <w:style w:type="character" w:styleId="Hyperlink">
    <w:name w:val="Hyperlink"/>
    <w:basedOn w:val="DefaultParagraphFont"/>
    <w:uiPriority w:val="99"/>
    <w:unhideWhenUsed/>
    <w:rsid w:val="00DE0B96"/>
    <w:rPr>
      <w:color w:val="0000FF" w:themeColor="hyperlink"/>
      <w:u w:val="single"/>
    </w:rPr>
  </w:style>
  <w:style w:type="paragraph" w:styleId="Header">
    <w:name w:val="header"/>
    <w:basedOn w:val="normal0"/>
    <w:link w:val="HeaderChar"/>
    <w:uiPriority w:val="99"/>
    <w:unhideWhenUsed/>
    <w:rsid w:val="00DE0B96"/>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DE0B96"/>
  </w:style>
  <w:style w:type="paragraph" w:styleId="Footer">
    <w:name w:val="footer"/>
    <w:basedOn w:val="normal0"/>
    <w:link w:val="FooterChar"/>
    <w:uiPriority w:val="99"/>
    <w:unhideWhenUsed/>
    <w:rsid w:val="00DE0B96"/>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DE0B96"/>
  </w:style>
  <w:style w:type="paragraph" w:styleId="Subtitle">
    <w:name w:val="Subtitle"/>
    <w:basedOn w:val="normal0"/>
    <w:next w:val="normal0"/>
    <w:rsid w:val="000401DA"/>
    <w:pPr>
      <w:keepNext/>
      <w:keepLines/>
      <w:spacing w:before="0" w:after="320"/>
    </w:pPr>
    <w:rPr>
      <w:color w:val="666666"/>
      <w:sz w:val="30"/>
      <w:szCs w:val="30"/>
    </w:rPr>
  </w:style>
  <w:style w:type="paragraph" w:styleId="BalloonText">
    <w:name w:val="Balloon Text"/>
    <w:basedOn w:val="Normal"/>
    <w:link w:val="BalloonTextChar"/>
    <w:uiPriority w:val="99"/>
    <w:semiHidden/>
    <w:unhideWhenUsed/>
    <w:rsid w:val="000868FD"/>
    <w:pPr>
      <w:spacing w:before="0"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868FD"/>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assets.publishing.service.gov.uk/media/6849a7b67cba25f610c7db3f/Working_together_to_safeguard_children_2023_-_statutory_guidance.pdf" TargetMode="External"/><Relationship Id="rId18" Type="http://schemas.openxmlformats.org/officeDocument/2006/relationships/hyperlink" Target="https://www.norfolk.gov.uk/article/40407/Early-help-for-children-and-families" TargetMode="External"/><Relationship Id="rId3" Type="http://schemas.openxmlformats.org/officeDocument/2006/relationships/settings" Target="settings.xml"/><Relationship Id="rId21" Type="http://schemas.openxmlformats.org/officeDocument/2006/relationships/hyperlink" Target="https://www.southwark.gov.uk/" TargetMode="External"/><Relationship Id="rId7" Type="http://schemas.openxmlformats.org/officeDocument/2006/relationships/image" Target="media/image1.png"/><Relationship Id="rId12" Type="http://schemas.openxmlformats.org/officeDocument/2006/relationships/hyperlink" Target="https://assets.publishing.service.gov.uk/media/6203e0848fa8f5109c7f136e/Early_help_Research_in_Practice_2022.pdf" TargetMode="External"/><Relationship Id="rId17" Type="http://schemas.openxmlformats.org/officeDocument/2006/relationships/hyperlink" Target="https://www.norfolk.gov.uk/" TargetMode="External"/><Relationship Id="rId2" Type="http://schemas.openxmlformats.org/officeDocument/2006/relationships/styles" Target="styles.xml"/><Relationship Id="rId16" Type="http://schemas.openxmlformats.org/officeDocument/2006/relationships/hyperlink" Target="https://resources.leicestershire.gov.uk/education-and-children/child-protection-and-safeguarding/multi-agency-referral-form-for-early-help-and-social-care-services-marf" TargetMode="External"/><Relationship Id="rId20" Type="http://schemas.openxmlformats.org/officeDocument/2006/relationships/hyperlink" Target="https://www.southwark.gov.uk/about-council/how-council-works/policies-plans-and-strategies/our-digital-strategy"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assets.publishing.service.gov.uk/media/628de13be90e071f5f7e1bd2/Early_Help_System_Guide.pdf" TargetMode="External"/><Relationship Id="rId24"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resources.leicestershire.gov.uk/education-and-children/child-protection-and-safeguarding/early-help" TargetMode="External"/><Relationship Id="rId23" Type="http://schemas.openxmlformats.org/officeDocument/2006/relationships/fontTable" Target="fontTable.xml"/><Relationship Id="rId10" Type="http://schemas.openxmlformats.org/officeDocument/2006/relationships/image" Target="media/image4.png"/><Relationship Id="rId19" Type="http://schemas.openxmlformats.org/officeDocument/2006/relationships/hyperlink" Target="https://www.southwark.gov.uk/children-and-families/childrens-social-care/early-help/about-early-help"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www.leicestershire.gov.uk/" TargetMode="External"/><Relationship Id="rId22" Type="http://schemas.openxmlformats.org/officeDocument/2006/relationships/footer" Target="footer1.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hSqNddJL5vXHWxOIjzYPW8teJr/A==">CgMxLjAyDmguNXh3ODAwcmpicmdqMg5oLnhjamVvdGt2dnBybTIOaC41dmZsYjB0NTB5a2YyDmguYWZseG5lbXlma2k5Mg5oLjhmYndwbzVjM3hpdjIOaC5lZm9jajM1ZG1iZ28yDmguZjFuOHJrdHoyemtxMg5oLmk1eWVxamY5dXI3eDIOaC52b2tiOTdheHJudGwyDmgudjN6dmhsNGc0bXI0OAByITFBelN4UTNLNVZnUkZhelhBdjZReS15RmZIR3dzaXdBbg==</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11</Pages>
  <Words>2901</Words>
  <Characters>16541</Characters>
  <Application>Microsoft Office Word</Application>
  <DocSecurity>0</DocSecurity>
  <Lines>137</Lines>
  <Paragraphs>38</Paragraphs>
  <ScaleCrop>false</ScaleCrop>
  <Company/>
  <LinksUpToDate>false</LinksUpToDate>
  <CharactersWithSpaces>19404</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User</cp:lastModifiedBy>
  <cp:revision>2</cp:revision>
  <dcterms:created xsi:type="dcterms:W3CDTF">2025-11-13T14:01:00Z</dcterms:created>
  <dcterms:modified xsi:type="dcterms:W3CDTF">2025-11-15T00:52:00Z</dcterms:modified>
</cp:coreProperties>
</file>