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48848963"/>
        <w:docPartObj>
          <w:docPartGallery w:val="Cover Pages"/>
          <w:docPartUnique/>
        </w:docPartObj>
      </w:sdtPr>
      <w:sdtEndPr>
        <w:rPr>
          <w:rFonts w:ascii="Arial" w:eastAsiaTheme="minorHAnsi" w:hAnsi="Arial" w:cs="Arial"/>
          <w:b/>
          <w:bCs/>
          <w:color w:val="auto"/>
          <w:kern w:val="2"/>
          <w:lang w:eastAsia="en-US"/>
          <w14:ligatures w14:val="standardContextual"/>
        </w:rPr>
      </w:sdtEndPr>
      <w:sdtContent>
        <w:sdt>
          <w:sdtPr>
            <w:rPr>
              <w:rFonts w:asciiTheme="majorHAnsi" w:eastAsiaTheme="majorEastAsia" w:hAnsiTheme="majorHAnsi" w:cstheme="majorBidi"/>
              <w:caps/>
              <w:color w:val="2C7FCE" w:themeColor="text2" w:themeTint="99"/>
              <w:sz w:val="64"/>
              <w:szCs w:val="64"/>
              <w:lang w:val="fr-FR"/>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64E17959" w14:textId="1D2A8677" w:rsidR="000A5ED9" w:rsidRPr="000A5ED9" w:rsidRDefault="000A5ED9" w:rsidP="000A5ED9">
              <w:pPr>
                <w:pStyle w:val="NoSpacing"/>
                <w:rPr>
                  <w:rFonts w:asciiTheme="majorHAnsi" w:eastAsiaTheme="majorEastAsia" w:hAnsiTheme="majorHAnsi" w:cstheme="majorBidi"/>
                  <w:caps/>
                  <w:color w:val="2C7FCE" w:themeColor="text2" w:themeTint="99"/>
                  <w:sz w:val="68"/>
                  <w:szCs w:val="68"/>
                </w:rPr>
              </w:pPr>
              <w:r w:rsidRPr="000A5ED9">
                <w:rPr>
                  <w:rFonts w:asciiTheme="majorHAnsi" w:eastAsiaTheme="majorEastAsia" w:hAnsiTheme="majorHAnsi" w:cstheme="majorBidi"/>
                  <w:caps/>
                  <w:color w:val="2C7FCE" w:themeColor="text2" w:themeTint="99"/>
                  <w:sz w:val="64"/>
                  <w:szCs w:val="64"/>
                </w:rPr>
                <w:t xml:space="preserve">     </w:t>
              </w:r>
            </w:p>
          </w:sdtContent>
        </w:sdt>
        <w:p w14:paraId="38F92D44" w14:textId="067B6F54" w:rsidR="000A5ED9" w:rsidRPr="000A5ED9" w:rsidRDefault="000A5ED9" w:rsidP="000A5ED9">
          <w:pPr>
            <w:pStyle w:val="NoSpacing"/>
            <w:spacing w:before="120"/>
            <w:rPr>
              <w:lang w:val="fr-FR"/>
            </w:rPr>
          </w:pPr>
          <w:sdt>
            <w:sdtPr>
              <w:rPr>
                <w:rFonts w:asciiTheme="majorHAnsi" w:eastAsiaTheme="majorEastAsia" w:hAnsiTheme="majorHAnsi" w:cstheme="majorBidi"/>
                <w:caps/>
                <w:color w:val="2C7FCE" w:themeColor="text2" w:themeTint="99"/>
                <w:sz w:val="44"/>
                <w:szCs w:val="44"/>
                <w:lang w:val="fr-FR"/>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A5ED9">
                <w:rPr>
                  <w:rFonts w:asciiTheme="majorHAnsi" w:eastAsiaTheme="majorEastAsia" w:hAnsiTheme="majorHAnsi" w:cstheme="majorBidi"/>
                  <w:caps/>
                  <w:color w:val="2C7FCE" w:themeColor="text2" w:themeTint="99"/>
                  <w:sz w:val="44"/>
                  <w:szCs w:val="44"/>
                  <w:lang w:val="fr-FR"/>
                </w:rPr>
                <w:t>PSYCHOLOGICAL CLASSIFICATIONS AND PROVISIONSModule Code BMHP6029</w:t>
              </w:r>
            </w:sdtContent>
          </w:sdt>
          <w:r w:rsidRPr="000A5ED9">
            <w:rPr>
              <w:lang w:val="fr-FR"/>
            </w:rPr>
            <w:t xml:space="preserve"> </w:t>
          </w:r>
        </w:p>
        <w:p w14:paraId="4A4A4CB0" w14:textId="77777777" w:rsidR="000A5ED9" w:rsidRPr="000A5ED9" w:rsidRDefault="000A5ED9" w:rsidP="000A5ED9">
          <w:pPr>
            <w:pStyle w:val="NoSpacing"/>
            <w:spacing w:before="120"/>
            <w:rPr>
              <w:color w:val="156082" w:themeColor="accent1"/>
              <w:sz w:val="36"/>
              <w:szCs w:val="36"/>
              <w:lang w:val="fr-FR"/>
            </w:rPr>
          </w:pPr>
        </w:p>
        <w:p w14:paraId="1F6CE49D" w14:textId="77777777" w:rsidR="000A5ED9" w:rsidRPr="000A5ED9" w:rsidRDefault="000A5ED9" w:rsidP="000A5ED9">
          <w:pPr>
            <w:rPr>
              <w:sz w:val="40"/>
              <w:szCs w:val="40"/>
            </w:rPr>
          </w:pPr>
          <w:r w:rsidRPr="000A5ED9">
            <w:rPr>
              <w:sz w:val="40"/>
              <w:szCs w:val="40"/>
            </w:rPr>
            <w:t>Name Sobia Noreen</w:t>
          </w:r>
        </w:p>
        <w:p w14:paraId="2F8B2B5C" w14:textId="77777777" w:rsidR="000A5ED9" w:rsidRPr="000A5ED9" w:rsidRDefault="000A5ED9" w:rsidP="000A5ED9">
          <w:pPr>
            <w:rPr>
              <w:sz w:val="40"/>
              <w:szCs w:val="40"/>
            </w:rPr>
          </w:pPr>
          <w:r w:rsidRPr="000A5ED9">
            <w:rPr>
              <w:sz w:val="40"/>
              <w:szCs w:val="40"/>
            </w:rPr>
            <w:t>Student Number 2319984</w:t>
          </w:r>
        </w:p>
        <w:p w14:paraId="090B377A" w14:textId="77777777" w:rsidR="000A5ED9" w:rsidRDefault="000A5ED9" w:rsidP="000A5ED9">
          <w:pPr>
            <w:rPr>
              <w:sz w:val="40"/>
              <w:szCs w:val="40"/>
            </w:rPr>
          </w:pPr>
          <w:r w:rsidRPr="000A5ED9">
            <w:rPr>
              <w:sz w:val="40"/>
              <w:szCs w:val="40"/>
            </w:rPr>
            <w:t xml:space="preserve">Lecturer </w:t>
          </w:r>
          <w:r w:rsidRPr="00B643F3">
            <w:rPr>
              <w:sz w:val="40"/>
              <w:szCs w:val="40"/>
            </w:rPr>
            <w:t>Neale Haddon </w:t>
          </w:r>
        </w:p>
        <w:p w14:paraId="0E5BE8A3" w14:textId="38FA148B" w:rsidR="000A5ED9" w:rsidRPr="00B643F3" w:rsidRDefault="000A5ED9" w:rsidP="000A5ED9">
          <w:pPr>
            <w:rPr>
              <w:sz w:val="40"/>
              <w:szCs w:val="40"/>
            </w:rPr>
          </w:pPr>
          <w:r>
            <w:rPr>
              <w:sz w:val="40"/>
              <w:szCs w:val="40"/>
            </w:rPr>
            <w:t>Assignment Titl</w:t>
          </w:r>
          <w:r w:rsidRPr="00B643F3">
            <w:rPr>
              <w:sz w:val="40"/>
              <w:szCs w:val="40"/>
            </w:rPr>
            <w:t xml:space="preserve">e Component </w:t>
          </w:r>
          <w:r>
            <w:rPr>
              <w:sz w:val="40"/>
              <w:szCs w:val="40"/>
            </w:rPr>
            <w:t>2</w:t>
          </w:r>
          <w:r w:rsidRPr="00B643F3">
            <w:rPr>
              <w:sz w:val="40"/>
              <w:szCs w:val="40"/>
            </w:rPr>
            <w:t xml:space="preserve">: </w:t>
          </w:r>
          <w:r>
            <w:rPr>
              <w:sz w:val="40"/>
              <w:szCs w:val="40"/>
            </w:rPr>
            <w:t>Written assignment</w:t>
          </w:r>
        </w:p>
        <w:p w14:paraId="4FA93959" w14:textId="76F87A39" w:rsidR="000A5ED9" w:rsidRDefault="000A5ED9">
          <w:pPr>
            <w:pStyle w:val="NoSpacing"/>
            <w:spacing w:before="1540" w:after="240"/>
            <w:jc w:val="center"/>
            <w:rPr>
              <w:color w:val="156082" w:themeColor="accent1"/>
            </w:rPr>
          </w:pPr>
        </w:p>
        <w:p w14:paraId="42DCA702" w14:textId="28ABA5A9" w:rsidR="000A5ED9" w:rsidRDefault="000A5ED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68D100A4" wp14:editId="35128F4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4DF9CFC" w14:textId="77777777" w:rsidR="000A5ED9" w:rsidRDefault="000A5ED9">
                                    <w:pPr>
                                      <w:pStyle w:val="NoSpacing"/>
                                      <w:spacing w:after="40"/>
                                      <w:jc w:val="center"/>
                                      <w:rPr>
                                        <w:caps/>
                                        <w:color w:val="156082" w:themeColor="accent1"/>
                                        <w:sz w:val="28"/>
                                        <w:szCs w:val="28"/>
                                      </w:rPr>
                                    </w:pPr>
                                    <w:r>
                                      <w:rPr>
                                        <w:caps/>
                                        <w:color w:val="156082" w:themeColor="accent1"/>
                                        <w:sz w:val="28"/>
                                        <w:szCs w:val="28"/>
                                      </w:rPr>
                                      <w:t>[Date]</w:t>
                                    </w:r>
                                  </w:p>
                                </w:sdtContent>
                              </w:sdt>
                              <w:p w14:paraId="319639CD" w14:textId="77777777" w:rsidR="000A5ED9" w:rsidRDefault="000A5ED9">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[Company name]</w:t>
                                    </w:r>
                                  </w:sdtContent>
                                </w:sdt>
                              </w:p>
                              <w:p w14:paraId="6B344789" w14:textId="77777777" w:rsidR="000A5ED9" w:rsidRDefault="000A5ED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D100A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4DF9CFC" w14:textId="77777777" w:rsidR="000A5ED9" w:rsidRDefault="000A5ED9">
                              <w:pPr>
                                <w:pStyle w:val="NoSpacing"/>
                                <w:spacing w:after="40"/>
                                <w:jc w:val="center"/>
                                <w:rPr>
                                  <w:caps/>
                                  <w:color w:val="156082" w:themeColor="accent1"/>
                                  <w:sz w:val="28"/>
                                  <w:szCs w:val="28"/>
                                </w:rPr>
                              </w:pPr>
                              <w:r>
                                <w:rPr>
                                  <w:caps/>
                                  <w:color w:val="156082" w:themeColor="accent1"/>
                                  <w:sz w:val="28"/>
                                  <w:szCs w:val="28"/>
                                </w:rPr>
                                <w:t>[Date]</w:t>
                              </w:r>
                            </w:p>
                          </w:sdtContent>
                        </w:sdt>
                        <w:p w14:paraId="319639CD" w14:textId="77777777" w:rsidR="000A5ED9" w:rsidRDefault="000A5ED9">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[Company name]</w:t>
                              </w:r>
                            </w:sdtContent>
                          </w:sdt>
                        </w:p>
                        <w:p w14:paraId="6B344789" w14:textId="77777777" w:rsidR="000A5ED9" w:rsidRDefault="000A5ED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[Company address]</w:t>
                              </w:r>
                            </w:sdtContent>
                          </w:sdt>
                        </w:p>
                      </w:txbxContent>
                    </v:textbox>
                    <w10:wrap anchorx="margin" anchory="page"/>
                  </v:shape>
                </w:pict>
              </mc:Fallback>
            </mc:AlternateContent>
          </w:r>
        </w:p>
        <w:p w14:paraId="7C24A51F" w14:textId="72860ACF" w:rsidR="000A5ED9" w:rsidRDefault="000A5ED9">
          <w:pPr>
            <w:rPr>
              <w:rFonts w:ascii="Arial" w:hAnsi="Arial" w:cs="Arial"/>
              <w:b/>
              <w:bCs/>
            </w:rPr>
          </w:pPr>
          <w:r>
            <w:rPr>
              <w:rFonts w:ascii="Arial" w:hAnsi="Arial" w:cs="Arial"/>
              <w:b/>
              <w:bCs/>
            </w:rPr>
            <w:br w:type="page"/>
          </w:r>
        </w:p>
      </w:sdtContent>
    </w:sdt>
    <w:p w14:paraId="3AD93812" w14:textId="388908D5" w:rsidR="00EA44A5" w:rsidRPr="00FD794C" w:rsidRDefault="00EA44A5" w:rsidP="00EA44A5">
      <w:pPr>
        <w:spacing w:line="360" w:lineRule="auto"/>
        <w:rPr>
          <w:rFonts w:ascii="Arial" w:hAnsi="Arial" w:cs="Arial"/>
          <w:b/>
          <w:bCs/>
        </w:rPr>
      </w:pPr>
      <w:r w:rsidRPr="00FD794C">
        <w:rPr>
          <w:rFonts w:ascii="Arial" w:hAnsi="Arial" w:cs="Arial"/>
          <w:b/>
          <w:bCs/>
        </w:rPr>
        <w:lastRenderedPageBreak/>
        <w:t>Attention-Deficit Hyperactivity Disorder (ADHD): A Critical Examination under ICD-11 within the UK Policy Context</w:t>
      </w:r>
    </w:p>
    <w:p w14:paraId="5A146A6D" w14:textId="77777777" w:rsidR="00EA44A5" w:rsidRPr="00EA44A5" w:rsidRDefault="00EA44A5" w:rsidP="00EA44A5">
      <w:pPr>
        <w:spacing w:line="360" w:lineRule="auto"/>
        <w:rPr>
          <w:rFonts w:ascii="Arial" w:hAnsi="Arial" w:cs="Arial"/>
          <w:b/>
          <w:bCs/>
        </w:rPr>
      </w:pPr>
      <w:r w:rsidRPr="00EA44A5">
        <w:rPr>
          <w:rFonts w:ascii="Arial" w:hAnsi="Arial" w:cs="Arial"/>
          <w:b/>
          <w:bCs/>
        </w:rPr>
        <w:t>Introduction</w:t>
      </w:r>
    </w:p>
    <w:p w14:paraId="2B400FC4" w14:textId="77777777" w:rsidR="00EA44A5" w:rsidRPr="00EA44A5" w:rsidRDefault="00EA44A5" w:rsidP="00EA44A5">
      <w:pPr>
        <w:spacing w:line="360" w:lineRule="auto"/>
        <w:rPr>
          <w:rFonts w:ascii="Arial" w:hAnsi="Arial" w:cs="Arial"/>
        </w:rPr>
      </w:pPr>
      <w:r w:rsidRPr="00EA44A5">
        <w:rPr>
          <w:rFonts w:ascii="Arial" w:hAnsi="Arial" w:cs="Arial"/>
        </w:rPr>
        <w:br/>
        <w:t xml:space="preserve">Attention-Deficit Hyperactivity Disorder (ADHD) is categorised in Chapter 6 of the International Classification of Diseases, 11th Revision (ICD-11) as a neurodevelopmental disorder marked by enduring patterns of inattention and/or hyperactivity-impulsivity that disrupt functioning or development (World Health Organization (WHO), 2019). This categorisation offers a systematic diagnostic framework; </w:t>
      </w:r>
      <w:proofErr w:type="gramStart"/>
      <w:r w:rsidRPr="00EA44A5">
        <w:rPr>
          <w:rFonts w:ascii="Arial" w:hAnsi="Arial" w:cs="Arial"/>
        </w:rPr>
        <w:t>yet,</w:t>
      </w:r>
      <w:proofErr w:type="gramEnd"/>
      <w:r w:rsidRPr="00EA44A5">
        <w:rPr>
          <w:rFonts w:ascii="Arial" w:hAnsi="Arial" w:cs="Arial"/>
        </w:rPr>
        <w:t xml:space="preserve"> ADHD continues to be one of the most debated diseases in modern psychiatry. </w:t>
      </w:r>
      <w:r w:rsidRPr="00EA44A5">
        <w:rPr>
          <w:rFonts w:ascii="Arial" w:hAnsi="Arial" w:cs="Arial"/>
        </w:rPr>
        <w:br/>
        <w:t xml:space="preserve">In the United Kingdom, ADHD occupies a nexus of clinical treatment, governmental policy, and socio-cultural discourse. </w:t>
      </w:r>
      <w:proofErr w:type="gramStart"/>
      <w:r w:rsidRPr="00EA44A5">
        <w:rPr>
          <w:rFonts w:ascii="Arial" w:hAnsi="Arial" w:cs="Arial"/>
        </w:rPr>
        <w:t>The escalating rates of diagnosis,</w:t>
      </w:r>
      <w:proofErr w:type="gramEnd"/>
      <w:r w:rsidRPr="00EA44A5">
        <w:rPr>
          <w:rFonts w:ascii="Arial" w:hAnsi="Arial" w:cs="Arial"/>
        </w:rPr>
        <w:t xml:space="preserve"> heightened adult awareness, and strain on NHS resources have amplified examination of categorisation systems and care delivery. The neurodiversity movement concurrently contests the classification of ADHD as a condition, promoting its acknowledgement as a cognitive variation. </w:t>
      </w:r>
      <w:r w:rsidRPr="00EA44A5">
        <w:rPr>
          <w:rFonts w:ascii="Arial" w:hAnsi="Arial" w:cs="Arial"/>
        </w:rPr>
        <w:br/>
        <w:t xml:space="preserve">This article critically analyses ADHD as delineated in ICD-11, focusing on the influence of UK policy frameworks on diagnosis, treatment, and lived experiences. It contends that although ICD-11 offers essential therapeutic framework, its categorical and deficit-focused paradigm is inadequate in isolation. An integrated strategy that amalgamates biological, psychological, and policy viewpoints is necessary to rectify existing deficiencies in practice and equality. </w:t>
      </w:r>
      <w:r w:rsidRPr="00EA44A5">
        <w:rPr>
          <w:rFonts w:ascii="Arial" w:hAnsi="Arial" w:cs="Arial"/>
        </w:rPr>
        <w:br/>
      </w:r>
      <w:r w:rsidRPr="00EA44A5">
        <w:rPr>
          <w:rFonts w:ascii="Arial" w:hAnsi="Arial" w:cs="Arial"/>
        </w:rPr>
        <w:br/>
      </w:r>
      <w:r w:rsidRPr="00EA44A5">
        <w:rPr>
          <w:rFonts w:ascii="Arial" w:hAnsi="Arial" w:cs="Arial"/>
          <w:b/>
          <w:bCs/>
        </w:rPr>
        <w:t xml:space="preserve">Classification and Diagnosis: Practical Utility versus Conceptual Constraints </w:t>
      </w:r>
    </w:p>
    <w:p w14:paraId="5D859224" w14:textId="77777777" w:rsidR="00EA44A5" w:rsidRPr="00EA44A5" w:rsidRDefault="00EA44A5" w:rsidP="00EA44A5">
      <w:pPr>
        <w:spacing w:line="360" w:lineRule="auto"/>
        <w:rPr>
          <w:rFonts w:ascii="Arial" w:hAnsi="Arial" w:cs="Arial"/>
        </w:rPr>
      </w:pPr>
      <w:r w:rsidRPr="00EA44A5">
        <w:rPr>
          <w:rFonts w:ascii="Arial" w:hAnsi="Arial" w:cs="Arial"/>
        </w:rPr>
        <w:br/>
        <w:t xml:space="preserve">ADHD is categorised by ICD-11 as a neurodevelopmental condition (code HA60), highlighting its early start and lifelong persistence (WHO, 2019). This signifies a notable transition from previous diagnostic frameworks by recognising adult ADHD, consistent with modern findings (Asherson et al., 2021). Nonetheless, despite this advancement, the categorisation remains inherently categorical, depending on threshold-based criteria that may oversimplify a diverse illness. </w:t>
      </w:r>
      <w:r w:rsidRPr="00EA44A5">
        <w:rPr>
          <w:rFonts w:ascii="Arial" w:hAnsi="Arial" w:cs="Arial"/>
        </w:rPr>
        <w:br/>
        <w:t>This classification supports NHS diagnostic processes as directed by NICE (2018) from a UK clinical standpoint. Although this standardisation fosters uniformity, it simultaneously engenders inflexibility. The lack of biological indicators necessitates that diagnosis depends significantly on subjective clinical assessment (</w:t>
      </w:r>
      <w:proofErr w:type="spellStart"/>
      <w:r w:rsidRPr="00EA44A5">
        <w:rPr>
          <w:rFonts w:ascii="Arial" w:hAnsi="Arial" w:cs="Arial"/>
        </w:rPr>
        <w:t>Polanczyk</w:t>
      </w:r>
      <w:proofErr w:type="spellEnd"/>
      <w:r w:rsidRPr="00EA44A5">
        <w:rPr>
          <w:rFonts w:ascii="Arial" w:hAnsi="Arial" w:cs="Arial"/>
        </w:rPr>
        <w:t xml:space="preserve"> et al., 2019), heightening the risk of both overdiagnosis and underdiagnosis. </w:t>
      </w:r>
      <w:r w:rsidRPr="00EA44A5">
        <w:rPr>
          <w:rFonts w:ascii="Arial" w:hAnsi="Arial" w:cs="Arial"/>
        </w:rPr>
        <w:br/>
        <w:t xml:space="preserve">The ICD-11's employment of the term disorder signifies a biomedical epistemology that </w:t>
      </w:r>
      <w:r w:rsidRPr="00EA44A5">
        <w:rPr>
          <w:rFonts w:ascii="Arial" w:hAnsi="Arial" w:cs="Arial"/>
        </w:rPr>
        <w:lastRenderedPageBreak/>
        <w:t xml:space="preserve">emphasises impairment. This enhances service accessibility, </w:t>
      </w:r>
      <w:proofErr w:type="gramStart"/>
      <w:r w:rsidRPr="00EA44A5">
        <w:rPr>
          <w:rFonts w:ascii="Arial" w:hAnsi="Arial" w:cs="Arial"/>
        </w:rPr>
        <w:t>however</w:t>
      </w:r>
      <w:proofErr w:type="gramEnd"/>
      <w:r w:rsidRPr="00EA44A5">
        <w:rPr>
          <w:rFonts w:ascii="Arial" w:hAnsi="Arial" w:cs="Arial"/>
        </w:rPr>
        <w:t xml:space="preserve"> concurrently perpetuates deficit-oriented narratives (Barkley, 2020). This conflict is especially pronounced in UK contexts, where diagnosis frequently serves as a precondition for help within educational and job institutions. Consequently, categorisation is not just descriptive but also functional, influencing access to rights and resources. </w:t>
      </w:r>
      <w:r w:rsidRPr="00EA44A5">
        <w:rPr>
          <w:rFonts w:ascii="Arial" w:hAnsi="Arial" w:cs="Arial"/>
        </w:rPr>
        <w:br/>
        <w:t xml:space="preserve">Moreover, diagnostic procedures in the UK are somewhat limited by systemic issues. Prolonged NHS waiting times—frequently surpassing multiple years—subvert the notion of early care advocated by both ICD-11 and NICE. This reveals a significant contradiction: whereas categorisation schemes prioritise prompt diagnosis, policy and service constraints hinder their execution. </w:t>
      </w:r>
      <w:r w:rsidRPr="00EA44A5">
        <w:rPr>
          <w:rFonts w:ascii="Arial" w:hAnsi="Arial" w:cs="Arial"/>
        </w:rPr>
        <w:br/>
      </w:r>
      <w:r w:rsidRPr="00EA44A5">
        <w:rPr>
          <w:rFonts w:ascii="Arial" w:hAnsi="Arial" w:cs="Arial"/>
        </w:rPr>
        <w:br/>
      </w:r>
    </w:p>
    <w:p w14:paraId="22AD8301" w14:textId="77777777" w:rsidR="00EA44A5" w:rsidRPr="00EA44A5" w:rsidRDefault="00EA44A5" w:rsidP="00EA44A5">
      <w:pPr>
        <w:spacing w:line="360" w:lineRule="auto"/>
        <w:rPr>
          <w:rFonts w:ascii="Arial" w:hAnsi="Arial" w:cs="Arial"/>
        </w:rPr>
      </w:pPr>
    </w:p>
    <w:p w14:paraId="67258C26" w14:textId="68446397" w:rsidR="00EA44A5" w:rsidRPr="00EA44A5" w:rsidRDefault="00EA44A5" w:rsidP="00EA44A5">
      <w:pPr>
        <w:spacing w:line="360" w:lineRule="auto"/>
        <w:rPr>
          <w:rFonts w:ascii="Arial" w:hAnsi="Arial" w:cs="Arial"/>
          <w:b/>
          <w:bCs/>
        </w:rPr>
      </w:pPr>
      <w:r w:rsidRPr="00EA44A5">
        <w:rPr>
          <w:rFonts w:ascii="Arial" w:hAnsi="Arial" w:cs="Arial"/>
          <w:b/>
          <w:bCs/>
        </w:rPr>
        <w:t xml:space="preserve">UK Policy Framework: Diagnosis as a Portal to Entitlements </w:t>
      </w:r>
    </w:p>
    <w:p w14:paraId="6C4AC85F" w14:textId="77777777" w:rsidR="00EA44A5" w:rsidRPr="00EA44A5" w:rsidRDefault="00EA44A5" w:rsidP="00EA44A5">
      <w:pPr>
        <w:spacing w:line="360" w:lineRule="auto"/>
        <w:rPr>
          <w:rFonts w:ascii="Arial" w:hAnsi="Arial" w:cs="Arial"/>
        </w:rPr>
      </w:pPr>
      <w:r w:rsidRPr="00EA44A5">
        <w:rPr>
          <w:rFonts w:ascii="Arial" w:hAnsi="Arial" w:cs="Arial"/>
        </w:rPr>
        <w:br/>
        <w:t xml:space="preserve">In the UK, the diagnosis of ADHD holds legal and institutional importance that transcends mere clinical identification, serving as a crucial means by which individuals get rights, resources, and social acknowledgement. According to the Equality Act 2010, ADHD can be regarded as a handicap if it significantly and persistently affects an individual's capacity to do routine daily tasks (UK Government, 2010). This legal recognition is important as it mandates educational institutions and companies to make reasonable accommodations, such prolonged test time, flexible work arrangements, or the supply of assistive technologies. This paradigm fundamentally advocates for inclusiveness and safeguards individuals from prejudice. In fact, access to these safeguards frequently depends on official diagnosis, thereby establishing medical categorisation as a gatekeeping mechanism for social support. </w:t>
      </w:r>
      <w:r w:rsidRPr="00EA44A5">
        <w:rPr>
          <w:rFonts w:ascii="Arial" w:hAnsi="Arial" w:cs="Arial"/>
        </w:rPr>
        <w:br/>
        <w:t xml:space="preserve">This engenders a fundamental dichotomy within UK policy. Although equality law aims to diminish obstacles and foster inclusion, it concurrently perpetuates a framework wherein persons must initially exhibit disability via clinical diagnosis to be acknowledged as deserving of help. This criterion disproportionately affects persons encountering evaluation hurdles, particularly those from lower socioeconomic origins, minority ethnic groups, and those who were not diagnosed during infancy. As a result, the system jeopardises the perpetuation of inequality by favouring those who can traverse diagnostic paths, while sidelining others who cannot. In this context, diagnosis transcends a clinical procedure, serving as a mechanism of institutional validation that dictates whose needs are recognised and addressed. </w:t>
      </w:r>
      <w:r w:rsidRPr="00EA44A5">
        <w:rPr>
          <w:rFonts w:ascii="Arial" w:hAnsi="Arial" w:cs="Arial"/>
        </w:rPr>
        <w:br/>
      </w:r>
      <w:r w:rsidRPr="00EA44A5">
        <w:rPr>
          <w:rFonts w:ascii="Arial" w:hAnsi="Arial" w:cs="Arial"/>
        </w:rPr>
        <w:lastRenderedPageBreak/>
        <w:t xml:space="preserve">A comparable tendency is seen in educational policy under the Children and Families Act 2014, which regulates Special Educational Needs and Disabilities (SEND) provisions. Although ADHD is acknowledged within the SEND framework, access to Education, Health and Care Plans (EHCPs)—which offer coordinated, legally binding support—is markedly inconsistent. Investigations and policy analyses have shown considerable regional variances in EHCP approval rates, sometimes associated with local authority financial limitations and divergent interpretations of eligibility standards. Consequently, children and adolescents with ADHD may experience significantly varying amounts of assistance based on geographic location, so perpetuating the phenomenon referred to as a “postcode lottery” in Special Educational Needs and Disabilities (SEND) provision. </w:t>
      </w:r>
      <w:r w:rsidRPr="00EA44A5">
        <w:rPr>
          <w:rFonts w:ascii="Arial" w:hAnsi="Arial" w:cs="Arial"/>
        </w:rPr>
        <w:br/>
        <w:t xml:space="preserve">Furthermore, the criteria for obtaining official assistance within SEND systems sometimes favour persons with severe or complicated needs, resulting in the exclusion of those with ADHD who do not satisfy these criteria, although facing significant functional challenges. This illustrates a pervasive constraint in UK policy, wherein support mechanisms tend to be reactive instead than preventative, acting just when challenges escalate to a critical threshold. This method may intensify enduring educational and socioeconomic disparities, especially given that early intervention is proven to enhance outcomes. </w:t>
      </w:r>
      <w:r w:rsidRPr="00EA44A5">
        <w:rPr>
          <w:rFonts w:ascii="Arial" w:hAnsi="Arial" w:cs="Arial"/>
        </w:rPr>
        <w:br/>
        <w:t xml:space="preserve">Thus, ADHD in the UK is seen not just as a clinical disorder but as a policy-influenced identity, moulded by the interplay of diagnostic criteria, legal definitions, and institutional practices. Classification influences both the medical understanding of ADHD and the placement of persons into support, entitlement, and recognition systems. This highlights the necessity for a transition to more inclusive, needs-oriented strategies that diminish dependence on formal diagnosis as the principal access point for help, thereby aligning policy more closely with the principles of fairness and accessibility. </w:t>
      </w:r>
      <w:r w:rsidRPr="00EA44A5">
        <w:rPr>
          <w:rFonts w:ascii="Arial" w:hAnsi="Arial" w:cs="Arial"/>
        </w:rPr>
        <w:br/>
      </w:r>
      <w:r w:rsidRPr="00EA44A5">
        <w:rPr>
          <w:rFonts w:ascii="Arial" w:hAnsi="Arial" w:cs="Arial"/>
        </w:rPr>
        <w:br/>
      </w:r>
    </w:p>
    <w:p w14:paraId="730F1554" w14:textId="77777777" w:rsidR="00EA44A5" w:rsidRPr="00EA44A5" w:rsidRDefault="00EA44A5" w:rsidP="00EA44A5">
      <w:pPr>
        <w:spacing w:line="360" w:lineRule="auto"/>
        <w:rPr>
          <w:rFonts w:ascii="Arial" w:hAnsi="Arial" w:cs="Arial"/>
          <w:b/>
          <w:bCs/>
        </w:rPr>
      </w:pPr>
      <w:r w:rsidRPr="00EA44A5">
        <w:rPr>
          <w:rFonts w:ascii="Arial" w:hAnsi="Arial" w:cs="Arial"/>
          <w:b/>
          <w:bCs/>
        </w:rPr>
        <w:t>Therapeutic Intervention and Rehabilitation:</w:t>
      </w:r>
    </w:p>
    <w:p w14:paraId="51B78830" w14:textId="77777777" w:rsidR="00EA44A5" w:rsidRPr="00EA44A5" w:rsidRDefault="00EA44A5" w:rsidP="00EA44A5">
      <w:pPr>
        <w:spacing w:line="360" w:lineRule="auto"/>
        <w:rPr>
          <w:rFonts w:ascii="Arial" w:hAnsi="Arial" w:cs="Arial"/>
        </w:rPr>
      </w:pPr>
      <w:r w:rsidRPr="00EA44A5">
        <w:rPr>
          <w:rFonts w:ascii="Arial" w:hAnsi="Arial" w:cs="Arial"/>
        </w:rPr>
        <w:t xml:space="preserve"> Navigating Evidence and Resource Limitations Pharmacological intervention, especially stimulant medications like methylphenidate and amphetamine derivatives, is well-established as beneficial in alleviating the primary symptoms of ADHD, namely inattention, impulsivity, and hyperactivity (Cortese et al., 2018). In the UK, the National Institute for Health and Care Excellence (NICE, 2018) advocates for pharmacotherapy as a primary intervention in several instances, indicating a strong evidentiary foundation for the short-term alleviation of symptoms. This strategy provides swift and quantifiable enhancements, which are especially beneficial in educational and professional settings with significant functional requirements. </w:t>
      </w:r>
      <w:r w:rsidRPr="00EA44A5">
        <w:rPr>
          <w:rFonts w:ascii="Arial" w:hAnsi="Arial" w:cs="Arial"/>
        </w:rPr>
        <w:br/>
        <w:t xml:space="preserve">This pharmaceutical focus requires ongoing careful examination. Although medicine has </w:t>
      </w:r>
      <w:r w:rsidRPr="00EA44A5">
        <w:rPr>
          <w:rFonts w:ascii="Arial" w:hAnsi="Arial" w:cs="Arial"/>
        </w:rPr>
        <w:lastRenderedPageBreak/>
        <w:t xml:space="preserve">proven to effectively manage symptoms, its influence on long-term functional outcomes—such as academic performance, job stability, and social relationships—remains inconsistent (Shaw et al., 2021). This prompts critical enquiries on the fundamental objectives of treatment: if the principal purpose is to improve overall welfare and life outcomes, or to conform behaviour to society norms. In this regard, pharmaceutical medication may address just superficial symptoms of ADHD without sufficiently considering the wider psychological and environmental aspects that influence lived experience. </w:t>
      </w:r>
      <w:r w:rsidRPr="00EA44A5">
        <w:rPr>
          <w:rFonts w:ascii="Arial" w:hAnsi="Arial" w:cs="Arial"/>
        </w:rPr>
        <w:br/>
        <w:t>The significance of medicine in UK treatment pathways illustrates both clinical evidence and systemic limitations within the National Health Service. The restricted availability of psychiatric therapies, prolonged waiting periods, and personnel deficiencies create an environment where medicine emerges as the most accessible and prompt remedy. Consequently, what seems to be an evidence-based therapy hierarchy may</w:t>
      </w:r>
      <w:proofErr w:type="gramStart"/>
      <w:r w:rsidRPr="00EA44A5">
        <w:rPr>
          <w:rFonts w:ascii="Arial" w:hAnsi="Arial" w:cs="Arial"/>
        </w:rPr>
        <w:t>, in reality, reflect</w:t>
      </w:r>
      <w:proofErr w:type="gramEnd"/>
      <w:r w:rsidRPr="00EA44A5">
        <w:rPr>
          <w:rFonts w:ascii="Arial" w:hAnsi="Arial" w:cs="Arial"/>
        </w:rPr>
        <w:t xml:space="preserve"> a structural bias, wherein pharmaceutical interventions are favoured owing to resource constraints rather than demonstrable superiority. This relationship underscores criticisms of medicalisation, indicating that treatment procedures are influenced equally by institutional capability and clinical necessity. </w:t>
      </w:r>
      <w:r w:rsidRPr="00EA44A5">
        <w:rPr>
          <w:rFonts w:ascii="Arial" w:hAnsi="Arial" w:cs="Arial"/>
        </w:rPr>
        <w:br/>
        <w:t xml:space="preserve">Psychological and behavioural therapies, such as Cognitive Behavioural Therapy (CBT), psychoeducation, and skills-based training, provide a comprehensive approach by targeting coping strategies, executive functioning, and emotional regulation (Young et al., 2020). When included into multimodal therapy, these approaches correlate with enhanced functional results and increased long-term adaptation. Nevertheless, in the UK, access to these therapies is inconsistent and frequently limited to those who can either afford private care or adeptly manoeuvre through intricate referral processes. This disparity exacerbates differences in treatment results, with some persons receiving extensive care while others are restricted to medicine only. </w:t>
      </w:r>
      <w:r w:rsidRPr="00EA44A5">
        <w:rPr>
          <w:rFonts w:ascii="Arial" w:hAnsi="Arial" w:cs="Arial"/>
        </w:rPr>
        <w:br/>
        <w:t xml:space="preserve">Rehabilitation programs in the UK increasingly include ideas consistent with the social model of disability, highlighting the significance of contextual modification in mitigating functional impairment. Educational accommodations—such as adjusted pedagogical methods, extended test durations, and organised learning settings—seek to alleviate obstacles within the educational system. Workplace modifications, bolstered by efforts like the government’s Access to Work plan, acknowledge the necessity for flexibility, task reorganisation, and assistive technologies to facilitate participation (Riddell et al., 2020). These methods signify a departure from perceiving ADHD only as an individual deficiency, instead recognising the interplay between cognitive variances and environmental requirements. </w:t>
      </w:r>
      <w:r w:rsidRPr="00EA44A5">
        <w:rPr>
          <w:rFonts w:ascii="Arial" w:hAnsi="Arial" w:cs="Arial"/>
        </w:rPr>
        <w:br/>
        <w:t xml:space="preserve">However, the efficacy of these rehabilitative treatments is limited by inconsistent execution and accessibility. Support is inequitably allocated among regions, institutions, and socioeconomic categories, mirroring greater systemic disparities within the UK healthcare </w:t>
      </w:r>
      <w:r w:rsidRPr="00EA44A5">
        <w:rPr>
          <w:rFonts w:ascii="Arial" w:hAnsi="Arial" w:cs="Arial"/>
        </w:rPr>
        <w:lastRenderedPageBreak/>
        <w:t xml:space="preserve">and education systems. Access to several assistance remains contingent upon official diagnosis, so underscoring the pivotal role of categorisation as a gatekeeping device. This establishes a circular dynamic wherein persons necessitate a diagnosis to get </w:t>
      </w:r>
      <w:proofErr w:type="gramStart"/>
      <w:r w:rsidRPr="00EA44A5">
        <w:rPr>
          <w:rFonts w:ascii="Arial" w:hAnsi="Arial" w:cs="Arial"/>
        </w:rPr>
        <w:t>help, yet</w:t>
      </w:r>
      <w:proofErr w:type="gramEnd"/>
      <w:r w:rsidRPr="00EA44A5">
        <w:rPr>
          <w:rFonts w:ascii="Arial" w:hAnsi="Arial" w:cs="Arial"/>
        </w:rPr>
        <w:t xml:space="preserve"> encounter obstacles in acquiring that diagnosis initially. </w:t>
      </w:r>
      <w:r w:rsidRPr="00EA44A5">
        <w:rPr>
          <w:rFonts w:ascii="Arial" w:hAnsi="Arial" w:cs="Arial"/>
        </w:rPr>
        <w:br/>
        <w:t xml:space="preserve">Collectively, these concerns underscore a major constraint in contemporary UK methodologies for ADHD treatment and rehabilitation. Although pharmaceutical, psychological, and social therapies provide significant benefits, their integration is frequently hindered by institutional limitations and policy discrepancies. An improved approach would promote fair access to multimodal assistance, diminish excessive dependence on medicine, and emphasise long-term functional goals over short-term symptom alleviation. This approach would more effectively integrate clinical practice with evidence-based treatment and the values of social inclusion. </w:t>
      </w:r>
      <w:r w:rsidRPr="00EA44A5">
        <w:rPr>
          <w:rFonts w:ascii="Arial" w:hAnsi="Arial" w:cs="Arial"/>
        </w:rPr>
        <w:br/>
      </w:r>
      <w:r w:rsidRPr="00EA44A5">
        <w:rPr>
          <w:rFonts w:ascii="Arial" w:hAnsi="Arial" w:cs="Arial"/>
        </w:rPr>
        <w:br/>
      </w:r>
      <w:r w:rsidRPr="00EA44A5">
        <w:rPr>
          <w:rFonts w:ascii="Arial" w:hAnsi="Arial" w:cs="Arial"/>
          <w:b/>
          <w:bCs/>
        </w:rPr>
        <w:t>Medicalisation vs Neurodiversity: Conflicting Paradigms</w:t>
      </w:r>
      <w:r w:rsidRPr="00EA44A5">
        <w:rPr>
          <w:rFonts w:ascii="Arial" w:hAnsi="Arial" w:cs="Arial"/>
        </w:rPr>
        <w:t xml:space="preserve"> </w:t>
      </w:r>
    </w:p>
    <w:p w14:paraId="48C60E5D" w14:textId="77777777" w:rsidR="00EA44A5" w:rsidRPr="00EA44A5" w:rsidRDefault="00EA44A5" w:rsidP="00EA44A5">
      <w:pPr>
        <w:spacing w:line="360" w:lineRule="auto"/>
        <w:rPr>
          <w:rFonts w:ascii="Arial" w:hAnsi="Arial" w:cs="Arial"/>
        </w:rPr>
      </w:pPr>
      <w:r w:rsidRPr="00EA44A5">
        <w:rPr>
          <w:rFonts w:ascii="Arial" w:hAnsi="Arial" w:cs="Arial"/>
        </w:rPr>
        <w:br/>
        <w:t xml:space="preserve">A prominent modern issue revolves around the medicalisation of ADHD. Critics contend that activities linked to ADHD may signify reactions to external pressures rather than inherent disease (Frances, 2019). This critique is especially pertinent in UK educational settings, where inflexible frameworks may intensify attentional and behavioural disparities. </w:t>
      </w:r>
      <w:r w:rsidRPr="00EA44A5">
        <w:rPr>
          <w:rFonts w:ascii="Arial" w:hAnsi="Arial" w:cs="Arial"/>
        </w:rPr>
        <w:br/>
        <w:t xml:space="preserve">Conversely, the evidence of underdiagnosis among adults, women, and minority groups contradicts assertions of overdiagnosis (Sayal et al., 2018). This indicates that the problem is not only excessive medicalisation, but perhaps disparate acknowledgement across different groups. </w:t>
      </w:r>
      <w:r w:rsidRPr="00EA44A5">
        <w:rPr>
          <w:rFonts w:ascii="Arial" w:hAnsi="Arial" w:cs="Arial"/>
        </w:rPr>
        <w:br/>
        <w:t xml:space="preserve">The neurodiversity movement presents an alternative paradigm, seeing ADHD as a normal variety in cognitive performance (Singer, 2017). From this viewpoint, disability results from a discordance between persons and their circumstances rather than from intrinsic deficiencies. </w:t>
      </w:r>
      <w:r w:rsidRPr="00EA44A5">
        <w:rPr>
          <w:rFonts w:ascii="Arial" w:hAnsi="Arial" w:cs="Arial"/>
        </w:rPr>
        <w:br/>
        <w:t xml:space="preserve">This viewpoint has gained prominence in UK policy discussions, especially on education and employment, however it poses practical difficulties. The de-medicalization process threatens to compromise access to services that presently depend on diagnostic categorisation. Consequently, the discourse is not only theoretical but possesses concrete ramifications for individuals' access to assistance. </w:t>
      </w:r>
      <w:r w:rsidRPr="00EA44A5">
        <w:rPr>
          <w:rFonts w:ascii="Arial" w:hAnsi="Arial" w:cs="Arial"/>
        </w:rPr>
        <w:br/>
      </w:r>
      <w:r w:rsidRPr="00EA44A5">
        <w:rPr>
          <w:rFonts w:ascii="Arial" w:hAnsi="Arial" w:cs="Arial"/>
          <w:b/>
          <w:bCs/>
        </w:rPr>
        <w:br/>
        <w:t>Towards a Comprehensive Model: Consequences for Policy and Practice</w:t>
      </w:r>
    </w:p>
    <w:p w14:paraId="56473B51" w14:textId="77777777" w:rsidR="00EA44A5" w:rsidRPr="00EA44A5" w:rsidRDefault="00EA44A5" w:rsidP="00EA44A5">
      <w:pPr>
        <w:spacing w:line="360" w:lineRule="auto"/>
        <w:rPr>
          <w:rFonts w:ascii="Arial" w:hAnsi="Arial" w:cs="Arial"/>
        </w:rPr>
      </w:pPr>
      <w:r w:rsidRPr="00EA44A5">
        <w:rPr>
          <w:rFonts w:ascii="Arial" w:hAnsi="Arial" w:cs="Arial"/>
        </w:rPr>
        <w:t xml:space="preserve"> </w:t>
      </w:r>
      <w:r w:rsidRPr="00EA44A5">
        <w:rPr>
          <w:rFonts w:ascii="Arial" w:hAnsi="Arial" w:cs="Arial"/>
        </w:rPr>
        <w:br/>
        <w:t>The limitations inherent in approaches that are solely medical or solely social underscore the need for a genuinely integrative model of ADHD. While the World Health Organization’s ICD-</w:t>
      </w:r>
      <w:r w:rsidRPr="00EA44A5">
        <w:rPr>
          <w:rFonts w:ascii="Arial" w:hAnsi="Arial" w:cs="Arial"/>
        </w:rPr>
        <w:lastRenderedPageBreak/>
        <w:t>11 provides an important diagnostic and therapeutic framework, its categorical structure remains insufficient on its own to capture the full variability of lived experience. A more effective system would combine this with dimensional models—recognising ADHD traits along continua—and contextual perspectives that account for environmental, developmental, and socio-cultural influences. Such an approach would allow clinicians to move beyond rigid classifications toward more personalised and responsive care.</w:t>
      </w:r>
    </w:p>
    <w:p w14:paraId="05BB7675" w14:textId="77777777" w:rsidR="00EA44A5" w:rsidRPr="00EA44A5" w:rsidRDefault="00EA44A5" w:rsidP="00EA44A5">
      <w:pPr>
        <w:spacing w:line="360" w:lineRule="auto"/>
        <w:rPr>
          <w:rFonts w:ascii="Arial" w:hAnsi="Arial" w:cs="Arial"/>
        </w:rPr>
      </w:pPr>
      <w:r w:rsidRPr="00EA44A5">
        <w:rPr>
          <w:rFonts w:ascii="Arial" w:hAnsi="Arial" w:cs="Arial"/>
        </w:rPr>
        <w:t>In the UK context, this theoretical shift must be accompanied by both policy reform and transformation in clinical practice. Reducing waiting times within the National Health Service is critical to ensuring equitable access to timely diagnosis and intervention. Current delays not only exacerbate difficulties for individuals but also widen existing inequalities. At the same time, structural reforms are needed in education and employment systems. The Special Educational Needs and Disabilities (SEND) system and workplace support frameworks often rely heavily on formal diagnosis as a gateway to assistance. Transitioning toward needs-based models—where support is provided according to functional difficulties rather than diagnostic labels—would promote inclusivity and reduce barriers to care.</w:t>
      </w:r>
    </w:p>
    <w:p w14:paraId="03BC2CCA" w14:textId="77777777" w:rsidR="00EA44A5" w:rsidRPr="00EA44A5" w:rsidRDefault="00EA44A5" w:rsidP="00EA44A5">
      <w:pPr>
        <w:spacing w:line="360" w:lineRule="auto"/>
        <w:rPr>
          <w:rFonts w:ascii="Arial" w:hAnsi="Arial" w:cs="Arial"/>
        </w:rPr>
      </w:pPr>
      <w:r w:rsidRPr="00EA44A5">
        <w:rPr>
          <w:rFonts w:ascii="Arial" w:hAnsi="Arial" w:cs="Arial"/>
        </w:rPr>
        <w:t>Furthermore, there is a pressing need to rebalance investment toward non-pharmacological interventions. While medication can play a valuable role, over-reliance risks reinforcing a narrow, biomedical understanding of ADHD. Expanding access to psychological therapies, behavioural interventions, coaching, and environmental adaptations would support a more holistic conception of care. This includes school-based interventions, workplace adjustments, and family support systems, all of which recognise ADHD as an interaction between individual traits and contextual demands.</w:t>
      </w:r>
    </w:p>
    <w:p w14:paraId="650F0365" w14:textId="77777777" w:rsidR="00EA44A5" w:rsidRPr="00EA44A5" w:rsidRDefault="00EA44A5" w:rsidP="00EA44A5">
      <w:pPr>
        <w:spacing w:line="360" w:lineRule="auto"/>
        <w:rPr>
          <w:rFonts w:ascii="Arial" w:hAnsi="Arial" w:cs="Arial"/>
        </w:rPr>
      </w:pPr>
      <w:r w:rsidRPr="00EA44A5">
        <w:rPr>
          <w:rFonts w:ascii="Arial" w:hAnsi="Arial" w:cs="Arial"/>
        </w:rPr>
        <w:t>Without such investment, treatment paradigms will remain disproportionately medicalised, limiting both public understanding and clinical effectiveness. A comprehensive approach—integrating diagnostic reform, policy change, and diversified therapeutic provision—offers the most promising path toward a system that is not only clinically robust but also socially just and responsive to individual diversity.</w:t>
      </w:r>
    </w:p>
    <w:p w14:paraId="081FCCBD" w14:textId="0C021482" w:rsidR="00EA44A5" w:rsidRPr="00EA44A5" w:rsidRDefault="00EA44A5" w:rsidP="00EA44A5">
      <w:pPr>
        <w:spacing w:line="360" w:lineRule="auto"/>
        <w:rPr>
          <w:rFonts w:ascii="Arial" w:hAnsi="Arial" w:cs="Arial"/>
        </w:rPr>
      </w:pPr>
    </w:p>
    <w:p w14:paraId="1EDDA57A" w14:textId="77777777" w:rsidR="00EA44A5" w:rsidRPr="00EA44A5" w:rsidRDefault="00EA44A5" w:rsidP="00EA44A5">
      <w:pPr>
        <w:spacing w:line="360" w:lineRule="auto"/>
        <w:rPr>
          <w:rFonts w:ascii="Arial" w:hAnsi="Arial" w:cs="Arial"/>
        </w:rPr>
      </w:pPr>
    </w:p>
    <w:p w14:paraId="74374818" w14:textId="46FE24FC" w:rsidR="00EA44A5" w:rsidRPr="00EA44A5" w:rsidRDefault="00EA44A5" w:rsidP="00EA44A5">
      <w:pPr>
        <w:spacing w:line="360" w:lineRule="auto"/>
        <w:rPr>
          <w:rFonts w:ascii="Arial" w:hAnsi="Arial" w:cs="Arial"/>
          <w:b/>
          <w:bCs/>
        </w:rPr>
      </w:pPr>
      <w:r w:rsidRPr="00EA44A5">
        <w:rPr>
          <w:rFonts w:ascii="Arial" w:hAnsi="Arial" w:cs="Arial"/>
          <w:b/>
          <w:bCs/>
        </w:rPr>
        <w:t>Conclusion</w:t>
      </w:r>
    </w:p>
    <w:p w14:paraId="3CE7CA6F" w14:textId="47DFEA96" w:rsidR="00EA44A5" w:rsidRPr="00EA44A5" w:rsidRDefault="00EA44A5" w:rsidP="00EA44A5">
      <w:pPr>
        <w:spacing w:line="360" w:lineRule="auto"/>
        <w:rPr>
          <w:rFonts w:ascii="Arial" w:hAnsi="Arial" w:cs="Arial"/>
        </w:rPr>
      </w:pPr>
      <w:r w:rsidRPr="00EA44A5">
        <w:rPr>
          <w:rFonts w:ascii="Arial" w:hAnsi="Arial" w:cs="Arial"/>
        </w:rPr>
        <w:br/>
        <w:t xml:space="preserve">ADHD, as defined in ICD-11, constitutes a clinically significant yet conceptually limited framework that continues to influence both professional comprehension and personal experience. The categorisation offers crucial diagnostic clarity and aids in treatment access, </w:t>
      </w:r>
      <w:r w:rsidRPr="00EA44A5">
        <w:rPr>
          <w:rFonts w:ascii="Arial" w:hAnsi="Arial" w:cs="Arial"/>
        </w:rPr>
        <w:lastRenderedPageBreak/>
        <w:t xml:space="preserve">although it is mostly based on a category and deficit-focused approach that fails to encompass the diversity and contextual aspects of ADHD. In the UK, the ramifications of this framework surpass clinical practice, serving as a conduit for healthcare access, educational assistance, and legal safeguards under disability law. ADHD functions as both a diagnostic classification and a socially constructed status, shaped by legislative frameworks, institutional practices, and cultural norms. </w:t>
      </w:r>
      <w:r w:rsidRPr="00EA44A5">
        <w:rPr>
          <w:rFonts w:ascii="Arial" w:hAnsi="Arial" w:cs="Arial"/>
        </w:rPr>
        <w:br/>
        <w:t xml:space="preserve">The efficacy of this system is somewhat compromised by ongoing structural issues. Prolonged NHS waiting periods, geographical differences in service availability, and restricted access to non-pharmacological treatments underscore structural inequities that undermine the tenets of fair care. The dependence on diagnosis as a condition for support fosters exclusionary dynamics, resulting in persons who are undiagnosed or diagnosed late being refused access to vital services. This underscores the criticism that existing paradigms, albeit clinically sound, inadequately address real-world difficulties. </w:t>
      </w:r>
      <w:r w:rsidRPr="00EA44A5">
        <w:rPr>
          <w:rFonts w:ascii="Arial" w:hAnsi="Arial" w:cs="Arial"/>
        </w:rPr>
        <w:br/>
        <w:t xml:space="preserve">Simultaneously, discussions on medicalisation and neurodiversity reveal profound conceptual conflicts within the classification of ADHD. The biological paradigm, although facilitating the identification of impairments and access to therapy, poses the risk of </w:t>
      </w:r>
      <w:proofErr w:type="spellStart"/>
      <w:r w:rsidRPr="00EA44A5">
        <w:rPr>
          <w:rFonts w:ascii="Arial" w:hAnsi="Arial" w:cs="Arial"/>
        </w:rPr>
        <w:t>pathologising</w:t>
      </w:r>
      <w:proofErr w:type="spellEnd"/>
      <w:r w:rsidRPr="00EA44A5">
        <w:rPr>
          <w:rFonts w:ascii="Arial" w:hAnsi="Arial" w:cs="Arial"/>
        </w:rPr>
        <w:t xml:space="preserve"> cognitive differences and perpetuating stigma. Conversely, neurodiversity approaches contest deficit-oriented narratives by reconceptualising ADHD as a valid difference in cognitive performance. However, a completely </w:t>
      </w:r>
      <w:r w:rsidRPr="00EA44A5">
        <w:rPr>
          <w:rFonts w:ascii="Arial" w:hAnsi="Arial" w:cs="Arial"/>
        </w:rPr>
        <w:t>de-medicalised</w:t>
      </w:r>
      <w:r w:rsidRPr="00EA44A5">
        <w:rPr>
          <w:rFonts w:ascii="Arial" w:hAnsi="Arial" w:cs="Arial"/>
        </w:rPr>
        <w:t xml:space="preserve"> approach poses challenges within current UK institutions, where diagnosis is intricately linked to rights, assistance, and access to services. This underscores the necessity for a more balanced stance that neither disregards clinical truths nor neglects the influence of social and environmental elements. </w:t>
      </w:r>
      <w:r w:rsidRPr="00EA44A5">
        <w:rPr>
          <w:rFonts w:ascii="Arial" w:hAnsi="Arial" w:cs="Arial"/>
        </w:rPr>
        <w:br/>
        <w:t xml:space="preserve">A comprehensive </w:t>
      </w:r>
      <w:r w:rsidRPr="00EA44A5">
        <w:rPr>
          <w:rFonts w:ascii="Arial" w:hAnsi="Arial" w:cs="Arial"/>
        </w:rPr>
        <w:t>understanding of ADHD requires a critical synthesis of biological, psychological, and social perspectives</w:t>
      </w:r>
      <w:r w:rsidRPr="00EA44A5">
        <w:rPr>
          <w:rFonts w:ascii="Arial" w:hAnsi="Arial" w:cs="Arial"/>
        </w:rPr>
        <w:t xml:space="preserve">. Instead of perceiving these models as adversarial, a more constructive approach is to acknowledge their synergistic contributions. This entails advancing towards multidimensional and lifespan-sensitive diagnostic paradigms. Socially, it requires diminishing dependence on diagnosis as the exclusive pathway to assistance, while advocating for needs-based and inclusive systems in education and employment. This necessitates ongoing investment in NHS services, enhanced access to multidisciplinary treatments, and the reform of SEND and workplace support systems to guarantee consistency and fairness. </w:t>
      </w:r>
      <w:r w:rsidRPr="00EA44A5">
        <w:rPr>
          <w:rFonts w:ascii="Arial" w:hAnsi="Arial" w:cs="Arial"/>
        </w:rPr>
        <w:br/>
        <w:t>The future of ADHD categorisation and care depends on its ability to adapt to scientific data and societal changes. The ICD-11 establishes an essential framework, although it requires flexible and critical application within specific country settings, such as the UK. Aligning categorisation systems with inclusive policy frameworks and comprehensive care models enables a transition from limited conceptualisations of disease to a more equitable, person-</w:t>
      </w:r>
      <w:r w:rsidRPr="00EA44A5">
        <w:rPr>
          <w:rFonts w:ascii="Arial" w:hAnsi="Arial" w:cs="Arial"/>
        </w:rPr>
        <w:lastRenderedPageBreak/>
        <w:t>centred comprehension of ADHD. This strategy enhances therapeutic outcomes while fostering dignity, autonomy, and social involvement for persons throughout their lives.</w:t>
      </w:r>
    </w:p>
    <w:p w14:paraId="3785896B" w14:textId="77777777" w:rsidR="007D56DE" w:rsidRPr="00EA44A5" w:rsidRDefault="007D56DE" w:rsidP="00EA44A5">
      <w:pPr>
        <w:spacing w:line="360" w:lineRule="auto"/>
        <w:rPr>
          <w:rFonts w:ascii="Arial" w:hAnsi="Arial" w:cs="Arial"/>
        </w:rPr>
      </w:pPr>
    </w:p>
    <w:p w14:paraId="07FC25FE" w14:textId="77777777" w:rsidR="00EA44A5" w:rsidRPr="00EA44A5" w:rsidRDefault="00EA44A5" w:rsidP="00EA44A5">
      <w:pPr>
        <w:spacing w:line="360" w:lineRule="auto"/>
        <w:rPr>
          <w:rFonts w:ascii="Arial" w:hAnsi="Arial" w:cs="Arial"/>
        </w:rPr>
      </w:pPr>
    </w:p>
    <w:p w14:paraId="0DAB31DB" w14:textId="77777777" w:rsidR="00EA44A5" w:rsidRPr="00EA44A5" w:rsidRDefault="00EA44A5" w:rsidP="00EA44A5">
      <w:pPr>
        <w:spacing w:line="360" w:lineRule="auto"/>
        <w:rPr>
          <w:rFonts w:ascii="Arial" w:hAnsi="Arial" w:cs="Arial"/>
        </w:rPr>
      </w:pPr>
    </w:p>
    <w:p w14:paraId="6A25725A" w14:textId="77777777" w:rsidR="00EA44A5" w:rsidRPr="00EA44A5" w:rsidRDefault="00EA44A5" w:rsidP="00EA44A5">
      <w:pPr>
        <w:spacing w:line="360" w:lineRule="auto"/>
        <w:rPr>
          <w:rFonts w:ascii="Arial" w:hAnsi="Arial" w:cs="Arial"/>
        </w:rPr>
      </w:pPr>
    </w:p>
    <w:p w14:paraId="6BE0E192" w14:textId="77777777" w:rsidR="00EA44A5" w:rsidRPr="00EA44A5" w:rsidRDefault="00EA44A5" w:rsidP="00EA44A5">
      <w:pPr>
        <w:spacing w:line="360" w:lineRule="auto"/>
        <w:rPr>
          <w:rFonts w:ascii="Arial" w:hAnsi="Arial" w:cs="Arial"/>
        </w:rPr>
      </w:pPr>
    </w:p>
    <w:p w14:paraId="2063BA76" w14:textId="77777777" w:rsidR="00F14018" w:rsidRDefault="00F14018" w:rsidP="00EA44A5">
      <w:pPr>
        <w:spacing w:line="360" w:lineRule="auto"/>
        <w:rPr>
          <w:rFonts w:ascii="Arial" w:hAnsi="Arial" w:cs="Arial"/>
          <w:b/>
          <w:bCs/>
        </w:rPr>
      </w:pPr>
    </w:p>
    <w:p w14:paraId="50597715" w14:textId="77777777" w:rsidR="00F14018" w:rsidRDefault="00F14018" w:rsidP="00EA44A5">
      <w:pPr>
        <w:spacing w:line="360" w:lineRule="auto"/>
        <w:rPr>
          <w:rFonts w:ascii="Arial" w:hAnsi="Arial" w:cs="Arial"/>
          <w:b/>
          <w:bCs/>
        </w:rPr>
      </w:pPr>
    </w:p>
    <w:p w14:paraId="3DB38A51" w14:textId="77777777" w:rsidR="00F14018" w:rsidRDefault="00F14018" w:rsidP="00EA44A5">
      <w:pPr>
        <w:spacing w:line="360" w:lineRule="auto"/>
        <w:rPr>
          <w:rFonts w:ascii="Arial" w:hAnsi="Arial" w:cs="Arial"/>
          <w:b/>
          <w:bCs/>
        </w:rPr>
      </w:pPr>
    </w:p>
    <w:p w14:paraId="1B30E0CB" w14:textId="77777777" w:rsidR="00F14018" w:rsidRDefault="00F14018" w:rsidP="00EA44A5">
      <w:pPr>
        <w:spacing w:line="360" w:lineRule="auto"/>
        <w:rPr>
          <w:rFonts w:ascii="Arial" w:hAnsi="Arial" w:cs="Arial"/>
          <w:b/>
          <w:bCs/>
        </w:rPr>
      </w:pPr>
    </w:p>
    <w:p w14:paraId="737A8CF0" w14:textId="77777777" w:rsidR="00F14018" w:rsidRDefault="00F14018" w:rsidP="00EA44A5">
      <w:pPr>
        <w:spacing w:line="360" w:lineRule="auto"/>
        <w:rPr>
          <w:rFonts w:ascii="Arial" w:hAnsi="Arial" w:cs="Arial"/>
          <w:b/>
          <w:bCs/>
        </w:rPr>
      </w:pPr>
    </w:p>
    <w:p w14:paraId="59AD6EDE" w14:textId="77777777" w:rsidR="00F14018" w:rsidRDefault="00F14018" w:rsidP="00EA44A5">
      <w:pPr>
        <w:spacing w:line="360" w:lineRule="auto"/>
        <w:rPr>
          <w:rFonts w:ascii="Arial" w:hAnsi="Arial" w:cs="Arial"/>
          <w:b/>
          <w:bCs/>
        </w:rPr>
      </w:pPr>
    </w:p>
    <w:p w14:paraId="58C9F02D" w14:textId="77777777" w:rsidR="00F14018" w:rsidRDefault="00F14018" w:rsidP="00EA44A5">
      <w:pPr>
        <w:spacing w:line="360" w:lineRule="auto"/>
        <w:rPr>
          <w:rFonts w:ascii="Arial" w:hAnsi="Arial" w:cs="Arial"/>
          <w:b/>
          <w:bCs/>
        </w:rPr>
      </w:pPr>
    </w:p>
    <w:p w14:paraId="37DE5B55" w14:textId="77777777" w:rsidR="00F14018" w:rsidRDefault="00F14018" w:rsidP="00EA44A5">
      <w:pPr>
        <w:spacing w:line="360" w:lineRule="auto"/>
        <w:rPr>
          <w:rFonts w:ascii="Arial" w:hAnsi="Arial" w:cs="Arial"/>
          <w:b/>
          <w:bCs/>
        </w:rPr>
      </w:pPr>
    </w:p>
    <w:p w14:paraId="2ACFDD47" w14:textId="77777777" w:rsidR="00F14018" w:rsidRDefault="00F14018" w:rsidP="00EA44A5">
      <w:pPr>
        <w:spacing w:line="360" w:lineRule="auto"/>
        <w:rPr>
          <w:rFonts w:ascii="Arial" w:hAnsi="Arial" w:cs="Arial"/>
          <w:b/>
          <w:bCs/>
        </w:rPr>
      </w:pPr>
    </w:p>
    <w:p w14:paraId="62576C07" w14:textId="77777777" w:rsidR="00F14018" w:rsidRDefault="00F14018" w:rsidP="00EA44A5">
      <w:pPr>
        <w:spacing w:line="360" w:lineRule="auto"/>
        <w:rPr>
          <w:rFonts w:ascii="Arial" w:hAnsi="Arial" w:cs="Arial"/>
          <w:b/>
          <w:bCs/>
        </w:rPr>
      </w:pPr>
    </w:p>
    <w:p w14:paraId="557AD1F6" w14:textId="77777777" w:rsidR="00F14018" w:rsidRDefault="00F14018" w:rsidP="00EA44A5">
      <w:pPr>
        <w:spacing w:line="360" w:lineRule="auto"/>
        <w:rPr>
          <w:rFonts w:ascii="Arial" w:hAnsi="Arial" w:cs="Arial"/>
          <w:b/>
          <w:bCs/>
        </w:rPr>
      </w:pPr>
    </w:p>
    <w:p w14:paraId="177F061E" w14:textId="77777777" w:rsidR="00F14018" w:rsidRDefault="00F14018" w:rsidP="00EA44A5">
      <w:pPr>
        <w:spacing w:line="360" w:lineRule="auto"/>
        <w:rPr>
          <w:rFonts w:ascii="Arial" w:hAnsi="Arial" w:cs="Arial"/>
          <w:b/>
          <w:bCs/>
        </w:rPr>
      </w:pPr>
    </w:p>
    <w:p w14:paraId="321292FF" w14:textId="77777777" w:rsidR="00F14018" w:rsidRDefault="00F14018" w:rsidP="00EA44A5">
      <w:pPr>
        <w:spacing w:line="360" w:lineRule="auto"/>
        <w:rPr>
          <w:rFonts w:ascii="Arial" w:hAnsi="Arial" w:cs="Arial"/>
          <w:b/>
          <w:bCs/>
        </w:rPr>
      </w:pPr>
    </w:p>
    <w:p w14:paraId="03B59FA7" w14:textId="77777777" w:rsidR="00F14018" w:rsidRDefault="00F14018" w:rsidP="00EA44A5">
      <w:pPr>
        <w:spacing w:line="360" w:lineRule="auto"/>
        <w:rPr>
          <w:rFonts w:ascii="Arial" w:hAnsi="Arial" w:cs="Arial"/>
          <w:b/>
          <w:bCs/>
        </w:rPr>
      </w:pPr>
    </w:p>
    <w:p w14:paraId="3431712A" w14:textId="77777777" w:rsidR="00F14018" w:rsidRDefault="00F14018" w:rsidP="00EA44A5">
      <w:pPr>
        <w:spacing w:line="360" w:lineRule="auto"/>
        <w:rPr>
          <w:rFonts w:ascii="Arial" w:hAnsi="Arial" w:cs="Arial"/>
          <w:b/>
          <w:bCs/>
        </w:rPr>
      </w:pPr>
    </w:p>
    <w:p w14:paraId="1060562D" w14:textId="77777777" w:rsidR="00F14018" w:rsidRDefault="00F14018" w:rsidP="00EA44A5">
      <w:pPr>
        <w:spacing w:line="360" w:lineRule="auto"/>
        <w:rPr>
          <w:rFonts w:ascii="Arial" w:hAnsi="Arial" w:cs="Arial"/>
          <w:b/>
          <w:bCs/>
        </w:rPr>
      </w:pPr>
    </w:p>
    <w:p w14:paraId="77C55319" w14:textId="77777777" w:rsidR="00F14018" w:rsidRDefault="00F14018" w:rsidP="00EA44A5">
      <w:pPr>
        <w:spacing w:line="360" w:lineRule="auto"/>
        <w:rPr>
          <w:rFonts w:ascii="Arial" w:hAnsi="Arial" w:cs="Arial"/>
          <w:b/>
          <w:bCs/>
        </w:rPr>
      </w:pPr>
    </w:p>
    <w:p w14:paraId="12464A10" w14:textId="77777777" w:rsidR="00F14018" w:rsidRDefault="00F14018" w:rsidP="00EA44A5">
      <w:pPr>
        <w:spacing w:line="360" w:lineRule="auto"/>
        <w:rPr>
          <w:rFonts w:ascii="Arial" w:hAnsi="Arial" w:cs="Arial"/>
          <w:b/>
          <w:bCs/>
        </w:rPr>
      </w:pPr>
    </w:p>
    <w:p w14:paraId="213036A7" w14:textId="77777777" w:rsidR="00F14018" w:rsidRDefault="00F14018" w:rsidP="00EA44A5">
      <w:pPr>
        <w:spacing w:line="360" w:lineRule="auto"/>
        <w:rPr>
          <w:rFonts w:ascii="Arial" w:hAnsi="Arial" w:cs="Arial"/>
          <w:b/>
          <w:bCs/>
        </w:rPr>
      </w:pPr>
    </w:p>
    <w:p w14:paraId="5272B88D" w14:textId="2D93FBD0" w:rsidR="00EA44A5" w:rsidRPr="00EA44A5" w:rsidRDefault="00EA44A5" w:rsidP="00EA44A5">
      <w:pPr>
        <w:spacing w:line="360" w:lineRule="auto"/>
        <w:rPr>
          <w:rFonts w:ascii="Arial" w:hAnsi="Arial" w:cs="Arial"/>
          <w:b/>
          <w:bCs/>
        </w:rPr>
      </w:pPr>
      <w:r w:rsidRPr="00EA44A5">
        <w:rPr>
          <w:rFonts w:ascii="Arial" w:hAnsi="Arial" w:cs="Arial"/>
          <w:b/>
          <w:bCs/>
        </w:rPr>
        <w:lastRenderedPageBreak/>
        <w:t>References</w:t>
      </w:r>
    </w:p>
    <w:p w14:paraId="161EE5CC" w14:textId="77777777" w:rsidR="00EA44A5" w:rsidRPr="00EA44A5" w:rsidRDefault="00EA44A5" w:rsidP="00EA44A5">
      <w:pPr>
        <w:spacing w:line="360" w:lineRule="auto"/>
        <w:rPr>
          <w:rFonts w:ascii="Arial" w:hAnsi="Arial" w:cs="Arial"/>
        </w:rPr>
      </w:pPr>
      <w:r w:rsidRPr="00EA44A5">
        <w:rPr>
          <w:rFonts w:ascii="Arial" w:hAnsi="Arial" w:cs="Arial"/>
        </w:rPr>
        <w:t xml:space="preserve">Asherson, P., </w:t>
      </w:r>
      <w:proofErr w:type="spellStart"/>
      <w:r w:rsidRPr="00EA44A5">
        <w:rPr>
          <w:rFonts w:ascii="Arial" w:hAnsi="Arial" w:cs="Arial"/>
        </w:rPr>
        <w:t>Buitelaar</w:t>
      </w:r>
      <w:proofErr w:type="spellEnd"/>
      <w:r w:rsidRPr="00EA44A5">
        <w:rPr>
          <w:rFonts w:ascii="Arial" w:hAnsi="Arial" w:cs="Arial"/>
        </w:rPr>
        <w:t xml:space="preserve">, J., Faraone, S. and Rohde, L. (2021) ‘Adult attention-deficit hyperactivity disorder: key conceptual issues’, </w:t>
      </w:r>
      <w:r w:rsidRPr="00EA44A5">
        <w:rPr>
          <w:rFonts w:ascii="Arial" w:hAnsi="Arial" w:cs="Arial"/>
          <w:i/>
          <w:iCs/>
        </w:rPr>
        <w:t>The Lancet Psychiatry</w:t>
      </w:r>
      <w:r w:rsidRPr="00EA44A5">
        <w:rPr>
          <w:rFonts w:ascii="Arial" w:hAnsi="Arial" w:cs="Arial"/>
        </w:rPr>
        <w:t>, 8(7), pp. 568–578.</w:t>
      </w:r>
      <w:r w:rsidRPr="00EA44A5">
        <w:rPr>
          <w:rFonts w:ascii="Arial" w:hAnsi="Arial" w:cs="Arial"/>
        </w:rPr>
        <w:br/>
      </w:r>
      <w:proofErr w:type="spellStart"/>
      <w:r w:rsidRPr="00EA44A5">
        <w:rPr>
          <w:rFonts w:ascii="Arial" w:hAnsi="Arial" w:cs="Arial"/>
        </w:rPr>
        <w:t>Banaschewski</w:t>
      </w:r>
      <w:proofErr w:type="spellEnd"/>
      <w:r w:rsidRPr="00EA44A5">
        <w:rPr>
          <w:rFonts w:ascii="Arial" w:hAnsi="Arial" w:cs="Arial"/>
        </w:rPr>
        <w:t xml:space="preserve">, T. </w:t>
      </w:r>
      <w:r w:rsidRPr="00EA44A5">
        <w:rPr>
          <w:rFonts w:ascii="Arial" w:hAnsi="Arial" w:cs="Arial"/>
          <w:i/>
          <w:iCs/>
        </w:rPr>
        <w:t>et al.</w:t>
      </w:r>
      <w:r w:rsidRPr="00EA44A5">
        <w:rPr>
          <w:rFonts w:ascii="Arial" w:hAnsi="Arial" w:cs="Arial"/>
        </w:rPr>
        <w:t xml:space="preserve"> (2018) ‘Evidence-based pharmacological treatment of ADHD’, </w:t>
      </w:r>
      <w:r w:rsidRPr="00EA44A5">
        <w:rPr>
          <w:rFonts w:ascii="Arial" w:hAnsi="Arial" w:cs="Arial"/>
          <w:i/>
          <w:iCs/>
        </w:rPr>
        <w:t>World Psychiatry</w:t>
      </w:r>
      <w:r w:rsidRPr="00EA44A5">
        <w:rPr>
          <w:rFonts w:ascii="Arial" w:hAnsi="Arial" w:cs="Arial"/>
        </w:rPr>
        <w:t>, 17(2), pp. 151–162.</w:t>
      </w:r>
      <w:r w:rsidRPr="00EA44A5">
        <w:rPr>
          <w:rFonts w:ascii="Arial" w:hAnsi="Arial" w:cs="Arial"/>
        </w:rPr>
        <w:br/>
        <w:t xml:space="preserve">Barkley, R. (2020) </w:t>
      </w:r>
      <w:r w:rsidRPr="00EA44A5">
        <w:rPr>
          <w:rFonts w:ascii="Arial" w:hAnsi="Arial" w:cs="Arial"/>
          <w:i/>
          <w:iCs/>
        </w:rPr>
        <w:t>Attention-Deficit Hyperactivity Disorder: A Handbook for Diagnosis and Treatment</w:t>
      </w:r>
      <w:r w:rsidRPr="00EA44A5">
        <w:rPr>
          <w:rFonts w:ascii="Arial" w:hAnsi="Arial" w:cs="Arial"/>
        </w:rPr>
        <w:t xml:space="preserve">. 4th </w:t>
      </w:r>
      <w:proofErr w:type="spellStart"/>
      <w:r w:rsidRPr="00EA44A5">
        <w:rPr>
          <w:rFonts w:ascii="Arial" w:hAnsi="Arial" w:cs="Arial"/>
        </w:rPr>
        <w:t>edn</w:t>
      </w:r>
      <w:proofErr w:type="spellEnd"/>
      <w:r w:rsidRPr="00EA44A5">
        <w:rPr>
          <w:rFonts w:ascii="Arial" w:hAnsi="Arial" w:cs="Arial"/>
        </w:rPr>
        <w:t>. New York: Guilford Press.</w:t>
      </w:r>
      <w:r w:rsidRPr="00EA44A5">
        <w:rPr>
          <w:rFonts w:ascii="Arial" w:hAnsi="Arial" w:cs="Arial"/>
        </w:rPr>
        <w:br/>
        <w:t xml:space="preserve">Chapman, R. (2021) ‘Neurodiversity and the social ecology of mental functions’, </w:t>
      </w:r>
      <w:r w:rsidRPr="00EA44A5">
        <w:rPr>
          <w:rFonts w:ascii="Arial" w:hAnsi="Arial" w:cs="Arial"/>
          <w:i/>
          <w:iCs/>
        </w:rPr>
        <w:t>Perspectives on Psychological Science</w:t>
      </w:r>
      <w:r w:rsidRPr="00EA44A5">
        <w:rPr>
          <w:rFonts w:ascii="Arial" w:hAnsi="Arial" w:cs="Arial"/>
        </w:rPr>
        <w:t>, 16(6), pp. 1360–1372.</w:t>
      </w:r>
      <w:r w:rsidRPr="00EA44A5">
        <w:rPr>
          <w:rFonts w:ascii="Arial" w:hAnsi="Arial" w:cs="Arial"/>
        </w:rPr>
        <w:br/>
        <w:t xml:space="preserve">Coghill, D. and Seth, S. (2023) ‘ADHD across the lifespan’, </w:t>
      </w:r>
      <w:proofErr w:type="spellStart"/>
      <w:r w:rsidRPr="00EA44A5">
        <w:rPr>
          <w:rFonts w:ascii="Arial" w:hAnsi="Arial" w:cs="Arial"/>
          <w:i/>
          <w:iCs/>
        </w:rPr>
        <w:t>BJPsych</w:t>
      </w:r>
      <w:proofErr w:type="spellEnd"/>
      <w:r w:rsidRPr="00EA44A5">
        <w:rPr>
          <w:rFonts w:ascii="Arial" w:hAnsi="Arial" w:cs="Arial"/>
          <w:i/>
          <w:iCs/>
        </w:rPr>
        <w:t xml:space="preserve"> Advances</w:t>
      </w:r>
      <w:r w:rsidRPr="00EA44A5">
        <w:rPr>
          <w:rFonts w:ascii="Arial" w:hAnsi="Arial" w:cs="Arial"/>
        </w:rPr>
        <w:t>, 29(1), pp. 1–12.</w:t>
      </w:r>
      <w:r w:rsidRPr="00EA44A5">
        <w:rPr>
          <w:rFonts w:ascii="Arial" w:hAnsi="Arial" w:cs="Arial"/>
        </w:rPr>
        <w:br/>
        <w:t xml:space="preserve">Cortese, S. </w:t>
      </w:r>
      <w:r w:rsidRPr="00EA44A5">
        <w:rPr>
          <w:rFonts w:ascii="Arial" w:hAnsi="Arial" w:cs="Arial"/>
          <w:i/>
          <w:iCs/>
        </w:rPr>
        <w:t>et al.</w:t>
      </w:r>
      <w:r w:rsidRPr="00EA44A5">
        <w:rPr>
          <w:rFonts w:ascii="Arial" w:hAnsi="Arial" w:cs="Arial"/>
        </w:rPr>
        <w:t xml:space="preserve"> (2018) ‘Comparative efficacy and tolerability of medications for ADHD’, </w:t>
      </w:r>
      <w:r w:rsidRPr="00EA44A5">
        <w:rPr>
          <w:rFonts w:ascii="Arial" w:hAnsi="Arial" w:cs="Arial"/>
          <w:i/>
          <w:iCs/>
        </w:rPr>
        <w:t>The Lancet Psychiatry</w:t>
      </w:r>
      <w:r w:rsidRPr="00EA44A5">
        <w:rPr>
          <w:rFonts w:ascii="Arial" w:hAnsi="Arial" w:cs="Arial"/>
        </w:rPr>
        <w:t>, 5(9), pp. 727–738.</w:t>
      </w:r>
      <w:r w:rsidRPr="00EA44A5">
        <w:rPr>
          <w:rFonts w:ascii="Arial" w:hAnsi="Arial" w:cs="Arial"/>
        </w:rPr>
        <w:br/>
        <w:t xml:space="preserve">Faraone, S. and </w:t>
      </w:r>
      <w:proofErr w:type="spellStart"/>
      <w:r w:rsidRPr="00EA44A5">
        <w:rPr>
          <w:rFonts w:ascii="Arial" w:hAnsi="Arial" w:cs="Arial"/>
        </w:rPr>
        <w:t>Buitelaar</w:t>
      </w:r>
      <w:proofErr w:type="spellEnd"/>
      <w:r w:rsidRPr="00EA44A5">
        <w:rPr>
          <w:rFonts w:ascii="Arial" w:hAnsi="Arial" w:cs="Arial"/>
        </w:rPr>
        <w:t xml:space="preserve">, J. (2020) ‘Comparing the efficacy of stimulants for ADHD’, </w:t>
      </w:r>
      <w:r w:rsidRPr="00EA44A5">
        <w:rPr>
          <w:rFonts w:ascii="Arial" w:hAnsi="Arial" w:cs="Arial"/>
          <w:i/>
          <w:iCs/>
        </w:rPr>
        <w:t>European Child &amp; Adolescent Psychiatry</w:t>
      </w:r>
      <w:r w:rsidRPr="00EA44A5">
        <w:rPr>
          <w:rFonts w:ascii="Arial" w:hAnsi="Arial" w:cs="Arial"/>
        </w:rPr>
        <w:t>, 29(10), pp. 1337–1348.</w:t>
      </w:r>
      <w:r w:rsidRPr="00EA44A5">
        <w:rPr>
          <w:rFonts w:ascii="Arial" w:hAnsi="Arial" w:cs="Arial"/>
        </w:rPr>
        <w:br/>
        <w:t xml:space="preserve">Faraone, S. </w:t>
      </w:r>
      <w:r w:rsidRPr="00EA44A5">
        <w:rPr>
          <w:rFonts w:ascii="Arial" w:hAnsi="Arial" w:cs="Arial"/>
          <w:i/>
          <w:iCs/>
        </w:rPr>
        <w:t>et al.</w:t>
      </w:r>
      <w:r w:rsidRPr="00EA44A5">
        <w:rPr>
          <w:rFonts w:ascii="Arial" w:hAnsi="Arial" w:cs="Arial"/>
        </w:rPr>
        <w:t xml:space="preserve"> (2021) ‘The World Federation of ADHD consensus statement’, </w:t>
      </w:r>
      <w:r w:rsidRPr="00EA44A5">
        <w:rPr>
          <w:rFonts w:ascii="Arial" w:hAnsi="Arial" w:cs="Arial"/>
          <w:i/>
          <w:iCs/>
        </w:rPr>
        <w:t xml:space="preserve">Neuroscience &amp; </w:t>
      </w:r>
      <w:proofErr w:type="spellStart"/>
      <w:r w:rsidRPr="00EA44A5">
        <w:rPr>
          <w:rFonts w:ascii="Arial" w:hAnsi="Arial" w:cs="Arial"/>
          <w:i/>
          <w:iCs/>
        </w:rPr>
        <w:t>Biobehavioral</w:t>
      </w:r>
      <w:proofErr w:type="spellEnd"/>
      <w:r w:rsidRPr="00EA44A5">
        <w:rPr>
          <w:rFonts w:ascii="Arial" w:hAnsi="Arial" w:cs="Arial"/>
          <w:i/>
          <w:iCs/>
        </w:rPr>
        <w:t xml:space="preserve"> Reviews</w:t>
      </w:r>
      <w:r w:rsidRPr="00EA44A5">
        <w:rPr>
          <w:rFonts w:ascii="Arial" w:hAnsi="Arial" w:cs="Arial"/>
        </w:rPr>
        <w:t>, 128, pp. 789–818.</w:t>
      </w:r>
      <w:r w:rsidRPr="00EA44A5">
        <w:rPr>
          <w:rFonts w:ascii="Arial" w:hAnsi="Arial" w:cs="Arial"/>
        </w:rPr>
        <w:br/>
        <w:t xml:space="preserve">Frances, A. (2019) ‘The risks of overdiagnosis’, </w:t>
      </w:r>
      <w:r w:rsidRPr="00EA44A5">
        <w:rPr>
          <w:rFonts w:ascii="Arial" w:hAnsi="Arial" w:cs="Arial"/>
          <w:i/>
          <w:iCs/>
        </w:rPr>
        <w:t>BMJ</w:t>
      </w:r>
      <w:r w:rsidRPr="00EA44A5">
        <w:rPr>
          <w:rFonts w:ascii="Arial" w:hAnsi="Arial" w:cs="Arial"/>
        </w:rPr>
        <w:t>, 364, l55.</w:t>
      </w:r>
      <w:r w:rsidRPr="00EA44A5">
        <w:rPr>
          <w:rFonts w:ascii="Arial" w:hAnsi="Arial" w:cs="Arial"/>
        </w:rPr>
        <w:br/>
        <w:t xml:space="preserve">Langberg, J. </w:t>
      </w:r>
      <w:r w:rsidRPr="00EA44A5">
        <w:rPr>
          <w:rFonts w:ascii="Arial" w:hAnsi="Arial" w:cs="Arial"/>
          <w:i/>
          <w:iCs/>
        </w:rPr>
        <w:t>et al.</w:t>
      </w:r>
      <w:r w:rsidRPr="00EA44A5">
        <w:rPr>
          <w:rFonts w:ascii="Arial" w:hAnsi="Arial" w:cs="Arial"/>
        </w:rPr>
        <w:t xml:space="preserve"> (2020) ‘Interventions to improve executive functioning’, </w:t>
      </w:r>
      <w:r w:rsidRPr="00EA44A5">
        <w:rPr>
          <w:rFonts w:ascii="Arial" w:hAnsi="Arial" w:cs="Arial"/>
          <w:i/>
          <w:iCs/>
        </w:rPr>
        <w:t>Clinical Child and Family Psychology Review</w:t>
      </w:r>
      <w:r w:rsidRPr="00EA44A5">
        <w:rPr>
          <w:rFonts w:ascii="Arial" w:hAnsi="Arial" w:cs="Arial"/>
        </w:rPr>
        <w:t>, 23(3), pp. 386–410.</w:t>
      </w:r>
      <w:r w:rsidRPr="00EA44A5">
        <w:rPr>
          <w:rFonts w:ascii="Arial" w:hAnsi="Arial" w:cs="Arial"/>
        </w:rPr>
        <w:br/>
        <w:t xml:space="preserve">NICE (2018) </w:t>
      </w:r>
      <w:r w:rsidRPr="00EA44A5">
        <w:rPr>
          <w:rFonts w:ascii="Arial" w:hAnsi="Arial" w:cs="Arial"/>
          <w:i/>
          <w:iCs/>
        </w:rPr>
        <w:t>Attention Deficit Hyperactivity Disorder: Diagnosis and Management (NG87)</w:t>
      </w:r>
      <w:r w:rsidRPr="00EA44A5">
        <w:rPr>
          <w:rFonts w:ascii="Arial" w:hAnsi="Arial" w:cs="Arial"/>
        </w:rPr>
        <w:t>. London: NICE.</w:t>
      </w:r>
      <w:r w:rsidRPr="00EA44A5">
        <w:rPr>
          <w:rFonts w:ascii="Arial" w:hAnsi="Arial" w:cs="Arial"/>
        </w:rPr>
        <w:br/>
      </w:r>
      <w:proofErr w:type="spellStart"/>
      <w:r w:rsidRPr="00EA44A5">
        <w:rPr>
          <w:rFonts w:ascii="Arial" w:hAnsi="Arial" w:cs="Arial"/>
        </w:rPr>
        <w:t>Polanczyk</w:t>
      </w:r>
      <w:proofErr w:type="spellEnd"/>
      <w:r w:rsidRPr="00EA44A5">
        <w:rPr>
          <w:rFonts w:ascii="Arial" w:hAnsi="Arial" w:cs="Arial"/>
        </w:rPr>
        <w:t xml:space="preserve">, G. </w:t>
      </w:r>
      <w:r w:rsidRPr="00EA44A5">
        <w:rPr>
          <w:rFonts w:ascii="Arial" w:hAnsi="Arial" w:cs="Arial"/>
          <w:i/>
          <w:iCs/>
        </w:rPr>
        <w:t>et al.</w:t>
      </w:r>
      <w:r w:rsidRPr="00EA44A5">
        <w:rPr>
          <w:rFonts w:ascii="Arial" w:hAnsi="Arial" w:cs="Arial"/>
        </w:rPr>
        <w:t xml:space="preserve"> (2019) ‘ADHD prevalence estimates across cultures’, </w:t>
      </w:r>
      <w:r w:rsidRPr="00EA44A5">
        <w:rPr>
          <w:rFonts w:ascii="Arial" w:hAnsi="Arial" w:cs="Arial"/>
          <w:i/>
          <w:iCs/>
        </w:rPr>
        <w:t>American Journal of Psychiatry</w:t>
      </w:r>
      <w:r w:rsidRPr="00EA44A5">
        <w:rPr>
          <w:rFonts w:ascii="Arial" w:hAnsi="Arial" w:cs="Arial"/>
        </w:rPr>
        <w:t>, 176(11), pp. 944–956.</w:t>
      </w:r>
      <w:r w:rsidRPr="00EA44A5">
        <w:rPr>
          <w:rFonts w:ascii="Arial" w:hAnsi="Arial" w:cs="Arial"/>
        </w:rPr>
        <w:br/>
        <w:t xml:space="preserve">Riddell, S. </w:t>
      </w:r>
      <w:r w:rsidRPr="00EA44A5">
        <w:rPr>
          <w:rFonts w:ascii="Arial" w:hAnsi="Arial" w:cs="Arial"/>
          <w:i/>
          <w:iCs/>
        </w:rPr>
        <w:t>et al.</w:t>
      </w:r>
      <w:r w:rsidRPr="00EA44A5">
        <w:rPr>
          <w:rFonts w:ascii="Arial" w:hAnsi="Arial" w:cs="Arial"/>
        </w:rPr>
        <w:t xml:space="preserve"> (2020) ‘Disability, education and employment’, </w:t>
      </w:r>
      <w:r w:rsidRPr="00EA44A5">
        <w:rPr>
          <w:rFonts w:ascii="Arial" w:hAnsi="Arial" w:cs="Arial"/>
          <w:i/>
          <w:iCs/>
        </w:rPr>
        <w:t>Disability &amp; Society</w:t>
      </w:r>
      <w:r w:rsidRPr="00EA44A5">
        <w:rPr>
          <w:rFonts w:ascii="Arial" w:hAnsi="Arial" w:cs="Arial"/>
        </w:rPr>
        <w:t>, 35(5), pp. 695–714.</w:t>
      </w:r>
      <w:r w:rsidRPr="00EA44A5">
        <w:rPr>
          <w:rFonts w:ascii="Arial" w:hAnsi="Arial" w:cs="Arial"/>
        </w:rPr>
        <w:br/>
        <w:t xml:space="preserve">Sayal, K. </w:t>
      </w:r>
      <w:r w:rsidRPr="00EA44A5">
        <w:rPr>
          <w:rFonts w:ascii="Arial" w:hAnsi="Arial" w:cs="Arial"/>
          <w:i/>
          <w:iCs/>
        </w:rPr>
        <w:t>et al.</w:t>
      </w:r>
      <w:r w:rsidRPr="00EA44A5">
        <w:rPr>
          <w:rFonts w:ascii="Arial" w:hAnsi="Arial" w:cs="Arial"/>
        </w:rPr>
        <w:t xml:space="preserve"> (2018) ‘ADHD in females’, </w:t>
      </w:r>
      <w:r w:rsidRPr="00EA44A5">
        <w:rPr>
          <w:rFonts w:ascii="Arial" w:hAnsi="Arial" w:cs="Arial"/>
          <w:i/>
          <w:iCs/>
        </w:rPr>
        <w:t>The Lancet Psychiatry</w:t>
      </w:r>
      <w:r w:rsidRPr="00EA44A5">
        <w:rPr>
          <w:rFonts w:ascii="Arial" w:hAnsi="Arial" w:cs="Arial"/>
        </w:rPr>
        <w:t>, 5(6), pp. 517–528.</w:t>
      </w:r>
      <w:r w:rsidRPr="00EA44A5">
        <w:rPr>
          <w:rFonts w:ascii="Arial" w:hAnsi="Arial" w:cs="Arial"/>
        </w:rPr>
        <w:br/>
        <w:t xml:space="preserve">Singer, J. (2017) </w:t>
      </w:r>
      <w:r w:rsidRPr="00EA44A5">
        <w:rPr>
          <w:rFonts w:ascii="Arial" w:hAnsi="Arial" w:cs="Arial"/>
          <w:i/>
          <w:iCs/>
        </w:rPr>
        <w:t>Neurodiversity: The Birth of an Idea</w:t>
      </w:r>
      <w:r w:rsidRPr="00EA44A5">
        <w:rPr>
          <w:rFonts w:ascii="Arial" w:hAnsi="Arial" w:cs="Arial"/>
        </w:rPr>
        <w:t xml:space="preserve">. Kindle </w:t>
      </w:r>
      <w:proofErr w:type="spellStart"/>
      <w:r w:rsidRPr="00EA44A5">
        <w:rPr>
          <w:rFonts w:ascii="Arial" w:hAnsi="Arial" w:cs="Arial"/>
        </w:rPr>
        <w:t>edn</w:t>
      </w:r>
      <w:proofErr w:type="spellEnd"/>
      <w:r w:rsidRPr="00EA44A5">
        <w:rPr>
          <w:rFonts w:ascii="Arial" w:hAnsi="Arial" w:cs="Arial"/>
        </w:rPr>
        <w:t>.</w:t>
      </w:r>
      <w:r w:rsidRPr="00EA44A5">
        <w:rPr>
          <w:rFonts w:ascii="Arial" w:hAnsi="Arial" w:cs="Arial"/>
        </w:rPr>
        <w:br/>
      </w:r>
      <w:proofErr w:type="spellStart"/>
      <w:r w:rsidRPr="00EA44A5">
        <w:rPr>
          <w:rFonts w:ascii="Arial" w:hAnsi="Arial" w:cs="Arial"/>
        </w:rPr>
        <w:t>Timimi</w:t>
      </w:r>
      <w:proofErr w:type="spellEnd"/>
      <w:r w:rsidRPr="00EA44A5">
        <w:rPr>
          <w:rFonts w:ascii="Arial" w:hAnsi="Arial" w:cs="Arial"/>
        </w:rPr>
        <w:t xml:space="preserve">, S. and Taylor, E. (2021) ‘ADHD is best understood as a cultural construct’, </w:t>
      </w:r>
      <w:r w:rsidRPr="00EA44A5">
        <w:rPr>
          <w:rFonts w:ascii="Arial" w:hAnsi="Arial" w:cs="Arial"/>
          <w:i/>
          <w:iCs/>
        </w:rPr>
        <w:t>British Journal of Psychiatry</w:t>
      </w:r>
      <w:r w:rsidRPr="00EA44A5">
        <w:rPr>
          <w:rFonts w:ascii="Arial" w:hAnsi="Arial" w:cs="Arial"/>
        </w:rPr>
        <w:t>, 219(4), pp. 1–3.</w:t>
      </w:r>
      <w:r w:rsidRPr="00EA44A5">
        <w:rPr>
          <w:rFonts w:ascii="Arial" w:hAnsi="Arial" w:cs="Arial"/>
        </w:rPr>
        <w:br/>
        <w:t xml:space="preserve">World Health Organization (2019) </w:t>
      </w:r>
      <w:r w:rsidRPr="00EA44A5">
        <w:rPr>
          <w:rFonts w:ascii="Arial" w:hAnsi="Arial" w:cs="Arial"/>
          <w:i/>
          <w:iCs/>
        </w:rPr>
        <w:t>International Classification of Diseases 11th Revision (ICD-11)</w:t>
      </w:r>
      <w:r w:rsidRPr="00EA44A5">
        <w:rPr>
          <w:rFonts w:ascii="Arial" w:hAnsi="Arial" w:cs="Arial"/>
        </w:rPr>
        <w:t>. Geneva: WHO.</w:t>
      </w:r>
    </w:p>
    <w:p w14:paraId="3A6E5DF2" w14:textId="77777777" w:rsidR="00EA44A5" w:rsidRDefault="00EA44A5"/>
    <w:sectPr w:rsidR="00EA44A5" w:rsidSect="000A5E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4A5"/>
    <w:rsid w:val="000A5ED9"/>
    <w:rsid w:val="002733DE"/>
    <w:rsid w:val="007D56DE"/>
    <w:rsid w:val="00CF212C"/>
    <w:rsid w:val="00EA44A5"/>
    <w:rsid w:val="00F14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604B"/>
  <w15:chartTrackingRefBased/>
  <w15:docId w15:val="{AF575642-F645-4524-A21D-3C288CF1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4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4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4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4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4A5"/>
    <w:rPr>
      <w:rFonts w:eastAsiaTheme="majorEastAsia" w:cstheme="majorBidi"/>
      <w:color w:val="272727" w:themeColor="text1" w:themeTint="D8"/>
    </w:rPr>
  </w:style>
  <w:style w:type="paragraph" w:styleId="Title">
    <w:name w:val="Title"/>
    <w:basedOn w:val="Normal"/>
    <w:next w:val="Normal"/>
    <w:link w:val="TitleChar"/>
    <w:uiPriority w:val="10"/>
    <w:qFormat/>
    <w:rsid w:val="00EA4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4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4A5"/>
    <w:pPr>
      <w:spacing w:before="160"/>
      <w:jc w:val="center"/>
    </w:pPr>
    <w:rPr>
      <w:i/>
      <w:iCs/>
      <w:color w:val="404040" w:themeColor="text1" w:themeTint="BF"/>
    </w:rPr>
  </w:style>
  <w:style w:type="character" w:customStyle="1" w:styleId="QuoteChar">
    <w:name w:val="Quote Char"/>
    <w:basedOn w:val="DefaultParagraphFont"/>
    <w:link w:val="Quote"/>
    <w:uiPriority w:val="29"/>
    <w:rsid w:val="00EA44A5"/>
    <w:rPr>
      <w:i/>
      <w:iCs/>
      <w:color w:val="404040" w:themeColor="text1" w:themeTint="BF"/>
    </w:rPr>
  </w:style>
  <w:style w:type="paragraph" w:styleId="ListParagraph">
    <w:name w:val="List Paragraph"/>
    <w:basedOn w:val="Normal"/>
    <w:uiPriority w:val="34"/>
    <w:qFormat/>
    <w:rsid w:val="00EA44A5"/>
    <w:pPr>
      <w:ind w:left="720"/>
      <w:contextualSpacing/>
    </w:pPr>
  </w:style>
  <w:style w:type="character" w:styleId="IntenseEmphasis">
    <w:name w:val="Intense Emphasis"/>
    <w:basedOn w:val="DefaultParagraphFont"/>
    <w:uiPriority w:val="21"/>
    <w:qFormat/>
    <w:rsid w:val="00EA44A5"/>
    <w:rPr>
      <w:i/>
      <w:iCs/>
      <w:color w:val="0F4761" w:themeColor="accent1" w:themeShade="BF"/>
    </w:rPr>
  </w:style>
  <w:style w:type="paragraph" w:styleId="IntenseQuote">
    <w:name w:val="Intense Quote"/>
    <w:basedOn w:val="Normal"/>
    <w:next w:val="Normal"/>
    <w:link w:val="IntenseQuoteChar"/>
    <w:uiPriority w:val="30"/>
    <w:qFormat/>
    <w:rsid w:val="00EA4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4A5"/>
    <w:rPr>
      <w:i/>
      <w:iCs/>
      <w:color w:val="0F4761" w:themeColor="accent1" w:themeShade="BF"/>
    </w:rPr>
  </w:style>
  <w:style w:type="character" w:styleId="IntenseReference">
    <w:name w:val="Intense Reference"/>
    <w:basedOn w:val="DefaultParagraphFont"/>
    <w:uiPriority w:val="32"/>
    <w:qFormat/>
    <w:rsid w:val="00EA44A5"/>
    <w:rPr>
      <w:b/>
      <w:bCs/>
      <w:smallCaps/>
      <w:color w:val="0F4761" w:themeColor="accent1" w:themeShade="BF"/>
      <w:spacing w:val="5"/>
    </w:rPr>
  </w:style>
  <w:style w:type="paragraph" w:styleId="NormalWeb">
    <w:name w:val="Normal (Web)"/>
    <w:basedOn w:val="Normal"/>
    <w:uiPriority w:val="99"/>
    <w:semiHidden/>
    <w:unhideWhenUsed/>
    <w:rsid w:val="00EA44A5"/>
    <w:rPr>
      <w:rFonts w:ascii="Times New Roman" w:hAnsi="Times New Roman" w:cs="Times New Roman"/>
      <w:sz w:val="24"/>
      <w:szCs w:val="24"/>
    </w:rPr>
  </w:style>
  <w:style w:type="paragraph" w:styleId="NoSpacing">
    <w:name w:val="No Spacing"/>
    <w:link w:val="NoSpacingChar"/>
    <w:uiPriority w:val="1"/>
    <w:qFormat/>
    <w:rsid w:val="000A5ED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A5ED9"/>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2781</Words>
  <Characters>19110</Characters>
  <Application>Microsoft Office Word</Application>
  <DocSecurity>0</DocSecurity>
  <Lines>323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PSYCHOLOGICAL CLASSIFICATIONS AND PROVISIONSModule Code BMHP6029</dc:subject>
  <dc:creator>Sobia Noreen (2319984)</dc:creator>
  <cp:keywords/>
  <dc:description/>
  <cp:lastModifiedBy>Sobia Noreen (2319984)</cp:lastModifiedBy>
  <cp:revision>2</cp:revision>
  <dcterms:created xsi:type="dcterms:W3CDTF">2026-04-05T10:56:00Z</dcterms:created>
  <dcterms:modified xsi:type="dcterms:W3CDTF">2026-04-05T10:56:00Z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d9aaead3-9e18-41c4-86f9-62e7bdc0b32c</vt:lpwstr>
  </property>
</Properties>
</file>