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0E43" w14:textId="23A5C68D" w:rsidR="00DB5F39" w:rsidRPr="00DB5F39" w:rsidRDefault="009B2A72" w:rsidP="00DB5F39">
      <w:pPr>
        <w:spacing w:after="0" w:line="360" w:lineRule="auto"/>
        <w:jc w:val="center"/>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3208D8C7">
                <wp:simplePos x="0" y="0"/>
                <wp:positionH relativeFrom="margin">
                  <wp:align>center</wp:align>
                </wp:positionH>
                <wp:positionV relativeFrom="page">
                  <wp:posOffset>826044</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7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09"/>
                              <w:gridCol w:w="2588"/>
                            </w:tblGrid>
                            <w:tr w:rsidR="00CD71D3" w14:paraId="4D67C6E0" w14:textId="77777777" w:rsidTr="0078435C">
                              <w:trPr>
                                <w:trHeight w:val="10470"/>
                                <w:jc w:val="center"/>
                              </w:trPr>
                              <w:tc>
                                <w:tcPr>
                                  <w:tcW w:w="3278" w:type="pct"/>
                                  <w:vAlign w:val="center"/>
                                </w:tcPr>
                                <w:sdt>
                                  <w:sdtPr>
                                    <w:rPr>
                                      <w:rFonts w:ascii="Arial" w:hAnsi="Arial" w:cs="Arial"/>
                                      <w:b/>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7B762EE1" w:rsidR="00CD71D3" w:rsidRPr="004728E1" w:rsidRDefault="0078435C" w:rsidP="00F0505E">
                                      <w:pPr>
                                        <w:pStyle w:val="NoSpacing"/>
                                        <w:spacing w:line="312" w:lineRule="auto"/>
                                        <w:jc w:val="center"/>
                                        <w:rPr>
                                          <w:rFonts w:ascii="Arial" w:hAnsi="Arial" w:cs="Arial"/>
                                          <w:caps/>
                                          <w:sz w:val="60"/>
                                          <w:szCs w:val="60"/>
                                        </w:rPr>
                                      </w:pPr>
                                      <w:r w:rsidRPr="0078435C">
                                        <w:rPr>
                                          <w:rFonts w:ascii="Arial" w:hAnsi="Arial" w:cs="Arial"/>
                                          <w:b/>
                                          <w:sz w:val="50"/>
                                          <w:szCs w:val="50"/>
                                        </w:rPr>
                                        <w:t xml:space="preserve">Dissertation: </w:t>
                                      </w:r>
                                      <w:r>
                                        <w:rPr>
                                          <w:rFonts w:ascii="Arial" w:hAnsi="Arial" w:cs="Arial"/>
                                          <w:b/>
                                          <w:sz w:val="50"/>
                                          <w:szCs w:val="50"/>
                                        </w:rPr>
                                        <w:t xml:space="preserve">                    </w:t>
                                      </w:r>
                                      <w:r w:rsidRPr="0078435C">
                                        <w:rPr>
                                          <w:rFonts w:ascii="Arial" w:hAnsi="Arial" w:cs="Arial"/>
                                          <w:b/>
                                          <w:sz w:val="50"/>
                                          <w:szCs w:val="50"/>
                                        </w:rPr>
                                        <w:t>THE ROLE OF COPPER MINING COMPANIES IN THE BALKANS IN SUPPORTING THE EU GREEN DEAL: ESG PERFORMANCE, CLIMATE RISK AND DECARBONIZATION CHALLENGES</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1722" w:type="pct"/>
                                  <w:vAlign w:val="center"/>
                                </w:tcPr>
                                <w:p w14:paraId="66F92CB0" w14:textId="77777777" w:rsidR="00CD71D3" w:rsidRPr="00011D37" w:rsidRDefault="00CD71D3">
                                  <w:pPr>
                                    <w:pStyle w:val="NoSpacing"/>
                                    <w:rPr>
                                      <w:rFonts w:ascii="Arial" w:eastAsiaTheme="minorHAnsi" w:hAnsi="Arial" w:cs="Arial"/>
                                      <w:sz w:val="32"/>
                                      <w:szCs w:val="32"/>
                                    </w:rPr>
                                  </w:pPr>
                                </w:p>
                                <w:p w14:paraId="175A66E7" w14:textId="751B76AE"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78435C" w:rsidRPr="00475B56">
                                        <w:rPr>
                                          <w:rFonts w:ascii="Arial" w:hAnsi="Arial" w:cs="Arial"/>
                                          <w:sz w:val="32"/>
                                          <w:szCs w:val="32"/>
                                        </w:rPr>
                                        <w:t xml:space="preserve">BA Business Management                Module Code: </w:t>
                                      </w:r>
                                      <w:r w:rsidR="0078435C" w:rsidRPr="00AF30C9">
                                        <w:rPr>
                                          <w:rFonts w:ascii="Arial" w:hAnsi="Arial" w:cs="Arial"/>
                                          <w:sz w:val="32"/>
                                          <w:szCs w:val="32"/>
                                        </w:rPr>
                                        <w:t>LCBB6000</w:t>
                                      </w:r>
                                    </w:sdtContent>
                                  </w:sdt>
                                </w:p>
                                <w:sdt>
                                  <w:sdtPr>
                                    <w:rPr>
                                      <w:rFonts w:ascii="Arial" w:eastAsiaTheme="minorHAnsi" w:hAnsi="Arial" w:cs="Arial"/>
                                      <w:i/>
                                      <w:iCs/>
                                      <w:sz w:val="32"/>
                                      <w:szCs w:val="32"/>
                                    </w:rPr>
                                    <w:alias w:val="Author"/>
                                    <w:tag w:val=""/>
                                    <w:id w:val="-1312175565"/>
                                    <w:dataBinding w:prefixMappings="xmlns:ns0='http://purl.org/dc/elements/1.1/' xmlns:ns1='http://schemas.openxmlformats.org/package/2006/metadata/core-properties' " w:xpath="/ns1:coreProperties[1]/ns0:creator[1]" w:storeItemID="{6C3C8BC8-F283-45AE-878A-BAB7291924A1}"/>
                                    <w:text/>
                                  </w:sdtPr>
                                  <w:sdtContent>
                                    <w:p w14:paraId="6F5315B4" w14:textId="2BF6301F" w:rsidR="00CD71D3" w:rsidRPr="00011D37" w:rsidRDefault="00011D37" w:rsidP="00386155">
                                      <w:pPr>
                                        <w:pStyle w:val="NoSpacing"/>
                                        <w:jc w:val="center"/>
                                        <w:rPr>
                                          <w:rFonts w:ascii="Arial" w:eastAsiaTheme="minorHAnsi" w:hAnsi="Arial" w:cs="Arial"/>
                                          <w:sz w:val="32"/>
                                          <w:szCs w:val="32"/>
                                        </w:rPr>
                                      </w:pPr>
                                      <w:r w:rsidRPr="00011D37">
                                        <w:rPr>
                                          <w:rFonts w:ascii="Arial" w:eastAsiaTheme="minorHAnsi" w:hAnsi="Arial" w:cs="Arial"/>
                                          <w:i/>
                                          <w:iCs/>
                                          <w:sz w:val="32"/>
                                          <w:szCs w:val="32"/>
                                        </w:rPr>
                                        <w:t xml:space="preserve">Dissertation supervisor:                       Dr Ibrahim Rufai                  </w:t>
                                      </w:r>
                                    </w:p>
                                  </w:sdtContent>
                                </w:sdt>
                                <w:p w14:paraId="61748038" w14:textId="43BAF455" w:rsidR="00CD71D3" w:rsidRPr="00011D37" w:rsidRDefault="00000000" w:rsidP="00386155">
                                  <w:pPr>
                                    <w:pStyle w:val="NoSpacing"/>
                                    <w:jc w:val="center"/>
                                    <w:rPr>
                                      <w:rFonts w:ascii="Arial" w:eastAsiaTheme="minorHAnsi" w:hAnsi="Arial" w:cs="Arial"/>
                                      <w:sz w:val="32"/>
                                      <w:szCs w:val="32"/>
                                    </w:rPr>
                                  </w:pPr>
                                  <w:sdt>
                                    <w:sdtPr>
                                      <w:rPr>
                                        <w:rFonts w:ascii="Arial" w:eastAsiaTheme="minorHAnsi" w:hAnsi="Arial" w:cs="Arial"/>
                                        <w:sz w:val="32"/>
                                        <w:szCs w:val="32"/>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11D37">
                                        <w:rPr>
                                          <w:rFonts w:ascii="Arial" w:eastAsiaTheme="minorHAnsi" w:hAnsi="Arial" w:cs="Arial"/>
                                          <w:sz w:val="32"/>
                                          <w:szCs w:val="32"/>
                                        </w:rPr>
                                        <w:t xml:space="preserve">                              </w:t>
                                      </w:r>
                                      <w:r w:rsidR="000221DF" w:rsidRPr="00011D37">
                                        <w:rPr>
                                          <w:rFonts w:ascii="Arial" w:eastAsiaTheme="minorHAnsi" w:hAnsi="Arial" w:cs="Arial"/>
                                          <w:sz w:val="32"/>
                                          <w:szCs w:val="32"/>
                                        </w:rPr>
                                        <w:t xml:space="preserve">Student: </w:t>
                                      </w:r>
                                      <w:r w:rsidR="00011D37">
                                        <w:rPr>
                                          <w:rFonts w:ascii="Arial" w:eastAsiaTheme="minorHAnsi" w:hAnsi="Arial" w:cs="Arial"/>
                                          <w:sz w:val="32"/>
                                          <w:szCs w:val="32"/>
                                        </w:rPr>
                                        <w:t xml:space="preserve">             </w:t>
                                      </w:r>
                                      <w:r w:rsidR="007E3E14" w:rsidRPr="00011D37">
                                        <w:rPr>
                                          <w:rFonts w:ascii="Arial" w:eastAsiaTheme="minorHAnsi" w:hAnsi="Arial" w:cs="Arial"/>
                                          <w:sz w:val="32"/>
                                          <w:szCs w:val="32"/>
                                        </w:rPr>
                                        <w:t>Georgi Dimitrov</w:t>
                                      </w:r>
                                      <w:r w:rsidR="0093386B" w:rsidRPr="00011D37">
                                        <w:rPr>
                                          <w:rFonts w:ascii="Arial" w:eastAsiaTheme="minorHAnsi" w:hAnsi="Arial" w:cs="Arial"/>
                                          <w:sz w:val="32"/>
                                          <w:szCs w:val="32"/>
                                        </w:rPr>
                                        <w:t xml:space="preserve">                    Student number 223034</w:t>
                                      </w:r>
                                      <w:r w:rsidR="007E3E14" w:rsidRPr="00011D37">
                                        <w:rPr>
                                          <w:rFonts w:ascii="Arial" w:eastAsiaTheme="minorHAnsi" w:hAnsi="Arial" w:cs="Arial"/>
                                          <w:sz w:val="32"/>
                                          <w:szCs w:val="32"/>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05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" fillcolor="white [3201]" stroked="f" strokeweight=".5pt">
                <v:textbox inset="0,0,0,0">
                  <w:txbxContent>
                    <w:tbl>
                      <w:tblPr>
                        <w:tblW w:w="4974"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09"/>
                        <w:gridCol w:w="2588"/>
                      </w:tblGrid>
                      <w:tr w:rsidR="00CD71D3" w14:paraId="4D67C6E0" w14:textId="77777777" w:rsidTr="0078435C">
                        <w:trPr>
                          <w:trHeight w:val="10470"/>
                          <w:jc w:val="center"/>
                        </w:trPr>
                        <w:tc>
                          <w:tcPr>
                            <w:tcW w:w="3278" w:type="pct"/>
                            <w:vAlign w:val="center"/>
                          </w:tcPr>
                          <w:sdt>
                            <w:sdtPr>
                              <w:rPr>
                                <w:rFonts w:ascii="Arial" w:hAnsi="Arial" w:cs="Arial"/>
                                <w:b/>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7B762EE1" w:rsidR="00CD71D3" w:rsidRPr="004728E1" w:rsidRDefault="0078435C" w:rsidP="00F0505E">
                                <w:pPr>
                                  <w:pStyle w:val="NoSpacing"/>
                                  <w:spacing w:line="312" w:lineRule="auto"/>
                                  <w:jc w:val="center"/>
                                  <w:rPr>
                                    <w:rFonts w:ascii="Arial" w:hAnsi="Arial" w:cs="Arial"/>
                                    <w:caps/>
                                    <w:sz w:val="60"/>
                                    <w:szCs w:val="60"/>
                                  </w:rPr>
                                </w:pPr>
                                <w:r w:rsidRPr="0078435C">
                                  <w:rPr>
                                    <w:rFonts w:ascii="Arial" w:hAnsi="Arial" w:cs="Arial"/>
                                    <w:b/>
                                    <w:sz w:val="50"/>
                                    <w:szCs w:val="50"/>
                                  </w:rPr>
                                  <w:t xml:space="preserve">Dissertation: </w:t>
                                </w:r>
                                <w:r>
                                  <w:rPr>
                                    <w:rFonts w:ascii="Arial" w:hAnsi="Arial" w:cs="Arial"/>
                                    <w:b/>
                                    <w:sz w:val="50"/>
                                    <w:szCs w:val="50"/>
                                  </w:rPr>
                                  <w:t xml:space="preserve">                    </w:t>
                                </w:r>
                                <w:r w:rsidRPr="0078435C">
                                  <w:rPr>
                                    <w:rFonts w:ascii="Arial" w:hAnsi="Arial" w:cs="Arial"/>
                                    <w:b/>
                                    <w:sz w:val="50"/>
                                    <w:szCs w:val="50"/>
                                  </w:rPr>
                                  <w:t>THE ROLE OF COPPER MINING COMPANIES IN THE BALKANS IN SUPPORTING THE EU GREEN DEAL: ESG PERFORMANCE, CLIMATE RISK AND DECARBONIZATION CHALLENGES</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1722" w:type="pct"/>
                            <w:vAlign w:val="center"/>
                          </w:tcPr>
                          <w:p w14:paraId="66F92CB0" w14:textId="77777777" w:rsidR="00CD71D3" w:rsidRPr="00011D37" w:rsidRDefault="00CD71D3">
                            <w:pPr>
                              <w:pStyle w:val="NoSpacing"/>
                              <w:rPr>
                                <w:rFonts w:ascii="Arial" w:eastAsiaTheme="minorHAnsi" w:hAnsi="Arial" w:cs="Arial"/>
                                <w:sz w:val="32"/>
                                <w:szCs w:val="32"/>
                              </w:rPr>
                            </w:pPr>
                          </w:p>
                          <w:p w14:paraId="175A66E7" w14:textId="751B76AE"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78435C" w:rsidRPr="00475B56">
                                  <w:rPr>
                                    <w:rFonts w:ascii="Arial" w:hAnsi="Arial" w:cs="Arial"/>
                                    <w:sz w:val="32"/>
                                    <w:szCs w:val="32"/>
                                  </w:rPr>
                                  <w:t xml:space="preserve">BA Business Management                Module Code: </w:t>
                                </w:r>
                                <w:r w:rsidR="0078435C" w:rsidRPr="00AF30C9">
                                  <w:rPr>
                                    <w:rFonts w:ascii="Arial" w:hAnsi="Arial" w:cs="Arial"/>
                                    <w:sz w:val="32"/>
                                    <w:szCs w:val="32"/>
                                  </w:rPr>
                                  <w:t>LCBB6000</w:t>
                                </w:r>
                              </w:sdtContent>
                            </w:sdt>
                          </w:p>
                          <w:sdt>
                            <w:sdtPr>
                              <w:rPr>
                                <w:rFonts w:ascii="Arial" w:eastAsiaTheme="minorHAnsi" w:hAnsi="Arial" w:cs="Arial"/>
                                <w:i/>
                                <w:iCs/>
                                <w:sz w:val="32"/>
                                <w:szCs w:val="32"/>
                              </w:rPr>
                              <w:alias w:val="Author"/>
                              <w:tag w:val=""/>
                              <w:id w:val="-1312175565"/>
                              <w:dataBinding w:prefixMappings="xmlns:ns0='http://purl.org/dc/elements/1.1/' xmlns:ns1='http://schemas.openxmlformats.org/package/2006/metadata/core-properties' " w:xpath="/ns1:coreProperties[1]/ns0:creator[1]" w:storeItemID="{6C3C8BC8-F283-45AE-878A-BAB7291924A1}"/>
                              <w:text/>
                            </w:sdtPr>
                            <w:sdtContent>
                              <w:p w14:paraId="6F5315B4" w14:textId="2BF6301F" w:rsidR="00CD71D3" w:rsidRPr="00011D37" w:rsidRDefault="00011D37" w:rsidP="00386155">
                                <w:pPr>
                                  <w:pStyle w:val="NoSpacing"/>
                                  <w:jc w:val="center"/>
                                  <w:rPr>
                                    <w:rFonts w:ascii="Arial" w:eastAsiaTheme="minorHAnsi" w:hAnsi="Arial" w:cs="Arial"/>
                                    <w:sz w:val="32"/>
                                    <w:szCs w:val="32"/>
                                  </w:rPr>
                                </w:pPr>
                                <w:r w:rsidRPr="00011D37">
                                  <w:rPr>
                                    <w:rFonts w:ascii="Arial" w:eastAsiaTheme="minorHAnsi" w:hAnsi="Arial" w:cs="Arial"/>
                                    <w:i/>
                                    <w:iCs/>
                                    <w:sz w:val="32"/>
                                    <w:szCs w:val="32"/>
                                  </w:rPr>
                                  <w:t xml:space="preserve">Dissertation supervisor:                       Dr Ibrahim Rufai                  </w:t>
                                </w:r>
                              </w:p>
                            </w:sdtContent>
                          </w:sdt>
                          <w:p w14:paraId="61748038" w14:textId="43BAF455" w:rsidR="00CD71D3" w:rsidRPr="00011D37" w:rsidRDefault="00000000" w:rsidP="00386155">
                            <w:pPr>
                              <w:pStyle w:val="NoSpacing"/>
                              <w:jc w:val="center"/>
                              <w:rPr>
                                <w:rFonts w:ascii="Arial" w:eastAsiaTheme="minorHAnsi" w:hAnsi="Arial" w:cs="Arial"/>
                                <w:sz w:val="32"/>
                                <w:szCs w:val="32"/>
                              </w:rPr>
                            </w:pPr>
                            <w:sdt>
                              <w:sdtPr>
                                <w:rPr>
                                  <w:rFonts w:ascii="Arial" w:eastAsiaTheme="minorHAnsi" w:hAnsi="Arial" w:cs="Arial"/>
                                  <w:sz w:val="32"/>
                                  <w:szCs w:val="32"/>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11D37">
                                  <w:rPr>
                                    <w:rFonts w:ascii="Arial" w:eastAsiaTheme="minorHAnsi" w:hAnsi="Arial" w:cs="Arial"/>
                                    <w:sz w:val="32"/>
                                    <w:szCs w:val="32"/>
                                  </w:rPr>
                                  <w:t xml:space="preserve">                              </w:t>
                                </w:r>
                                <w:r w:rsidR="000221DF" w:rsidRPr="00011D37">
                                  <w:rPr>
                                    <w:rFonts w:ascii="Arial" w:eastAsiaTheme="minorHAnsi" w:hAnsi="Arial" w:cs="Arial"/>
                                    <w:sz w:val="32"/>
                                    <w:szCs w:val="32"/>
                                  </w:rPr>
                                  <w:t xml:space="preserve">Student: </w:t>
                                </w:r>
                                <w:r w:rsidR="00011D37">
                                  <w:rPr>
                                    <w:rFonts w:ascii="Arial" w:eastAsiaTheme="minorHAnsi" w:hAnsi="Arial" w:cs="Arial"/>
                                    <w:sz w:val="32"/>
                                    <w:szCs w:val="32"/>
                                  </w:rPr>
                                  <w:t xml:space="preserve">             </w:t>
                                </w:r>
                                <w:r w:rsidR="007E3E14" w:rsidRPr="00011D37">
                                  <w:rPr>
                                    <w:rFonts w:ascii="Arial" w:eastAsiaTheme="minorHAnsi" w:hAnsi="Arial" w:cs="Arial"/>
                                    <w:sz w:val="32"/>
                                    <w:szCs w:val="32"/>
                                  </w:rPr>
                                  <w:t>Georgi Dimitrov</w:t>
                                </w:r>
                                <w:r w:rsidR="0093386B" w:rsidRPr="00011D37">
                                  <w:rPr>
                                    <w:rFonts w:ascii="Arial" w:eastAsiaTheme="minorHAnsi" w:hAnsi="Arial" w:cs="Arial"/>
                                    <w:sz w:val="32"/>
                                    <w:szCs w:val="32"/>
                                  </w:rPr>
                                  <w:t xml:space="preserve">                    Student number 223034</w:t>
                                </w:r>
                                <w:r w:rsidR="007E3E14" w:rsidRPr="00011D37">
                                  <w:rPr>
                                    <w:rFonts w:ascii="Arial" w:eastAsiaTheme="minorHAnsi" w:hAnsi="Arial" w:cs="Arial"/>
                                    <w:sz w:val="32"/>
                                    <w:szCs w:val="32"/>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12541BB2"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sdt>
      <w:sdtPr>
        <w:rPr>
          <w:rFonts w:asciiTheme="minorHAnsi" w:eastAsiaTheme="minorHAnsi" w:hAnsiTheme="minorHAnsi" w:cstheme="minorBidi"/>
          <w:color w:val="auto"/>
          <w:sz w:val="22"/>
          <w:szCs w:val="22"/>
        </w:rPr>
        <w:id w:val="-979311499"/>
        <w:docPartObj>
          <w:docPartGallery w:val="Table of Contents"/>
          <w:docPartUnique/>
        </w:docPartObj>
      </w:sdtPr>
      <w:sdtEndPr>
        <w:rPr>
          <w:b/>
          <w:bCs/>
          <w:noProof/>
        </w:rPr>
      </w:sdtEndPr>
      <w:sdtContent>
        <w:p w14:paraId="3ADC3CB6" w14:textId="77777777" w:rsidR="000A172E" w:rsidRDefault="000A172E" w:rsidP="000A172E">
          <w:pPr>
            <w:pStyle w:val="TOCHeading"/>
            <w:spacing w:before="0" w:after="120" w:line="360" w:lineRule="auto"/>
            <w:ind w:firstLine="720"/>
            <w:jc w:val="both"/>
            <w:rPr>
              <w:rFonts w:asciiTheme="minorHAnsi" w:eastAsiaTheme="minorHAnsi" w:hAnsiTheme="minorHAnsi" w:cstheme="minorBidi"/>
              <w:color w:val="auto"/>
              <w:sz w:val="22"/>
              <w:szCs w:val="22"/>
            </w:rPr>
          </w:pPr>
        </w:p>
        <w:p w14:paraId="5D477A1A" w14:textId="3B1BF6EA" w:rsidR="00F26256" w:rsidRDefault="00F26256" w:rsidP="000A172E">
          <w:pPr>
            <w:pStyle w:val="TOCHeading"/>
            <w:spacing w:before="0" w:after="120" w:line="360" w:lineRule="auto"/>
            <w:ind w:firstLine="720"/>
            <w:jc w:val="both"/>
            <w:rPr>
              <w:rFonts w:ascii="Arial" w:hAnsi="Arial" w:cs="Arial"/>
              <w:color w:val="auto"/>
              <w:sz w:val="40"/>
              <w:szCs w:val="40"/>
            </w:rPr>
          </w:pPr>
          <w:r w:rsidRPr="00D1740F">
            <w:rPr>
              <w:rFonts w:ascii="Arial" w:hAnsi="Arial" w:cs="Arial"/>
              <w:color w:val="auto"/>
              <w:sz w:val="40"/>
              <w:szCs w:val="40"/>
            </w:rPr>
            <w:t>Table of Contents</w:t>
          </w:r>
        </w:p>
        <w:p w14:paraId="31CC490C" w14:textId="77777777" w:rsidR="00117B6F" w:rsidRPr="000B0558" w:rsidRDefault="00117B6F" w:rsidP="000B0558">
          <w:pPr>
            <w:spacing w:after="0" w:line="360" w:lineRule="auto"/>
            <w:jc w:val="both"/>
            <w:rPr>
              <w:rFonts w:ascii="Arial" w:hAnsi="Arial" w:cs="Arial"/>
            </w:rPr>
          </w:pPr>
        </w:p>
        <w:p w14:paraId="1A2427C4" w14:textId="77777777" w:rsidR="00F26256" w:rsidRPr="000B0558" w:rsidRDefault="00F26256" w:rsidP="000B0558">
          <w:pPr>
            <w:spacing w:after="0" w:line="360" w:lineRule="auto"/>
            <w:jc w:val="both"/>
            <w:rPr>
              <w:rFonts w:ascii="Arial" w:hAnsi="Arial" w:cs="Arial"/>
            </w:rPr>
          </w:pPr>
        </w:p>
        <w:p w14:paraId="7741A991" w14:textId="090AD017" w:rsidR="008B22AC" w:rsidRDefault="00F26256">
          <w:pPr>
            <w:pStyle w:val="TOC1"/>
            <w:tabs>
              <w:tab w:val="right" w:leader="dot" w:pos="9962"/>
            </w:tabs>
            <w:rPr>
              <w:rFonts w:eastAsiaTheme="minorEastAsia"/>
              <w:noProof/>
              <w:sz w:val="24"/>
              <w:szCs w:val="24"/>
              <w:lang w:val="bg-BG" w:eastAsia="bg-BG"/>
            </w:rPr>
          </w:pPr>
          <w:r w:rsidRPr="000B0558">
            <w:rPr>
              <w:rFonts w:ascii="Arial" w:hAnsi="Arial" w:cs="Arial"/>
            </w:rPr>
            <w:fldChar w:fldCharType="begin"/>
          </w:r>
          <w:r w:rsidRPr="000B0558">
            <w:rPr>
              <w:rFonts w:ascii="Arial" w:hAnsi="Arial" w:cs="Arial"/>
            </w:rPr>
            <w:instrText xml:space="preserve"> TOC \o "1-3" \h \z \u </w:instrText>
          </w:r>
          <w:r w:rsidRPr="000B0558">
            <w:rPr>
              <w:rFonts w:ascii="Arial" w:hAnsi="Arial" w:cs="Arial"/>
            </w:rPr>
            <w:fldChar w:fldCharType="separate"/>
          </w:r>
          <w:hyperlink w:anchor="_Toc214615797" w:history="1">
            <w:r w:rsidR="008B22AC" w:rsidRPr="00867E8D">
              <w:rPr>
                <w:rStyle w:val="Hyperlink"/>
                <w:rFonts w:ascii="Arial" w:hAnsi="Arial" w:cs="Arial"/>
                <w:b/>
                <w:bCs/>
                <w:noProof/>
              </w:rPr>
              <w:t>ABSTRACT</w:t>
            </w:r>
            <w:r w:rsidR="008B22AC">
              <w:rPr>
                <w:noProof/>
                <w:webHidden/>
              </w:rPr>
              <w:tab/>
            </w:r>
            <w:r w:rsidR="008B22AC">
              <w:rPr>
                <w:noProof/>
                <w:webHidden/>
              </w:rPr>
              <w:fldChar w:fldCharType="begin"/>
            </w:r>
            <w:r w:rsidR="008B22AC">
              <w:rPr>
                <w:noProof/>
                <w:webHidden/>
              </w:rPr>
              <w:instrText xml:space="preserve"> PAGEREF _Toc214615797 \h </w:instrText>
            </w:r>
            <w:r w:rsidR="008B22AC">
              <w:rPr>
                <w:noProof/>
                <w:webHidden/>
              </w:rPr>
            </w:r>
            <w:r w:rsidR="008B22AC">
              <w:rPr>
                <w:noProof/>
                <w:webHidden/>
              </w:rPr>
              <w:fldChar w:fldCharType="separate"/>
            </w:r>
            <w:r w:rsidR="008B22AC">
              <w:rPr>
                <w:noProof/>
                <w:webHidden/>
              </w:rPr>
              <w:t>4</w:t>
            </w:r>
            <w:r w:rsidR="008B22AC">
              <w:rPr>
                <w:noProof/>
                <w:webHidden/>
              </w:rPr>
              <w:fldChar w:fldCharType="end"/>
            </w:r>
          </w:hyperlink>
        </w:p>
        <w:p w14:paraId="2D13129E" w14:textId="1936CDD5" w:rsidR="008B22AC" w:rsidRDefault="008B22AC">
          <w:pPr>
            <w:pStyle w:val="TOC1"/>
            <w:tabs>
              <w:tab w:val="right" w:leader="dot" w:pos="9962"/>
            </w:tabs>
            <w:rPr>
              <w:rFonts w:eastAsiaTheme="minorEastAsia"/>
              <w:noProof/>
              <w:sz w:val="24"/>
              <w:szCs w:val="24"/>
              <w:lang w:val="bg-BG" w:eastAsia="bg-BG"/>
            </w:rPr>
          </w:pPr>
          <w:hyperlink w:anchor="_Toc214615798" w:history="1">
            <w:r w:rsidRPr="00867E8D">
              <w:rPr>
                <w:rStyle w:val="Hyperlink"/>
                <w:rFonts w:ascii="Arial" w:hAnsi="Arial" w:cs="Arial"/>
                <w:b/>
                <w:bCs/>
                <w:noProof/>
              </w:rPr>
              <w:t>LIST OF FIGURES AND TABLES</w:t>
            </w:r>
            <w:r>
              <w:rPr>
                <w:noProof/>
                <w:webHidden/>
              </w:rPr>
              <w:tab/>
            </w:r>
            <w:r>
              <w:rPr>
                <w:noProof/>
                <w:webHidden/>
              </w:rPr>
              <w:fldChar w:fldCharType="begin"/>
            </w:r>
            <w:r>
              <w:rPr>
                <w:noProof/>
                <w:webHidden/>
              </w:rPr>
              <w:instrText xml:space="preserve"> PAGEREF _Toc214615798 \h </w:instrText>
            </w:r>
            <w:r>
              <w:rPr>
                <w:noProof/>
                <w:webHidden/>
              </w:rPr>
            </w:r>
            <w:r>
              <w:rPr>
                <w:noProof/>
                <w:webHidden/>
              </w:rPr>
              <w:fldChar w:fldCharType="separate"/>
            </w:r>
            <w:r>
              <w:rPr>
                <w:noProof/>
                <w:webHidden/>
              </w:rPr>
              <w:t>5</w:t>
            </w:r>
            <w:r>
              <w:rPr>
                <w:noProof/>
                <w:webHidden/>
              </w:rPr>
              <w:fldChar w:fldCharType="end"/>
            </w:r>
          </w:hyperlink>
        </w:p>
        <w:p w14:paraId="4FBE0373" w14:textId="4EC0F806" w:rsidR="008B22AC" w:rsidRDefault="008B22AC">
          <w:pPr>
            <w:pStyle w:val="TOC1"/>
            <w:tabs>
              <w:tab w:val="right" w:leader="dot" w:pos="9962"/>
            </w:tabs>
            <w:rPr>
              <w:rFonts w:eastAsiaTheme="minorEastAsia"/>
              <w:noProof/>
              <w:sz w:val="24"/>
              <w:szCs w:val="24"/>
              <w:lang w:val="bg-BG" w:eastAsia="bg-BG"/>
            </w:rPr>
          </w:pPr>
          <w:hyperlink w:anchor="_Toc214615799" w:history="1">
            <w:r w:rsidRPr="00867E8D">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_Toc214615799 \h </w:instrText>
            </w:r>
            <w:r>
              <w:rPr>
                <w:noProof/>
                <w:webHidden/>
              </w:rPr>
            </w:r>
            <w:r>
              <w:rPr>
                <w:noProof/>
                <w:webHidden/>
              </w:rPr>
              <w:fldChar w:fldCharType="separate"/>
            </w:r>
            <w:r>
              <w:rPr>
                <w:noProof/>
                <w:webHidden/>
              </w:rPr>
              <w:t>6</w:t>
            </w:r>
            <w:r>
              <w:rPr>
                <w:noProof/>
                <w:webHidden/>
              </w:rPr>
              <w:fldChar w:fldCharType="end"/>
            </w:r>
          </w:hyperlink>
        </w:p>
        <w:p w14:paraId="47973AA1" w14:textId="4D2FD49C" w:rsidR="008B22AC" w:rsidRDefault="008B22AC">
          <w:pPr>
            <w:pStyle w:val="TOC2"/>
            <w:tabs>
              <w:tab w:val="right" w:leader="dot" w:pos="9962"/>
            </w:tabs>
            <w:rPr>
              <w:rFonts w:eastAsiaTheme="minorEastAsia"/>
              <w:noProof/>
              <w:sz w:val="24"/>
              <w:szCs w:val="24"/>
              <w:lang w:val="bg-BG" w:eastAsia="bg-BG"/>
            </w:rPr>
          </w:pPr>
          <w:hyperlink w:anchor="_Toc214615800" w:history="1">
            <w:r w:rsidRPr="00867E8D">
              <w:rPr>
                <w:rStyle w:val="Hyperlink"/>
                <w:rFonts w:ascii="Arial" w:hAnsi="Arial" w:cs="Arial"/>
                <w:b/>
                <w:bCs/>
                <w:noProof/>
              </w:rPr>
              <w:t>1.1 Background</w:t>
            </w:r>
            <w:r>
              <w:rPr>
                <w:noProof/>
                <w:webHidden/>
              </w:rPr>
              <w:tab/>
            </w:r>
            <w:r>
              <w:rPr>
                <w:noProof/>
                <w:webHidden/>
              </w:rPr>
              <w:fldChar w:fldCharType="begin"/>
            </w:r>
            <w:r>
              <w:rPr>
                <w:noProof/>
                <w:webHidden/>
              </w:rPr>
              <w:instrText xml:space="preserve"> PAGEREF _Toc214615800 \h </w:instrText>
            </w:r>
            <w:r>
              <w:rPr>
                <w:noProof/>
                <w:webHidden/>
              </w:rPr>
            </w:r>
            <w:r>
              <w:rPr>
                <w:noProof/>
                <w:webHidden/>
              </w:rPr>
              <w:fldChar w:fldCharType="separate"/>
            </w:r>
            <w:r>
              <w:rPr>
                <w:noProof/>
                <w:webHidden/>
              </w:rPr>
              <w:t>6</w:t>
            </w:r>
            <w:r>
              <w:rPr>
                <w:noProof/>
                <w:webHidden/>
              </w:rPr>
              <w:fldChar w:fldCharType="end"/>
            </w:r>
          </w:hyperlink>
        </w:p>
        <w:p w14:paraId="0FB102E4" w14:textId="6F446A42" w:rsidR="008B22AC" w:rsidRDefault="008B22AC">
          <w:pPr>
            <w:pStyle w:val="TOC2"/>
            <w:tabs>
              <w:tab w:val="right" w:leader="dot" w:pos="9962"/>
            </w:tabs>
            <w:rPr>
              <w:rFonts w:eastAsiaTheme="minorEastAsia"/>
              <w:noProof/>
              <w:sz w:val="24"/>
              <w:szCs w:val="24"/>
              <w:lang w:val="bg-BG" w:eastAsia="bg-BG"/>
            </w:rPr>
          </w:pPr>
          <w:hyperlink w:anchor="_Toc214615801" w:history="1">
            <w:r w:rsidRPr="00867E8D">
              <w:rPr>
                <w:rStyle w:val="Hyperlink"/>
                <w:rFonts w:ascii="Arial" w:hAnsi="Arial" w:cs="Arial"/>
                <w:b/>
                <w:bCs/>
                <w:noProof/>
              </w:rPr>
              <w:t>1.2 Personal Motivation</w:t>
            </w:r>
            <w:r>
              <w:rPr>
                <w:noProof/>
                <w:webHidden/>
              </w:rPr>
              <w:tab/>
            </w:r>
            <w:r>
              <w:rPr>
                <w:noProof/>
                <w:webHidden/>
              </w:rPr>
              <w:fldChar w:fldCharType="begin"/>
            </w:r>
            <w:r>
              <w:rPr>
                <w:noProof/>
                <w:webHidden/>
              </w:rPr>
              <w:instrText xml:space="preserve"> PAGEREF _Toc214615801 \h </w:instrText>
            </w:r>
            <w:r>
              <w:rPr>
                <w:noProof/>
                <w:webHidden/>
              </w:rPr>
            </w:r>
            <w:r>
              <w:rPr>
                <w:noProof/>
                <w:webHidden/>
              </w:rPr>
              <w:fldChar w:fldCharType="separate"/>
            </w:r>
            <w:r>
              <w:rPr>
                <w:noProof/>
                <w:webHidden/>
              </w:rPr>
              <w:t>6</w:t>
            </w:r>
            <w:r>
              <w:rPr>
                <w:noProof/>
                <w:webHidden/>
              </w:rPr>
              <w:fldChar w:fldCharType="end"/>
            </w:r>
          </w:hyperlink>
        </w:p>
        <w:p w14:paraId="14C8947C" w14:textId="4A7E23C1" w:rsidR="008B22AC" w:rsidRDefault="008B22AC">
          <w:pPr>
            <w:pStyle w:val="TOC2"/>
            <w:tabs>
              <w:tab w:val="right" w:leader="dot" w:pos="9962"/>
            </w:tabs>
            <w:rPr>
              <w:rFonts w:eastAsiaTheme="minorEastAsia"/>
              <w:noProof/>
              <w:sz w:val="24"/>
              <w:szCs w:val="24"/>
              <w:lang w:val="bg-BG" w:eastAsia="bg-BG"/>
            </w:rPr>
          </w:pPr>
          <w:hyperlink w:anchor="_Toc214615802" w:history="1">
            <w:r w:rsidRPr="00867E8D">
              <w:rPr>
                <w:rStyle w:val="Hyperlink"/>
                <w:rFonts w:ascii="Arial" w:hAnsi="Arial" w:cs="Arial"/>
                <w:b/>
                <w:bCs/>
                <w:noProof/>
              </w:rPr>
              <w:t>1.3 Problem Statement</w:t>
            </w:r>
            <w:r>
              <w:rPr>
                <w:noProof/>
                <w:webHidden/>
              </w:rPr>
              <w:tab/>
            </w:r>
            <w:r>
              <w:rPr>
                <w:noProof/>
                <w:webHidden/>
              </w:rPr>
              <w:fldChar w:fldCharType="begin"/>
            </w:r>
            <w:r>
              <w:rPr>
                <w:noProof/>
                <w:webHidden/>
              </w:rPr>
              <w:instrText xml:space="preserve"> PAGEREF _Toc214615802 \h </w:instrText>
            </w:r>
            <w:r>
              <w:rPr>
                <w:noProof/>
                <w:webHidden/>
              </w:rPr>
            </w:r>
            <w:r>
              <w:rPr>
                <w:noProof/>
                <w:webHidden/>
              </w:rPr>
              <w:fldChar w:fldCharType="separate"/>
            </w:r>
            <w:r>
              <w:rPr>
                <w:noProof/>
                <w:webHidden/>
              </w:rPr>
              <w:t>7</w:t>
            </w:r>
            <w:r>
              <w:rPr>
                <w:noProof/>
                <w:webHidden/>
              </w:rPr>
              <w:fldChar w:fldCharType="end"/>
            </w:r>
          </w:hyperlink>
        </w:p>
        <w:p w14:paraId="6DF5209A" w14:textId="6770C351" w:rsidR="008B22AC" w:rsidRDefault="008B22AC">
          <w:pPr>
            <w:pStyle w:val="TOC2"/>
            <w:tabs>
              <w:tab w:val="right" w:leader="dot" w:pos="9962"/>
            </w:tabs>
            <w:rPr>
              <w:rFonts w:eastAsiaTheme="minorEastAsia"/>
              <w:noProof/>
              <w:sz w:val="24"/>
              <w:szCs w:val="24"/>
              <w:lang w:val="bg-BG" w:eastAsia="bg-BG"/>
            </w:rPr>
          </w:pPr>
          <w:hyperlink w:anchor="_Toc214615803" w:history="1">
            <w:r w:rsidRPr="00867E8D">
              <w:rPr>
                <w:rStyle w:val="Hyperlink"/>
                <w:rFonts w:ascii="Arial" w:hAnsi="Arial" w:cs="Arial"/>
                <w:b/>
                <w:bCs/>
                <w:noProof/>
              </w:rPr>
              <w:t>1.4 Research Rationale</w:t>
            </w:r>
            <w:r>
              <w:rPr>
                <w:noProof/>
                <w:webHidden/>
              </w:rPr>
              <w:tab/>
            </w:r>
            <w:r>
              <w:rPr>
                <w:noProof/>
                <w:webHidden/>
              </w:rPr>
              <w:fldChar w:fldCharType="begin"/>
            </w:r>
            <w:r>
              <w:rPr>
                <w:noProof/>
                <w:webHidden/>
              </w:rPr>
              <w:instrText xml:space="preserve"> PAGEREF _Toc214615803 \h </w:instrText>
            </w:r>
            <w:r>
              <w:rPr>
                <w:noProof/>
                <w:webHidden/>
              </w:rPr>
            </w:r>
            <w:r>
              <w:rPr>
                <w:noProof/>
                <w:webHidden/>
              </w:rPr>
              <w:fldChar w:fldCharType="separate"/>
            </w:r>
            <w:r>
              <w:rPr>
                <w:noProof/>
                <w:webHidden/>
              </w:rPr>
              <w:t>7</w:t>
            </w:r>
            <w:r>
              <w:rPr>
                <w:noProof/>
                <w:webHidden/>
              </w:rPr>
              <w:fldChar w:fldCharType="end"/>
            </w:r>
          </w:hyperlink>
        </w:p>
        <w:p w14:paraId="6FF09FB1" w14:textId="2226ED9A" w:rsidR="008B22AC" w:rsidRDefault="008B22AC">
          <w:pPr>
            <w:pStyle w:val="TOC2"/>
            <w:tabs>
              <w:tab w:val="right" w:leader="dot" w:pos="9962"/>
            </w:tabs>
            <w:rPr>
              <w:rFonts w:eastAsiaTheme="minorEastAsia"/>
              <w:noProof/>
              <w:sz w:val="24"/>
              <w:szCs w:val="24"/>
              <w:lang w:val="bg-BG" w:eastAsia="bg-BG"/>
            </w:rPr>
          </w:pPr>
          <w:hyperlink w:anchor="_Toc214615804" w:history="1">
            <w:r w:rsidRPr="00867E8D">
              <w:rPr>
                <w:rStyle w:val="Hyperlink"/>
                <w:rFonts w:ascii="Arial" w:hAnsi="Arial" w:cs="Arial"/>
                <w:b/>
                <w:bCs/>
                <w:noProof/>
              </w:rPr>
              <w:t>1.5 Research Aim and Contribution</w:t>
            </w:r>
            <w:r>
              <w:rPr>
                <w:noProof/>
                <w:webHidden/>
              </w:rPr>
              <w:tab/>
            </w:r>
            <w:r>
              <w:rPr>
                <w:noProof/>
                <w:webHidden/>
              </w:rPr>
              <w:fldChar w:fldCharType="begin"/>
            </w:r>
            <w:r>
              <w:rPr>
                <w:noProof/>
                <w:webHidden/>
              </w:rPr>
              <w:instrText xml:space="preserve"> PAGEREF _Toc214615804 \h </w:instrText>
            </w:r>
            <w:r>
              <w:rPr>
                <w:noProof/>
                <w:webHidden/>
              </w:rPr>
            </w:r>
            <w:r>
              <w:rPr>
                <w:noProof/>
                <w:webHidden/>
              </w:rPr>
              <w:fldChar w:fldCharType="separate"/>
            </w:r>
            <w:r>
              <w:rPr>
                <w:noProof/>
                <w:webHidden/>
              </w:rPr>
              <w:t>7</w:t>
            </w:r>
            <w:r>
              <w:rPr>
                <w:noProof/>
                <w:webHidden/>
              </w:rPr>
              <w:fldChar w:fldCharType="end"/>
            </w:r>
          </w:hyperlink>
        </w:p>
        <w:p w14:paraId="7D2B2AEE" w14:textId="2BF7E9D1" w:rsidR="008B22AC" w:rsidRDefault="008B22AC">
          <w:pPr>
            <w:pStyle w:val="TOC2"/>
            <w:tabs>
              <w:tab w:val="right" w:leader="dot" w:pos="9962"/>
            </w:tabs>
            <w:rPr>
              <w:rFonts w:eastAsiaTheme="minorEastAsia"/>
              <w:noProof/>
              <w:sz w:val="24"/>
              <w:szCs w:val="24"/>
              <w:lang w:val="bg-BG" w:eastAsia="bg-BG"/>
            </w:rPr>
          </w:pPr>
          <w:hyperlink w:anchor="_Toc214615805" w:history="1">
            <w:r w:rsidRPr="00867E8D">
              <w:rPr>
                <w:rStyle w:val="Hyperlink"/>
                <w:rFonts w:ascii="Arial" w:hAnsi="Arial" w:cs="Arial"/>
                <w:b/>
                <w:bCs/>
                <w:noProof/>
              </w:rPr>
              <w:t>1.6 Structure of the Dissertation</w:t>
            </w:r>
            <w:r>
              <w:rPr>
                <w:noProof/>
                <w:webHidden/>
              </w:rPr>
              <w:tab/>
            </w:r>
            <w:r>
              <w:rPr>
                <w:noProof/>
                <w:webHidden/>
              </w:rPr>
              <w:fldChar w:fldCharType="begin"/>
            </w:r>
            <w:r>
              <w:rPr>
                <w:noProof/>
                <w:webHidden/>
              </w:rPr>
              <w:instrText xml:space="preserve"> PAGEREF _Toc214615805 \h </w:instrText>
            </w:r>
            <w:r>
              <w:rPr>
                <w:noProof/>
                <w:webHidden/>
              </w:rPr>
            </w:r>
            <w:r>
              <w:rPr>
                <w:noProof/>
                <w:webHidden/>
              </w:rPr>
              <w:fldChar w:fldCharType="separate"/>
            </w:r>
            <w:r>
              <w:rPr>
                <w:noProof/>
                <w:webHidden/>
              </w:rPr>
              <w:t>8</w:t>
            </w:r>
            <w:r>
              <w:rPr>
                <w:noProof/>
                <w:webHidden/>
              </w:rPr>
              <w:fldChar w:fldCharType="end"/>
            </w:r>
          </w:hyperlink>
        </w:p>
        <w:p w14:paraId="7C1AE05F" w14:textId="67D07416" w:rsidR="008B22AC" w:rsidRDefault="008B22AC">
          <w:pPr>
            <w:pStyle w:val="TOC1"/>
            <w:tabs>
              <w:tab w:val="right" w:leader="dot" w:pos="9962"/>
            </w:tabs>
            <w:rPr>
              <w:rFonts w:eastAsiaTheme="minorEastAsia"/>
              <w:noProof/>
              <w:sz w:val="24"/>
              <w:szCs w:val="24"/>
              <w:lang w:val="bg-BG" w:eastAsia="bg-BG"/>
            </w:rPr>
          </w:pPr>
          <w:hyperlink w:anchor="_Toc214615806" w:history="1">
            <w:r w:rsidRPr="00867E8D">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_Toc214615806 \h </w:instrText>
            </w:r>
            <w:r>
              <w:rPr>
                <w:noProof/>
                <w:webHidden/>
              </w:rPr>
            </w:r>
            <w:r>
              <w:rPr>
                <w:noProof/>
                <w:webHidden/>
              </w:rPr>
              <w:fldChar w:fldCharType="separate"/>
            </w:r>
            <w:r>
              <w:rPr>
                <w:noProof/>
                <w:webHidden/>
              </w:rPr>
              <w:t>9</w:t>
            </w:r>
            <w:r>
              <w:rPr>
                <w:noProof/>
                <w:webHidden/>
              </w:rPr>
              <w:fldChar w:fldCharType="end"/>
            </w:r>
          </w:hyperlink>
        </w:p>
        <w:p w14:paraId="2E1E9CB7" w14:textId="4CDF5F22" w:rsidR="008B22AC" w:rsidRDefault="008B22AC">
          <w:pPr>
            <w:pStyle w:val="TOC2"/>
            <w:tabs>
              <w:tab w:val="right" w:leader="dot" w:pos="9962"/>
            </w:tabs>
            <w:rPr>
              <w:rFonts w:eastAsiaTheme="minorEastAsia"/>
              <w:noProof/>
              <w:sz w:val="24"/>
              <w:szCs w:val="24"/>
              <w:lang w:val="bg-BG" w:eastAsia="bg-BG"/>
            </w:rPr>
          </w:pPr>
          <w:hyperlink w:anchor="_Toc214615807" w:history="1">
            <w:r w:rsidRPr="00867E8D">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_Toc214615807 \h </w:instrText>
            </w:r>
            <w:r>
              <w:rPr>
                <w:noProof/>
                <w:webHidden/>
              </w:rPr>
            </w:r>
            <w:r>
              <w:rPr>
                <w:noProof/>
                <w:webHidden/>
              </w:rPr>
              <w:fldChar w:fldCharType="separate"/>
            </w:r>
            <w:r>
              <w:rPr>
                <w:noProof/>
                <w:webHidden/>
              </w:rPr>
              <w:t>9</w:t>
            </w:r>
            <w:r>
              <w:rPr>
                <w:noProof/>
                <w:webHidden/>
              </w:rPr>
              <w:fldChar w:fldCharType="end"/>
            </w:r>
          </w:hyperlink>
        </w:p>
        <w:p w14:paraId="676EEA3A" w14:textId="3FF2AB82" w:rsidR="008B22AC" w:rsidRDefault="008B22AC">
          <w:pPr>
            <w:pStyle w:val="TOC2"/>
            <w:tabs>
              <w:tab w:val="right" w:leader="dot" w:pos="9962"/>
            </w:tabs>
            <w:rPr>
              <w:rFonts w:eastAsiaTheme="minorEastAsia"/>
              <w:noProof/>
              <w:sz w:val="24"/>
              <w:szCs w:val="24"/>
              <w:lang w:val="bg-BG" w:eastAsia="bg-BG"/>
            </w:rPr>
          </w:pPr>
          <w:hyperlink w:anchor="_Toc214615808" w:history="1">
            <w:r w:rsidRPr="00867E8D">
              <w:rPr>
                <w:rStyle w:val="Hyperlink"/>
                <w:rFonts w:ascii="Arial" w:hAnsi="Arial" w:cs="Arial"/>
                <w:b/>
                <w:bCs/>
                <w:noProof/>
              </w:rPr>
              <w:t>2.2 Sustainability in the Mining Industry: Global Perspectives</w:t>
            </w:r>
            <w:r>
              <w:rPr>
                <w:noProof/>
                <w:webHidden/>
              </w:rPr>
              <w:tab/>
            </w:r>
            <w:r>
              <w:rPr>
                <w:noProof/>
                <w:webHidden/>
              </w:rPr>
              <w:fldChar w:fldCharType="begin"/>
            </w:r>
            <w:r>
              <w:rPr>
                <w:noProof/>
                <w:webHidden/>
              </w:rPr>
              <w:instrText xml:space="preserve"> PAGEREF _Toc214615808 \h </w:instrText>
            </w:r>
            <w:r>
              <w:rPr>
                <w:noProof/>
                <w:webHidden/>
              </w:rPr>
            </w:r>
            <w:r>
              <w:rPr>
                <w:noProof/>
                <w:webHidden/>
              </w:rPr>
              <w:fldChar w:fldCharType="separate"/>
            </w:r>
            <w:r>
              <w:rPr>
                <w:noProof/>
                <w:webHidden/>
              </w:rPr>
              <w:t>9</w:t>
            </w:r>
            <w:r>
              <w:rPr>
                <w:noProof/>
                <w:webHidden/>
              </w:rPr>
              <w:fldChar w:fldCharType="end"/>
            </w:r>
          </w:hyperlink>
        </w:p>
        <w:p w14:paraId="251C936E" w14:textId="34534BF0" w:rsidR="008B22AC" w:rsidRDefault="008B22AC">
          <w:pPr>
            <w:pStyle w:val="TOC2"/>
            <w:tabs>
              <w:tab w:val="right" w:leader="dot" w:pos="9962"/>
            </w:tabs>
            <w:rPr>
              <w:rFonts w:eastAsiaTheme="minorEastAsia"/>
              <w:noProof/>
              <w:sz w:val="24"/>
              <w:szCs w:val="24"/>
              <w:lang w:val="bg-BG" w:eastAsia="bg-BG"/>
            </w:rPr>
          </w:pPr>
          <w:hyperlink w:anchor="_Toc214615809" w:history="1">
            <w:r w:rsidRPr="00867E8D">
              <w:rPr>
                <w:rStyle w:val="Hyperlink"/>
                <w:rFonts w:ascii="Arial" w:hAnsi="Arial" w:cs="Arial"/>
                <w:b/>
                <w:bCs/>
                <w:noProof/>
              </w:rPr>
              <w:t>2.3 ESG Frameworks and Their Application in Mining</w:t>
            </w:r>
            <w:r>
              <w:rPr>
                <w:noProof/>
                <w:webHidden/>
              </w:rPr>
              <w:tab/>
            </w:r>
            <w:r>
              <w:rPr>
                <w:noProof/>
                <w:webHidden/>
              </w:rPr>
              <w:fldChar w:fldCharType="begin"/>
            </w:r>
            <w:r>
              <w:rPr>
                <w:noProof/>
                <w:webHidden/>
              </w:rPr>
              <w:instrText xml:space="preserve"> PAGEREF _Toc214615809 \h </w:instrText>
            </w:r>
            <w:r>
              <w:rPr>
                <w:noProof/>
                <w:webHidden/>
              </w:rPr>
            </w:r>
            <w:r>
              <w:rPr>
                <w:noProof/>
                <w:webHidden/>
              </w:rPr>
              <w:fldChar w:fldCharType="separate"/>
            </w:r>
            <w:r>
              <w:rPr>
                <w:noProof/>
                <w:webHidden/>
              </w:rPr>
              <w:t>9</w:t>
            </w:r>
            <w:r>
              <w:rPr>
                <w:noProof/>
                <w:webHidden/>
              </w:rPr>
              <w:fldChar w:fldCharType="end"/>
            </w:r>
          </w:hyperlink>
        </w:p>
        <w:p w14:paraId="5450AD10" w14:textId="3FF1581E" w:rsidR="008B22AC" w:rsidRDefault="008B22AC">
          <w:pPr>
            <w:pStyle w:val="TOC2"/>
            <w:tabs>
              <w:tab w:val="right" w:leader="dot" w:pos="9962"/>
            </w:tabs>
            <w:rPr>
              <w:rFonts w:eastAsiaTheme="minorEastAsia"/>
              <w:noProof/>
              <w:sz w:val="24"/>
              <w:szCs w:val="24"/>
              <w:lang w:val="bg-BG" w:eastAsia="bg-BG"/>
            </w:rPr>
          </w:pPr>
          <w:hyperlink w:anchor="_Toc214615810" w:history="1">
            <w:r w:rsidRPr="00867E8D">
              <w:rPr>
                <w:rStyle w:val="Hyperlink"/>
                <w:rFonts w:ascii="Arial" w:hAnsi="Arial" w:cs="Arial"/>
                <w:b/>
                <w:bCs/>
                <w:noProof/>
              </w:rPr>
              <w:t>2.4 Regulatory Developments: CSRD and ESRS</w:t>
            </w:r>
            <w:r>
              <w:rPr>
                <w:noProof/>
                <w:webHidden/>
              </w:rPr>
              <w:tab/>
            </w:r>
            <w:r>
              <w:rPr>
                <w:noProof/>
                <w:webHidden/>
              </w:rPr>
              <w:fldChar w:fldCharType="begin"/>
            </w:r>
            <w:r>
              <w:rPr>
                <w:noProof/>
                <w:webHidden/>
              </w:rPr>
              <w:instrText xml:space="preserve"> PAGEREF _Toc214615810 \h </w:instrText>
            </w:r>
            <w:r>
              <w:rPr>
                <w:noProof/>
                <w:webHidden/>
              </w:rPr>
            </w:r>
            <w:r>
              <w:rPr>
                <w:noProof/>
                <w:webHidden/>
              </w:rPr>
              <w:fldChar w:fldCharType="separate"/>
            </w:r>
            <w:r>
              <w:rPr>
                <w:noProof/>
                <w:webHidden/>
              </w:rPr>
              <w:t>10</w:t>
            </w:r>
            <w:r>
              <w:rPr>
                <w:noProof/>
                <w:webHidden/>
              </w:rPr>
              <w:fldChar w:fldCharType="end"/>
            </w:r>
          </w:hyperlink>
        </w:p>
        <w:p w14:paraId="360C314E" w14:textId="0CD141C9" w:rsidR="008B22AC" w:rsidRDefault="008B22AC">
          <w:pPr>
            <w:pStyle w:val="TOC2"/>
            <w:tabs>
              <w:tab w:val="right" w:leader="dot" w:pos="9962"/>
            </w:tabs>
            <w:rPr>
              <w:rFonts w:eastAsiaTheme="minorEastAsia"/>
              <w:noProof/>
              <w:sz w:val="24"/>
              <w:szCs w:val="24"/>
              <w:lang w:val="bg-BG" w:eastAsia="bg-BG"/>
            </w:rPr>
          </w:pPr>
          <w:hyperlink w:anchor="_Toc214615811" w:history="1">
            <w:r w:rsidRPr="00867E8D">
              <w:rPr>
                <w:rStyle w:val="Hyperlink"/>
                <w:rFonts w:ascii="Arial" w:hAnsi="Arial" w:cs="Arial"/>
                <w:b/>
                <w:bCs/>
                <w:noProof/>
              </w:rPr>
              <w:t>2.5 Climate Risk and the TCFD Framework</w:t>
            </w:r>
            <w:r>
              <w:rPr>
                <w:noProof/>
                <w:webHidden/>
              </w:rPr>
              <w:tab/>
            </w:r>
            <w:r>
              <w:rPr>
                <w:noProof/>
                <w:webHidden/>
              </w:rPr>
              <w:fldChar w:fldCharType="begin"/>
            </w:r>
            <w:r>
              <w:rPr>
                <w:noProof/>
                <w:webHidden/>
              </w:rPr>
              <w:instrText xml:space="preserve"> PAGEREF _Toc214615811 \h </w:instrText>
            </w:r>
            <w:r>
              <w:rPr>
                <w:noProof/>
                <w:webHidden/>
              </w:rPr>
            </w:r>
            <w:r>
              <w:rPr>
                <w:noProof/>
                <w:webHidden/>
              </w:rPr>
              <w:fldChar w:fldCharType="separate"/>
            </w:r>
            <w:r>
              <w:rPr>
                <w:noProof/>
                <w:webHidden/>
              </w:rPr>
              <w:t>11</w:t>
            </w:r>
            <w:r>
              <w:rPr>
                <w:noProof/>
                <w:webHidden/>
              </w:rPr>
              <w:fldChar w:fldCharType="end"/>
            </w:r>
          </w:hyperlink>
        </w:p>
        <w:p w14:paraId="0CCC45CC" w14:textId="620EE234" w:rsidR="008B22AC" w:rsidRDefault="008B22AC">
          <w:pPr>
            <w:pStyle w:val="TOC2"/>
            <w:tabs>
              <w:tab w:val="right" w:leader="dot" w:pos="9962"/>
            </w:tabs>
            <w:rPr>
              <w:rFonts w:eastAsiaTheme="minorEastAsia"/>
              <w:noProof/>
              <w:sz w:val="24"/>
              <w:szCs w:val="24"/>
              <w:lang w:val="bg-BG" w:eastAsia="bg-BG"/>
            </w:rPr>
          </w:pPr>
          <w:hyperlink w:anchor="_Toc214615812" w:history="1">
            <w:r w:rsidRPr="00867E8D">
              <w:rPr>
                <w:rStyle w:val="Hyperlink"/>
                <w:rFonts w:ascii="Arial" w:hAnsi="Arial" w:cs="Arial"/>
                <w:b/>
                <w:bCs/>
                <w:noProof/>
              </w:rPr>
              <w:t>2.6 Sustainability Challenges in the Copper Mining Sector</w:t>
            </w:r>
            <w:r>
              <w:rPr>
                <w:noProof/>
                <w:webHidden/>
              </w:rPr>
              <w:tab/>
            </w:r>
            <w:r>
              <w:rPr>
                <w:noProof/>
                <w:webHidden/>
              </w:rPr>
              <w:fldChar w:fldCharType="begin"/>
            </w:r>
            <w:r>
              <w:rPr>
                <w:noProof/>
                <w:webHidden/>
              </w:rPr>
              <w:instrText xml:space="preserve"> PAGEREF _Toc214615812 \h </w:instrText>
            </w:r>
            <w:r>
              <w:rPr>
                <w:noProof/>
                <w:webHidden/>
              </w:rPr>
            </w:r>
            <w:r>
              <w:rPr>
                <w:noProof/>
                <w:webHidden/>
              </w:rPr>
              <w:fldChar w:fldCharType="separate"/>
            </w:r>
            <w:r>
              <w:rPr>
                <w:noProof/>
                <w:webHidden/>
              </w:rPr>
              <w:t>11</w:t>
            </w:r>
            <w:r>
              <w:rPr>
                <w:noProof/>
                <w:webHidden/>
              </w:rPr>
              <w:fldChar w:fldCharType="end"/>
            </w:r>
          </w:hyperlink>
        </w:p>
        <w:p w14:paraId="139E4907" w14:textId="1B9251B6"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13" w:history="1">
            <w:r w:rsidRPr="00867E8D">
              <w:rPr>
                <w:rStyle w:val="Hyperlink"/>
                <w:rFonts w:ascii="Arial" w:eastAsia="Times New Roman" w:hAnsi="Arial" w:cs="Arial"/>
                <w:b/>
                <w:bCs/>
                <w:noProof/>
              </w:rPr>
              <w:t>2.6.1 Environmental Challenges</w:t>
            </w:r>
            <w:r>
              <w:rPr>
                <w:noProof/>
                <w:webHidden/>
              </w:rPr>
              <w:tab/>
            </w:r>
            <w:r>
              <w:rPr>
                <w:noProof/>
                <w:webHidden/>
              </w:rPr>
              <w:fldChar w:fldCharType="begin"/>
            </w:r>
            <w:r>
              <w:rPr>
                <w:noProof/>
                <w:webHidden/>
              </w:rPr>
              <w:instrText xml:space="preserve"> PAGEREF _Toc214615813 \h </w:instrText>
            </w:r>
            <w:r>
              <w:rPr>
                <w:noProof/>
                <w:webHidden/>
              </w:rPr>
            </w:r>
            <w:r>
              <w:rPr>
                <w:noProof/>
                <w:webHidden/>
              </w:rPr>
              <w:fldChar w:fldCharType="separate"/>
            </w:r>
            <w:r>
              <w:rPr>
                <w:noProof/>
                <w:webHidden/>
              </w:rPr>
              <w:t>11</w:t>
            </w:r>
            <w:r>
              <w:rPr>
                <w:noProof/>
                <w:webHidden/>
              </w:rPr>
              <w:fldChar w:fldCharType="end"/>
            </w:r>
          </w:hyperlink>
        </w:p>
        <w:p w14:paraId="3A644193" w14:textId="02EE9FA7"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14" w:history="1">
            <w:r w:rsidRPr="00867E8D">
              <w:rPr>
                <w:rStyle w:val="Hyperlink"/>
                <w:rFonts w:ascii="Arial" w:eastAsia="Times New Roman" w:hAnsi="Arial" w:cs="Arial"/>
                <w:b/>
                <w:bCs/>
                <w:noProof/>
              </w:rPr>
              <w:t>2.6.2 Social and Community Challenges</w:t>
            </w:r>
            <w:r>
              <w:rPr>
                <w:noProof/>
                <w:webHidden/>
              </w:rPr>
              <w:tab/>
            </w:r>
            <w:r>
              <w:rPr>
                <w:noProof/>
                <w:webHidden/>
              </w:rPr>
              <w:fldChar w:fldCharType="begin"/>
            </w:r>
            <w:r>
              <w:rPr>
                <w:noProof/>
                <w:webHidden/>
              </w:rPr>
              <w:instrText xml:space="preserve"> PAGEREF _Toc214615814 \h </w:instrText>
            </w:r>
            <w:r>
              <w:rPr>
                <w:noProof/>
                <w:webHidden/>
              </w:rPr>
            </w:r>
            <w:r>
              <w:rPr>
                <w:noProof/>
                <w:webHidden/>
              </w:rPr>
              <w:fldChar w:fldCharType="separate"/>
            </w:r>
            <w:r>
              <w:rPr>
                <w:noProof/>
                <w:webHidden/>
              </w:rPr>
              <w:t>11</w:t>
            </w:r>
            <w:r>
              <w:rPr>
                <w:noProof/>
                <w:webHidden/>
              </w:rPr>
              <w:fldChar w:fldCharType="end"/>
            </w:r>
          </w:hyperlink>
        </w:p>
        <w:p w14:paraId="33346870" w14:textId="2AF887EE"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15" w:history="1">
            <w:r w:rsidRPr="00867E8D">
              <w:rPr>
                <w:rStyle w:val="Hyperlink"/>
                <w:rFonts w:ascii="Arial" w:eastAsia="Times New Roman" w:hAnsi="Arial" w:cs="Arial"/>
                <w:b/>
                <w:bCs/>
                <w:noProof/>
              </w:rPr>
              <w:t>2.6.3 Governance Challenges</w:t>
            </w:r>
            <w:r>
              <w:rPr>
                <w:noProof/>
                <w:webHidden/>
              </w:rPr>
              <w:tab/>
            </w:r>
            <w:r>
              <w:rPr>
                <w:noProof/>
                <w:webHidden/>
              </w:rPr>
              <w:fldChar w:fldCharType="begin"/>
            </w:r>
            <w:r>
              <w:rPr>
                <w:noProof/>
                <w:webHidden/>
              </w:rPr>
              <w:instrText xml:space="preserve"> PAGEREF _Toc214615815 \h </w:instrText>
            </w:r>
            <w:r>
              <w:rPr>
                <w:noProof/>
                <w:webHidden/>
              </w:rPr>
            </w:r>
            <w:r>
              <w:rPr>
                <w:noProof/>
                <w:webHidden/>
              </w:rPr>
              <w:fldChar w:fldCharType="separate"/>
            </w:r>
            <w:r>
              <w:rPr>
                <w:noProof/>
                <w:webHidden/>
              </w:rPr>
              <w:t>11</w:t>
            </w:r>
            <w:r>
              <w:rPr>
                <w:noProof/>
                <w:webHidden/>
              </w:rPr>
              <w:fldChar w:fldCharType="end"/>
            </w:r>
          </w:hyperlink>
        </w:p>
        <w:p w14:paraId="7C9767D3" w14:textId="1BE4AAC9" w:rsidR="008B22AC" w:rsidRDefault="008B22AC">
          <w:pPr>
            <w:pStyle w:val="TOC2"/>
            <w:tabs>
              <w:tab w:val="right" w:leader="dot" w:pos="9962"/>
            </w:tabs>
            <w:rPr>
              <w:rFonts w:eastAsiaTheme="minorEastAsia"/>
              <w:noProof/>
              <w:sz w:val="24"/>
              <w:szCs w:val="24"/>
              <w:lang w:val="bg-BG" w:eastAsia="bg-BG"/>
            </w:rPr>
          </w:pPr>
          <w:hyperlink w:anchor="_Toc214615816" w:history="1">
            <w:r w:rsidRPr="00867E8D">
              <w:rPr>
                <w:rStyle w:val="Hyperlink"/>
                <w:rFonts w:ascii="Arial" w:hAnsi="Arial" w:cs="Arial"/>
                <w:b/>
                <w:bCs/>
                <w:noProof/>
              </w:rPr>
              <w:t>2.7 The Balkan Context: Regional Studies and Historical Significance</w:t>
            </w:r>
            <w:r>
              <w:rPr>
                <w:noProof/>
                <w:webHidden/>
              </w:rPr>
              <w:tab/>
            </w:r>
            <w:r>
              <w:rPr>
                <w:noProof/>
                <w:webHidden/>
              </w:rPr>
              <w:fldChar w:fldCharType="begin"/>
            </w:r>
            <w:r>
              <w:rPr>
                <w:noProof/>
                <w:webHidden/>
              </w:rPr>
              <w:instrText xml:space="preserve"> PAGEREF _Toc214615816 \h </w:instrText>
            </w:r>
            <w:r>
              <w:rPr>
                <w:noProof/>
                <w:webHidden/>
              </w:rPr>
            </w:r>
            <w:r>
              <w:rPr>
                <w:noProof/>
                <w:webHidden/>
              </w:rPr>
              <w:fldChar w:fldCharType="separate"/>
            </w:r>
            <w:r>
              <w:rPr>
                <w:noProof/>
                <w:webHidden/>
              </w:rPr>
              <w:t>12</w:t>
            </w:r>
            <w:r>
              <w:rPr>
                <w:noProof/>
                <w:webHidden/>
              </w:rPr>
              <w:fldChar w:fldCharType="end"/>
            </w:r>
          </w:hyperlink>
        </w:p>
        <w:p w14:paraId="5777135F" w14:textId="628C81D1" w:rsidR="008B22AC" w:rsidRDefault="008B22AC">
          <w:pPr>
            <w:pStyle w:val="TOC2"/>
            <w:tabs>
              <w:tab w:val="right" w:leader="dot" w:pos="9962"/>
            </w:tabs>
            <w:rPr>
              <w:rFonts w:eastAsiaTheme="minorEastAsia"/>
              <w:noProof/>
              <w:sz w:val="24"/>
              <w:szCs w:val="24"/>
              <w:lang w:val="bg-BG" w:eastAsia="bg-BG"/>
            </w:rPr>
          </w:pPr>
          <w:hyperlink w:anchor="_Toc214615817" w:history="1">
            <w:r w:rsidRPr="00867E8D">
              <w:rPr>
                <w:rStyle w:val="Hyperlink"/>
                <w:rFonts w:ascii="Arial" w:hAnsi="Arial" w:cs="Arial"/>
                <w:b/>
                <w:bCs/>
                <w:noProof/>
              </w:rPr>
              <w:t>2.8 Summary of the Literature Review</w:t>
            </w:r>
            <w:r>
              <w:rPr>
                <w:noProof/>
                <w:webHidden/>
              </w:rPr>
              <w:tab/>
            </w:r>
            <w:r>
              <w:rPr>
                <w:noProof/>
                <w:webHidden/>
              </w:rPr>
              <w:fldChar w:fldCharType="begin"/>
            </w:r>
            <w:r>
              <w:rPr>
                <w:noProof/>
                <w:webHidden/>
              </w:rPr>
              <w:instrText xml:space="preserve"> PAGEREF _Toc214615817 \h </w:instrText>
            </w:r>
            <w:r>
              <w:rPr>
                <w:noProof/>
                <w:webHidden/>
              </w:rPr>
            </w:r>
            <w:r>
              <w:rPr>
                <w:noProof/>
                <w:webHidden/>
              </w:rPr>
              <w:fldChar w:fldCharType="separate"/>
            </w:r>
            <w:r>
              <w:rPr>
                <w:noProof/>
                <w:webHidden/>
              </w:rPr>
              <w:t>12</w:t>
            </w:r>
            <w:r>
              <w:rPr>
                <w:noProof/>
                <w:webHidden/>
              </w:rPr>
              <w:fldChar w:fldCharType="end"/>
            </w:r>
          </w:hyperlink>
        </w:p>
        <w:p w14:paraId="0E2EF7F6" w14:textId="64FAA3CB" w:rsidR="008B22AC" w:rsidRDefault="008B22AC">
          <w:pPr>
            <w:pStyle w:val="TOC1"/>
            <w:tabs>
              <w:tab w:val="right" w:leader="dot" w:pos="9962"/>
            </w:tabs>
            <w:rPr>
              <w:rFonts w:eastAsiaTheme="minorEastAsia"/>
              <w:noProof/>
              <w:sz w:val="24"/>
              <w:szCs w:val="24"/>
              <w:lang w:val="bg-BG" w:eastAsia="bg-BG"/>
            </w:rPr>
          </w:pPr>
          <w:hyperlink w:anchor="_Toc214615818" w:history="1">
            <w:r w:rsidRPr="00867E8D">
              <w:rPr>
                <w:rStyle w:val="Hyperlink"/>
                <w:rFonts w:ascii="Arial" w:hAnsi="Arial" w:cs="Arial"/>
                <w:b/>
                <w:bCs/>
                <w:noProof/>
              </w:rPr>
              <w:t>CHAPTER 3: METHODOLOGY</w:t>
            </w:r>
            <w:r>
              <w:rPr>
                <w:noProof/>
                <w:webHidden/>
              </w:rPr>
              <w:tab/>
            </w:r>
            <w:r>
              <w:rPr>
                <w:noProof/>
                <w:webHidden/>
              </w:rPr>
              <w:fldChar w:fldCharType="begin"/>
            </w:r>
            <w:r>
              <w:rPr>
                <w:noProof/>
                <w:webHidden/>
              </w:rPr>
              <w:instrText xml:space="preserve"> PAGEREF _Toc214615818 \h </w:instrText>
            </w:r>
            <w:r>
              <w:rPr>
                <w:noProof/>
                <w:webHidden/>
              </w:rPr>
            </w:r>
            <w:r>
              <w:rPr>
                <w:noProof/>
                <w:webHidden/>
              </w:rPr>
              <w:fldChar w:fldCharType="separate"/>
            </w:r>
            <w:r>
              <w:rPr>
                <w:noProof/>
                <w:webHidden/>
              </w:rPr>
              <w:t>13</w:t>
            </w:r>
            <w:r>
              <w:rPr>
                <w:noProof/>
                <w:webHidden/>
              </w:rPr>
              <w:fldChar w:fldCharType="end"/>
            </w:r>
          </w:hyperlink>
        </w:p>
        <w:p w14:paraId="3AEB40AE" w14:textId="58FA987A" w:rsidR="008B22AC" w:rsidRDefault="008B22AC">
          <w:pPr>
            <w:pStyle w:val="TOC2"/>
            <w:tabs>
              <w:tab w:val="right" w:leader="dot" w:pos="9962"/>
            </w:tabs>
            <w:rPr>
              <w:rFonts w:eastAsiaTheme="minorEastAsia"/>
              <w:noProof/>
              <w:sz w:val="24"/>
              <w:szCs w:val="24"/>
              <w:lang w:val="bg-BG" w:eastAsia="bg-BG"/>
            </w:rPr>
          </w:pPr>
          <w:hyperlink w:anchor="_Toc214615819" w:history="1">
            <w:r w:rsidRPr="00867E8D">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_Toc214615819 \h </w:instrText>
            </w:r>
            <w:r>
              <w:rPr>
                <w:noProof/>
                <w:webHidden/>
              </w:rPr>
            </w:r>
            <w:r>
              <w:rPr>
                <w:noProof/>
                <w:webHidden/>
              </w:rPr>
              <w:fldChar w:fldCharType="separate"/>
            </w:r>
            <w:r>
              <w:rPr>
                <w:noProof/>
                <w:webHidden/>
              </w:rPr>
              <w:t>13</w:t>
            </w:r>
            <w:r>
              <w:rPr>
                <w:noProof/>
                <w:webHidden/>
              </w:rPr>
              <w:fldChar w:fldCharType="end"/>
            </w:r>
          </w:hyperlink>
        </w:p>
        <w:p w14:paraId="6E1D2268" w14:textId="5F447C14" w:rsidR="008B22AC" w:rsidRDefault="008B22AC">
          <w:pPr>
            <w:pStyle w:val="TOC2"/>
            <w:tabs>
              <w:tab w:val="right" w:leader="dot" w:pos="9962"/>
            </w:tabs>
            <w:rPr>
              <w:rFonts w:eastAsiaTheme="minorEastAsia"/>
              <w:noProof/>
              <w:sz w:val="24"/>
              <w:szCs w:val="24"/>
              <w:lang w:val="bg-BG" w:eastAsia="bg-BG"/>
            </w:rPr>
          </w:pPr>
          <w:hyperlink w:anchor="_Toc214615820" w:history="1">
            <w:r w:rsidRPr="00867E8D">
              <w:rPr>
                <w:rStyle w:val="Hyperlink"/>
                <w:rFonts w:ascii="Arial" w:hAnsi="Arial" w:cs="Arial"/>
                <w:b/>
                <w:bCs/>
                <w:noProof/>
              </w:rPr>
              <w:t>3.2 Research Design: Multi-Case Qualitative Study</w:t>
            </w:r>
            <w:r>
              <w:rPr>
                <w:noProof/>
                <w:webHidden/>
              </w:rPr>
              <w:tab/>
            </w:r>
            <w:r>
              <w:rPr>
                <w:noProof/>
                <w:webHidden/>
              </w:rPr>
              <w:fldChar w:fldCharType="begin"/>
            </w:r>
            <w:r>
              <w:rPr>
                <w:noProof/>
                <w:webHidden/>
              </w:rPr>
              <w:instrText xml:space="preserve"> PAGEREF _Toc214615820 \h </w:instrText>
            </w:r>
            <w:r>
              <w:rPr>
                <w:noProof/>
                <w:webHidden/>
              </w:rPr>
            </w:r>
            <w:r>
              <w:rPr>
                <w:noProof/>
                <w:webHidden/>
              </w:rPr>
              <w:fldChar w:fldCharType="separate"/>
            </w:r>
            <w:r>
              <w:rPr>
                <w:noProof/>
                <w:webHidden/>
              </w:rPr>
              <w:t>13</w:t>
            </w:r>
            <w:r>
              <w:rPr>
                <w:noProof/>
                <w:webHidden/>
              </w:rPr>
              <w:fldChar w:fldCharType="end"/>
            </w:r>
          </w:hyperlink>
        </w:p>
        <w:p w14:paraId="6EBDEFC2" w14:textId="2A8DCC27" w:rsidR="008B22AC" w:rsidRDefault="008B22AC">
          <w:pPr>
            <w:pStyle w:val="TOC2"/>
            <w:tabs>
              <w:tab w:val="right" w:leader="dot" w:pos="9962"/>
            </w:tabs>
            <w:rPr>
              <w:rFonts w:eastAsiaTheme="minorEastAsia"/>
              <w:noProof/>
              <w:sz w:val="24"/>
              <w:szCs w:val="24"/>
              <w:lang w:val="bg-BG" w:eastAsia="bg-BG"/>
            </w:rPr>
          </w:pPr>
          <w:hyperlink w:anchor="_Toc214615821" w:history="1">
            <w:r w:rsidRPr="00867E8D">
              <w:rPr>
                <w:rStyle w:val="Hyperlink"/>
                <w:rFonts w:ascii="Arial" w:hAnsi="Arial" w:cs="Arial"/>
                <w:b/>
                <w:bCs/>
                <w:noProof/>
              </w:rPr>
              <w:t>3.3 Data Collection: Secondary Qualitative Data</w:t>
            </w:r>
            <w:r>
              <w:rPr>
                <w:noProof/>
                <w:webHidden/>
              </w:rPr>
              <w:tab/>
            </w:r>
            <w:r>
              <w:rPr>
                <w:noProof/>
                <w:webHidden/>
              </w:rPr>
              <w:fldChar w:fldCharType="begin"/>
            </w:r>
            <w:r>
              <w:rPr>
                <w:noProof/>
                <w:webHidden/>
              </w:rPr>
              <w:instrText xml:space="preserve"> PAGEREF _Toc214615821 \h </w:instrText>
            </w:r>
            <w:r>
              <w:rPr>
                <w:noProof/>
                <w:webHidden/>
              </w:rPr>
            </w:r>
            <w:r>
              <w:rPr>
                <w:noProof/>
                <w:webHidden/>
              </w:rPr>
              <w:fldChar w:fldCharType="separate"/>
            </w:r>
            <w:r>
              <w:rPr>
                <w:noProof/>
                <w:webHidden/>
              </w:rPr>
              <w:t>14</w:t>
            </w:r>
            <w:r>
              <w:rPr>
                <w:noProof/>
                <w:webHidden/>
              </w:rPr>
              <w:fldChar w:fldCharType="end"/>
            </w:r>
          </w:hyperlink>
        </w:p>
        <w:p w14:paraId="07A3C89C" w14:textId="048570C8" w:rsidR="008B22AC" w:rsidRDefault="008B22AC">
          <w:pPr>
            <w:pStyle w:val="TOC2"/>
            <w:tabs>
              <w:tab w:val="right" w:leader="dot" w:pos="9962"/>
            </w:tabs>
            <w:rPr>
              <w:rFonts w:eastAsiaTheme="minorEastAsia"/>
              <w:noProof/>
              <w:sz w:val="24"/>
              <w:szCs w:val="24"/>
              <w:lang w:val="bg-BG" w:eastAsia="bg-BG"/>
            </w:rPr>
          </w:pPr>
          <w:hyperlink w:anchor="_Toc214615822" w:history="1">
            <w:r w:rsidRPr="00867E8D">
              <w:rPr>
                <w:rStyle w:val="Hyperlink"/>
                <w:rFonts w:ascii="Arial" w:hAnsi="Arial" w:cs="Arial"/>
                <w:b/>
                <w:bCs/>
                <w:noProof/>
              </w:rPr>
              <w:t>3.4 Data Analysis: Qualitative Content Analysis</w:t>
            </w:r>
            <w:r>
              <w:rPr>
                <w:noProof/>
                <w:webHidden/>
              </w:rPr>
              <w:tab/>
            </w:r>
            <w:r>
              <w:rPr>
                <w:noProof/>
                <w:webHidden/>
              </w:rPr>
              <w:fldChar w:fldCharType="begin"/>
            </w:r>
            <w:r>
              <w:rPr>
                <w:noProof/>
                <w:webHidden/>
              </w:rPr>
              <w:instrText xml:space="preserve"> PAGEREF _Toc214615822 \h </w:instrText>
            </w:r>
            <w:r>
              <w:rPr>
                <w:noProof/>
                <w:webHidden/>
              </w:rPr>
            </w:r>
            <w:r>
              <w:rPr>
                <w:noProof/>
                <w:webHidden/>
              </w:rPr>
              <w:fldChar w:fldCharType="separate"/>
            </w:r>
            <w:r>
              <w:rPr>
                <w:noProof/>
                <w:webHidden/>
              </w:rPr>
              <w:t>14</w:t>
            </w:r>
            <w:r>
              <w:rPr>
                <w:noProof/>
                <w:webHidden/>
              </w:rPr>
              <w:fldChar w:fldCharType="end"/>
            </w:r>
          </w:hyperlink>
        </w:p>
        <w:p w14:paraId="3153C823" w14:textId="6F729750" w:rsidR="008B22AC" w:rsidRDefault="008B22AC">
          <w:pPr>
            <w:pStyle w:val="TOC2"/>
            <w:tabs>
              <w:tab w:val="right" w:leader="dot" w:pos="9962"/>
            </w:tabs>
            <w:rPr>
              <w:rFonts w:eastAsiaTheme="minorEastAsia"/>
              <w:noProof/>
              <w:sz w:val="24"/>
              <w:szCs w:val="24"/>
              <w:lang w:val="bg-BG" w:eastAsia="bg-BG"/>
            </w:rPr>
          </w:pPr>
          <w:hyperlink w:anchor="_Toc214615823" w:history="1">
            <w:r w:rsidRPr="00867E8D">
              <w:rPr>
                <w:rStyle w:val="Hyperlink"/>
                <w:rFonts w:ascii="Arial" w:hAnsi="Arial" w:cs="Arial"/>
                <w:b/>
                <w:bCs/>
                <w:noProof/>
              </w:rPr>
              <w:t>3.5 Analytical Framework: ESG + CSRD/ESRS + TCFD</w:t>
            </w:r>
            <w:r>
              <w:rPr>
                <w:noProof/>
                <w:webHidden/>
              </w:rPr>
              <w:tab/>
            </w:r>
            <w:r>
              <w:rPr>
                <w:noProof/>
                <w:webHidden/>
              </w:rPr>
              <w:fldChar w:fldCharType="begin"/>
            </w:r>
            <w:r>
              <w:rPr>
                <w:noProof/>
                <w:webHidden/>
              </w:rPr>
              <w:instrText xml:space="preserve"> PAGEREF _Toc214615823 \h </w:instrText>
            </w:r>
            <w:r>
              <w:rPr>
                <w:noProof/>
                <w:webHidden/>
              </w:rPr>
            </w:r>
            <w:r>
              <w:rPr>
                <w:noProof/>
                <w:webHidden/>
              </w:rPr>
              <w:fldChar w:fldCharType="separate"/>
            </w:r>
            <w:r>
              <w:rPr>
                <w:noProof/>
                <w:webHidden/>
              </w:rPr>
              <w:t>15</w:t>
            </w:r>
            <w:r>
              <w:rPr>
                <w:noProof/>
                <w:webHidden/>
              </w:rPr>
              <w:fldChar w:fldCharType="end"/>
            </w:r>
          </w:hyperlink>
        </w:p>
        <w:p w14:paraId="7631BAC8" w14:textId="6C88764F" w:rsidR="008B22AC" w:rsidRDefault="008B22AC">
          <w:pPr>
            <w:pStyle w:val="TOC2"/>
            <w:tabs>
              <w:tab w:val="right" w:leader="dot" w:pos="9962"/>
            </w:tabs>
            <w:rPr>
              <w:rFonts w:eastAsiaTheme="minorEastAsia"/>
              <w:noProof/>
              <w:sz w:val="24"/>
              <w:szCs w:val="24"/>
              <w:lang w:val="bg-BG" w:eastAsia="bg-BG"/>
            </w:rPr>
          </w:pPr>
          <w:hyperlink w:anchor="_Toc214615824" w:history="1">
            <w:r w:rsidRPr="00867E8D">
              <w:rPr>
                <w:rStyle w:val="Hyperlink"/>
                <w:rFonts w:ascii="Arial" w:hAnsi="Arial" w:cs="Arial"/>
                <w:b/>
                <w:bCs/>
                <w:noProof/>
              </w:rPr>
              <w:t>3.6 Limitations of the Methodology</w:t>
            </w:r>
            <w:r>
              <w:rPr>
                <w:noProof/>
                <w:webHidden/>
              </w:rPr>
              <w:tab/>
            </w:r>
            <w:r>
              <w:rPr>
                <w:noProof/>
                <w:webHidden/>
              </w:rPr>
              <w:fldChar w:fldCharType="begin"/>
            </w:r>
            <w:r>
              <w:rPr>
                <w:noProof/>
                <w:webHidden/>
              </w:rPr>
              <w:instrText xml:space="preserve"> PAGEREF _Toc214615824 \h </w:instrText>
            </w:r>
            <w:r>
              <w:rPr>
                <w:noProof/>
                <w:webHidden/>
              </w:rPr>
            </w:r>
            <w:r>
              <w:rPr>
                <w:noProof/>
                <w:webHidden/>
              </w:rPr>
              <w:fldChar w:fldCharType="separate"/>
            </w:r>
            <w:r>
              <w:rPr>
                <w:noProof/>
                <w:webHidden/>
              </w:rPr>
              <w:t>16</w:t>
            </w:r>
            <w:r>
              <w:rPr>
                <w:noProof/>
                <w:webHidden/>
              </w:rPr>
              <w:fldChar w:fldCharType="end"/>
            </w:r>
          </w:hyperlink>
        </w:p>
        <w:p w14:paraId="6CD78337" w14:textId="21B20576" w:rsidR="008B22AC" w:rsidRDefault="008B22AC">
          <w:pPr>
            <w:pStyle w:val="TOC2"/>
            <w:tabs>
              <w:tab w:val="right" w:leader="dot" w:pos="9962"/>
            </w:tabs>
            <w:rPr>
              <w:rFonts w:eastAsiaTheme="minorEastAsia"/>
              <w:noProof/>
              <w:sz w:val="24"/>
              <w:szCs w:val="24"/>
              <w:lang w:val="bg-BG" w:eastAsia="bg-BG"/>
            </w:rPr>
          </w:pPr>
          <w:hyperlink w:anchor="_Toc214615825" w:history="1">
            <w:r w:rsidRPr="00867E8D">
              <w:rPr>
                <w:rStyle w:val="Hyperlink"/>
                <w:rFonts w:ascii="Arial" w:hAnsi="Arial" w:cs="Arial"/>
                <w:b/>
                <w:bCs/>
                <w:noProof/>
              </w:rPr>
              <w:t>3.7 Summary</w:t>
            </w:r>
            <w:r>
              <w:rPr>
                <w:noProof/>
                <w:webHidden/>
              </w:rPr>
              <w:tab/>
            </w:r>
            <w:r>
              <w:rPr>
                <w:noProof/>
                <w:webHidden/>
              </w:rPr>
              <w:fldChar w:fldCharType="begin"/>
            </w:r>
            <w:r>
              <w:rPr>
                <w:noProof/>
                <w:webHidden/>
              </w:rPr>
              <w:instrText xml:space="preserve"> PAGEREF _Toc214615825 \h </w:instrText>
            </w:r>
            <w:r>
              <w:rPr>
                <w:noProof/>
                <w:webHidden/>
              </w:rPr>
            </w:r>
            <w:r>
              <w:rPr>
                <w:noProof/>
                <w:webHidden/>
              </w:rPr>
              <w:fldChar w:fldCharType="separate"/>
            </w:r>
            <w:r>
              <w:rPr>
                <w:noProof/>
                <w:webHidden/>
              </w:rPr>
              <w:t>16</w:t>
            </w:r>
            <w:r>
              <w:rPr>
                <w:noProof/>
                <w:webHidden/>
              </w:rPr>
              <w:fldChar w:fldCharType="end"/>
            </w:r>
          </w:hyperlink>
        </w:p>
        <w:p w14:paraId="22D1B8DD" w14:textId="158B241E" w:rsidR="008B22AC" w:rsidRDefault="008B22AC">
          <w:pPr>
            <w:pStyle w:val="TOC1"/>
            <w:tabs>
              <w:tab w:val="right" w:leader="dot" w:pos="9962"/>
            </w:tabs>
            <w:rPr>
              <w:rFonts w:eastAsiaTheme="minorEastAsia"/>
              <w:noProof/>
              <w:sz w:val="24"/>
              <w:szCs w:val="24"/>
              <w:lang w:val="bg-BG" w:eastAsia="bg-BG"/>
            </w:rPr>
          </w:pPr>
          <w:hyperlink w:anchor="_Toc214615826" w:history="1">
            <w:r w:rsidRPr="00867E8D">
              <w:rPr>
                <w:rStyle w:val="Hyperlink"/>
                <w:rFonts w:ascii="Arial" w:hAnsi="Arial" w:cs="Arial"/>
                <w:b/>
                <w:bCs/>
                <w:noProof/>
              </w:rPr>
              <w:t>CHAPTER 4: ANALYSIS AND DISCUSSION</w:t>
            </w:r>
            <w:r>
              <w:rPr>
                <w:noProof/>
                <w:webHidden/>
              </w:rPr>
              <w:tab/>
            </w:r>
            <w:r>
              <w:rPr>
                <w:noProof/>
                <w:webHidden/>
              </w:rPr>
              <w:fldChar w:fldCharType="begin"/>
            </w:r>
            <w:r>
              <w:rPr>
                <w:noProof/>
                <w:webHidden/>
              </w:rPr>
              <w:instrText xml:space="preserve"> PAGEREF _Toc214615826 \h </w:instrText>
            </w:r>
            <w:r>
              <w:rPr>
                <w:noProof/>
                <w:webHidden/>
              </w:rPr>
            </w:r>
            <w:r>
              <w:rPr>
                <w:noProof/>
                <w:webHidden/>
              </w:rPr>
              <w:fldChar w:fldCharType="separate"/>
            </w:r>
            <w:r>
              <w:rPr>
                <w:noProof/>
                <w:webHidden/>
              </w:rPr>
              <w:t>17</w:t>
            </w:r>
            <w:r>
              <w:rPr>
                <w:noProof/>
                <w:webHidden/>
              </w:rPr>
              <w:fldChar w:fldCharType="end"/>
            </w:r>
          </w:hyperlink>
        </w:p>
        <w:p w14:paraId="62ADAEB4" w14:textId="7EE9F36A" w:rsidR="008B22AC" w:rsidRDefault="008B22AC">
          <w:pPr>
            <w:pStyle w:val="TOC2"/>
            <w:tabs>
              <w:tab w:val="right" w:leader="dot" w:pos="9962"/>
            </w:tabs>
            <w:rPr>
              <w:rFonts w:eastAsiaTheme="minorEastAsia"/>
              <w:noProof/>
              <w:sz w:val="24"/>
              <w:szCs w:val="24"/>
              <w:lang w:val="bg-BG" w:eastAsia="bg-BG"/>
            </w:rPr>
          </w:pPr>
          <w:hyperlink w:anchor="_Toc214615827" w:history="1">
            <w:r w:rsidRPr="00867E8D">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_Toc214615827 \h </w:instrText>
            </w:r>
            <w:r>
              <w:rPr>
                <w:noProof/>
                <w:webHidden/>
              </w:rPr>
            </w:r>
            <w:r>
              <w:rPr>
                <w:noProof/>
                <w:webHidden/>
              </w:rPr>
              <w:fldChar w:fldCharType="separate"/>
            </w:r>
            <w:r>
              <w:rPr>
                <w:noProof/>
                <w:webHidden/>
              </w:rPr>
              <w:t>17</w:t>
            </w:r>
            <w:r>
              <w:rPr>
                <w:noProof/>
                <w:webHidden/>
              </w:rPr>
              <w:fldChar w:fldCharType="end"/>
            </w:r>
          </w:hyperlink>
        </w:p>
        <w:p w14:paraId="3C1426FA" w14:textId="65F34359" w:rsidR="008B22AC" w:rsidRDefault="008B22AC">
          <w:pPr>
            <w:pStyle w:val="TOC2"/>
            <w:tabs>
              <w:tab w:val="right" w:leader="dot" w:pos="9962"/>
            </w:tabs>
            <w:rPr>
              <w:rFonts w:eastAsiaTheme="minorEastAsia"/>
              <w:noProof/>
              <w:sz w:val="24"/>
              <w:szCs w:val="24"/>
              <w:lang w:val="bg-BG" w:eastAsia="bg-BG"/>
            </w:rPr>
          </w:pPr>
          <w:hyperlink w:anchor="_Toc214615828" w:history="1">
            <w:r w:rsidRPr="00867E8D">
              <w:rPr>
                <w:rStyle w:val="Hyperlink"/>
                <w:rFonts w:ascii="Arial" w:hAnsi="Arial" w:cs="Arial"/>
                <w:b/>
                <w:bCs/>
                <w:noProof/>
              </w:rPr>
              <w:t>4.2 ESG Performance Across the Six Companies</w:t>
            </w:r>
            <w:r>
              <w:rPr>
                <w:noProof/>
                <w:webHidden/>
              </w:rPr>
              <w:tab/>
            </w:r>
            <w:r>
              <w:rPr>
                <w:noProof/>
                <w:webHidden/>
              </w:rPr>
              <w:fldChar w:fldCharType="begin"/>
            </w:r>
            <w:r>
              <w:rPr>
                <w:noProof/>
                <w:webHidden/>
              </w:rPr>
              <w:instrText xml:space="preserve"> PAGEREF _Toc214615828 \h </w:instrText>
            </w:r>
            <w:r>
              <w:rPr>
                <w:noProof/>
                <w:webHidden/>
              </w:rPr>
            </w:r>
            <w:r>
              <w:rPr>
                <w:noProof/>
                <w:webHidden/>
              </w:rPr>
              <w:fldChar w:fldCharType="separate"/>
            </w:r>
            <w:r>
              <w:rPr>
                <w:noProof/>
                <w:webHidden/>
              </w:rPr>
              <w:t>17</w:t>
            </w:r>
            <w:r>
              <w:rPr>
                <w:noProof/>
                <w:webHidden/>
              </w:rPr>
              <w:fldChar w:fldCharType="end"/>
            </w:r>
          </w:hyperlink>
        </w:p>
        <w:p w14:paraId="6C281AC3" w14:textId="79A8E395"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29" w:history="1">
            <w:r w:rsidRPr="00867E8D">
              <w:rPr>
                <w:rStyle w:val="Hyperlink"/>
                <w:rFonts w:ascii="Arial" w:eastAsia="Times New Roman" w:hAnsi="Arial" w:cs="Arial"/>
                <w:b/>
                <w:bCs/>
                <w:noProof/>
              </w:rPr>
              <w:t>4.2.1 Environmental Performance</w:t>
            </w:r>
            <w:r>
              <w:rPr>
                <w:noProof/>
                <w:webHidden/>
              </w:rPr>
              <w:tab/>
            </w:r>
            <w:r>
              <w:rPr>
                <w:noProof/>
                <w:webHidden/>
              </w:rPr>
              <w:fldChar w:fldCharType="begin"/>
            </w:r>
            <w:r>
              <w:rPr>
                <w:noProof/>
                <w:webHidden/>
              </w:rPr>
              <w:instrText xml:space="preserve"> PAGEREF _Toc214615829 \h </w:instrText>
            </w:r>
            <w:r>
              <w:rPr>
                <w:noProof/>
                <w:webHidden/>
              </w:rPr>
            </w:r>
            <w:r>
              <w:rPr>
                <w:noProof/>
                <w:webHidden/>
              </w:rPr>
              <w:fldChar w:fldCharType="separate"/>
            </w:r>
            <w:r>
              <w:rPr>
                <w:noProof/>
                <w:webHidden/>
              </w:rPr>
              <w:t>17</w:t>
            </w:r>
            <w:r>
              <w:rPr>
                <w:noProof/>
                <w:webHidden/>
              </w:rPr>
              <w:fldChar w:fldCharType="end"/>
            </w:r>
          </w:hyperlink>
        </w:p>
        <w:p w14:paraId="599791CA" w14:textId="467E9A4D"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0" w:history="1">
            <w:r w:rsidRPr="00867E8D">
              <w:rPr>
                <w:rStyle w:val="Hyperlink"/>
                <w:rFonts w:ascii="Arial" w:eastAsia="Times New Roman" w:hAnsi="Arial" w:cs="Arial"/>
                <w:b/>
                <w:bCs/>
                <w:noProof/>
              </w:rPr>
              <w:t>4.2.2 Social Performance</w:t>
            </w:r>
            <w:r>
              <w:rPr>
                <w:noProof/>
                <w:webHidden/>
              </w:rPr>
              <w:tab/>
            </w:r>
            <w:r>
              <w:rPr>
                <w:noProof/>
                <w:webHidden/>
              </w:rPr>
              <w:fldChar w:fldCharType="begin"/>
            </w:r>
            <w:r>
              <w:rPr>
                <w:noProof/>
                <w:webHidden/>
              </w:rPr>
              <w:instrText xml:space="preserve"> PAGEREF _Toc214615830 \h </w:instrText>
            </w:r>
            <w:r>
              <w:rPr>
                <w:noProof/>
                <w:webHidden/>
              </w:rPr>
            </w:r>
            <w:r>
              <w:rPr>
                <w:noProof/>
                <w:webHidden/>
              </w:rPr>
              <w:fldChar w:fldCharType="separate"/>
            </w:r>
            <w:r>
              <w:rPr>
                <w:noProof/>
                <w:webHidden/>
              </w:rPr>
              <w:t>18</w:t>
            </w:r>
            <w:r>
              <w:rPr>
                <w:noProof/>
                <w:webHidden/>
              </w:rPr>
              <w:fldChar w:fldCharType="end"/>
            </w:r>
          </w:hyperlink>
        </w:p>
        <w:p w14:paraId="26C0E267" w14:textId="47155248"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1" w:history="1">
            <w:r w:rsidRPr="00867E8D">
              <w:rPr>
                <w:rStyle w:val="Hyperlink"/>
                <w:rFonts w:ascii="Arial" w:eastAsia="Times New Roman" w:hAnsi="Arial" w:cs="Arial"/>
                <w:b/>
                <w:bCs/>
                <w:noProof/>
              </w:rPr>
              <w:t>4.2.3 Governance and Transparency</w:t>
            </w:r>
            <w:r>
              <w:rPr>
                <w:noProof/>
                <w:webHidden/>
              </w:rPr>
              <w:tab/>
            </w:r>
            <w:r>
              <w:rPr>
                <w:noProof/>
                <w:webHidden/>
              </w:rPr>
              <w:fldChar w:fldCharType="begin"/>
            </w:r>
            <w:r>
              <w:rPr>
                <w:noProof/>
                <w:webHidden/>
              </w:rPr>
              <w:instrText xml:space="preserve"> PAGEREF _Toc214615831 \h </w:instrText>
            </w:r>
            <w:r>
              <w:rPr>
                <w:noProof/>
                <w:webHidden/>
              </w:rPr>
            </w:r>
            <w:r>
              <w:rPr>
                <w:noProof/>
                <w:webHidden/>
              </w:rPr>
              <w:fldChar w:fldCharType="separate"/>
            </w:r>
            <w:r>
              <w:rPr>
                <w:noProof/>
                <w:webHidden/>
              </w:rPr>
              <w:t>18</w:t>
            </w:r>
            <w:r>
              <w:rPr>
                <w:noProof/>
                <w:webHidden/>
              </w:rPr>
              <w:fldChar w:fldCharType="end"/>
            </w:r>
          </w:hyperlink>
        </w:p>
        <w:p w14:paraId="50BA5219" w14:textId="2E2EF03D" w:rsidR="008B22AC" w:rsidRDefault="008B22AC">
          <w:pPr>
            <w:pStyle w:val="TOC2"/>
            <w:tabs>
              <w:tab w:val="right" w:leader="dot" w:pos="9962"/>
            </w:tabs>
            <w:rPr>
              <w:rFonts w:eastAsiaTheme="minorEastAsia"/>
              <w:noProof/>
              <w:sz w:val="24"/>
              <w:szCs w:val="24"/>
              <w:lang w:val="bg-BG" w:eastAsia="bg-BG"/>
            </w:rPr>
          </w:pPr>
          <w:hyperlink w:anchor="_Toc214615832" w:history="1">
            <w:r w:rsidRPr="00867E8D">
              <w:rPr>
                <w:rStyle w:val="Hyperlink"/>
                <w:rFonts w:ascii="Arial" w:hAnsi="Arial" w:cs="Arial"/>
                <w:b/>
                <w:bCs/>
                <w:noProof/>
              </w:rPr>
              <w:t>4.3 Cross-Case Comparison</w:t>
            </w:r>
            <w:r>
              <w:rPr>
                <w:noProof/>
                <w:webHidden/>
              </w:rPr>
              <w:tab/>
            </w:r>
            <w:r>
              <w:rPr>
                <w:noProof/>
                <w:webHidden/>
              </w:rPr>
              <w:fldChar w:fldCharType="begin"/>
            </w:r>
            <w:r>
              <w:rPr>
                <w:noProof/>
                <w:webHidden/>
              </w:rPr>
              <w:instrText xml:space="preserve"> PAGEREF _Toc214615832 \h </w:instrText>
            </w:r>
            <w:r>
              <w:rPr>
                <w:noProof/>
                <w:webHidden/>
              </w:rPr>
            </w:r>
            <w:r>
              <w:rPr>
                <w:noProof/>
                <w:webHidden/>
              </w:rPr>
              <w:fldChar w:fldCharType="separate"/>
            </w:r>
            <w:r>
              <w:rPr>
                <w:noProof/>
                <w:webHidden/>
              </w:rPr>
              <w:t>18</w:t>
            </w:r>
            <w:r>
              <w:rPr>
                <w:noProof/>
                <w:webHidden/>
              </w:rPr>
              <w:fldChar w:fldCharType="end"/>
            </w:r>
          </w:hyperlink>
        </w:p>
        <w:p w14:paraId="16EC6A44" w14:textId="2DA0A081" w:rsidR="008B22AC" w:rsidRDefault="008B22AC">
          <w:pPr>
            <w:pStyle w:val="TOC2"/>
            <w:tabs>
              <w:tab w:val="right" w:leader="dot" w:pos="9962"/>
            </w:tabs>
            <w:rPr>
              <w:rFonts w:eastAsiaTheme="minorEastAsia"/>
              <w:noProof/>
              <w:sz w:val="24"/>
              <w:szCs w:val="24"/>
              <w:lang w:val="bg-BG" w:eastAsia="bg-BG"/>
            </w:rPr>
          </w:pPr>
          <w:hyperlink w:anchor="_Toc214615833" w:history="1">
            <w:r w:rsidRPr="00867E8D">
              <w:rPr>
                <w:rStyle w:val="Hyperlink"/>
                <w:rFonts w:ascii="Arial" w:hAnsi="Arial" w:cs="Arial"/>
                <w:b/>
                <w:bCs/>
                <w:noProof/>
              </w:rPr>
              <w:t>4.4 Climate Risk Assessment (TCFD-Based Evaluation)</w:t>
            </w:r>
            <w:r>
              <w:rPr>
                <w:noProof/>
                <w:webHidden/>
              </w:rPr>
              <w:tab/>
            </w:r>
            <w:r>
              <w:rPr>
                <w:noProof/>
                <w:webHidden/>
              </w:rPr>
              <w:fldChar w:fldCharType="begin"/>
            </w:r>
            <w:r>
              <w:rPr>
                <w:noProof/>
                <w:webHidden/>
              </w:rPr>
              <w:instrText xml:space="preserve"> PAGEREF _Toc214615833 \h </w:instrText>
            </w:r>
            <w:r>
              <w:rPr>
                <w:noProof/>
                <w:webHidden/>
              </w:rPr>
            </w:r>
            <w:r>
              <w:rPr>
                <w:noProof/>
                <w:webHidden/>
              </w:rPr>
              <w:fldChar w:fldCharType="separate"/>
            </w:r>
            <w:r>
              <w:rPr>
                <w:noProof/>
                <w:webHidden/>
              </w:rPr>
              <w:t>19</w:t>
            </w:r>
            <w:r>
              <w:rPr>
                <w:noProof/>
                <w:webHidden/>
              </w:rPr>
              <w:fldChar w:fldCharType="end"/>
            </w:r>
          </w:hyperlink>
        </w:p>
        <w:p w14:paraId="06B57CBC" w14:textId="03B0FAAC"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4" w:history="1">
            <w:r w:rsidRPr="00867E8D">
              <w:rPr>
                <w:rStyle w:val="Hyperlink"/>
                <w:rFonts w:ascii="Arial" w:eastAsia="Times New Roman" w:hAnsi="Arial" w:cs="Arial"/>
                <w:b/>
                <w:bCs/>
                <w:noProof/>
              </w:rPr>
              <w:t>4.4.1 Physical Climate Risks</w:t>
            </w:r>
            <w:r>
              <w:rPr>
                <w:noProof/>
                <w:webHidden/>
              </w:rPr>
              <w:tab/>
            </w:r>
            <w:r>
              <w:rPr>
                <w:noProof/>
                <w:webHidden/>
              </w:rPr>
              <w:fldChar w:fldCharType="begin"/>
            </w:r>
            <w:r>
              <w:rPr>
                <w:noProof/>
                <w:webHidden/>
              </w:rPr>
              <w:instrText xml:space="preserve"> PAGEREF _Toc214615834 \h </w:instrText>
            </w:r>
            <w:r>
              <w:rPr>
                <w:noProof/>
                <w:webHidden/>
              </w:rPr>
            </w:r>
            <w:r>
              <w:rPr>
                <w:noProof/>
                <w:webHidden/>
              </w:rPr>
              <w:fldChar w:fldCharType="separate"/>
            </w:r>
            <w:r>
              <w:rPr>
                <w:noProof/>
                <w:webHidden/>
              </w:rPr>
              <w:t>19</w:t>
            </w:r>
            <w:r>
              <w:rPr>
                <w:noProof/>
                <w:webHidden/>
              </w:rPr>
              <w:fldChar w:fldCharType="end"/>
            </w:r>
          </w:hyperlink>
        </w:p>
        <w:p w14:paraId="7B7EFD74" w14:textId="44235CF8"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5" w:history="1">
            <w:r w:rsidRPr="00867E8D">
              <w:rPr>
                <w:rStyle w:val="Hyperlink"/>
                <w:rFonts w:ascii="Arial" w:eastAsia="Times New Roman" w:hAnsi="Arial" w:cs="Arial"/>
                <w:b/>
                <w:bCs/>
                <w:noProof/>
              </w:rPr>
              <w:t>4.4.2 Transition Climate Risks</w:t>
            </w:r>
            <w:r>
              <w:rPr>
                <w:noProof/>
                <w:webHidden/>
              </w:rPr>
              <w:tab/>
            </w:r>
            <w:r>
              <w:rPr>
                <w:noProof/>
                <w:webHidden/>
              </w:rPr>
              <w:fldChar w:fldCharType="begin"/>
            </w:r>
            <w:r>
              <w:rPr>
                <w:noProof/>
                <w:webHidden/>
              </w:rPr>
              <w:instrText xml:space="preserve"> PAGEREF _Toc214615835 \h </w:instrText>
            </w:r>
            <w:r>
              <w:rPr>
                <w:noProof/>
                <w:webHidden/>
              </w:rPr>
            </w:r>
            <w:r>
              <w:rPr>
                <w:noProof/>
                <w:webHidden/>
              </w:rPr>
              <w:fldChar w:fldCharType="separate"/>
            </w:r>
            <w:r>
              <w:rPr>
                <w:noProof/>
                <w:webHidden/>
              </w:rPr>
              <w:t>19</w:t>
            </w:r>
            <w:r>
              <w:rPr>
                <w:noProof/>
                <w:webHidden/>
              </w:rPr>
              <w:fldChar w:fldCharType="end"/>
            </w:r>
          </w:hyperlink>
        </w:p>
        <w:p w14:paraId="51CE3E14" w14:textId="2663422C" w:rsidR="008B22AC" w:rsidRDefault="008B22AC">
          <w:pPr>
            <w:pStyle w:val="TOC2"/>
            <w:tabs>
              <w:tab w:val="right" w:leader="dot" w:pos="9962"/>
            </w:tabs>
            <w:rPr>
              <w:rFonts w:eastAsiaTheme="minorEastAsia"/>
              <w:noProof/>
              <w:sz w:val="24"/>
              <w:szCs w:val="24"/>
              <w:lang w:val="bg-BG" w:eastAsia="bg-BG"/>
            </w:rPr>
          </w:pPr>
          <w:hyperlink w:anchor="_Toc214615836" w:history="1">
            <w:r w:rsidRPr="00867E8D">
              <w:rPr>
                <w:rStyle w:val="Hyperlink"/>
                <w:rFonts w:ascii="Arial" w:hAnsi="Arial" w:cs="Arial"/>
                <w:b/>
                <w:bCs/>
                <w:noProof/>
              </w:rPr>
              <w:t>4.5 CSRD and ESRS Compliance</w:t>
            </w:r>
            <w:r>
              <w:rPr>
                <w:noProof/>
                <w:webHidden/>
              </w:rPr>
              <w:tab/>
            </w:r>
            <w:r>
              <w:rPr>
                <w:noProof/>
                <w:webHidden/>
              </w:rPr>
              <w:fldChar w:fldCharType="begin"/>
            </w:r>
            <w:r>
              <w:rPr>
                <w:noProof/>
                <w:webHidden/>
              </w:rPr>
              <w:instrText xml:space="preserve"> PAGEREF _Toc214615836 \h </w:instrText>
            </w:r>
            <w:r>
              <w:rPr>
                <w:noProof/>
                <w:webHidden/>
              </w:rPr>
            </w:r>
            <w:r>
              <w:rPr>
                <w:noProof/>
                <w:webHidden/>
              </w:rPr>
              <w:fldChar w:fldCharType="separate"/>
            </w:r>
            <w:r>
              <w:rPr>
                <w:noProof/>
                <w:webHidden/>
              </w:rPr>
              <w:t>19</w:t>
            </w:r>
            <w:r>
              <w:rPr>
                <w:noProof/>
                <w:webHidden/>
              </w:rPr>
              <w:fldChar w:fldCharType="end"/>
            </w:r>
          </w:hyperlink>
        </w:p>
        <w:p w14:paraId="703077AE" w14:textId="7AE26F65"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7" w:history="1">
            <w:r w:rsidRPr="00867E8D">
              <w:rPr>
                <w:rStyle w:val="Hyperlink"/>
                <w:rFonts w:ascii="Arial" w:eastAsia="Times New Roman" w:hAnsi="Arial" w:cs="Arial"/>
                <w:b/>
                <w:bCs/>
                <w:noProof/>
              </w:rPr>
              <w:t>4.5.1 Strongest Alignment</w:t>
            </w:r>
            <w:r>
              <w:rPr>
                <w:noProof/>
                <w:webHidden/>
              </w:rPr>
              <w:tab/>
            </w:r>
            <w:r>
              <w:rPr>
                <w:noProof/>
                <w:webHidden/>
              </w:rPr>
              <w:fldChar w:fldCharType="begin"/>
            </w:r>
            <w:r>
              <w:rPr>
                <w:noProof/>
                <w:webHidden/>
              </w:rPr>
              <w:instrText xml:space="preserve"> PAGEREF _Toc214615837 \h </w:instrText>
            </w:r>
            <w:r>
              <w:rPr>
                <w:noProof/>
                <w:webHidden/>
              </w:rPr>
            </w:r>
            <w:r>
              <w:rPr>
                <w:noProof/>
                <w:webHidden/>
              </w:rPr>
              <w:fldChar w:fldCharType="separate"/>
            </w:r>
            <w:r>
              <w:rPr>
                <w:noProof/>
                <w:webHidden/>
              </w:rPr>
              <w:t>20</w:t>
            </w:r>
            <w:r>
              <w:rPr>
                <w:noProof/>
                <w:webHidden/>
              </w:rPr>
              <w:fldChar w:fldCharType="end"/>
            </w:r>
          </w:hyperlink>
        </w:p>
        <w:p w14:paraId="0E6C3611" w14:textId="180D7C83"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8" w:history="1">
            <w:r w:rsidRPr="00867E8D">
              <w:rPr>
                <w:rStyle w:val="Hyperlink"/>
                <w:rFonts w:ascii="Arial" w:eastAsia="Times New Roman" w:hAnsi="Arial" w:cs="Arial"/>
                <w:b/>
                <w:bCs/>
                <w:noProof/>
              </w:rPr>
              <w:t>4.5.2 Moderate Alignment</w:t>
            </w:r>
            <w:r>
              <w:rPr>
                <w:noProof/>
                <w:webHidden/>
              </w:rPr>
              <w:tab/>
            </w:r>
            <w:r>
              <w:rPr>
                <w:noProof/>
                <w:webHidden/>
              </w:rPr>
              <w:fldChar w:fldCharType="begin"/>
            </w:r>
            <w:r>
              <w:rPr>
                <w:noProof/>
                <w:webHidden/>
              </w:rPr>
              <w:instrText xml:space="preserve"> PAGEREF _Toc214615838 \h </w:instrText>
            </w:r>
            <w:r>
              <w:rPr>
                <w:noProof/>
                <w:webHidden/>
              </w:rPr>
            </w:r>
            <w:r>
              <w:rPr>
                <w:noProof/>
                <w:webHidden/>
              </w:rPr>
              <w:fldChar w:fldCharType="separate"/>
            </w:r>
            <w:r>
              <w:rPr>
                <w:noProof/>
                <w:webHidden/>
              </w:rPr>
              <w:t>20</w:t>
            </w:r>
            <w:r>
              <w:rPr>
                <w:noProof/>
                <w:webHidden/>
              </w:rPr>
              <w:fldChar w:fldCharType="end"/>
            </w:r>
          </w:hyperlink>
        </w:p>
        <w:p w14:paraId="6862D45C" w14:textId="20E45471"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39" w:history="1">
            <w:r w:rsidRPr="00867E8D">
              <w:rPr>
                <w:rStyle w:val="Hyperlink"/>
                <w:rFonts w:ascii="Arial" w:eastAsia="Times New Roman" w:hAnsi="Arial" w:cs="Arial"/>
                <w:b/>
                <w:bCs/>
                <w:noProof/>
              </w:rPr>
              <w:t>4.5.3 Limited Alignment</w:t>
            </w:r>
            <w:r>
              <w:rPr>
                <w:noProof/>
                <w:webHidden/>
              </w:rPr>
              <w:tab/>
            </w:r>
            <w:r>
              <w:rPr>
                <w:noProof/>
                <w:webHidden/>
              </w:rPr>
              <w:fldChar w:fldCharType="begin"/>
            </w:r>
            <w:r>
              <w:rPr>
                <w:noProof/>
                <w:webHidden/>
              </w:rPr>
              <w:instrText xml:space="preserve"> PAGEREF _Toc214615839 \h </w:instrText>
            </w:r>
            <w:r>
              <w:rPr>
                <w:noProof/>
                <w:webHidden/>
              </w:rPr>
            </w:r>
            <w:r>
              <w:rPr>
                <w:noProof/>
                <w:webHidden/>
              </w:rPr>
              <w:fldChar w:fldCharType="separate"/>
            </w:r>
            <w:r>
              <w:rPr>
                <w:noProof/>
                <w:webHidden/>
              </w:rPr>
              <w:t>20</w:t>
            </w:r>
            <w:r>
              <w:rPr>
                <w:noProof/>
                <w:webHidden/>
              </w:rPr>
              <w:fldChar w:fldCharType="end"/>
            </w:r>
          </w:hyperlink>
        </w:p>
        <w:p w14:paraId="3279B161" w14:textId="6CB67527" w:rsidR="008B22AC" w:rsidRDefault="008B22AC">
          <w:pPr>
            <w:pStyle w:val="TOC2"/>
            <w:tabs>
              <w:tab w:val="right" w:leader="dot" w:pos="9962"/>
            </w:tabs>
            <w:rPr>
              <w:rFonts w:eastAsiaTheme="minorEastAsia"/>
              <w:noProof/>
              <w:sz w:val="24"/>
              <w:szCs w:val="24"/>
              <w:lang w:val="bg-BG" w:eastAsia="bg-BG"/>
            </w:rPr>
          </w:pPr>
          <w:hyperlink w:anchor="_Toc214615840" w:history="1">
            <w:r w:rsidRPr="00867E8D">
              <w:rPr>
                <w:rStyle w:val="Hyperlink"/>
                <w:rFonts w:ascii="Arial" w:hAnsi="Arial" w:cs="Arial"/>
                <w:b/>
                <w:bCs/>
                <w:noProof/>
              </w:rPr>
              <w:t>4.6 In-Depth Case Study: Ellatzite-Med</w:t>
            </w:r>
            <w:r>
              <w:rPr>
                <w:noProof/>
                <w:webHidden/>
              </w:rPr>
              <w:tab/>
            </w:r>
            <w:r>
              <w:rPr>
                <w:noProof/>
                <w:webHidden/>
              </w:rPr>
              <w:fldChar w:fldCharType="begin"/>
            </w:r>
            <w:r>
              <w:rPr>
                <w:noProof/>
                <w:webHidden/>
              </w:rPr>
              <w:instrText xml:space="preserve"> PAGEREF _Toc214615840 \h </w:instrText>
            </w:r>
            <w:r>
              <w:rPr>
                <w:noProof/>
                <w:webHidden/>
              </w:rPr>
            </w:r>
            <w:r>
              <w:rPr>
                <w:noProof/>
                <w:webHidden/>
              </w:rPr>
              <w:fldChar w:fldCharType="separate"/>
            </w:r>
            <w:r>
              <w:rPr>
                <w:noProof/>
                <w:webHidden/>
              </w:rPr>
              <w:t>20</w:t>
            </w:r>
            <w:r>
              <w:rPr>
                <w:noProof/>
                <w:webHidden/>
              </w:rPr>
              <w:fldChar w:fldCharType="end"/>
            </w:r>
          </w:hyperlink>
        </w:p>
        <w:p w14:paraId="0196958F" w14:textId="1408CCE8"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41" w:history="1">
            <w:r w:rsidRPr="00867E8D">
              <w:rPr>
                <w:rStyle w:val="Hyperlink"/>
                <w:rFonts w:ascii="Arial" w:eastAsia="Times New Roman" w:hAnsi="Arial" w:cs="Arial"/>
                <w:b/>
                <w:bCs/>
                <w:noProof/>
              </w:rPr>
              <w:t>4.6.1 Environmental Leadership and High-Tech Investments</w:t>
            </w:r>
            <w:r>
              <w:rPr>
                <w:noProof/>
                <w:webHidden/>
              </w:rPr>
              <w:tab/>
            </w:r>
            <w:r>
              <w:rPr>
                <w:noProof/>
                <w:webHidden/>
              </w:rPr>
              <w:fldChar w:fldCharType="begin"/>
            </w:r>
            <w:r>
              <w:rPr>
                <w:noProof/>
                <w:webHidden/>
              </w:rPr>
              <w:instrText xml:space="preserve"> PAGEREF _Toc214615841 \h </w:instrText>
            </w:r>
            <w:r>
              <w:rPr>
                <w:noProof/>
                <w:webHidden/>
              </w:rPr>
            </w:r>
            <w:r>
              <w:rPr>
                <w:noProof/>
                <w:webHidden/>
              </w:rPr>
              <w:fldChar w:fldCharType="separate"/>
            </w:r>
            <w:r>
              <w:rPr>
                <w:noProof/>
                <w:webHidden/>
              </w:rPr>
              <w:t>20</w:t>
            </w:r>
            <w:r>
              <w:rPr>
                <w:noProof/>
                <w:webHidden/>
              </w:rPr>
              <w:fldChar w:fldCharType="end"/>
            </w:r>
          </w:hyperlink>
        </w:p>
        <w:p w14:paraId="08F42EB9" w14:textId="7334BB0D"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42" w:history="1">
            <w:r w:rsidRPr="00867E8D">
              <w:rPr>
                <w:rStyle w:val="Hyperlink"/>
                <w:rFonts w:ascii="Arial" w:eastAsia="Times New Roman" w:hAnsi="Arial" w:cs="Arial"/>
                <w:b/>
                <w:bCs/>
                <w:noProof/>
              </w:rPr>
              <w:t>4.6.2 Digitalisation and Artificial Intelligence</w:t>
            </w:r>
            <w:r>
              <w:rPr>
                <w:noProof/>
                <w:webHidden/>
              </w:rPr>
              <w:tab/>
            </w:r>
            <w:r>
              <w:rPr>
                <w:noProof/>
                <w:webHidden/>
              </w:rPr>
              <w:fldChar w:fldCharType="begin"/>
            </w:r>
            <w:r>
              <w:rPr>
                <w:noProof/>
                <w:webHidden/>
              </w:rPr>
              <w:instrText xml:space="preserve"> PAGEREF _Toc214615842 \h </w:instrText>
            </w:r>
            <w:r>
              <w:rPr>
                <w:noProof/>
                <w:webHidden/>
              </w:rPr>
            </w:r>
            <w:r>
              <w:rPr>
                <w:noProof/>
                <w:webHidden/>
              </w:rPr>
              <w:fldChar w:fldCharType="separate"/>
            </w:r>
            <w:r>
              <w:rPr>
                <w:noProof/>
                <w:webHidden/>
              </w:rPr>
              <w:t>20</w:t>
            </w:r>
            <w:r>
              <w:rPr>
                <w:noProof/>
                <w:webHidden/>
              </w:rPr>
              <w:fldChar w:fldCharType="end"/>
            </w:r>
          </w:hyperlink>
        </w:p>
        <w:p w14:paraId="1AB12349" w14:textId="1028259A"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43" w:history="1">
            <w:r w:rsidRPr="00867E8D">
              <w:rPr>
                <w:rStyle w:val="Hyperlink"/>
                <w:rFonts w:ascii="Arial" w:eastAsia="Times New Roman" w:hAnsi="Arial" w:cs="Arial"/>
                <w:b/>
                <w:bCs/>
                <w:noProof/>
              </w:rPr>
              <w:t>4.6.3 Social and Governance Practices</w:t>
            </w:r>
            <w:r>
              <w:rPr>
                <w:noProof/>
                <w:webHidden/>
              </w:rPr>
              <w:tab/>
            </w:r>
            <w:r>
              <w:rPr>
                <w:noProof/>
                <w:webHidden/>
              </w:rPr>
              <w:fldChar w:fldCharType="begin"/>
            </w:r>
            <w:r>
              <w:rPr>
                <w:noProof/>
                <w:webHidden/>
              </w:rPr>
              <w:instrText xml:space="preserve"> PAGEREF _Toc214615843 \h </w:instrText>
            </w:r>
            <w:r>
              <w:rPr>
                <w:noProof/>
                <w:webHidden/>
              </w:rPr>
            </w:r>
            <w:r>
              <w:rPr>
                <w:noProof/>
                <w:webHidden/>
              </w:rPr>
              <w:fldChar w:fldCharType="separate"/>
            </w:r>
            <w:r>
              <w:rPr>
                <w:noProof/>
                <w:webHidden/>
              </w:rPr>
              <w:t>21</w:t>
            </w:r>
            <w:r>
              <w:rPr>
                <w:noProof/>
                <w:webHidden/>
              </w:rPr>
              <w:fldChar w:fldCharType="end"/>
            </w:r>
          </w:hyperlink>
        </w:p>
        <w:p w14:paraId="18A36FB7" w14:textId="3622E5E5" w:rsidR="008B22AC" w:rsidRDefault="008B22AC">
          <w:pPr>
            <w:pStyle w:val="TOC3"/>
            <w:tabs>
              <w:tab w:val="right" w:leader="dot" w:pos="9962"/>
            </w:tabs>
            <w:rPr>
              <w:rFonts w:cstheme="minorBidi"/>
              <w:noProof/>
              <w:kern w:val="2"/>
              <w:sz w:val="24"/>
              <w:szCs w:val="24"/>
              <w:lang w:val="bg-BG" w:eastAsia="bg-BG"/>
              <w14:ligatures w14:val="standardContextual"/>
            </w:rPr>
          </w:pPr>
          <w:hyperlink w:anchor="_Toc214615844" w:history="1">
            <w:r w:rsidRPr="00867E8D">
              <w:rPr>
                <w:rStyle w:val="Hyperlink"/>
                <w:rFonts w:ascii="Arial" w:eastAsia="Times New Roman" w:hAnsi="Arial" w:cs="Arial"/>
                <w:b/>
                <w:bCs/>
                <w:noProof/>
              </w:rPr>
              <w:t>4.6.4 Comparative Position</w:t>
            </w:r>
            <w:r>
              <w:rPr>
                <w:noProof/>
                <w:webHidden/>
              </w:rPr>
              <w:tab/>
            </w:r>
            <w:r>
              <w:rPr>
                <w:noProof/>
                <w:webHidden/>
              </w:rPr>
              <w:fldChar w:fldCharType="begin"/>
            </w:r>
            <w:r>
              <w:rPr>
                <w:noProof/>
                <w:webHidden/>
              </w:rPr>
              <w:instrText xml:space="preserve"> PAGEREF _Toc214615844 \h </w:instrText>
            </w:r>
            <w:r>
              <w:rPr>
                <w:noProof/>
                <w:webHidden/>
              </w:rPr>
            </w:r>
            <w:r>
              <w:rPr>
                <w:noProof/>
                <w:webHidden/>
              </w:rPr>
              <w:fldChar w:fldCharType="separate"/>
            </w:r>
            <w:r>
              <w:rPr>
                <w:noProof/>
                <w:webHidden/>
              </w:rPr>
              <w:t>21</w:t>
            </w:r>
            <w:r>
              <w:rPr>
                <w:noProof/>
                <w:webHidden/>
              </w:rPr>
              <w:fldChar w:fldCharType="end"/>
            </w:r>
          </w:hyperlink>
        </w:p>
        <w:p w14:paraId="5101868D" w14:textId="1C2EA364" w:rsidR="008B22AC" w:rsidRDefault="008B22AC">
          <w:pPr>
            <w:pStyle w:val="TOC2"/>
            <w:tabs>
              <w:tab w:val="right" w:leader="dot" w:pos="9962"/>
            </w:tabs>
            <w:rPr>
              <w:rFonts w:eastAsiaTheme="minorEastAsia"/>
              <w:noProof/>
              <w:sz w:val="24"/>
              <w:szCs w:val="24"/>
              <w:lang w:val="bg-BG" w:eastAsia="bg-BG"/>
            </w:rPr>
          </w:pPr>
          <w:hyperlink w:anchor="_Toc214615845" w:history="1">
            <w:r w:rsidRPr="00867E8D">
              <w:rPr>
                <w:rStyle w:val="Hyperlink"/>
                <w:rFonts w:ascii="Arial" w:hAnsi="Arial" w:cs="Arial"/>
                <w:b/>
                <w:bCs/>
                <w:noProof/>
              </w:rPr>
              <w:t>4.7 Synthesis and Discussion</w:t>
            </w:r>
            <w:r>
              <w:rPr>
                <w:noProof/>
                <w:webHidden/>
              </w:rPr>
              <w:tab/>
            </w:r>
            <w:r>
              <w:rPr>
                <w:noProof/>
                <w:webHidden/>
              </w:rPr>
              <w:fldChar w:fldCharType="begin"/>
            </w:r>
            <w:r>
              <w:rPr>
                <w:noProof/>
                <w:webHidden/>
              </w:rPr>
              <w:instrText xml:space="preserve"> PAGEREF _Toc214615845 \h </w:instrText>
            </w:r>
            <w:r>
              <w:rPr>
                <w:noProof/>
                <w:webHidden/>
              </w:rPr>
            </w:r>
            <w:r>
              <w:rPr>
                <w:noProof/>
                <w:webHidden/>
              </w:rPr>
              <w:fldChar w:fldCharType="separate"/>
            </w:r>
            <w:r>
              <w:rPr>
                <w:noProof/>
                <w:webHidden/>
              </w:rPr>
              <w:t>21</w:t>
            </w:r>
            <w:r>
              <w:rPr>
                <w:noProof/>
                <w:webHidden/>
              </w:rPr>
              <w:fldChar w:fldCharType="end"/>
            </w:r>
          </w:hyperlink>
        </w:p>
        <w:p w14:paraId="4293A0DB" w14:textId="3C573C70" w:rsidR="008B22AC" w:rsidRDefault="008B22AC">
          <w:pPr>
            <w:pStyle w:val="TOC2"/>
            <w:tabs>
              <w:tab w:val="right" w:leader="dot" w:pos="9962"/>
            </w:tabs>
            <w:rPr>
              <w:rFonts w:eastAsiaTheme="minorEastAsia"/>
              <w:noProof/>
              <w:sz w:val="24"/>
              <w:szCs w:val="24"/>
              <w:lang w:val="bg-BG" w:eastAsia="bg-BG"/>
            </w:rPr>
          </w:pPr>
          <w:hyperlink w:anchor="_Toc214615846" w:history="1">
            <w:r w:rsidRPr="00867E8D">
              <w:rPr>
                <w:rStyle w:val="Hyperlink"/>
                <w:rFonts w:ascii="Arial" w:hAnsi="Arial" w:cs="Arial"/>
                <w:b/>
                <w:bCs/>
                <w:noProof/>
              </w:rPr>
              <w:t>4.8 Summary</w:t>
            </w:r>
            <w:r>
              <w:rPr>
                <w:noProof/>
                <w:webHidden/>
              </w:rPr>
              <w:tab/>
            </w:r>
            <w:r>
              <w:rPr>
                <w:noProof/>
                <w:webHidden/>
              </w:rPr>
              <w:fldChar w:fldCharType="begin"/>
            </w:r>
            <w:r>
              <w:rPr>
                <w:noProof/>
                <w:webHidden/>
              </w:rPr>
              <w:instrText xml:space="preserve"> PAGEREF _Toc214615846 \h </w:instrText>
            </w:r>
            <w:r>
              <w:rPr>
                <w:noProof/>
                <w:webHidden/>
              </w:rPr>
            </w:r>
            <w:r>
              <w:rPr>
                <w:noProof/>
                <w:webHidden/>
              </w:rPr>
              <w:fldChar w:fldCharType="separate"/>
            </w:r>
            <w:r>
              <w:rPr>
                <w:noProof/>
                <w:webHidden/>
              </w:rPr>
              <w:t>21</w:t>
            </w:r>
            <w:r>
              <w:rPr>
                <w:noProof/>
                <w:webHidden/>
              </w:rPr>
              <w:fldChar w:fldCharType="end"/>
            </w:r>
          </w:hyperlink>
        </w:p>
        <w:p w14:paraId="348EDA9C" w14:textId="6847B0DE" w:rsidR="008B22AC" w:rsidRDefault="008B22AC">
          <w:pPr>
            <w:pStyle w:val="TOC1"/>
            <w:tabs>
              <w:tab w:val="right" w:leader="dot" w:pos="9962"/>
            </w:tabs>
            <w:rPr>
              <w:rFonts w:eastAsiaTheme="minorEastAsia"/>
              <w:noProof/>
              <w:sz w:val="24"/>
              <w:szCs w:val="24"/>
              <w:lang w:val="bg-BG" w:eastAsia="bg-BG"/>
            </w:rPr>
          </w:pPr>
          <w:hyperlink w:anchor="_Toc214615847" w:history="1">
            <w:r w:rsidRPr="00867E8D">
              <w:rPr>
                <w:rStyle w:val="Hyperlink"/>
                <w:rFonts w:ascii="Arial" w:hAnsi="Arial" w:cs="Arial"/>
                <w:b/>
                <w:bCs/>
                <w:noProof/>
              </w:rPr>
              <w:t>CHAPTER 5: CONCLUSIONS AND RECOMMENDATIONS</w:t>
            </w:r>
            <w:r>
              <w:rPr>
                <w:noProof/>
                <w:webHidden/>
              </w:rPr>
              <w:tab/>
            </w:r>
            <w:r>
              <w:rPr>
                <w:noProof/>
                <w:webHidden/>
              </w:rPr>
              <w:fldChar w:fldCharType="begin"/>
            </w:r>
            <w:r>
              <w:rPr>
                <w:noProof/>
                <w:webHidden/>
              </w:rPr>
              <w:instrText xml:space="preserve"> PAGEREF _Toc214615847 \h </w:instrText>
            </w:r>
            <w:r>
              <w:rPr>
                <w:noProof/>
                <w:webHidden/>
              </w:rPr>
            </w:r>
            <w:r>
              <w:rPr>
                <w:noProof/>
                <w:webHidden/>
              </w:rPr>
              <w:fldChar w:fldCharType="separate"/>
            </w:r>
            <w:r>
              <w:rPr>
                <w:noProof/>
                <w:webHidden/>
              </w:rPr>
              <w:t>22</w:t>
            </w:r>
            <w:r>
              <w:rPr>
                <w:noProof/>
                <w:webHidden/>
              </w:rPr>
              <w:fldChar w:fldCharType="end"/>
            </w:r>
          </w:hyperlink>
        </w:p>
        <w:p w14:paraId="67655F79" w14:textId="717F1837" w:rsidR="008B22AC" w:rsidRDefault="008B22AC">
          <w:pPr>
            <w:pStyle w:val="TOC2"/>
            <w:tabs>
              <w:tab w:val="right" w:leader="dot" w:pos="9962"/>
            </w:tabs>
            <w:rPr>
              <w:rFonts w:eastAsiaTheme="minorEastAsia"/>
              <w:noProof/>
              <w:sz w:val="24"/>
              <w:szCs w:val="24"/>
              <w:lang w:val="bg-BG" w:eastAsia="bg-BG"/>
            </w:rPr>
          </w:pPr>
          <w:hyperlink w:anchor="_Toc214615848" w:history="1">
            <w:r w:rsidRPr="00867E8D">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_Toc214615848 \h </w:instrText>
            </w:r>
            <w:r>
              <w:rPr>
                <w:noProof/>
                <w:webHidden/>
              </w:rPr>
            </w:r>
            <w:r>
              <w:rPr>
                <w:noProof/>
                <w:webHidden/>
              </w:rPr>
              <w:fldChar w:fldCharType="separate"/>
            </w:r>
            <w:r>
              <w:rPr>
                <w:noProof/>
                <w:webHidden/>
              </w:rPr>
              <w:t>22</w:t>
            </w:r>
            <w:r>
              <w:rPr>
                <w:noProof/>
                <w:webHidden/>
              </w:rPr>
              <w:fldChar w:fldCharType="end"/>
            </w:r>
          </w:hyperlink>
        </w:p>
        <w:p w14:paraId="370C85C4" w14:textId="724D7D25" w:rsidR="008B22AC" w:rsidRDefault="008B22AC">
          <w:pPr>
            <w:pStyle w:val="TOC2"/>
            <w:tabs>
              <w:tab w:val="right" w:leader="dot" w:pos="9962"/>
            </w:tabs>
            <w:rPr>
              <w:rFonts w:eastAsiaTheme="minorEastAsia"/>
              <w:noProof/>
              <w:sz w:val="24"/>
              <w:szCs w:val="24"/>
              <w:lang w:val="bg-BG" w:eastAsia="bg-BG"/>
            </w:rPr>
          </w:pPr>
          <w:hyperlink w:anchor="_Toc214615849" w:history="1">
            <w:r w:rsidRPr="00867E8D">
              <w:rPr>
                <w:rStyle w:val="Hyperlink"/>
                <w:rFonts w:ascii="Arial" w:hAnsi="Arial" w:cs="Arial"/>
                <w:b/>
                <w:bCs/>
                <w:noProof/>
              </w:rPr>
              <w:t>5.2 Summary of Key Findings: What My Research Revealed</w:t>
            </w:r>
            <w:r>
              <w:rPr>
                <w:noProof/>
                <w:webHidden/>
              </w:rPr>
              <w:tab/>
            </w:r>
            <w:r>
              <w:rPr>
                <w:noProof/>
                <w:webHidden/>
              </w:rPr>
              <w:fldChar w:fldCharType="begin"/>
            </w:r>
            <w:r>
              <w:rPr>
                <w:noProof/>
                <w:webHidden/>
              </w:rPr>
              <w:instrText xml:space="preserve"> PAGEREF _Toc214615849 \h </w:instrText>
            </w:r>
            <w:r>
              <w:rPr>
                <w:noProof/>
                <w:webHidden/>
              </w:rPr>
            </w:r>
            <w:r>
              <w:rPr>
                <w:noProof/>
                <w:webHidden/>
              </w:rPr>
              <w:fldChar w:fldCharType="separate"/>
            </w:r>
            <w:r>
              <w:rPr>
                <w:noProof/>
                <w:webHidden/>
              </w:rPr>
              <w:t>22</w:t>
            </w:r>
            <w:r>
              <w:rPr>
                <w:noProof/>
                <w:webHidden/>
              </w:rPr>
              <w:fldChar w:fldCharType="end"/>
            </w:r>
          </w:hyperlink>
        </w:p>
        <w:p w14:paraId="76747DC0" w14:textId="693C88C2" w:rsidR="008B22AC" w:rsidRDefault="008B22AC">
          <w:pPr>
            <w:pStyle w:val="TOC2"/>
            <w:tabs>
              <w:tab w:val="right" w:leader="dot" w:pos="9962"/>
            </w:tabs>
            <w:rPr>
              <w:rFonts w:eastAsiaTheme="minorEastAsia"/>
              <w:noProof/>
              <w:sz w:val="24"/>
              <w:szCs w:val="24"/>
              <w:lang w:val="bg-BG" w:eastAsia="bg-BG"/>
            </w:rPr>
          </w:pPr>
          <w:hyperlink w:anchor="_Toc214615850" w:history="1">
            <w:r w:rsidRPr="00867E8D">
              <w:rPr>
                <w:rStyle w:val="Hyperlink"/>
                <w:rFonts w:ascii="Arial" w:hAnsi="Arial" w:cs="Arial"/>
                <w:b/>
                <w:bCs/>
                <w:noProof/>
              </w:rPr>
              <w:t>5.3 Contribution of This Dissertation</w:t>
            </w:r>
            <w:r>
              <w:rPr>
                <w:noProof/>
                <w:webHidden/>
              </w:rPr>
              <w:tab/>
            </w:r>
            <w:r>
              <w:rPr>
                <w:noProof/>
                <w:webHidden/>
              </w:rPr>
              <w:fldChar w:fldCharType="begin"/>
            </w:r>
            <w:r>
              <w:rPr>
                <w:noProof/>
                <w:webHidden/>
              </w:rPr>
              <w:instrText xml:space="preserve"> PAGEREF _Toc214615850 \h </w:instrText>
            </w:r>
            <w:r>
              <w:rPr>
                <w:noProof/>
                <w:webHidden/>
              </w:rPr>
            </w:r>
            <w:r>
              <w:rPr>
                <w:noProof/>
                <w:webHidden/>
              </w:rPr>
              <w:fldChar w:fldCharType="separate"/>
            </w:r>
            <w:r>
              <w:rPr>
                <w:noProof/>
                <w:webHidden/>
              </w:rPr>
              <w:t>23</w:t>
            </w:r>
            <w:r>
              <w:rPr>
                <w:noProof/>
                <w:webHidden/>
              </w:rPr>
              <w:fldChar w:fldCharType="end"/>
            </w:r>
          </w:hyperlink>
        </w:p>
        <w:p w14:paraId="6E092EE0" w14:textId="7CFC8591" w:rsidR="008B22AC" w:rsidRDefault="008B22AC">
          <w:pPr>
            <w:pStyle w:val="TOC2"/>
            <w:tabs>
              <w:tab w:val="right" w:leader="dot" w:pos="9962"/>
            </w:tabs>
            <w:rPr>
              <w:rFonts w:eastAsiaTheme="minorEastAsia"/>
              <w:noProof/>
              <w:sz w:val="24"/>
              <w:szCs w:val="24"/>
              <w:lang w:val="bg-BG" w:eastAsia="bg-BG"/>
            </w:rPr>
          </w:pPr>
          <w:hyperlink w:anchor="_Toc214615851" w:history="1">
            <w:r w:rsidRPr="00867E8D">
              <w:rPr>
                <w:rStyle w:val="Hyperlink"/>
                <w:rFonts w:ascii="Arial" w:hAnsi="Arial" w:cs="Arial"/>
                <w:b/>
                <w:bCs/>
                <w:noProof/>
              </w:rPr>
              <w:t>5.4 Limitations of the Research</w:t>
            </w:r>
            <w:r>
              <w:rPr>
                <w:noProof/>
                <w:webHidden/>
              </w:rPr>
              <w:tab/>
            </w:r>
            <w:r>
              <w:rPr>
                <w:noProof/>
                <w:webHidden/>
              </w:rPr>
              <w:fldChar w:fldCharType="begin"/>
            </w:r>
            <w:r>
              <w:rPr>
                <w:noProof/>
                <w:webHidden/>
              </w:rPr>
              <w:instrText xml:space="preserve"> PAGEREF _Toc214615851 \h </w:instrText>
            </w:r>
            <w:r>
              <w:rPr>
                <w:noProof/>
                <w:webHidden/>
              </w:rPr>
            </w:r>
            <w:r>
              <w:rPr>
                <w:noProof/>
                <w:webHidden/>
              </w:rPr>
              <w:fldChar w:fldCharType="separate"/>
            </w:r>
            <w:r>
              <w:rPr>
                <w:noProof/>
                <w:webHidden/>
              </w:rPr>
              <w:t>23</w:t>
            </w:r>
            <w:r>
              <w:rPr>
                <w:noProof/>
                <w:webHidden/>
              </w:rPr>
              <w:fldChar w:fldCharType="end"/>
            </w:r>
          </w:hyperlink>
        </w:p>
        <w:p w14:paraId="71583897" w14:textId="688777CC" w:rsidR="008B22AC" w:rsidRDefault="008B22AC">
          <w:pPr>
            <w:pStyle w:val="TOC2"/>
            <w:tabs>
              <w:tab w:val="right" w:leader="dot" w:pos="9962"/>
            </w:tabs>
            <w:rPr>
              <w:rFonts w:eastAsiaTheme="minorEastAsia"/>
              <w:noProof/>
              <w:sz w:val="24"/>
              <w:szCs w:val="24"/>
              <w:lang w:val="bg-BG" w:eastAsia="bg-BG"/>
            </w:rPr>
          </w:pPr>
          <w:hyperlink w:anchor="_Toc214615852" w:history="1">
            <w:r w:rsidRPr="00867E8D">
              <w:rPr>
                <w:rStyle w:val="Hyperlink"/>
                <w:rFonts w:ascii="Arial" w:hAnsi="Arial" w:cs="Arial"/>
                <w:b/>
                <w:bCs/>
                <w:noProof/>
              </w:rPr>
              <w:t>5.5 Reflection Against Initial Assumptions</w:t>
            </w:r>
            <w:r>
              <w:rPr>
                <w:noProof/>
                <w:webHidden/>
              </w:rPr>
              <w:tab/>
            </w:r>
            <w:r>
              <w:rPr>
                <w:noProof/>
                <w:webHidden/>
              </w:rPr>
              <w:fldChar w:fldCharType="begin"/>
            </w:r>
            <w:r>
              <w:rPr>
                <w:noProof/>
                <w:webHidden/>
              </w:rPr>
              <w:instrText xml:space="preserve"> PAGEREF _Toc214615852 \h </w:instrText>
            </w:r>
            <w:r>
              <w:rPr>
                <w:noProof/>
                <w:webHidden/>
              </w:rPr>
            </w:r>
            <w:r>
              <w:rPr>
                <w:noProof/>
                <w:webHidden/>
              </w:rPr>
              <w:fldChar w:fldCharType="separate"/>
            </w:r>
            <w:r>
              <w:rPr>
                <w:noProof/>
                <w:webHidden/>
              </w:rPr>
              <w:t>24</w:t>
            </w:r>
            <w:r>
              <w:rPr>
                <w:noProof/>
                <w:webHidden/>
              </w:rPr>
              <w:fldChar w:fldCharType="end"/>
            </w:r>
          </w:hyperlink>
        </w:p>
        <w:p w14:paraId="607FE460" w14:textId="4E82D6BC" w:rsidR="008B22AC" w:rsidRDefault="008B22AC">
          <w:pPr>
            <w:pStyle w:val="TOC2"/>
            <w:tabs>
              <w:tab w:val="right" w:leader="dot" w:pos="9962"/>
            </w:tabs>
            <w:rPr>
              <w:rFonts w:eastAsiaTheme="minorEastAsia"/>
              <w:noProof/>
              <w:sz w:val="24"/>
              <w:szCs w:val="24"/>
              <w:lang w:val="bg-BG" w:eastAsia="bg-BG"/>
            </w:rPr>
          </w:pPr>
          <w:hyperlink w:anchor="_Toc214615853" w:history="1">
            <w:r w:rsidRPr="00867E8D">
              <w:rPr>
                <w:rStyle w:val="Hyperlink"/>
                <w:rFonts w:ascii="Arial" w:hAnsi="Arial" w:cs="Arial"/>
                <w:b/>
                <w:bCs/>
                <w:noProof/>
              </w:rPr>
              <w:t>5.6 Final Conclusion</w:t>
            </w:r>
            <w:r>
              <w:rPr>
                <w:noProof/>
                <w:webHidden/>
              </w:rPr>
              <w:tab/>
            </w:r>
            <w:r>
              <w:rPr>
                <w:noProof/>
                <w:webHidden/>
              </w:rPr>
              <w:fldChar w:fldCharType="begin"/>
            </w:r>
            <w:r>
              <w:rPr>
                <w:noProof/>
                <w:webHidden/>
              </w:rPr>
              <w:instrText xml:space="preserve"> PAGEREF _Toc214615853 \h </w:instrText>
            </w:r>
            <w:r>
              <w:rPr>
                <w:noProof/>
                <w:webHidden/>
              </w:rPr>
            </w:r>
            <w:r>
              <w:rPr>
                <w:noProof/>
                <w:webHidden/>
              </w:rPr>
              <w:fldChar w:fldCharType="separate"/>
            </w:r>
            <w:r>
              <w:rPr>
                <w:noProof/>
                <w:webHidden/>
              </w:rPr>
              <w:t>24</w:t>
            </w:r>
            <w:r>
              <w:rPr>
                <w:noProof/>
                <w:webHidden/>
              </w:rPr>
              <w:fldChar w:fldCharType="end"/>
            </w:r>
          </w:hyperlink>
        </w:p>
        <w:p w14:paraId="256929E4" w14:textId="792A66A3" w:rsidR="008B22AC" w:rsidRDefault="008B22AC">
          <w:pPr>
            <w:pStyle w:val="TOC1"/>
            <w:tabs>
              <w:tab w:val="right" w:leader="dot" w:pos="9962"/>
            </w:tabs>
            <w:rPr>
              <w:rFonts w:eastAsiaTheme="minorEastAsia"/>
              <w:noProof/>
              <w:sz w:val="24"/>
              <w:szCs w:val="24"/>
              <w:lang w:val="bg-BG" w:eastAsia="bg-BG"/>
            </w:rPr>
          </w:pPr>
          <w:hyperlink w:anchor="_Toc214615854" w:history="1">
            <w:r w:rsidRPr="00867E8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_Toc214615854 \h </w:instrText>
            </w:r>
            <w:r>
              <w:rPr>
                <w:noProof/>
                <w:webHidden/>
              </w:rPr>
            </w:r>
            <w:r>
              <w:rPr>
                <w:noProof/>
                <w:webHidden/>
              </w:rPr>
              <w:fldChar w:fldCharType="separate"/>
            </w:r>
            <w:r>
              <w:rPr>
                <w:noProof/>
                <w:webHidden/>
              </w:rPr>
              <w:t>25</w:t>
            </w:r>
            <w:r>
              <w:rPr>
                <w:noProof/>
                <w:webHidden/>
              </w:rPr>
              <w:fldChar w:fldCharType="end"/>
            </w:r>
          </w:hyperlink>
        </w:p>
        <w:p w14:paraId="4E78E2B3" w14:textId="11197700" w:rsidR="008B22AC" w:rsidRDefault="008B22AC">
          <w:pPr>
            <w:pStyle w:val="TOC1"/>
            <w:tabs>
              <w:tab w:val="right" w:leader="dot" w:pos="9962"/>
            </w:tabs>
            <w:rPr>
              <w:rFonts w:eastAsiaTheme="minorEastAsia"/>
              <w:noProof/>
              <w:sz w:val="24"/>
              <w:szCs w:val="24"/>
              <w:lang w:val="bg-BG" w:eastAsia="bg-BG"/>
            </w:rPr>
          </w:pPr>
          <w:hyperlink w:anchor="_Toc214615855" w:history="1">
            <w:r w:rsidRPr="00867E8D">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_Toc214615855 \h </w:instrText>
            </w:r>
            <w:r>
              <w:rPr>
                <w:noProof/>
                <w:webHidden/>
              </w:rPr>
            </w:r>
            <w:r>
              <w:rPr>
                <w:noProof/>
                <w:webHidden/>
              </w:rPr>
              <w:fldChar w:fldCharType="separate"/>
            </w:r>
            <w:r>
              <w:rPr>
                <w:noProof/>
                <w:webHidden/>
              </w:rPr>
              <w:t>29</w:t>
            </w:r>
            <w:r>
              <w:rPr>
                <w:noProof/>
                <w:webHidden/>
              </w:rPr>
              <w:fldChar w:fldCharType="end"/>
            </w:r>
          </w:hyperlink>
        </w:p>
        <w:p w14:paraId="686135C8" w14:textId="0E9DC2D3" w:rsidR="00F26256" w:rsidRDefault="00F26256" w:rsidP="000B0558">
          <w:pPr>
            <w:spacing w:after="0" w:line="360" w:lineRule="auto"/>
            <w:jc w:val="both"/>
          </w:pPr>
          <w:r w:rsidRPr="000B0558">
            <w:rPr>
              <w:rFonts w:ascii="Arial" w:hAnsi="Arial" w:cs="Arial"/>
              <w:b/>
              <w:bCs/>
              <w:noProof/>
            </w:rPr>
            <w:fldChar w:fldCharType="end"/>
          </w:r>
        </w:p>
      </w:sdtContent>
    </w:sdt>
    <w:p w14:paraId="70E611C4"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22702C78" w14:textId="77777777" w:rsidR="008B22AC" w:rsidRDefault="008B22AC" w:rsidP="00430734">
      <w:pPr>
        <w:spacing w:after="0" w:line="360" w:lineRule="auto"/>
        <w:ind w:firstLine="720"/>
        <w:contextualSpacing/>
        <w:jc w:val="both"/>
        <w:rPr>
          <w:rFonts w:ascii="Arial" w:eastAsia="Calibri" w:hAnsi="Arial" w:cs="Arial"/>
          <w:kern w:val="2"/>
          <w14:ligatures w14:val="standardContextual"/>
        </w:rPr>
      </w:pPr>
    </w:p>
    <w:p w14:paraId="5A91BCB5" w14:textId="77777777" w:rsidR="00E20666" w:rsidRDefault="00E20666" w:rsidP="00C01FCD">
      <w:pPr>
        <w:pStyle w:val="Heading1"/>
        <w:spacing w:before="0" w:line="360" w:lineRule="auto"/>
        <w:ind w:firstLine="720"/>
        <w:jc w:val="both"/>
        <w:rPr>
          <w:rFonts w:ascii="Arial" w:hAnsi="Arial" w:cs="Arial"/>
          <w:b/>
          <w:bCs/>
          <w:color w:val="auto"/>
          <w:kern w:val="2"/>
          <w:sz w:val="28"/>
          <w:szCs w:val="28"/>
          <w14:ligatures w14:val="standardContextual"/>
        </w:rPr>
      </w:pPr>
      <w:bookmarkStart w:id="0" w:name="_Toc214615797"/>
      <w:r w:rsidRPr="00C01FCD">
        <w:rPr>
          <w:rFonts w:ascii="Arial" w:hAnsi="Arial" w:cs="Arial"/>
          <w:b/>
          <w:bCs/>
          <w:color w:val="auto"/>
          <w:kern w:val="2"/>
          <w:sz w:val="28"/>
          <w:szCs w:val="28"/>
          <w14:ligatures w14:val="standardContextual"/>
        </w:rPr>
        <w:lastRenderedPageBreak/>
        <w:t>ABSTRACT</w:t>
      </w:r>
      <w:bookmarkEnd w:id="0"/>
    </w:p>
    <w:p w14:paraId="1B09D33B" w14:textId="77777777" w:rsidR="006B4DEB" w:rsidRDefault="006B4DEB" w:rsidP="006B4DEB">
      <w:pPr>
        <w:spacing w:after="0" w:line="360" w:lineRule="auto"/>
        <w:ind w:firstLine="720"/>
        <w:jc w:val="both"/>
        <w:rPr>
          <w:rFonts w:ascii="Arial" w:hAnsi="Arial" w:cs="Arial"/>
        </w:rPr>
      </w:pPr>
    </w:p>
    <w:p w14:paraId="425A7F62" w14:textId="35E13061"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This dissertation investigates how copper mining companies in the Balkan region adapt to evolving sustainability regulations, particularly within the context of the European Union’s CSRD and ESRS frameworks. Motivated by the increasing strategic role of copper in Europe’s </w:t>
      </w:r>
      <w:proofErr w:type="spellStart"/>
      <w:r w:rsidRPr="006B4DEB">
        <w:rPr>
          <w:rFonts w:ascii="Arial" w:hAnsi="Arial" w:cs="Arial"/>
        </w:rPr>
        <w:t>decarbonisation</w:t>
      </w:r>
      <w:proofErr w:type="spellEnd"/>
      <w:r w:rsidRPr="006B4DEB">
        <w:rPr>
          <w:rFonts w:ascii="Arial" w:hAnsi="Arial" w:cs="Arial"/>
        </w:rPr>
        <w:t xml:space="preserve"> agenda, I conducted a comparative analysis of six companies at different stages of development: </w:t>
      </w:r>
      <w:proofErr w:type="spellStart"/>
      <w:r w:rsidRPr="006B4DEB">
        <w:rPr>
          <w:rFonts w:ascii="Arial" w:hAnsi="Arial" w:cs="Arial"/>
        </w:rPr>
        <w:t>Ellatzite</w:t>
      </w:r>
      <w:proofErr w:type="spellEnd"/>
      <w:r w:rsidRPr="006B4DEB">
        <w:rPr>
          <w:rFonts w:ascii="Arial" w:hAnsi="Arial" w:cs="Arial"/>
        </w:rPr>
        <w:t xml:space="preserve">, </w:t>
      </w:r>
      <w:proofErr w:type="spellStart"/>
      <w:r w:rsidRPr="006B4DEB">
        <w:rPr>
          <w:rFonts w:ascii="Arial" w:hAnsi="Arial" w:cs="Arial"/>
        </w:rPr>
        <w:t>Assarel</w:t>
      </w:r>
      <w:proofErr w:type="spellEnd"/>
      <w:r w:rsidRPr="006B4DEB">
        <w:rPr>
          <w:rFonts w:ascii="Arial" w:hAnsi="Arial" w:cs="Arial"/>
        </w:rPr>
        <w:t xml:space="preserve">–Medet, Dundee Precious Metals, Zijin </w:t>
      </w:r>
      <w:proofErr w:type="spellStart"/>
      <w:r w:rsidRPr="006B4DEB">
        <w:rPr>
          <w:rFonts w:ascii="Arial" w:hAnsi="Arial" w:cs="Arial"/>
        </w:rPr>
        <w:t>Bor</w:t>
      </w:r>
      <w:proofErr w:type="spellEnd"/>
      <w:r w:rsidRPr="006B4DEB">
        <w:rPr>
          <w:rFonts w:ascii="Arial" w:hAnsi="Arial" w:cs="Arial"/>
        </w:rPr>
        <w:t xml:space="preserve">, </w:t>
      </w:r>
      <w:proofErr w:type="spellStart"/>
      <w:r w:rsidRPr="006B4DEB">
        <w:rPr>
          <w:rFonts w:ascii="Arial" w:hAnsi="Arial" w:cs="Arial"/>
        </w:rPr>
        <w:t>Skouries</w:t>
      </w:r>
      <w:proofErr w:type="spellEnd"/>
      <w:r w:rsidRPr="006B4DEB">
        <w:rPr>
          <w:rFonts w:ascii="Arial" w:hAnsi="Arial" w:cs="Arial"/>
        </w:rPr>
        <w:t>, and Rovina Valley. To evaluate their sustainability performance, I developed a combined analytical framework integrating ESG assessment, CSRD/ESRS disclosure criteria, and TCFD climate-risk principles.</w:t>
      </w:r>
    </w:p>
    <w:p w14:paraId="24D5A4E0"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Through this framework, I identified significant differences in sustainability maturity across the region. Established EU-based operations—particularly </w:t>
      </w:r>
      <w:proofErr w:type="spellStart"/>
      <w:r w:rsidRPr="006B4DEB">
        <w:rPr>
          <w:rFonts w:ascii="Arial" w:hAnsi="Arial" w:cs="Arial"/>
        </w:rPr>
        <w:t>Ellatzite</w:t>
      </w:r>
      <w:proofErr w:type="spellEnd"/>
      <w:r w:rsidRPr="006B4DEB">
        <w:rPr>
          <w:rFonts w:ascii="Arial" w:hAnsi="Arial" w:cs="Arial"/>
        </w:rPr>
        <w:t xml:space="preserve"> and Dundee Precious Metals—demonstrate advanced environmental management, governance structures, and growing alignment with ESRS requirements. In contrast, non-EU or early-stage projects show more limited transparency and rely predominantly on projected rather than operational sustainability performance. My analysis also revealed that climate-related risks, especially those linked to water availability and extreme weather, affect all companies, but only some have implemented technological responses such as advanced wastewater treatment, </w:t>
      </w:r>
      <w:proofErr w:type="spellStart"/>
      <w:r w:rsidRPr="006B4DEB">
        <w:rPr>
          <w:rFonts w:ascii="Arial" w:hAnsi="Arial" w:cs="Arial"/>
        </w:rPr>
        <w:t>digitalisation</w:t>
      </w:r>
      <w:proofErr w:type="spellEnd"/>
      <w:r w:rsidRPr="006B4DEB">
        <w:rPr>
          <w:rFonts w:ascii="Arial" w:hAnsi="Arial" w:cs="Arial"/>
        </w:rPr>
        <w:t xml:space="preserve">, and AI-supported </w:t>
      </w:r>
      <w:proofErr w:type="spellStart"/>
      <w:r w:rsidRPr="006B4DEB">
        <w:rPr>
          <w:rFonts w:ascii="Arial" w:hAnsi="Arial" w:cs="Arial"/>
        </w:rPr>
        <w:t>optimisation</w:t>
      </w:r>
      <w:proofErr w:type="spellEnd"/>
      <w:r w:rsidRPr="006B4DEB">
        <w:rPr>
          <w:rFonts w:ascii="Arial" w:hAnsi="Arial" w:cs="Arial"/>
        </w:rPr>
        <w:t>.</w:t>
      </w:r>
    </w:p>
    <w:p w14:paraId="3322E9C9"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The results of the study refined several of my initial expectations. While I anticipated general alignment gaps with EU sustainability standards, the analysis showed that certain companies in the region already operate at a level comparable to international leaders. At the same time, the research confirmed the existence of reporting inconsistencies and governance disparities. By applying a multi-layer analytical methodology, my dissertation contributes a structured approach for evaluating sustainability performance in mining and provides new insights into the strategic importance of the Balkans for the EU’s green transition.</w:t>
      </w:r>
    </w:p>
    <w:p w14:paraId="4EB2F47F" w14:textId="5D6F97A3" w:rsidR="006B4DEB" w:rsidRPr="00C01FCD" w:rsidRDefault="006B4DEB" w:rsidP="006B4DEB">
      <w:pPr>
        <w:spacing w:after="0" w:line="360" w:lineRule="auto"/>
        <w:ind w:firstLine="720"/>
        <w:jc w:val="both"/>
        <w:rPr>
          <w:rFonts w:ascii="Arial" w:hAnsi="Arial" w:cs="Arial"/>
        </w:rPr>
      </w:pPr>
      <w:r w:rsidRPr="006B4DEB">
        <w:rPr>
          <w:rFonts w:ascii="Arial" w:hAnsi="Arial" w:cs="Arial"/>
        </w:rPr>
        <w:t xml:space="preserve">Overall, this research demonstrates that sustainability adaptation in the Balkan copper sector is uneven but progressing. The findings highlight both the challenges and the emerging strengths of the region, </w:t>
      </w:r>
      <w:proofErr w:type="spellStart"/>
      <w:r w:rsidRPr="006B4DEB">
        <w:rPr>
          <w:rFonts w:ascii="Arial" w:hAnsi="Arial" w:cs="Arial"/>
        </w:rPr>
        <w:t>emphasising</w:t>
      </w:r>
      <w:proofErr w:type="spellEnd"/>
      <w:r w:rsidRPr="006B4DEB">
        <w:rPr>
          <w:rFonts w:ascii="Arial" w:hAnsi="Arial" w:cs="Arial"/>
        </w:rPr>
        <w:t xml:space="preserve"> its potential to play a meaningful role in Europe’s long-term </w:t>
      </w:r>
      <w:proofErr w:type="spellStart"/>
      <w:r w:rsidRPr="006B4DEB">
        <w:rPr>
          <w:rFonts w:ascii="Arial" w:hAnsi="Arial" w:cs="Arial"/>
        </w:rPr>
        <w:t>decarbonisation</w:t>
      </w:r>
      <w:proofErr w:type="spellEnd"/>
      <w:r w:rsidRPr="006B4DEB">
        <w:rPr>
          <w:rFonts w:ascii="Arial" w:hAnsi="Arial" w:cs="Arial"/>
        </w:rPr>
        <w:t xml:space="preserve"> and raw-materials strategy.</w:t>
      </w:r>
    </w:p>
    <w:p w14:paraId="636D0299" w14:textId="77777777" w:rsidR="00C01FCD" w:rsidRDefault="00C01FCD" w:rsidP="00C01FCD">
      <w:pPr>
        <w:spacing w:after="0" w:line="360" w:lineRule="auto"/>
        <w:ind w:firstLine="720"/>
        <w:jc w:val="both"/>
        <w:rPr>
          <w:rFonts w:ascii="Arial" w:hAnsi="Arial" w:cs="Arial"/>
          <w:b/>
          <w:bCs/>
        </w:rPr>
      </w:pPr>
    </w:p>
    <w:p w14:paraId="50A2934D" w14:textId="77777777" w:rsidR="00C01FCD" w:rsidRDefault="00C01FCD" w:rsidP="00C01FCD">
      <w:pPr>
        <w:spacing w:after="0" w:line="360" w:lineRule="auto"/>
        <w:ind w:firstLine="720"/>
        <w:jc w:val="both"/>
        <w:rPr>
          <w:rFonts w:ascii="Arial" w:hAnsi="Arial" w:cs="Arial"/>
          <w:b/>
          <w:bCs/>
        </w:rPr>
      </w:pPr>
    </w:p>
    <w:p w14:paraId="15EED357" w14:textId="77777777" w:rsidR="00C01FCD" w:rsidRDefault="00C01FCD" w:rsidP="00C01FCD">
      <w:pPr>
        <w:spacing w:after="0" w:line="360" w:lineRule="auto"/>
        <w:ind w:firstLine="720"/>
        <w:jc w:val="both"/>
        <w:rPr>
          <w:rFonts w:ascii="Arial" w:hAnsi="Arial" w:cs="Arial"/>
          <w:b/>
          <w:bCs/>
        </w:rPr>
      </w:pPr>
    </w:p>
    <w:p w14:paraId="3D5D8451" w14:textId="77777777" w:rsidR="00C01FCD" w:rsidRDefault="00C01FCD" w:rsidP="00C01FCD">
      <w:pPr>
        <w:spacing w:after="0" w:line="360" w:lineRule="auto"/>
        <w:ind w:firstLine="720"/>
        <w:jc w:val="both"/>
        <w:rPr>
          <w:rFonts w:ascii="Arial" w:hAnsi="Arial" w:cs="Arial"/>
          <w:b/>
          <w:bCs/>
        </w:rPr>
      </w:pPr>
    </w:p>
    <w:p w14:paraId="5EAD82F5" w14:textId="77777777" w:rsidR="00C01FCD" w:rsidRDefault="00C01FCD" w:rsidP="00C01FCD">
      <w:pPr>
        <w:spacing w:after="0" w:line="360" w:lineRule="auto"/>
        <w:ind w:firstLine="720"/>
        <w:jc w:val="both"/>
        <w:rPr>
          <w:rFonts w:ascii="Arial" w:hAnsi="Arial" w:cs="Arial"/>
          <w:b/>
          <w:bCs/>
        </w:rPr>
      </w:pPr>
    </w:p>
    <w:p w14:paraId="48A62565" w14:textId="77777777" w:rsidR="00C01FCD" w:rsidRDefault="00C01FCD" w:rsidP="00C01FCD">
      <w:pPr>
        <w:spacing w:after="0" w:line="360" w:lineRule="auto"/>
        <w:ind w:firstLine="720"/>
        <w:jc w:val="both"/>
        <w:rPr>
          <w:rFonts w:ascii="Arial" w:hAnsi="Arial" w:cs="Arial"/>
          <w:b/>
          <w:bCs/>
        </w:rPr>
      </w:pPr>
    </w:p>
    <w:p w14:paraId="696F57F9" w14:textId="77777777" w:rsidR="00C01FCD" w:rsidRDefault="00C01FCD" w:rsidP="00C01FCD">
      <w:pPr>
        <w:spacing w:after="0" w:line="360" w:lineRule="auto"/>
        <w:ind w:firstLine="720"/>
        <w:jc w:val="both"/>
        <w:rPr>
          <w:rFonts w:ascii="Arial" w:hAnsi="Arial" w:cs="Arial"/>
          <w:b/>
          <w:bCs/>
        </w:rPr>
      </w:pPr>
    </w:p>
    <w:p w14:paraId="68F3A34D" w14:textId="15B8FFA7" w:rsidR="00E20666" w:rsidRDefault="00E20666" w:rsidP="00856308">
      <w:pPr>
        <w:pStyle w:val="Heading1"/>
        <w:spacing w:before="0" w:line="360" w:lineRule="auto"/>
        <w:ind w:firstLine="720"/>
        <w:jc w:val="both"/>
        <w:rPr>
          <w:rFonts w:ascii="Arial" w:hAnsi="Arial" w:cs="Arial"/>
          <w:b/>
          <w:bCs/>
          <w:color w:val="auto"/>
          <w:kern w:val="2"/>
          <w:sz w:val="28"/>
          <w:szCs w:val="28"/>
          <w14:ligatures w14:val="standardContextual"/>
        </w:rPr>
      </w:pPr>
      <w:bookmarkStart w:id="1" w:name="_Toc214615798"/>
      <w:r w:rsidRPr="00856308">
        <w:rPr>
          <w:rFonts w:ascii="Arial" w:hAnsi="Arial" w:cs="Arial"/>
          <w:b/>
          <w:bCs/>
          <w:color w:val="auto"/>
          <w:kern w:val="2"/>
          <w:sz w:val="28"/>
          <w:szCs w:val="28"/>
          <w14:ligatures w14:val="standardContextual"/>
        </w:rPr>
        <w:lastRenderedPageBreak/>
        <w:t>LIST OF FIGURES AND TABLES</w:t>
      </w:r>
      <w:bookmarkEnd w:id="1"/>
    </w:p>
    <w:p w14:paraId="2906F5DA" w14:textId="77777777" w:rsidR="00856308" w:rsidRPr="00856308" w:rsidRDefault="00856308" w:rsidP="00856308"/>
    <w:p w14:paraId="65CCA945"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Figures</w:t>
      </w:r>
    </w:p>
    <w:p w14:paraId="7786B645" w14:textId="77777777" w:rsidR="00E20666" w:rsidRPr="00C01FCD" w:rsidRDefault="00E20666" w:rsidP="00C01FCD">
      <w:pPr>
        <w:numPr>
          <w:ilvl w:val="0"/>
          <w:numId w:val="59"/>
        </w:numPr>
        <w:spacing w:after="0" w:line="360" w:lineRule="auto"/>
        <w:ind w:left="0" w:firstLine="720"/>
        <w:jc w:val="both"/>
        <w:rPr>
          <w:rFonts w:ascii="Arial" w:hAnsi="Arial" w:cs="Arial"/>
        </w:rPr>
      </w:pPr>
      <w:r w:rsidRPr="00C01FCD">
        <w:rPr>
          <w:rFonts w:ascii="Arial" w:hAnsi="Arial" w:cs="Arial"/>
          <w:b/>
          <w:bCs/>
        </w:rPr>
        <w:t>Figure 1:</w:t>
      </w:r>
      <w:r w:rsidRPr="00C01FCD">
        <w:rPr>
          <w:rFonts w:ascii="Arial" w:hAnsi="Arial" w:cs="Arial"/>
        </w:rPr>
        <w:t xml:space="preserve"> Overview of ESG Frameworks in the Mining Sector</w:t>
      </w:r>
    </w:p>
    <w:p w14:paraId="060B7F17" w14:textId="77777777" w:rsidR="00E20666" w:rsidRPr="00C01FCD" w:rsidRDefault="00E20666" w:rsidP="00C01FCD">
      <w:pPr>
        <w:numPr>
          <w:ilvl w:val="0"/>
          <w:numId w:val="59"/>
        </w:numPr>
        <w:spacing w:after="0" w:line="360" w:lineRule="auto"/>
        <w:ind w:left="0" w:firstLine="720"/>
        <w:jc w:val="both"/>
        <w:rPr>
          <w:rFonts w:ascii="Arial" w:hAnsi="Arial" w:cs="Arial"/>
        </w:rPr>
      </w:pPr>
      <w:r w:rsidRPr="00C01FCD">
        <w:rPr>
          <w:rFonts w:ascii="Arial" w:hAnsi="Arial" w:cs="Arial"/>
          <w:b/>
          <w:bCs/>
        </w:rPr>
        <w:t>Figure 2:</w:t>
      </w:r>
      <w:r w:rsidRPr="00C01FCD">
        <w:rPr>
          <w:rFonts w:ascii="Arial" w:hAnsi="Arial" w:cs="Arial"/>
        </w:rPr>
        <w:t xml:space="preserve"> CSRD and ESRS Structure</w:t>
      </w:r>
    </w:p>
    <w:p w14:paraId="021738F3" w14:textId="77777777" w:rsidR="00E20666" w:rsidRPr="00C01FCD" w:rsidRDefault="00E20666" w:rsidP="00C01FCD">
      <w:pPr>
        <w:numPr>
          <w:ilvl w:val="0"/>
          <w:numId w:val="59"/>
        </w:numPr>
        <w:spacing w:after="0" w:line="360" w:lineRule="auto"/>
        <w:ind w:left="0" w:firstLine="720"/>
        <w:jc w:val="both"/>
        <w:rPr>
          <w:rFonts w:ascii="Arial" w:hAnsi="Arial" w:cs="Arial"/>
        </w:rPr>
      </w:pPr>
      <w:r w:rsidRPr="00C01FCD">
        <w:rPr>
          <w:rFonts w:ascii="Arial" w:hAnsi="Arial" w:cs="Arial"/>
          <w:b/>
          <w:bCs/>
        </w:rPr>
        <w:t>Figure 3:</w:t>
      </w:r>
      <w:r w:rsidRPr="00C01FCD">
        <w:rPr>
          <w:rFonts w:ascii="Arial" w:hAnsi="Arial" w:cs="Arial"/>
        </w:rPr>
        <w:t xml:space="preserve"> Analytical Framework Used in This Study</w:t>
      </w:r>
    </w:p>
    <w:p w14:paraId="4FF08078" w14:textId="77777777" w:rsidR="00E20666" w:rsidRPr="00C01FCD" w:rsidRDefault="00E20666" w:rsidP="00C01FCD">
      <w:pPr>
        <w:numPr>
          <w:ilvl w:val="0"/>
          <w:numId w:val="59"/>
        </w:numPr>
        <w:spacing w:after="0" w:line="360" w:lineRule="auto"/>
        <w:ind w:left="0" w:firstLine="720"/>
        <w:jc w:val="both"/>
        <w:rPr>
          <w:rFonts w:ascii="Arial" w:hAnsi="Arial" w:cs="Arial"/>
        </w:rPr>
      </w:pPr>
      <w:r w:rsidRPr="00C01FCD">
        <w:rPr>
          <w:rFonts w:ascii="Arial" w:hAnsi="Arial" w:cs="Arial"/>
          <w:b/>
          <w:bCs/>
        </w:rPr>
        <w:t>Figure 4:</w:t>
      </w:r>
      <w:r w:rsidRPr="00C01FCD">
        <w:rPr>
          <w:rFonts w:ascii="Arial" w:hAnsi="Arial" w:cs="Arial"/>
        </w:rPr>
        <w:t xml:space="preserve"> Comparative ESG Performance of the </w:t>
      </w:r>
      <w:proofErr w:type="spellStart"/>
      <w:r w:rsidRPr="00C01FCD">
        <w:rPr>
          <w:rFonts w:ascii="Arial" w:hAnsi="Arial" w:cs="Arial"/>
        </w:rPr>
        <w:t>Analysed</w:t>
      </w:r>
      <w:proofErr w:type="spellEnd"/>
      <w:r w:rsidRPr="00C01FCD">
        <w:rPr>
          <w:rFonts w:ascii="Arial" w:hAnsi="Arial" w:cs="Arial"/>
        </w:rPr>
        <w:t xml:space="preserve"> Companies</w:t>
      </w:r>
    </w:p>
    <w:p w14:paraId="587D4C4B" w14:textId="77777777" w:rsidR="00E20666" w:rsidRPr="00C01FCD" w:rsidRDefault="00E20666" w:rsidP="00C01FCD">
      <w:pPr>
        <w:numPr>
          <w:ilvl w:val="0"/>
          <w:numId w:val="59"/>
        </w:numPr>
        <w:spacing w:after="0" w:line="360" w:lineRule="auto"/>
        <w:ind w:left="0" w:firstLine="720"/>
        <w:jc w:val="both"/>
        <w:rPr>
          <w:rFonts w:ascii="Arial" w:hAnsi="Arial" w:cs="Arial"/>
        </w:rPr>
      </w:pPr>
      <w:r w:rsidRPr="00C01FCD">
        <w:rPr>
          <w:rFonts w:ascii="Arial" w:hAnsi="Arial" w:cs="Arial"/>
          <w:b/>
          <w:bCs/>
        </w:rPr>
        <w:t>Figure 5:</w:t>
      </w:r>
      <w:r w:rsidRPr="00C01FCD">
        <w:rPr>
          <w:rFonts w:ascii="Arial" w:hAnsi="Arial" w:cs="Arial"/>
        </w:rPr>
        <w:t xml:space="preserve"> Climate Risk Typology Based on TCFD</w:t>
      </w:r>
    </w:p>
    <w:p w14:paraId="59E4BBC7" w14:textId="77777777" w:rsidR="00E20666" w:rsidRDefault="00E20666" w:rsidP="00C01FCD">
      <w:pPr>
        <w:numPr>
          <w:ilvl w:val="0"/>
          <w:numId w:val="59"/>
        </w:numPr>
        <w:spacing w:after="0" w:line="360" w:lineRule="auto"/>
        <w:ind w:left="0" w:firstLine="720"/>
        <w:jc w:val="both"/>
        <w:rPr>
          <w:rFonts w:ascii="Arial" w:hAnsi="Arial" w:cs="Arial"/>
        </w:rPr>
      </w:pPr>
      <w:r w:rsidRPr="00C01FCD">
        <w:rPr>
          <w:rFonts w:ascii="Arial" w:hAnsi="Arial" w:cs="Arial"/>
          <w:b/>
          <w:bCs/>
        </w:rPr>
        <w:t>Figure 6:</w:t>
      </w:r>
      <w:r w:rsidRPr="00C01FCD">
        <w:rPr>
          <w:rFonts w:ascii="Arial" w:hAnsi="Arial" w:cs="Arial"/>
        </w:rPr>
        <w:t xml:space="preserve"> </w:t>
      </w:r>
      <w:proofErr w:type="spellStart"/>
      <w:r w:rsidRPr="00C01FCD">
        <w:rPr>
          <w:rFonts w:ascii="Arial" w:hAnsi="Arial" w:cs="Arial"/>
        </w:rPr>
        <w:t>Ellatzite</w:t>
      </w:r>
      <w:proofErr w:type="spellEnd"/>
      <w:r w:rsidRPr="00C01FCD">
        <w:rPr>
          <w:rFonts w:ascii="Arial" w:hAnsi="Arial" w:cs="Arial"/>
        </w:rPr>
        <w:t>-Med-Med Water Treatment System (Conceptual Diagram)</w:t>
      </w:r>
    </w:p>
    <w:p w14:paraId="70D21BD1" w14:textId="77777777" w:rsidR="00856308" w:rsidRPr="00C01FCD" w:rsidRDefault="00856308" w:rsidP="00856308">
      <w:pPr>
        <w:spacing w:after="0" w:line="360" w:lineRule="auto"/>
        <w:ind w:left="720"/>
        <w:jc w:val="both"/>
        <w:rPr>
          <w:rFonts w:ascii="Arial" w:hAnsi="Arial" w:cs="Arial"/>
        </w:rPr>
      </w:pPr>
    </w:p>
    <w:p w14:paraId="370495AA"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Tables</w:t>
      </w:r>
    </w:p>
    <w:p w14:paraId="45EE6277" w14:textId="77777777" w:rsidR="00E20666" w:rsidRPr="00C01FCD" w:rsidRDefault="00E20666" w:rsidP="00C01FCD">
      <w:pPr>
        <w:numPr>
          <w:ilvl w:val="0"/>
          <w:numId w:val="60"/>
        </w:numPr>
        <w:spacing w:after="0" w:line="360" w:lineRule="auto"/>
        <w:ind w:left="0" w:firstLine="720"/>
        <w:jc w:val="both"/>
        <w:rPr>
          <w:rFonts w:ascii="Arial" w:hAnsi="Arial" w:cs="Arial"/>
        </w:rPr>
      </w:pPr>
      <w:r w:rsidRPr="00C01FCD">
        <w:rPr>
          <w:rFonts w:ascii="Arial" w:hAnsi="Arial" w:cs="Arial"/>
          <w:b/>
          <w:bCs/>
        </w:rPr>
        <w:t>Table 1:</w:t>
      </w:r>
      <w:r w:rsidRPr="00C01FCD">
        <w:rPr>
          <w:rFonts w:ascii="Arial" w:hAnsi="Arial" w:cs="Arial"/>
        </w:rPr>
        <w:t xml:space="preserve"> Summary of the Six </w:t>
      </w:r>
      <w:proofErr w:type="spellStart"/>
      <w:r w:rsidRPr="00C01FCD">
        <w:rPr>
          <w:rFonts w:ascii="Arial" w:hAnsi="Arial" w:cs="Arial"/>
        </w:rPr>
        <w:t>Analysed</w:t>
      </w:r>
      <w:proofErr w:type="spellEnd"/>
      <w:r w:rsidRPr="00C01FCD">
        <w:rPr>
          <w:rFonts w:ascii="Arial" w:hAnsi="Arial" w:cs="Arial"/>
        </w:rPr>
        <w:t xml:space="preserve"> Mining Companies</w:t>
      </w:r>
    </w:p>
    <w:p w14:paraId="6544428C" w14:textId="77777777" w:rsidR="00E20666" w:rsidRPr="00C01FCD" w:rsidRDefault="00E20666" w:rsidP="00C01FCD">
      <w:pPr>
        <w:numPr>
          <w:ilvl w:val="0"/>
          <w:numId w:val="60"/>
        </w:numPr>
        <w:spacing w:after="0" w:line="360" w:lineRule="auto"/>
        <w:ind w:left="0" w:firstLine="720"/>
        <w:jc w:val="both"/>
        <w:rPr>
          <w:rFonts w:ascii="Arial" w:hAnsi="Arial" w:cs="Arial"/>
        </w:rPr>
      </w:pPr>
      <w:r w:rsidRPr="00C01FCD">
        <w:rPr>
          <w:rFonts w:ascii="Arial" w:hAnsi="Arial" w:cs="Arial"/>
          <w:b/>
          <w:bCs/>
        </w:rPr>
        <w:t>Table 2:</w:t>
      </w:r>
      <w:r w:rsidRPr="00C01FCD">
        <w:rPr>
          <w:rFonts w:ascii="Arial" w:hAnsi="Arial" w:cs="Arial"/>
        </w:rPr>
        <w:t xml:space="preserve"> ESG Reporting Indicators Comparison</w:t>
      </w:r>
    </w:p>
    <w:p w14:paraId="06B9F477" w14:textId="77777777" w:rsidR="00E20666" w:rsidRPr="00C01FCD" w:rsidRDefault="00E20666" w:rsidP="00C01FCD">
      <w:pPr>
        <w:numPr>
          <w:ilvl w:val="0"/>
          <w:numId w:val="60"/>
        </w:numPr>
        <w:spacing w:after="0" w:line="360" w:lineRule="auto"/>
        <w:ind w:left="0" w:firstLine="720"/>
        <w:jc w:val="both"/>
        <w:rPr>
          <w:rFonts w:ascii="Arial" w:hAnsi="Arial" w:cs="Arial"/>
        </w:rPr>
      </w:pPr>
      <w:r w:rsidRPr="00C01FCD">
        <w:rPr>
          <w:rFonts w:ascii="Arial" w:hAnsi="Arial" w:cs="Arial"/>
          <w:b/>
          <w:bCs/>
        </w:rPr>
        <w:t>Table 3:</w:t>
      </w:r>
      <w:r w:rsidRPr="00C01FCD">
        <w:rPr>
          <w:rFonts w:ascii="Arial" w:hAnsi="Arial" w:cs="Arial"/>
        </w:rPr>
        <w:t xml:space="preserve"> Climate Risk Assessment Matrix</w:t>
      </w:r>
    </w:p>
    <w:p w14:paraId="26E43985" w14:textId="77777777" w:rsidR="00E20666" w:rsidRPr="00C01FCD" w:rsidRDefault="00E20666" w:rsidP="00C01FCD">
      <w:pPr>
        <w:numPr>
          <w:ilvl w:val="0"/>
          <w:numId w:val="60"/>
        </w:numPr>
        <w:spacing w:after="0" w:line="360" w:lineRule="auto"/>
        <w:ind w:left="0" w:firstLine="720"/>
        <w:jc w:val="both"/>
        <w:rPr>
          <w:rFonts w:ascii="Arial" w:hAnsi="Arial" w:cs="Arial"/>
        </w:rPr>
      </w:pPr>
      <w:r w:rsidRPr="00C01FCD">
        <w:rPr>
          <w:rFonts w:ascii="Arial" w:hAnsi="Arial" w:cs="Arial"/>
          <w:b/>
          <w:bCs/>
        </w:rPr>
        <w:t>Table 4:</w:t>
      </w:r>
      <w:r w:rsidRPr="00C01FCD">
        <w:rPr>
          <w:rFonts w:ascii="Arial" w:hAnsi="Arial" w:cs="Arial"/>
        </w:rPr>
        <w:t xml:space="preserve"> CSRD/ESRS Compliance Levels</w:t>
      </w:r>
    </w:p>
    <w:p w14:paraId="1C7F7750" w14:textId="77777777" w:rsidR="00E20666" w:rsidRPr="00C01FCD" w:rsidRDefault="00E20666" w:rsidP="00C01FCD">
      <w:pPr>
        <w:numPr>
          <w:ilvl w:val="0"/>
          <w:numId w:val="60"/>
        </w:numPr>
        <w:spacing w:after="0" w:line="360" w:lineRule="auto"/>
        <w:ind w:left="0" w:firstLine="720"/>
        <w:jc w:val="both"/>
        <w:rPr>
          <w:rFonts w:ascii="Arial" w:hAnsi="Arial" w:cs="Arial"/>
        </w:rPr>
      </w:pPr>
      <w:r w:rsidRPr="00C01FCD">
        <w:rPr>
          <w:rFonts w:ascii="Arial" w:hAnsi="Arial" w:cs="Arial"/>
          <w:b/>
          <w:bCs/>
        </w:rPr>
        <w:t>Table 5:</w:t>
      </w:r>
      <w:r w:rsidRPr="00C01FCD">
        <w:rPr>
          <w:rFonts w:ascii="Arial" w:hAnsi="Arial" w:cs="Arial"/>
        </w:rPr>
        <w:t xml:space="preserve"> Summary of Key Findings Across Cases</w:t>
      </w:r>
    </w:p>
    <w:p w14:paraId="6111034A"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br w:type="page"/>
      </w:r>
    </w:p>
    <w:p w14:paraId="64B815CE" w14:textId="77777777" w:rsidR="00E20666" w:rsidRDefault="00E20666" w:rsidP="00856308">
      <w:pPr>
        <w:pStyle w:val="Heading1"/>
        <w:spacing w:before="0" w:line="360" w:lineRule="auto"/>
        <w:ind w:firstLine="720"/>
        <w:jc w:val="both"/>
        <w:rPr>
          <w:rFonts w:ascii="Arial" w:hAnsi="Arial" w:cs="Arial"/>
          <w:b/>
          <w:bCs/>
          <w:color w:val="auto"/>
          <w:kern w:val="2"/>
          <w:sz w:val="28"/>
          <w:szCs w:val="28"/>
          <w14:ligatures w14:val="standardContextual"/>
        </w:rPr>
      </w:pPr>
      <w:bookmarkStart w:id="2" w:name="_Toc214615799"/>
      <w:r w:rsidRPr="00856308">
        <w:rPr>
          <w:rFonts w:ascii="Arial" w:hAnsi="Arial" w:cs="Arial"/>
          <w:b/>
          <w:bCs/>
          <w:color w:val="auto"/>
          <w:kern w:val="2"/>
          <w:sz w:val="28"/>
          <w:szCs w:val="28"/>
          <w14:ligatures w14:val="standardContextual"/>
        </w:rPr>
        <w:lastRenderedPageBreak/>
        <w:t>CHAPTER 1: INTRODUCTION</w:t>
      </w:r>
      <w:bookmarkEnd w:id="2"/>
    </w:p>
    <w:p w14:paraId="448E3C94" w14:textId="77777777" w:rsidR="00856308" w:rsidRPr="00856308" w:rsidRDefault="00856308" w:rsidP="00856308"/>
    <w:p w14:paraId="05297D92"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3" w:name="_Toc214615800"/>
      <w:r w:rsidRPr="00856308">
        <w:rPr>
          <w:rFonts w:ascii="Arial" w:hAnsi="Arial" w:cs="Arial"/>
          <w:b/>
          <w:bCs/>
          <w:color w:val="auto"/>
          <w:sz w:val="24"/>
          <w:szCs w:val="24"/>
        </w:rPr>
        <w:t>1.1 Background</w:t>
      </w:r>
      <w:bookmarkEnd w:id="3"/>
    </w:p>
    <w:p w14:paraId="23C2F593"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Copper has played a defining role in human development for thousands of years. Some of the earliest evidence of copper extraction and metallurgy has been discovered in the Balkan region, particularly in present-day Bulgaria. Archaeological studies around Stara Zagora reveal some of Europe’s oldest </w:t>
      </w:r>
      <w:proofErr w:type="spellStart"/>
      <w:r w:rsidRPr="00856308">
        <w:rPr>
          <w:rFonts w:ascii="Arial" w:hAnsi="Arial" w:cs="Arial"/>
        </w:rPr>
        <w:t>organised</w:t>
      </w:r>
      <w:proofErr w:type="spellEnd"/>
      <w:r w:rsidRPr="00856308">
        <w:rPr>
          <w:rFonts w:ascii="Arial" w:hAnsi="Arial" w:cs="Arial"/>
        </w:rPr>
        <w:t xml:space="preserve"> mining activities, linking the region to the origins of the Copper Age. Today, copper is once again at the </w:t>
      </w:r>
      <w:proofErr w:type="spellStart"/>
      <w:r w:rsidRPr="00856308">
        <w:rPr>
          <w:rFonts w:ascii="Arial" w:hAnsi="Arial" w:cs="Arial"/>
        </w:rPr>
        <w:t>centre</w:t>
      </w:r>
      <w:proofErr w:type="spellEnd"/>
      <w:r w:rsidRPr="00856308">
        <w:rPr>
          <w:rFonts w:ascii="Arial" w:hAnsi="Arial" w:cs="Arial"/>
        </w:rPr>
        <w:t xml:space="preserve"> of a major global transformation: the transition toward low-carbon energy systems and climate neutrality.</w:t>
      </w:r>
    </w:p>
    <w:p w14:paraId="0953D056"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In the European Union, the metal is considered a strategic raw material essential for renewable energy technologies, electric vehicles, battery production and electricity grid </w:t>
      </w:r>
      <w:proofErr w:type="spellStart"/>
      <w:r w:rsidRPr="00856308">
        <w:rPr>
          <w:rFonts w:ascii="Arial" w:hAnsi="Arial" w:cs="Arial"/>
        </w:rPr>
        <w:t>modernisation</w:t>
      </w:r>
      <w:proofErr w:type="spellEnd"/>
      <w:r w:rsidRPr="00856308">
        <w:rPr>
          <w:rFonts w:ascii="Arial" w:hAnsi="Arial" w:cs="Arial"/>
        </w:rPr>
        <w:t>. As the EU strengthens its regulatory framework through initiatives such as the European Green Deal, the Corporate Sustainability Reporting Directive (CSRD) and the European Sustainability Reporting Standards (ESRS), mining companies must adapt their operations, governance structures and reporting practices.</w:t>
      </w:r>
    </w:p>
    <w:p w14:paraId="6F6C351A" w14:textId="77777777" w:rsidR="00E20666" w:rsidRDefault="00E20666" w:rsidP="00C01FCD">
      <w:pPr>
        <w:spacing w:after="0" w:line="360" w:lineRule="auto"/>
        <w:ind w:firstLine="720"/>
        <w:jc w:val="both"/>
        <w:rPr>
          <w:rFonts w:ascii="Arial" w:hAnsi="Arial" w:cs="Arial"/>
        </w:rPr>
      </w:pPr>
      <w:r w:rsidRPr="00856308">
        <w:rPr>
          <w:rFonts w:ascii="Arial" w:hAnsi="Arial" w:cs="Arial"/>
        </w:rPr>
        <w:t>The Balkans remain an important supplier of copper to Europe. Mining companies in Bulgaria, Serbia, Greece and Romania operate under diverse regulatory environments and varying degrees of alignment with EU sustainability policies. Understanding how these companies respond to increasing expectations for transparency, climate risk management and ESG performance is of strategic importance not only for the region but also for Europe’s pursuit of a resilient and sustainable raw materials supply.</w:t>
      </w:r>
    </w:p>
    <w:p w14:paraId="72CCE5BE" w14:textId="77777777" w:rsidR="00856308" w:rsidRPr="00856308" w:rsidRDefault="00856308" w:rsidP="00C01FCD">
      <w:pPr>
        <w:spacing w:after="0" w:line="360" w:lineRule="auto"/>
        <w:ind w:firstLine="720"/>
        <w:jc w:val="both"/>
        <w:rPr>
          <w:rFonts w:ascii="Arial" w:hAnsi="Arial" w:cs="Arial"/>
        </w:rPr>
      </w:pPr>
    </w:p>
    <w:p w14:paraId="253E19B0"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4" w:name="_Toc214615801"/>
      <w:r w:rsidRPr="00856308">
        <w:rPr>
          <w:rFonts w:ascii="Arial" w:hAnsi="Arial" w:cs="Arial"/>
          <w:b/>
          <w:bCs/>
          <w:color w:val="auto"/>
          <w:sz w:val="24"/>
          <w:szCs w:val="24"/>
        </w:rPr>
        <w:t>1.2 Personal Motivation</w:t>
      </w:r>
      <w:bookmarkEnd w:id="4"/>
    </w:p>
    <w:p w14:paraId="5A6C3680"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My motivation for conducting this research is rooted both in my personal background and in my long-standing interest in sustainability and responsible resource management. Growing up in Bulgaria, I have always been aware of the economic and cultural significance of the mining industry in the region. Copper extraction has shaped entire communities, contributed to national development and remains a key strategic sector with growing relevance for Europe’s </w:t>
      </w:r>
      <w:proofErr w:type="spellStart"/>
      <w:r w:rsidRPr="00856308">
        <w:rPr>
          <w:rFonts w:ascii="Arial" w:hAnsi="Arial" w:cs="Arial"/>
        </w:rPr>
        <w:t>decarbonisation</w:t>
      </w:r>
      <w:proofErr w:type="spellEnd"/>
      <w:r w:rsidRPr="00856308">
        <w:rPr>
          <w:rFonts w:ascii="Arial" w:hAnsi="Arial" w:cs="Arial"/>
        </w:rPr>
        <w:t xml:space="preserve"> efforts.</w:t>
      </w:r>
    </w:p>
    <w:p w14:paraId="0473A3DF"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As sustainability regulation becomes more complex and influential, I was motivated to explore how mining companies—including one of Bulgaria’s most significant operators, </w:t>
      </w:r>
      <w:proofErr w:type="spellStart"/>
      <w:r w:rsidRPr="00856308">
        <w:rPr>
          <w:rFonts w:ascii="Arial" w:hAnsi="Arial" w:cs="Arial"/>
          <w:b/>
          <w:bCs/>
        </w:rPr>
        <w:t>Ellatzite</w:t>
      </w:r>
      <w:proofErr w:type="spellEnd"/>
      <w:r w:rsidRPr="00856308">
        <w:rPr>
          <w:rFonts w:ascii="Arial" w:hAnsi="Arial" w:cs="Arial"/>
          <w:b/>
          <w:bCs/>
        </w:rPr>
        <w:t>-Med</w:t>
      </w:r>
      <w:r w:rsidRPr="00856308">
        <w:rPr>
          <w:rFonts w:ascii="Arial" w:hAnsi="Arial" w:cs="Arial"/>
        </w:rPr>
        <w:t>—are adapting to new expectations. I wanted to understand whether the sector is prepared for the obligations stemming from CSRD and ESRS, how climate risks are assessed and managed, and what best practices can be identified to support long-term sustainable operations.</w:t>
      </w:r>
    </w:p>
    <w:p w14:paraId="63624D8B" w14:textId="77777777" w:rsidR="00E20666" w:rsidRPr="00856308" w:rsidRDefault="00E20666" w:rsidP="00C01FCD">
      <w:pPr>
        <w:spacing w:after="0" w:line="360" w:lineRule="auto"/>
        <w:ind w:firstLine="720"/>
        <w:jc w:val="both"/>
        <w:rPr>
          <w:rFonts w:ascii="Arial" w:hAnsi="Arial" w:cs="Arial"/>
          <w:lang w:val="bg-BG"/>
        </w:rPr>
      </w:pPr>
      <w:r w:rsidRPr="00856308">
        <w:rPr>
          <w:rFonts w:ascii="Arial" w:hAnsi="Arial" w:cs="Arial"/>
        </w:rPr>
        <w:t>This combination of personal connection, academic interest and regional relevance inspired me to undertake a structured and comparative study of the Balkan copper mining industry.</w:t>
      </w:r>
    </w:p>
    <w:p w14:paraId="4D45BBCA"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5" w:name="_Toc214615802"/>
      <w:r w:rsidRPr="00856308">
        <w:rPr>
          <w:rFonts w:ascii="Arial" w:hAnsi="Arial" w:cs="Arial"/>
          <w:b/>
          <w:bCs/>
          <w:color w:val="auto"/>
          <w:sz w:val="24"/>
          <w:szCs w:val="24"/>
        </w:rPr>
        <w:lastRenderedPageBreak/>
        <w:t>1.3 Problem Statement</w:t>
      </w:r>
      <w:bookmarkEnd w:id="5"/>
    </w:p>
    <w:p w14:paraId="07421C9D"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Despite notable progress in sustainability practices, the Balkan mining sector faces a number of challenges:</w:t>
      </w:r>
    </w:p>
    <w:p w14:paraId="0E50598D" w14:textId="77777777" w:rsidR="00E20666" w:rsidRPr="00856308" w:rsidRDefault="00E20666" w:rsidP="00C01FCD">
      <w:pPr>
        <w:numPr>
          <w:ilvl w:val="0"/>
          <w:numId w:val="63"/>
        </w:numPr>
        <w:spacing w:after="0" w:line="360" w:lineRule="auto"/>
        <w:ind w:left="0" w:firstLine="720"/>
        <w:jc w:val="both"/>
        <w:rPr>
          <w:rFonts w:ascii="Arial" w:hAnsi="Arial" w:cs="Arial"/>
        </w:rPr>
      </w:pPr>
      <w:r w:rsidRPr="00856308">
        <w:rPr>
          <w:rFonts w:ascii="Arial" w:hAnsi="Arial" w:cs="Arial"/>
        </w:rPr>
        <w:t>Accelerating regulatory pressure from the EU and international frameworks</w:t>
      </w:r>
    </w:p>
    <w:p w14:paraId="3B8837A3" w14:textId="77777777" w:rsidR="00E20666" w:rsidRPr="00856308" w:rsidRDefault="00E20666" w:rsidP="00C01FCD">
      <w:pPr>
        <w:numPr>
          <w:ilvl w:val="0"/>
          <w:numId w:val="63"/>
        </w:numPr>
        <w:spacing w:after="0" w:line="360" w:lineRule="auto"/>
        <w:ind w:left="0" w:firstLine="720"/>
        <w:jc w:val="both"/>
        <w:rPr>
          <w:rFonts w:ascii="Arial" w:hAnsi="Arial" w:cs="Arial"/>
        </w:rPr>
      </w:pPr>
      <w:r w:rsidRPr="00856308">
        <w:rPr>
          <w:rFonts w:ascii="Arial" w:hAnsi="Arial" w:cs="Arial"/>
        </w:rPr>
        <w:t>Growing expectations for transparency and responsible environmental practices</w:t>
      </w:r>
    </w:p>
    <w:p w14:paraId="73CB31A4" w14:textId="77777777" w:rsidR="00E20666" w:rsidRPr="00856308" w:rsidRDefault="00E20666" w:rsidP="00C01FCD">
      <w:pPr>
        <w:numPr>
          <w:ilvl w:val="0"/>
          <w:numId w:val="63"/>
        </w:numPr>
        <w:spacing w:after="0" w:line="360" w:lineRule="auto"/>
        <w:ind w:left="0" w:firstLine="720"/>
        <w:jc w:val="both"/>
        <w:rPr>
          <w:rFonts w:ascii="Arial" w:hAnsi="Arial" w:cs="Arial"/>
        </w:rPr>
      </w:pPr>
      <w:r w:rsidRPr="00856308">
        <w:rPr>
          <w:rFonts w:ascii="Arial" w:hAnsi="Arial" w:cs="Arial"/>
        </w:rPr>
        <w:t>Increasing climate-related risks that require strategic adaptations</w:t>
      </w:r>
    </w:p>
    <w:p w14:paraId="553C6114" w14:textId="77777777" w:rsidR="00E20666" w:rsidRPr="00856308" w:rsidRDefault="00E20666" w:rsidP="00C01FCD">
      <w:pPr>
        <w:numPr>
          <w:ilvl w:val="0"/>
          <w:numId w:val="63"/>
        </w:numPr>
        <w:spacing w:after="0" w:line="360" w:lineRule="auto"/>
        <w:ind w:left="0" w:firstLine="720"/>
        <w:jc w:val="both"/>
        <w:rPr>
          <w:rFonts w:ascii="Arial" w:hAnsi="Arial" w:cs="Arial"/>
        </w:rPr>
      </w:pPr>
      <w:r w:rsidRPr="00856308">
        <w:rPr>
          <w:rFonts w:ascii="Arial" w:hAnsi="Arial" w:cs="Arial"/>
        </w:rPr>
        <w:t>Technological demands for more efficient and lower-impact extraction methods</w:t>
      </w:r>
    </w:p>
    <w:p w14:paraId="086529E4" w14:textId="77777777" w:rsidR="00E20666" w:rsidRPr="00856308" w:rsidRDefault="00E20666" w:rsidP="00C01FCD">
      <w:pPr>
        <w:numPr>
          <w:ilvl w:val="0"/>
          <w:numId w:val="63"/>
        </w:numPr>
        <w:spacing w:after="0" w:line="360" w:lineRule="auto"/>
        <w:ind w:left="0" w:firstLine="720"/>
        <w:jc w:val="both"/>
        <w:rPr>
          <w:rFonts w:ascii="Arial" w:hAnsi="Arial" w:cs="Arial"/>
        </w:rPr>
      </w:pPr>
      <w:r w:rsidRPr="00856308">
        <w:rPr>
          <w:rFonts w:ascii="Arial" w:hAnsi="Arial" w:cs="Arial"/>
        </w:rPr>
        <w:t>Significant differences in ESG maturity between EU and non-EU countries</w:t>
      </w:r>
    </w:p>
    <w:p w14:paraId="2C04B957"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There is limited academic research providing a comparative understanding of how mining companies in the Balkans are adapting to ESG and sustainability regulation. Existing studies rarely examine CSRD or ESRS readiness, and even fewer assess climate risk using the TCFD framework. This creates a gap in both academic and practical knowledge.</w:t>
      </w:r>
    </w:p>
    <w:p w14:paraId="4C470A35" w14:textId="77777777" w:rsidR="00E20666" w:rsidRDefault="00E20666" w:rsidP="00C01FCD">
      <w:pPr>
        <w:spacing w:after="0" w:line="360" w:lineRule="auto"/>
        <w:ind w:firstLine="720"/>
        <w:jc w:val="both"/>
        <w:rPr>
          <w:rFonts w:ascii="Arial" w:hAnsi="Arial" w:cs="Arial"/>
        </w:rPr>
      </w:pPr>
      <w:r w:rsidRPr="00856308">
        <w:rPr>
          <w:rFonts w:ascii="Arial" w:hAnsi="Arial" w:cs="Arial"/>
        </w:rPr>
        <w:t xml:space="preserve">This dissertation addresses this gap through a multi-case comparative analysis of six major mining companies and a detailed case study of </w:t>
      </w:r>
      <w:proofErr w:type="spellStart"/>
      <w:r w:rsidRPr="00856308">
        <w:rPr>
          <w:rFonts w:ascii="Arial" w:hAnsi="Arial" w:cs="Arial"/>
          <w:b/>
          <w:bCs/>
        </w:rPr>
        <w:t>Ellatzite</w:t>
      </w:r>
      <w:proofErr w:type="spellEnd"/>
      <w:r w:rsidRPr="00856308">
        <w:rPr>
          <w:rFonts w:ascii="Arial" w:hAnsi="Arial" w:cs="Arial"/>
          <w:b/>
          <w:bCs/>
        </w:rPr>
        <w:t>-Med</w:t>
      </w:r>
      <w:r w:rsidRPr="00856308">
        <w:rPr>
          <w:rFonts w:ascii="Arial" w:hAnsi="Arial" w:cs="Arial"/>
        </w:rPr>
        <w:t>.</w:t>
      </w:r>
    </w:p>
    <w:p w14:paraId="63246F5E" w14:textId="77777777" w:rsidR="00856308" w:rsidRPr="00856308" w:rsidRDefault="00856308" w:rsidP="00C01FCD">
      <w:pPr>
        <w:spacing w:after="0" w:line="360" w:lineRule="auto"/>
        <w:ind w:firstLine="720"/>
        <w:jc w:val="both"/>
        <w:rPr>
          <w:rFonts w:ascii="Arial" w:hAnsi="Arial" w:cs="Arial"/>
          <w:lang w:val="bg-BG"/>
        </w:rPr>
      </w:pPr>
    </w:p>
    <w:p w14:paraId="5C5F77A8"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6" w:name="_Toc214615803"/>
      <w:r w:rsidRPr="00856308">
        <w:rPr>
          <w:rFonts w:ascii="Arial" w:hAnsi="Arial" w:cs="Arial"/>
          <w:b/>
          <w:bCs/>
          <w:color w:val="auto"/>
          <w:sz w:val="24"/>
          <w:szCs w:val="24"/>
        </w:rPr>
        <w:t>1.4 Research Rationale</w:t>
      </w:r>
      <w:bookmarkEnd w:id="6"/>
    </w:p>
    <w:p w14:paraId="557E5128" w14:textId="674735BC" w:rsidR="00E20666" w:rsidRPr="00856308" w:rsidRDefault="00E20666" w:rsidP="00C01FCD">
      <w:pPr>
        <w:spacing w:after="0" w:line="360" w:lineRule="auto"/>
        <w:ind w:firstLine="720"/>
        <w:jc w:val="both"/>
        <w:rPr>
          <w:rFonts w:ascii="Arial" w:hAnsi="Arial" w:cs="Arial"/>
        </w:rPr>
      </w:pPr>
      <w:r w:rsidRPr="00856308">
        <w:rPr>
          <w:rFonts w:ascii="Arial" w:hAnsi="Arial" w:cs="Arial"/>
        </w:rPr>
        <w:t>I chose this topic because it allowed me to combine personal familiarity with the region, professional interest in sustainability and an academic need for comparative ESG research focused on mining. The copper mining sector stands at the intersection of environmental impact, industrial development and strategic European priorities. Studying its adaptation to CSRD, ESRS and climate-related expectations provides insight into how resource-intensive industries transition towards sustainable practices.</w:t>
      </w:r>
    </w:p>
    <w:p w14:paraId="69FC3F4D" w14:textId="77777777" w:rsidR="00E20666" w:rsidRDefault="00E20666" w:rsidP="00C01FCD">
      <w:pPr>
        <w:spacing w:after="0" w:line="360" w:lineRule="auto"/>
        <w:ind w:firstLine="720"/>
        <w:jc w:val="both"/>
        <w:rPr>
          <w:rFonts w:ascii="Arial" w:hAnsi="Arial" w:cs="Arial"/>
        </w:rPr>
      </w:pPr>
      <w:r w:rsidRPr="00856308">
        <w:rPr>
          <w:rFonts w:ascii="Arial" w:hAnsi="Arial" w:cs="Arial"/>
        </w:rPr>
        <w:t xml:space="preserve">I was also motivated by the unique position of </w:t>
      </w:r>
      <w:proofErr w:type="spellStart"/>
      <w:r w:rsidRPr="00856308">
        <w:rPr>
          <w:rFonts w:ascii="Arial" w:hAnsi="Arial" w:cs="Arial"/>
          <w:b/>
          <w:bCs/>
        </w:rPr>
        <w:t>Ellatzite</w:t>
      </w:r>
      <w:proofErr w:type="spellEnd"/>
      <w:r w:rsidRPr="00856308">
        <w:rPr>
          <w:rFonts w:ascii="Arial" w:hAnsi="Arial" w:cs="Arial"/>
          <w:b/>
          <w:bCs/>
        </w:rPr>
        <w:t>-Med</w:t>
      </w:r>
      <w:r w:rsidRPr="00856308">
        <w:rPr>
          <w:rFonts w:ascii="Arial" w:hAnsi="Arial" w:cs="Arial"/>
        </w:rPr>
        <w:t xml:space="preserve">, which has undergone substantial technological </w:t>
      </w:r>
      <w:proofErr w:type="spellStart"/>
      <w:r w:rsidRPr="00856308">
        <w:rPr>
          <w:rFonts w:ascii="Arial" w:hAnsi="Arial" w:cs="Arial"/>
        </w:rPr>
        <w:t>modernisation</w:t>
      </w:r>
      <w:proofErr w:type="spellEnd"/>
      <w:r w:rsidRPr="00856308">
        <w:rPr>
          <w:rFonts w:ascii="Arial" w:hAnsi="Arial" w:cs="Arial"/>
        </w:rPr>
        <w:t xml:space="preserve"> and developed advanced environmental management systems. </w:t>
      </w:r>
      <w:proofErr w:type="spellStart"/>
      <w:r w:rsidRPr="00856308">
        <w:rPr>
          <w:rFonts w:ascii="Arial" w:hAnsi="Arial" w:cs="Arial"/>
        </w:rPr>
        <w:t>Analysing</w:t>
      </w:r>
      <w:proofErr w:type="spellEnd"/>
      <w:r w:rsidRPr="00856308">
        <w:rPr>
          <w:rFonts w:ascii="Arial" w:hAnsi="Arial" w:cs="Arial"/>
        </w:rPr>
        <w:t xml:space="preserve"> its practices allowed me to identify concrete examples of good practice and evaluate how far regional companies have progressed in aligning with modern sustainability expectations.</w:t>
      </w:r>
    </w:p>
    <w:p w14:paraId="02515218" w14:textId="77777777" w:rsidR="00856308" w:rsidRPr="00856308" w:rsidRDefault="00856308" w:rsidP="00C01FCD">
      <w:pPr>
        <w:spacing w:after="0" w:line="360" w:lineRule="auto"/>
        <w:ind w:firstLine="720"/>
        <w:jc w:val="both"/>
        <w:rPr>
          <w:rFonts w:ascii="Arial" w:hAnsi="Arial" w:cs="Arial"/>
          <w:lang w:val="bg-BG"/>
        </w:rPr>
      </w:pPr>
    </w:p>
    <w:p w14:paraId="0D1549AA"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7" w:name="_Toc214615804"/>
      <w:r w:rsidRPr="00856308">
        <w:rPr>
          <w:rFonts w:ascii="Arial" w:hAnsi="Arial" w:cs="Arial"/>
          <w:b/>
          <w:bCs/>
          <w:color w:val="auto"/>
          <w:sz w:val="24"/>
          <w:szCs w:val="24"/>
        </w:rPr>
        <w:t>1.5 Research Aim and Contribution</w:t>
      </w:r>
      <w:bookmarkEnd w:id="7"/>
    </w:p>
    <w:p w14:paraId="04B7A653"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The aim of this dissertation is to examine how copper mining companies in the Balkans adapt to sustainability regulations and to assess differences in ESG maturity, climate risk management and CSRD/ESRS readiness.</w:t>
      </w:r>
    </w:p>
    <w:p w14:paraId="14746E09"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To achieve this, I conducted a multi-case analysis of six mining operations and an in-depth case study of </w:t>
      </w:r>
      <w:proofErr w:type="spellStart"/>
      <w:r w:rsidRPr="00856308">
        <w:rPr>
          <w:rFonts w:ascii="Arial" w:hAnsi="Arial" w:cs="Arial"/>
          <w:b/>
          <w:bCs/>
        </w:rPr>
        <w:t>Ellatzite</w:t>
      </w:r>
      <w:proofErr w:type="spellEnd"/>
      <w:r w:rsidRPr="00856308">
        <w:rPr>
          <w:rFonts w:ascii="Arial" w:hAnsi="Arial" w:cs="Arial"/>
          <w:b/>
          <w:bCs/>
        </w:rPr>
        <w:t>-Med</w:t>
      </w:r>
      <w:r w:rsidRPr="00856308">
        <w:rPr>
          <w:rFonts w:ascii="Arial" w:hAnsi="Arial" w:cs="Arial"/>
        </w:rPr>
        <w:t>. Throughout this research, I assessed:</w:t>
      </w:r>
    </w:p>
    <w:p w14:paraId="51AE055E" w14:textId="77777777" w:rsidR="00E20666" w:rsidRPr="00856308" w:rsidRDefault="00E20666" w:rsidP="00C01FCD">
      <w:pPr>
        <w:numPr>
          <w:ilvl w:val="0"/>
          <w:numId w:val="64"/>
        </w:numPr>
        <w:spacing w:after="0" w:line="360" w:lineRule="auto"/>
        <w:ind w:left="0" w:firstLine="720"/>
        <w:jc w:val="both"/>
        <w:rPr>
          <w:rFonts w:ascii="Arial" w:hAnsi="Arial" w:cs="Arial"/>
        </w:rPr>
      </w:pPr>
      <w:r w:rsidRPr="00856308">
        <w:rPr>
          <w:rFonts w:ascii="Arial" w:hAnsi="Arial" w:cs="Arial"/>
        </w:rPr>
        <w:t>how companies respond to sustainability regulations,</w:t>
      </w:r>
    </w:p>
    <w:p w14:paraId="1C10C689" w14:textId="77777777" w:rsidR="00E20666" w:rsidRPr="00856308" w:rsidRDefault="00E20666" w:rsidP="00C01FCD">
      <w:pPr>
        <w:numPr>
          <w:ilvl w:val="0"/>
          <w:numId w:val="64"/>
        </w:numPr>
        <w:spacing w:after="0" w:line="360" w:lineRule="auto"/>
        <w:ind w:left="0" w:firstLine="720"/>
        <w:jc w:val="both"/>
        <w:rPr>
          <w:rFonts w:ascii="Arial" w:hAnsi="Arial" w:cs="Arial"/>
        </w:rPr>
      </w:pPr>
      <w:r w:rsidRPr="00856308">
        <w:rPr>
          <w:rFonts w:ascii="Arial" w:hAnsi="Arial" w:cs="Arial"/>
        </w:rPr>
        <w:t>what environmental and social practices they implement,</w:t>
      </w:r>
    </w:p>
    <w:p w14:paraId="4A9D3203" w14:textId="77777777" w:rsidR="00E20666" w:rsidRPr="00856308" w:rsidRDefault="00E20666" w:rsidP="00C01FCD">
      <w:pPr>
        <w:numPr>
          <w:ilvl w:val="0"/>
          <w:numId w:val="64"/>
        </w:numPr>
        <w:spacing w:after="0" w:line="360" w:lineRule="auto"/>
        <w:ind w:left="0" w:firstLine="720"/>
        <w:jc w:val="both"/>
        <w:rPr>
          <w:rFonts w:ascii="Arial" w:hAnsi="Arial" w:cs="Arial"/>
        </w:rPr>
      </w:pPr>
      <w:r w:rsidRPr="00856308">
        <w:rPr>
          <w:rFonts w:ascii="Arial" w:hAnsi="Arial" w:cs="Arial"/>
        </w:rPr>
        <w:lastRenderedPageBreak/>
        <w:t>how climate risks influence their strategic and operational decisions,</w:t>
      </w:r>
    </w:p>
    <w:p w14:paraId="0B94786E" w14:textId="77777777" w:rsidR="00E20666" w:rsidRPr="00856308" w:rsidRDefault="00E20666" w:rsidP="00C01FCD">
      <w:pPr>
        <w:numPr>
          <w:ilvl w:val="0"/>
          <w:numId w:val="64"/>
        </w:numPr>
        <w:spacing w:after="0" w:line="360" w:lineRule="auto"/>
        <w:ind w:left="0" w:firstLine="720"/>
        <w:jc w:val="both"/>
        <w:rPr>
          <w:rFonts w:ascii="Arial" w:hAnsi="Arial" w:cs="Arial"/>
        </w:rPr>
      </w:pPr>
      <w:r w:rsidRPr="00856308">
        <w:rPr>
          <w:rFonts w:ascii="Arial" w:hAnsi="Arial" w:cs="Arial"/>
        </w:rPr>
        <w:t>and how compliance with CSRD and ESRS affects their governance and transparency.</w:t>
      </w:r>
    </w:p>
    <w:p w14:paraId="59DCD78C" w14:textId="77777777" w:rsidR="00E20666" w:rsidRDefault="00E20666" w:rsidP="00C01FCD">
      <w:pPr>
        <w:spacing w:after="0" w:line="360" w:lineRule="auto"/>
        <w:ind w:firstLine="720"/>
        <w:jc w:val="both"/>
        <w:rPr>
          <w:rFonts w:ascii="Arial" w:hAnsi="Arial" w:cs="Arial"/>
        </w:rPr>
      </w:pPr>
      <w:r w:rsidRPr="00856308">
        <w:rPr>
          <w:rFonts w:ascii="Arial" w:hAnsi="Arial" w:cs="Arial"/>
        </w:rPr>
        <w:t>This study contributes to the academic literature by providing a structured regional comparison, applying modern sustainability frameworks (ESG, CSRD/ESRS, TCFD) and identifying practical lessons for improving sustainability performance in the mining sector.</w:t>
      </w:r>
    </w:p>
    <w:p w14:paraId="652CA804" w14:textId="77777777" w:rsidR="00856308" w:rsidRPr="00856308" w:rsidRDefault="00856308" w:rsidP="00C01FCD">
      <w:pPr>
        <w:spacing w:after="0" w:line="360" w:lineRule="auto"/>
        <w:ind w:firstLine="720"/>
        <w:jc w:val="both"/>
        <w:rPr>
          <w:rFonts w:ascii="Arial" w:hAnsi="Arial" w:cs="Arial"/>
          <w:lang w:val="bg-BG"/>
        </w:rPr>
      </w:pPr>
    </w:p>
    <w:p w14:paraId="0845E98F"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8" w:name="_Toc214615805"/>
      <w:r w:rsidRPr="00856308">
        <w:rPr>
          <w:rFonts w:ascii="Arial" w:hAnsi="Arial" w:cs="Arial"/>
          <w:b/>
          <w:bCs/>
          <w:color w:val="auto"/>
          <w:sz w:val="24"/>
          <w:szCs w:val="24"/>
        </w:rPr>
        <w:t>1.6 Structure of the Dissertation</w:t>
      </w:r>
      <w:bookmarkEnd w:id="8"/>
    </w:p>
    <w:p w14:paraId="7D1DC24D"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The dissertation is structured as follows:</w:t>
      </w:r>
    </w:p>
    <w:p w14:paraId="79B3FC61" w14:textId="77777777" w:rsidR="00E20666" w:rsidRPr="00856308" w:rsidRDefault="00E20666" w:rsidP="00C01FCD">
      <w:pPr>
        <w:spacing w:after="0" w:line="360" w:lineRule="auto"/>
        <w:ind w:firstLine="720"/>
        <w:jc w:val="both"/>
        <w:rPr>
          <w:rFonts w:ascii="Arial" w:hAnsi="Arial" w:cs="Arial"/>
          <w:lang w:val="bg-BG"/>
        </w:rPr>
      </w:pPr>
      <w:r w:rsidRPr="00856308">
        <w:rPr>
          <w:rFonts w:ascii="Arial" w:hAnsi="Arial" w:cs="Arial"/>
          <w:b/>
          <w:bCs/>
        </w:rPr>
        <w:t>Chapter 1</w:t>
      </w:r>
      <w:r w:rsidRPr="00856308">
        <w:rPr>
          <w:rFonts w:ascii="Arial" w:hAnsi="Arial" w:cs="Arial"/>
        </w:rPr>
        <w:t xml:space="preserve"> introduces the research motivation, problem statement, rationale and aims.</w:t>
      </w:r>
    </w:p>
    <w:p w14:paraId="08E6118C" w14:textId="77777777" w:rsidR="00E20666" w:rsidRPr="00856308" w:rsidRDefault="00E20666" w:rsidP="00C01FCD">
      <w:pPr>
        <w:spacing w:after="0" w:line="360" w:lineRule="auto"/>
        <w:ind w:firstLine="720"/>
        <w:jc w:val="both"/>
        <w:rPr>
          <w:rFonts w:ascii="Arial" w:hAnsi="Arial" w:cs="Arial"/>
          <w:lang w:val="bg-BG"/>
        </w:rPr>
      </w:pPr>
      <w:r w:rsidRPr="00856308">
        <w:rPr>
          <w:rFonts w:ascii="Arial" w:hAnsi="Arial" w:cs="Arial"/>
          <w:b/>
          <w:bCs/>
        </w:rPr>
        <w:t>Chapter 2</w:t>
      </w:r>
      <w:r w:rsidRPr="00856308">
        <w:rPr>
          <w:rFonts w:ascii="Arial" w:hAnsi="Arial" w:cs="Arial"/>
        </w:rPr>
        <w:t xml:space="preserve"> reviews academic literature and regulatory frameworks related to ESG, sustainability and mining.</w:t>
      </w:r>
    </w:p>
    <w:p w14:paraId="7D3BE885" w14:textId="77777777" w:rsidR="00E20666" w:rsidRPr="00856308" w:rsidRDefault="00E20666" w:rsidP="00C01FCD">
      <w:pPr>
        <w:spacing w:after="0" w:line="360" w:lineRule="auto"/>
        <w:ind w:firstLine="720"/>
        <w:jc w:val="both"/>
        <w:rPr>
          <w:rFonts w:ascii="Arial" w:hAnsi="Arial" w:cs="Arial"/>
          <w:lang w:val="bg-BG"/>
        </w:rPr>
      </w:pPr>
      <w:r w:rsidRPr="00856308">
        <w:rPr>
          <w:rFonts w:ascii="Arial" w:hAnsi="Arial" w:cs="Arial"/>
          <w:b/>
          <w:bCs/>
        </w:rPr>
        <w:t>Chapter 3</w:t>
      </w:r>
      <w:r w:rsidRPr="00856308">
        <w:rPr>
          <w:rFonts w:ascii="Arial" w:hAnsi="Arial" w:cs="Arial"/>
        </w:rPr>
        <w:t xml:space="preserve"> presents the methodology, including the multi-case study design and analytical approach.</w:t>
      </w:r>
    </w:p>
    <w:p w14:paraId="7E542D26" w14:textId="77777777" w:rsidR="00E20666" w:rsidRPr="00856308" w:rsidRDefault="00E20666" w:rsidP="00C01FCD">
      <w:pPr>
        <w:spacing w:after="0" w:line="360" w:lineRule="auto"/>
        <w:ind w:firstLine="720"/>
        <w:jc w:val="both"/>
        <w:rPr>
          <w:rFonts w:ascii="Arial" w:hAnsi="Arial" w:cs="Arial"/>
          <w:lang w:val="bg-BG"/>
        </w:rPr>
      </w:pPr>
      <w:r w:rsidRPr="00856308">
        <w:rPr>
          <w:rFonts w:ascii="Arial" w:hAnsi="Arial" w:cs="Arial"/>
          <w:b/>
          <w:bCs/>
        </w:rPr>
        <w:t>Chapter 4</w:t>
      </w:r>
      <w:r w:rsidRPr="00856308">
        <w:rPr>
          <w:rFonts w:ascii="Arial" w:hAnsi="Arial" w:cs="Arial"/>
        </w:rPr>
        <w:t xml:space="preserve"> analyses the findings from the six companies and presents the in-depth case study of </w:t>
      </w:r>
      <w:proofErr w:type="spellStart"/>
      <w:r w:rsidRPr="00856308">
        <w:rPr>
          <w:rFonts w:ascii="Arial" w:hAnsi="Arial" w:cs="Arial"/>
        </w:rPr>
        <w:t>Ellatzite</w:t>
      </w:r>
      <w:proofErr w:type="spellEnd"/>
      <w:r w:rsidRPr="00856308">
        <w:rPr>
          <w:rFonts w:ascii="Arial" w:hAnsi="Arial" w:cs="Arial"/>
        </w:rPr>
        <w:t>-Med.</w:t>
      </w:r>
    </w:p>
    <w:p w14:paraId="7E550E4D" w14:textId="77777777" w:rsidR="00E20666" w:rsidRPr="00C01FCD" w:rsidRDefault="00E20666" w:rsidP="00C01FCD">
      <w:pPr>
        <w:spacing w:after="0" w:line="360" w:lineRule="auto"/>
        <w:ind w:firstLine="720"/>
        <w:jc w:val="both"/>
        <w:rPr>
          <w:rFonts w:ascii="Arial" w:hAnsi="Arial" w:cs="Arial"/>
        </w:rPr>
      </w:pPr>
      <w:r w:rsidRPr="00856308">
        <w:rPr>
          <w:rFonts w:ascii="Arial" w:hAnsi="Arial" w:cs="Arial"/>
          <w:b/>
          <w:bCs/>
        </w:rPr>
        <w:t>Chapter 5</w:t>
      </w:r>
      <w:r w:rsidRPr="00856308">
        <w:rPr>
          <w:rFonts w:ascii="Arial" w:hAnsi="Arial" w:cs="Arial"/>
        </w:rPr>
        <w:t xml:space="preserve"> concludes the dissertation and provides recommendations for industry practice.</w:t>
      </w:r>
    </w:p>
    <w:p w14:paraId="201297C9"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br w:type="page"/>
      </w:r>
    </w:p>
    <w:p w14:paraId="0455BE95" w14:textId="77777777" w:rsidR="00E20666" w:rsidRDefault="00E20666" w:rsidP="00856308">
      <w:pPr>
        <w:pStyle w:val="Heading1"/>
        <w:spacing w:before="0" w:line="360" w:lineRule="auto"/>
        <w:ind w:firstLine="720"/>
        <w:jc w:val="both"/>
        <w:rPr>
          <w:rFonts w:ascii="Arial" w:hAnsi="Arial" w:cs="Arial"/>
          <w:b/>
          <w:bCs/>
          <w:color w:val="auto"/>
          <w:kern w:val="2"/>
          <w:sz w:val="28"/>
          <w:szCs w:val="28"/>
          <w14:ligatures w14:val="standardContextual"/>
        </w:rPr>
      </w:pPr>
      <w:bookmarkStart w:id="9" w:name="_Toc214615806"/>
      <w:r w:rsidRPr="00856308">
        <w:rPr>
          <w:rFonts w:ascii="Arial" w:hAnsi="Arial" w:cs="Arial"/>
          <w:b/>
          <w:bCs/>
          <w:color w:val="auto"/>
          <w:kern w:val="2"/>
          <w:sz w:val="28"/>
          <w:szCs w:val="28"/>
          <w14:ligatures w14:val="standardContextual"/>
        </w:rPr>
        <w:lastRenderedPageBreak/>
        <w:t>CHAPTER 2: LITERATURE REVIEW</w:t>
      </w:r>
      <w:bookmarkEnd w:id="9"/>
    </w:p>
    <w:p w14:paraId="052F5E0F" w14:textId="77777777" w:rsidR="00856308" w:rsidRPr="00856308" w:rsidRDefault="00856308" w:rsidP="00856308"/>
    <w:p w14:paraId="687D1552"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0" w:name="_Toc214615807"/>
      <w:r w:rsidRPr="00856308">
        <w:rPr>
          <w:rFonts w:ascii="Arial" w:hAnsi="Arial" w:cs="Arial"/>
          <w:b/>
          <w:bCs/>
          <w:color w:val="auto"/>
          <w:sz w:val="24"/>
          <w:szCs w:val="24"/>
        </w:rPr>
        <w:t>2.1 Introduction</w:t>
      </w:r>
      <w:bookmarkEnd w:id="10"/>
    </w:p>
    <w:p w14:paraId="21A7D7A9"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 purpose of this chapter is to review the academic and regulatory literature relevant to sustainability in the mining sector, with a particular focus on ESG frameworks, the EU’s recent regulatory developments (CSRD and ESRS), and climate risk assessment principles such as TCFD. I also examine challenges associated with sustainability practices in the copper mining industry, especially within the context of the Balkan region.</w:t>
      </w:r>
    </w:p>
    <w:p w14:paraId="3F094550" w14:textId="77777777" w:rsidR="00E20666" w:rsidRDefault="00E20666" w:rsidP="00C01FCD">
      <w:pPr>
        <w:spacing w:after="0" w:line="360" w:lineRule="auto"/>
        <w:ind w:firstLine="720"/>
        <w:jc w:val="both"/>
        <w:rPr>
          <w:rFonts w:ascii="Arial" w:hAnsi="Arial" w:cs="Arial"/>
        </w:rPr>
      </w:pPr>
      <w:r w:rsidRPr="00C01FCD">
        <w:rPr>
          <w:rFonts w:ascii="Arial" w:hAnsi="Arial" w:cs="Arial"/>
        </w:rPr>
        <w:t>The literature review establishes the conceptual foundation for the analytical framework applied in Chapters 3 and 4.</w:t>
      </w:r>
    </w:p>
    <w:p w14:paraId="3279EFFD" w14:textId="77777777" w:rsidR="00856308" w:rsidRPr="00C01FCD" w:rsidRDefault="00856308" w:rsidP="00C01FCD">
      <w:pPr>
        <w:spacing w:after="0" w:line="360" w:lineRule="auto"/>
        <w:ind w:firstLine="720"/>
        <w:jc w:val="both"/>
        <w:rPr>
          <w:rFonts w:ascii="Arial" w:hAnsi="Arial" w:cs="Arial"/>
          <w:lang w:val="bg-BG"/>
        </w:rPr>
      </w:pPr>
    </w:p>
    <w:p w14:paraId="61B4DC83"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1" w:name="_Toc214615808"/>
      <w:r w:rsidRPr="00856308">
        <w:rPr>
          <w:rFonts w:ascii="Arial" w:hAnsi="Arial" w:cs="Arial"/>
          <w:b/>
          <w:bCs/>
          <w:color w:val="auto"/>
          <w:sz w:val="24"/>
          <w:szCs w:val="24"/>
        </w:rPr>
        <w:t>2.2 Sustainability in the Mining Industry: Global Perspectives</w:t>
      </w:r>
      <w:bookmarkEnd w:id="11"/>
    </w:p>
    <w:p w14:paraId="727C6E3F"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Sustainability in mining has become a central topic in academic research over the past two decades. Scholars widely agree that mining companies face increasing societal expectations to </w:t>
      </w:r>
      <w:proofErr w:type="spellStart"/>
      <w:r w:rsidRPr="00C01FCD">
        <w:rPr>
          <w:rFonts w:ascii="Arial" w:hAnsi="Arial" w:cs="Arial"/>
        </w:rPr>
        <w:t>minimise</w:t>
      </w:r>
      <w:proofErr w:type="spellEnd"/>
      <w:r w:rsidRPr="00C01FCD">
        <w:rPr>
          <w:rFonts w:ascii="Arial" w:hAnsi="Arial" w:cs="Arial"/>
        </w:rPr>
        <w:t xml:space="preserve"> environmental impact, enhance social responsibility and improve governance practices (Hilson, 2012; </w:t>
      </w:r>
      <w:proofErr w:type="spellStart"/>
      <w:r w:rsidRPr="00C01FCD">
        <w:rPr>
          <w:rFonts w:ascii="Arial" w:hAnsi="Arial" w:cs="Arial"/>
        </w:rPr>
        <w:t>Azapagic</w:t>
      </w:r>
      <w:proofErr w:type="spellEnd"/>
      <w:r w:rsidRPr="00C01FCD">
        <w:rPr>
          <w:rFonts w:ascii="Arial" w:hAnsi="Arial" w:cs="Arial"/>
        </w:rPr>
        <w:t>, 2004).</w:t>
      </w:r>
    </w:p>
    <w:p w14:paraId="2A9E4CDE" w14:textId="77777777" w:rsidR="00E20666" w:rsidRPr="00856308" w:rsidRDefault="00E20666" w:rsidP="00C01FCD">
      <w:pPr>
        <w:spacing w:after="0" w:line="360" w:lineRule="auto"/>
        <w:ind w:firstLine="720"/>
        <w:jc w:val="both"/>
        <w:rPr>
          <w:rFonts w:ascii="Arial" w:hAnsi="Arial" w:cs="Arial"/>
        </w:rPr>
      </w:pPr>
      <w:r w:rsidRPr="00C01FCD">
        <w:rPr>
          <w:rFonts w:ascii="Arial" w:hAnsi="Arial" w:cs="Arial"/>
        </w:rPr>
        <w:t xml:space="preserve">Several authors highlight that mining operations have inherent ecological challenges, such as land </w:t>
      </w:r>
      <w:r w:rsidRPr="00856308">
        <w:rPr>
          <w:rFonts w:ascii="Arial" w:hAnsi="Arial" w:cs="Arial"/>
        </w:rPr>
        <w:t>disturbance, water contamination and emissions (Mudd, 2010). To address these challenges, mining companies have increasingly adopted structured sustainability frameworks such as:</w:t>
      </w:r>
    </w:p>
    <w:p w14:paraId="15F79C5F" w14:textId="77777777" w:rsidR="00E20666" w:rsidRPr="00856308" w:rsidRDefault="00E20666" w:rsidP="00C01FCD">
      <w:pPr>
        <w:numPr>
          <w:ilvl w:val="0"/>
          <w:numId w:val="80"/>
        </w:numPr>
        <w:spacing w:after="0" w:line="360" w:lineRule="auto"/>
        <w:ind w:left="0" w:firstLine="720"/>
        <w:jc w:val="both"/>
        <w:rPr>
          <w:rFonts w:ascii="Arial" w:hAnsi="Arial" w:cs="Arial"/>
        </w:rPr>
      </w:pPr>
      <w:r w:rsidRPr="00856308">
        <w:rPr>
          <w:rFonts w:ascii="Arial" w:hAnsi="Arial" w:cs="Arial"/>
        </w:rPr>
        <w:t>Environmental Management Systems (EMS)</w:t>
      </w:r>
    </w:p>
    <w:p w14:paraId="57369312" w14:textId="77777777" w:rsidR="00E20666" w:rsidRPr="00856308" w:rsidRDefault="00E20666" w:rsidP="00C01FCD">
      <w:pPr>
        <w:numPr>
          <w:ilvl w:val="0"/>
          <w:numId w:val="80"/>
        </w:numPr>
        <w:spacing w:after="0" w:line="360" w:lineRule="auto"/>
        <w:ind w:left="0" w:firstLine="720"/>
        <w:jc w:val="both"/>
        <w:rPr>
          <w:rFonts w:ascii="Arial" w:hAnsi="Arial" w:cs="Arial"/>
        </w:rPr>
      </w:pPr>
      <w:r w:rsidRPr="00856308">
        <w:rPr>
          <w:rFonts w:ascii="Arial" w:hAnsi="Arial" w:cs="Arial"/>
        </w:rPr>
        <w:t>Life-cycle assessment (LCA)</w:t>
      </w:r>
    </w:p>
    <w:p w14:paraId="63B4F9F8" w14:textId="77777777" w:rsidR="00E20666" w:rsidRPr="00856308" w:rsidRDefault="00E20666" w:rsidP="00C01FCD">
      <w:pPr>
        <w:numPr>
          <w:ilvl w:val="0"/>
          <w:numId w:val="80"/>
        </w:numPr>
        <w:spacing w:after="0" w:line="360" w:lineRule="auto"/>
        <w:ind w:left="0" w:firstLine="720"/>
        <w:jc w:val="both"/>
        <w:rPr>
          <w:rFonts w:ascii="Arial" w:hAnsi="Arial" w:cs="Arial"/>
        </w:rPr>
      </w:pPr>
      <w:r w:rsidRPr="00856308">
        <w:rPr>
          <w:rFonts w:ascii="Arial" w:hAnsi="Arial" w:cs="Arial"/>
        </w:rPr>
        <w:t>Integrated environmental, social and governance (ESG) frameworks</w:t>
      </w:r>
    </w:p>
    <w:p w14:paraId="30E69688" w14:textId="77777777" w:rsidR="00E20666" w:rsidRPr="00856308" w:rsidRDefault="00E20666" w:rsidP="00C01FCD">
      <w:pPr>
        <w:numPr>
          <w:ilvl w:val="0"/>
          <w:numId w:val="80"/>
        </w:numPr>
        <w:spacing w:after="0" w:line="360" w:lineRule="auto"/>
        <w:ind w:left="0" w:firstLine="720"/>
        <w:jc w:val="both"/>
        <w:rPr>
          <w:rFonts w:ascii="Arial" w:hAnsi="Arial" w:cs="Arial"/>
        </w:rPr>
      </w:pPr>
      <w:r w:rsidRPr="00856308">
        <w:rPr>
          <w:rFonts w:ascii="Arial" w:hAnsi="Arial" w:cs="Arial"/>
        </w:rPr>
        <w:t>Corporate reporting under GRI and TCFD</w:t>
      </w:r>
    </w:p>
    <w:p w14:paraId="1929A76A" w14:textId="77777777" w:rsidR="00E20666" w:rsidRDefault="00E20666" w:rsidP="00C01FCD">
      <w:pPr>
        <w:spacing w:after="0" w:line="360" w:lineRule="auto"/>
        <w:ind w:firstLine="720"/>
        <w:jc w:val="both"/>
        <w:rPr>
          <w:rFonts w:ascii="Arial" w:hAnsi="Arial" w:cs="Arial"/>
        </w:rPr>
      </w:pPr>
      <w:r w:rsidRPr="00C01FCD">
        <w:rPr>
          <w:rFonts w:ascii="Arial" w:hAnsi="Arial" w:cs="Arial"/>
        </w:rPr>
        <w:t>In the global context, sustainability is seen not only as a compliance requirement but also as a source of competitive advantage (Porter &amp; Kramer, 2011). Academics note that companies with strong ESG performance often achieve improved operational efficiency, lower risk exposure and enhanced stakeholder trust (Eccles, Ioannou &amp; Serafeim, 2014).</w:t>
      </w:r>
    </w:p>
    <w:p w14:paraId="7AAE3898" w14:textId="77777777" w:rsidR="00856308" w:rsidRPr="00C01FCD" w:rsidRDefault="00856308" w:rsidP="00C01FCD">
      <w:pPr>
        <w:spacing w:after="0" w:line="360" w:lineRule="auto"/>
        <w:ind w:firstLine="720"/>
        <w:jc w:val="both"/>
        <w:rPr>
          <w:rFonts w:ascii="Arial" w:hAnsi="Arial" w:cs="Arial"/>
          <w:lang w:val="bg-BG"/>
        </w:rPr>
      </w:pPr>
    </w:p>
    <w:p w14:paraId="6E085656"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2" w:name="_Toc214615809"/>
      <w:r w:rsidRPr="00856308">
        <w:rPr>
          <w:rFonts w:ascii="Arial" w:hAnsi="Arial" w:cs="Arial"/>
          <w:b/>
          <w:bCs/>
          <w:color w:val="auto"/>
          <w:sz w:val="24"/>
          <w:szCs w:val="24"/>
        </w:rPr>
        <w:t>2.3 ESG Frameworks and Their Application in Mining</w:t>
      </w:r>
      <w:bookmarkEnd w:id="12"/>
    </w:p>
    <w:p w14:paraId="50E5105C" w14:textId="77777777" w:rsidR="00E20666" w:rsidRDefault="00E20666" w:rsidP="00C01FCD">
      <w:pPr>
        <w:spacing w:after="0" w:line="360" w:lineRule="auto"/>
        <w:ind w:firstLine="720"/>
        <w:jc w:val="both"/>
        <w:rPr>
          <w:rFonts w:ascii="Arial" w:hAnsi="Arial" w:cs="Arial"/>
        </w:rPr>
      </w:pPr>
      <w:r w:rsidRPr="00C01FCD">
        <w:rPr>
          <w:rFonts w:ascii="Arial" w:hAnsi="Arial" w:cs="Arial"/>
        </w:rPr>
        <w:t xml:space="preserve">The ESG (Environmental, Social, Governance) framework is now one of the most widely applied systems for assessing corporate sustainability. Academic literature </w:t>
      </w:r>
      <w:proofErr w:type="spellStart"/>
      <w:r w:rsidRPr="00C01FCD">
        <w:rPr>
          <w:rFonts w:ascii="Arial" w:hAnsi="Arial" w:cs="Arial"/>
        </w:rPr>
        <w:t>emphasises</w:t>
      </w:r>
      <w:proofErr w:type="spellEnd"/>
      <w:r w:rsidRPr="00C01FCD">
        <w:rPr>
          <w:rFonts w:ascii="Arial" w:hAnsi="Arial" w:cs="Arial"/>
        </w:rPr>
        <w:t xml:space="preserve"> that ESG is particularly relevant to extractive industries due to their high environmental footprint and extensive social impacts (Jenkins &amp; Yakovleva, 2006).</w:t>
      </w:r>
    </w:p>
    <w:p w14:paraId="34356621" w14:textId="77777777" w:rsidR="00666B7D" w:rsidRDefault="00666B7D" w:rsidP="00C01FCD">
      <w:pPr>
        <w:spacing w:after="0" w:line="360" w:lineRule="auto"/>
        <w:ind w:firstLine="720"/>
        <w:jc w:val="both"/>
        <w:rPr>
          <w:rFonts w:ascii="Arial" w:hAnsi="Arial" w:cs="Arial"/>
        </w:rPr>
      </w:pPr>
    </w:p>
    <w:p w14:paraId="14D2C289" w14:textId="77777777" w:rsidR="00666B7D" w:rsidRPr="00C01FCD" w:rsidRDefault="00666B7D" w:rsidP="00C01FCD">
      <w:pPr>
        <w:spacing w:after="0" w:line="360" w:lineRule="auto"/>
        <w:ind w:firstLine="720"/>
        <w:jc w:val="both"/>
        <w:rPr>
          <w:rFonts w:ascii="Arial" w:hAnsi="Arial" w:cs="Arial"/>
        </w:rPr>
      </w:pPr>
    </w:p>
    <w:p w14:paraId="7EB181A5"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lastRenderedPageBreak/>
        <w:t>Environmental (E)</w:t>
      </w:r>
    </w:p>
    <w:p w14:paraId="7AC78A2E"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Studies emphasize the importance of water management, emissions reduction, biodiversity protection and efficient resource use (</w:t>
      </w:r>
      <w:proofErr w:type="spellStart"/>
      <w:r w:rsidRPr="00C01FCD">
        <w:rPr>
          <w:rFonts w:ascii="Arial" w:hAnsi="Arial" w:cs="Arial"/>
        </w:rPr>
        <w:t>Lottermoser</w:t>
      </w:r>
      <w:proofErr w:type="spellEnd"/>
      <w:r w:rsidRPr="00C01FCD">
        <w:rPr>
          <w:rFonts w:ascii="Arial" w:hAnsi="Arial" w:cs="Arial"/>
        </w:rPr>
        <w:t>, 2010).</w:t>
      </w:r>
    </w:p>
    <w:p w14:paraId="540CEEA3"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Social (S)</w:t>
      </w:r>
    </w:p>
    <w:p w14:paraId="0F2BBAA9"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Scholars highlight that mining companies must maintain strong community relations, ensure workforce safety and contribute to local development (Kemp, 2010).</w:t>
      </w:r>
    </w:p>
    <w:p w14:paraId="1BA497E6"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Governance (G)</w:t>
      </w:r>
    </w:p>
    <w:p w14:paraId="1464165E"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Academic research links governance quality to transparency, ethical </w:t>
      </w:r>
      <w:proofErr w:type="spellStart"/>
      <w:r w:rsidRPr="00C01FCD">
        <w:rPr>
          <w:rFonts w:ascii="Arial" w:hAnsi="Arial" w:cs="Arial"/>
        </w:rPr>
        <w:t>behaviour</w:t>
      </w:r>
      <w:proofErr w:type="spellEnd"/>
      <w:r w:rsidRPr="00C01FCD">
        <w:rPr>
          <w:rFonts w:ascii="Arial" w:hAnsi="Arial" w:cs="Arial"/>
        </w:rPr>
        <w:t xml:space="preserve"> and risk management (Aguilera et al., 2007).</w:t>
      </w:r>
    </w:p>
    <w:p w14:paraId="5EBAD662" w14:textId="77777777" w:rsidR="00E20666" w:rsidRDefault="00E20666" w:rsidP="00C01FCD">
      <w:pPr>
        <w:spacing w:after="0" w:line="360" w:lineRule="auto"/>
        <w:ind w:firstLine="720"/>
        <w:jc w:val="both"/>
        <w:rPr>
          <w:rFonts w:ascii="Arial" w:hAnsi="Arial" w:cs="Arial"/>
        </w:rPr>
      </w:pPr>
      <w:r w:rsidRPr="00C01FCD">
        <w:rPr>
          <w:rFonts w:ascii="Arial" w:hAnsi="Arial" w:cs="Arial"/>
        </w:rPr>
        <w:t xml:space="preserve">Industry bodies such as the </w:t>
      </w:r>
      <w:r w:rsidRPr="00C01FCD">
        <w:rPr>
          <w:rFonts w:ascii="Arial" w:hAnsi="Arial" w:cs="Arial"/>
          <w:b/>
          <w:bCs/>
        </w:rPr>
        <w:t>International Council on Mining and Metals (ICMM)</w:t>
      </w:r>
      <w:r w:rsidRPr="00C01FCD">
        <w:rPr>
          <w:rFonts w:ascii="Arial" w:hAnsi="Arial" w:cs="Arial"/>
        </w:rPr>
        <w:t xml:space="preserve"> and the </w:t>
      </w:r>
      <w:r w:rsidRPr="00C01FCD">
        <w:rPr>
          <w:rFonts w:ascii="Arial" w:hAnsi="Arial" w:cs="Arial"/>
          <w:b/>
          <w:bCs/>
        </w:rPr>
        <w:t>OECD</w:t>
      </w:r>
      <w:r w:rsidRPr="00C01FCD">
        <w:rPr>
          <w:rFonts w:ascii="Arial" w:hAnsi="Arial" w:cs="Arial"/>
        </w:rPr>
        <w:t xml:space="preserve"> have also published extensive sustainability guidelines, reinforcing academic perspectives.</w:t>
      </w:r>
    </w:p>
    <w:p w14:paraId="01F8F647" w14:textId="77777777" w:rsidR="00856308" w:rsidRPr="00C01FCD" w:rsidRDefault="00856308" w:rsidP="00C01FCD">
      <w:pPr>
        <w:spacing w:after="0" w:line="360" w:lineRule="auto"/>
        <w:ind w:firstLine="720"/>
        <w:jc w:val="both"/>
        <w:rPr>
          <w:rFonts w:ascii="Arial" w:hAnsi="Arial" w:cs="Arial"/>
          <w:lang w:val="bg-BG"/>
        </w:rPr>
      </w:pPr>
    </w:p>
    <w:p w14:paraId="40BF5D52"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3" w:name="_Toc214615810"/>
      <w:r w:rsidRPr="00856308">
        <w:rPr>
          <w:rFonts w:ascii="Arial" w:hAnsi="Arial" w:cs="Arial"/>
          <w:b/>
          <w:bCs/>
          <w:color w:val="auto"/>
          <w:sz w:val="24"/>
          <w:szCs w:val="24"/>
        </w:rPr>
        <w:t>2.4 Regulatory Developments: CSRD and ESRS</w:t>
      </w:r>
      <w:bookmarkEnd w:id="13"/>
    </w:p>
    <w:p w14:paraId="086BE5F7"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The introduction of the </w:t>
      </w:r>
      <w:r w:rsidRPr="00C01FCD">
        <w:rPr>
          <w:rFonts w:ascii="Arial" w:hAnsi="Arial" w:cs="Arial"/>
          <w:b/>
          <w:bCs/>
        </w:rPr>
        <w:t>Corporate Sustainability Reporting Directive (CSRD)</w:t>
      </w:r>
      <w:r w:rsidRPr="00C01FCD">
        <w:rPr>
          <w:rFonts w:ascii="Arial" w:hAnsi="Arial" w:cs="Arial"/>
        </w:rPr>
        <w:t xml:space="preserve"> represents a significant shift in the European sustainability landscape. CSRD expands the scope of sustainability reporting, requiring companies to disclose detailed information on environmental, social and governance impacts based on the </w:t>
      </w:r>
      <w:r w:rsidRPr="00C01FCD">
        <w:rPr>
          <w:rFonts w:ascii="Arial" w:hAnsi="Arial" w:cs="Arial"/>
          <w:b/>
          <w:bCs/>
        </w:rPr>
        <w:t>European Sustainability Reporting Standards (ESRS)</w:t>
      </w:r>
      <w:r w:rsidRPr="00C01FCD">
        <w:rPr>
          <w:rFonts w:ascii="Arial" w:hAnsi="Arial" w:cs="Arial"/>
        </w:rPr>
        <w:t>.</w:t>
      </w:r>
    </w:p>
    <w:p w14:paraId="2E61D9AC"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Academic literature notes several implications of CSRD (Kamp-</w:t>
      </w:r>
      <w:proofErr w:type="spellStart"/>
      <w:r w:rsidRPr="00C01FCD">
        <w:rPr>
          <w:rFonts w:ascii="Arial" w:hAnsi="Arial" w:cs="Arial"/>
        </w:rPr>
        <w:t>Roelands</w:t>
      </w:r>
      <w:proofErr w:type="spellEnd"/>
      <w:r w:rsidRPr="00C01FCD">
        <w:rPr>
          <w:rFonts w:ascii="Arial" w:hAnsi="Arial" w:cs="Arial"/>
        </w:rPr>
        <w:t xml:space="preserve"> et al., 2023):</w:t>
      </w:r>
    </w:p>
    <w:p w14:paraId="7AE86403" w14:textId="77777777" w:rsidR="00E20666" w:rsidRPr="00C01FCD" w:rsidRDefault="00E20666" w:rsidP="00C01FCD">
      <w:pPr>
        <w:numPr>
          <w:ilvl w:val="0"/>
          <w:numId w:val="81"/>
        </w:numPr>
        <w:spacing w:after="0" w:line="360" w:lineRule="auto"/>
        <w:ind w:left="0" w:firstLine="720"/>
        <w:jc w:val="both"/>
        <w:rPr>
          <w:rFonts w:ascii="Arial" w:hAnsi="Arial" w:cs="Arial"/>
        </w:rPr>
      </w:pPr>
      <w:r w:rsidRPr="00C01FCD">
        <w:rPr>
          <w:rFonts w:ascii="Arial" w:hAnsi="Arial" w:cs="Arial"/>
        </w:rPr>
        <w:t>increased reporting depth</w:t>
      </w:r>
    </w:p>
    <w:p w14:paraId="4051C0B3" w14:textId="77777777" w:rsidR="00E20666" w:rsidRPr="00C01FCD" w:rsidRDefault="00E20666" w:rsidP="00C01FCD">
      <w:pPr>
        <w:numPr>
          <w:ilvl w:val="0"/>
          <w:numId w:val="81"/>
        </w:numPr>
        <w:spacing w:after="0" w:line="360" w:lineRule="auto"/>
        <w:ind w:left="0" w:firstLine="720"/>
        <w:jc w:val="both"/>
        <w:rPr>
          <w:rFonts w:ascii="Arial" w:hAnsi="Arial" w:cs="Arial"/>
        </w:rPr>
      </w:pPr>
      <w:r w:rsidRPr="00C01FCD">
        <w:rPr>
          <w:rFonts w:ascii="Arial" w:hAnsi="Arial" w:cs="Arial"/>
        </w:rPr>
        <w:t>mandatory double materiality</w:t>
      </w:r>
    </w:p>
    <w:p w14:paraId="1B5A6560" w14:textId="77777777" w:rsidR="00E20666" w:rsidRPr="00C01FCD" w:rsidRDefault="00E20666" w:rsidP="00C01FCD">
      <w:pPr>
        <w:numPr>
          <w:ilvl w:val="0"/>
          <w:numId w:val="81"/>
        </w:numPr>
        <w:spacing w:after="0" w:line="360" w:lineRule="auto"/>
        <w:ind w:left="0" w:firstLine="720"/>
        <w:jc w:val="both"/>
        <w:rPr>
          <w:rFonts w:ascii="Arial" w:hAnsi="Arial" w:cs="Arial"/>
        </w:rPr>
      </w:pPr>
      <w:r w:rsidRPr="00C01FCD">
        <w:rPr>
          <w:rFonts w:ascii="Arial" w:hAnsi="Arial" w:cs="Arial"/>
        </w:rPr>
        <w:t>stronger governance structures</w:t>
      </w:r>
    </w:p>
    <w:p w14:paraId="75EFDF40" w14:textId="77777777" w:rsidR="00E20666" w:rsidRPr="00C01FCD" w:rsidRDefault="00E20666" w:rsidP="00C01FCD">
      <w:pPr>
        <w:numPr>
          <w:ilvl w:val="0"/>
          <w:numId w:val="81"/>
        </w:numPr>
        <w:spacing w:after="0" w:line="360" w:lineRule="auto"/>
        <w:ind w:left="0" w:firstLine="720"/>
        <w:jc w:val="both"/>
        <w:rPr>
          <w:rFonts w:ascii="Arial" w:hAnsi="Arial" w:cs="Arial"/>
        </w:rPr>
      </w:pPr>
      <w:r w:rsidRPr="00C01FCD">
        <w:rPr>
          <w:rFonts w:ascii="Arial" w:hAnsi="Arial" w:cs="Arial"/>
        </w:rPr>
        <w:t>climate-transition planning requirements</w:t>
      </w:r>
    </w:p>
    <w:p w14:paraId="0E54901E" w14:textId="77777777" w:rsidR="00E20666" w:rsidRPr="00C01FCD" w:rsidRDefault="00E20666" w:rsidP="00C01FCD">
      <w:pPr>
        <w:numPr>
          <w:ilvl w:val="0"/>
          <w:numId w:val="81"/>
        </w:numPr>
        <w:spacing w:after="0" w:line="360" w:lineRule="auto"/>
        <w:ind w:left="0" w:firstLine="720"/>
        <w:jc w:val="both"/>
        <w:rPr>
          <w:rFonts w:ascii="Arial" w:hAnsi="Arial" w:cs="Arial"/>
        </w:rPr>
      </w:pPr>
      <w:r w:rsidRPr="00C01FCD">
        <w:rPr>
          <w:rFonts w:ascii="Arial" w:hAnsi="Arial" w:cs="Arial"/>
        </w:rPr>
        <w:t>digital tagging of sustainability data</w:t>
      </w:r>
    </w:p>
    <w:p w14:paraId="5D2977BC"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Double Materiality</w:t>
      </w:r>
    </w:p>
    <w:p w14:paraId="1AE340EA"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This concept—central to ESRS—requires companies to assess both:</w:t>
      </w:r>
    </w:p>
    <w:p w14:paraId="1B3E0DC7" w14:textId="77777777" w:rsidR="00E20666" w:rsidRPr="00C01FCD" w:rsidRDefault="00E20666" w:rsidP="00C01FCD">
      <w:pPr>
        <w:numPr>
          <w:ilvl w:val="0"/>
          <w:numId w:val="82"/>
        </w:numPr>
        <w:spacing w:after="0" w:line="360" w:lineRule="auto"/>
        <w:ind w:left="0" w:firstLine="720"/>
        <w:jc w:val="both"/>
        <w:rPr>
          <w:rFonts w:ascii="Arial" w:hAnsi="Arial" w:cs="Arial"/>
        </w:rPr>
      </w:pPr>
      <w:r w:rsidRPr="00C01FCD">
        <w:rPr>
          <w:rFonts w:ascii="Arial" w:hAnsi="Arial" w:cs="Arial"/>
          <w:b/>
          <w:bCs/>
        </w:rPr>
        <w:t>impact materiality</w:t>
      </w:r>
      <w:r w:rsidRPr="00C01FCD">
        <w:rPr>
          <w:rFonts w:ascii="Arial" w:hAnsi="Arial" w:cs="Arial"/>
        </w:rPr>
        <w:t xml:space="preserve"> (impacts on people/environment)</w:t>
      </w:r>
    </w:p>
    <w:p w14:paraId="36A34AAF" w14:textId="77777777" w:rsidR="00E20666" w:rsidRPr="00C01FCD" w:rsidRDefault="00E20666" w:rsidP="00C01FCD">
      <w:pPr>
        <w:numPr>
          <w:ilvl w:val="0"/>
          <w:numId w:val="82"/>
        </w:numPr>
        <w:spacing w:after="0" w:line="360" w:lineRule="auto"/>
        <w:ind w:left="0" w:firstLine="720"/>
        <w:jc w:val="both"/>
        <w:rPr>
          <w:rFonts w:ascii="Arial" w:hAnsi="Arial" w:cs="Arial"/>
        </w:rPr>
      </w:pPr>
      <w:r w:rsidRPr="00C01FCD">
        <w:rPr>
          <w:rFonts w:ascii="Arial" w:hAnsi="Arial" w:cs="Arial"/>
          <w:b/>
          <w:bCs/>
        </w:rPr>
        <w:t>financial materiality</w:t>
      </w:r>
      <w:r w:rsidRPr="00C01FCD">
        <w:rPr>
          <w:rFonts w:ascii="Arial" w:hAnsi="Arial" w:cs="Arial"/>
        </w:rPr>
        <w:t xml:space="preserve"> (impact on the company)</w:t>
      </w:r>
    </w:p>
    <w:p w14:paraId="3174E8AD"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Scholars </w:t>
      </w:r>
      <w:proofErr w:type="spellStart"/>
      <w:r w:rsidRPr="00C01FCD">
        <w:rPr>
          <w:rFonts w:ascii="Arial" w:hAnsi="Arial" w:cs="Arial"/>
        </w:rPr>
        <w:t>emphasise</w:t>
      </w:r>
      <w:proofErr w:type="spellEnd"/>
      <w:r w:rsidRPr="00C01FCD">
        <w:rPr>
          <w:rFonts w:ascii="Arial" w:hAnsi="Arial" w:cs="Arial"/>
        </w:rPr>
        <w:t xml:space="preserve"> that double materiality leads to a more holistic assessment of sustainability issues (La Torre et al., 2020).</w:t>
      </w:r>
    </w:p>
    <w:p w14:paraId="6D0F0B2A"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Sector Relevance</w:t>
      </w:r>
    </w:p>
    <w:p w14:paraId="752C2DAF"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Extractive industries are particularly affected by CSRD/ESRS due to:</w:t>
      </w:r>
    </w:p>
    <w:p w14:paraId="3AE19447" w14:textId="77777777" w:rsidR="00E20666" w:rsidRPr="00C01FCD" w:rsidRDefault="00E20666" w:rsidP="00C01FCD">
      <w:pPr>
        <w:numPr>
          <w:ilvl w:val="0"/>
          <w:numId w:val="83"/>
        </w:numPr>
        <w:spacing w:after="0" w:line="360" w:lineRule="auto"/>
        <w:ind w:left="0" w:firstLine="720"/>
        <w:jc w:val="both"/>
        <w:rPr>
          <w:rFonts w:ascii="Arial" w:hAnsi="Arial" w:cs="Arial"/>
        </w:rPr>
      </w:pPr>
      <w:r w:rsidRPr="00C01FCD">
        <w:rPr>
          <w:rFonts w:ascii="Arial" w:hAnsi="Arial" w:cs="Arial"/>
        </w:rPr>
        <w:t>high environmental impacts</w:t>
      </w:r>
    </w:p>
    <w:p w14:paraId="7B022B73" w14:textId="77777777" w:rsidR="00E20666" w:rsidRPr="00C01FCD" w:rsidRDefault="00E20666" w:rsidP="00C01FCD">
      <w:pPr>
        <w:numPr>
          <w:ilvl w:val="0"/>
          <w:numId w:val="83"/>
        </w:numPr>
        <w:spacing w:after="0" w:line="360" w:lineRule="auto"/>
        <w:ind w:left="0" w:firstLine="720"/>
        <w:jc w:val="both"/>
        <w:rPr>
          <w:rFonts w:ascii="Arial" w:hAnsi="Arial" w:cs="Arial"/>
        </w:rPr>
      </w:pPr>
      <w:r w:rsidRPr="00C01FCD">
        <w:rPr>
          <w:rFonts w:ascii="Arial" w:hAnsi="Arial" w:cs="Arial"/>
        </w:rPr>
        <w:t>elevated climate-related risks</w:t>
      </w:r>
    </w:p>
    <w:p w14:paraId="1D49DBCE" w14:textId="77777777" w:rsidR="00E20666" w:rsidRPr="00C01FCD" w:rsidRDefault="00E20666" w:rsidP="00C01FCD">
      <w:pPr>
        <w:numPr>
          <w:ilvl w:val="0"/>
          <w:numId w:val="83"/>
        </w:numPr>
        <w:spacing w:after="0" w:line="360" w:lineRule="auto"/>
        <w:ind w:left="0" w:firstLine="720"/>
        <w:jc w:val="both"/>
        <w:rPr>
          <w:rFonts w:ascii="Arial" w:hAnsi="Arial" w:cs="Arial"/>
        </w:rPr>
      </w:pPr>
      <w:r w:rsidRPr="00C01FCD">
        <w:rPr>
          <w:rFonts w:ascii="Arial" w:hAnsi="Arial" w:cs="Arial"/>
        </w:rPr>
        <w:t>significant community engagement</w:t>
      </w:r>
    </w:p>
    <w:p w14:paraId="35823F95" w14:textId="77777777" w:rsidR="00E20666" w:rsidRPr="00C01FCD" w:rsidRDefault="00E20666" w:rsidP="00C01FCD">
      <w:pPr>
        <w:numPr>
          <w:ilvl w:val="0"/>
          <w:numId w:val="83"/>
        </w:numPr>
        <w:spacing w:after="0" w:line="360" w:lineRule="auto"/>
        <w:ind w:left="0" w:firstLine="720"/>
        <w:jc w:val="both"/>
        <w:rPr>
          <w:rFonts w:ascii="Arial" w:hAnsi="Arial" w:cs="Arial"/>
        </w:rPr>
      </w:pPr>
      <w:r w:rsidRPr="00C01FCD">
        <w:rPr>
          <w:rFonts w:ascii="Arial" w:hAnsi="Arial" w:cs="Arial"/>
        </w:rPr>
        <w:t>need for transparent governance</w:t>
      </w:r>
    </w:p>
    <w:p w14:paraId="60CE177C"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lastRenderedPageBreak/>
        <w:t xml:space="preserve">This makes the CSRD/ESRS framework relevant for </w:t>
      </w:r>
      <w:proofErr w:type="spellStart"/>
      <w:r w:rsidRPr="00C01FCD">
        <w:rPr>
          <w:rFonts w:ascii="Arial" w:hAnsi="Arial" w:cs="Arial"/>
        </w:rPr>
        <w:t>analysing</w:t>
      </w:r>
      <w:proofErr w:type="spellEnd"/>
      <w:r w:rsidRPr="00C01FCD">
        <w:rPr>
          <w:rFonts w:ascii="Arial" w:hAnsi="Arial" w:cs="Arial"/>
        </w:rPr>
        <w:t xml:space="preserve"> Balkan copper mining firms.</w:t>
      </w:r>
    </w:p>
    <w:p w14:paraId="5D67E083"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4" w:name="_Toc214615811"/>
      <w:r w:rsidRPr="00856308">
        <w:rPr>
          <w:rFonts w:ascii="Arial" w:hAnsi="Arial" w:cs="Arial"/>
          <w:b/>
          <w:bCs/>
          <w:color w:val="auto"/>
          <w:sz w:val="24"/>
          <w:szCs w:val="24"/>
        </w:rPr>
        <w:t>2.5 Climate Risk and the TCFD Framework</w:t>
      </w:r>
      <w:bookmarkEnd w:id="14"/>
    </w:p>
    <w:p w14:paraId="751CF414"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The </w:t>
      </w:r>
      <w:r w:rsidRPr="00C01FCD">
        <w:rPr>
          <w:rFonts w:ascii="Arial" w:hAnsi="Arial" w:cs="Arial"/>
          <w:b/>
          <w:bCs/>
        </w:rPr>
        <w:t>Task Force on Climate-related Financial Disclosures (TCFD)</w:t>
      </w:r>
      <w:r w:rsidRPr="00C01FCD">
        <w:rPr>
          <w:rFonts w:ascii="Arial" w:hAnsi="Arial" w:cs="Arial"/>
        </w:rPr>
        <w:t xml:space="preserve"> provides widely used guidance for identifying and reporting climate-related risks. Academic literature </w:t>
      </w:r>
      <w:proofErr w:type="spellStart"/>
      <w:r w:rsidRPr="00C01FCD">
        <w:rPr>
          <w:rFonts w:ascii="Arial" w:hAnsi="Arial" w:cs="Arial"/>
        </w:rPr>
        <w:t>recognises</w:t>
      </w:r>
      <w:proofErr w:type="spellEnd"/>
      <w:r w:rsidRPr="00C01FCD">
        <w:rPr>
          <w:rFonts w:ascii="Arial" w:hAnsi="Arial" w:cs="Arial"/>
        </w:rPr>
        <w:t xml:space="preserve"> TCFD as the global benchmark for climate risk disclosure (Dietz et al., 2021; Krueger et al., 2020).</w:t>
      </w:r>
    </w:p>
    <w:p w14:paraId="72CC9215"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TCFD distinguishes between:</w:t>
      </w:r>
    </w:p>
    <w:p w14:paraId="2D0D2258" w14:textId="77777777" w:rsidR="00E20666" w:rsidRPr="00C01FCD" w:rsidRDefault="00E20666" w:rsidP="00C01FCD">
      <w:pPr>
        <w:numPr>
          <w:ilvl w:val="0"/>
          <w:numId w:val="84"/>
        </w:numPr>
        <w:spacing w:after="0" w:line="360" w:lineRule="auto"/>
        <w:ind w:left="0" w:firstLine="720"/>
        <w:jc w:val="both"/>
        <w:rPr>
          <w:rFonts w:ascii="Arial" w:hAnsi="Arial" w:cs="Arial"/>
        </w:rPr>
      </w:pPr>
      <w:r w:rsidRPr="00C01FCD">
        <w:rPr>
          <w:rFonts w:ascii="Arial" w:hAnsi="Arial" w:cs="Arial"/>
          <w:b/>
          <w:bCs/>
        </w:rPr>
        <w:t>Physical risks</w:t>
      </w:r>
      <w:r w:rsidRPr="00C01FCD">
        <w:rPr>
          <w:rFonts w:ascii="Arial" w:hAnsi="Arial" w:cs="Arial"/>
        </w:rPr>
        <w:t xml:space="preserve"> (e.g., extreme weather, water scarcity, temperature changes)</w:t>
      </w:r>
    </w:p>
    <w:p w14:paraId="6BEB6767" w14:textId="77777777" w:rsidR="00E20666" w:rsidRPr="00C01FCD" w:rsidRDefault="00E20666" w:rsidP="00C01FCD">
      <w:pPr>
        <w:numPr>
          <w:ilvl w:val="0"/>
          <w:numId w:val="84"/>
        </w:numPr>
        <w:spacing w:after="0" w:line="360" w:lineRule="auto"/>
        <w:ind w:left="0" w:firstLine="720"/>
        <w:jc w:val="both"/>
        <w:rPr>
          <w:rFonts w:ascii="Arial" w:hAnsi="Arial" w:cs="Arial"/>
        </w:rPr>
      </w:pPr>
      <w:r w:rsidRPr="00C01FCD">
        <w:rPr>
          <w:rFonts w:ascii="Arial" w:hAnsi="Arial" w:cs="Arial"/>
          <w:b/>
          <w:bCs/>
        </w:rPr>
        <w:t>Transition risks</w:t>
      </w:r>
      <w:r w:rsidRPr="00C01FCD">
        <w:rPr>
          <w:rFonts w:ascii="Arial" w:hAnsi="Arial" w:cs="Arial"/>
        </w:rPr>
        <w:t xml:space="preserve"> (e.g., regulatory changes, carbon pricing, technology shifts)</w:t>
      </w:r>
    </w:p>
    <w:p w14:paraId="40EAC7AA"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Scholars argue that mining companies must integrate TCFD into strategic planning because climate risks directly affect operational stability, safety and long-term competitiveness (Azadi et al., 2020).</w:t>
      </w:r>
    </w:p>
    <w:p w14:paraId="09FA984E" w14:textId="77777777" w:rsidR="00E20666" w:rsidRDefault="00E20666" w:rsidP="00C01FCD">
      <w:pPr>
        <w:spacing w:after="0" w:line="360" w:lineRule="auto"/>
        <w:ind w:firstLine="720"/>
        <w:jc w:val="both"/>
        <w:rPr>
          <w:rFonts w:ascii="Arial" w:hAnsi="Arial" w:cs="Arial"/>
        </w:rPr>
      </w:pPr>
      <w:r w:rsidRPr="00C01FCD">
        <w:rPr>
          <w:rFonts w:ascii="Arial" w:hAnsi="Arial" w:cs="Arial"/>
        </w:rPr>
        <w:t>TCFD has also been used as a methodological foundation in climate risk research, supporting the validity of my chosen analytical framework.</w:t>
      </w:r>
    </w:p>
    <w:p w14:paraId="4C53D818" w14:textId="77777777" w:rsidR="00856308" w:rsidRPr="00C01FCD" w:rsidRDefault="00856308" w:rsidP="00C01FCD">
      <w:pPr>
        <w:spacing w:after="0" w:line="360" w:lineRule="auto"/>
        <w:ind w:firstLine="720"/>
        <w:jc w:val="both"/>
        <w:rPr>
          <w:rFonts w:ascii="Arial" w:hAnsi="Arial" w:cs="Arial"/>
          <w:lang w:val="bg-BG"/>
        </w:rPr>
      </w:pPr>
    </w:p>
    <w:p w14:paraId="6DB1B01D"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5" w:name="_Toc214615812"/>
      <w:r w:rsidRPr="00856308">
        <w:rPr>
          <w:rFonts w:ascii="Arial" w:hAnsi="Arial" w:cs="Arial"/>
          <w:b/>
          <w:bCs/>
          <w:color w:val="auto"/>
          <w:sz w:val="24"/>
          <w:szCs w:val="24"/>
        </w:rPr>
        <w:t>2.6 Sustainability Challenges in the Copper Mining Sector</w:t>
      </w:r>
      <w:bookmarkEnd w:id="15"/>
    </w:p>
    <w:p w14:paraId="54BE493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Copper mining presents several sustainability challenges frequently discussed in academic literature.</w:t>
      </w:r>
    </w:p>
    <w:p w14:paraId="230A8BA2" w14:textId="77777777" w:rsidR="00E20666" w:rsidRPr="00856308" w:rsidRDefault="00E20666" w:rsidP="00856308">
      <w:pPr>
        <w:pStyle w:val="Heading3"/>
        <w:spacing w:before="0" w:line="360" w:lineRule="auto"/>
        <w:ind w:firstLine="720"/>
        <w:rPr>
          <w:rFonts w:ascii="Arial" w:eastAsia="Times New Roman" w:hAnsi="Arial" w:cs="Arial"/>
          <w:b/>
          <w:bCs/>
          <w:color w:val="auto"/>
        </w:rPr>
      </w:pPr>
      <w:bookmarkStart w:id="16" w:name="_Toc214615813"/>
      <w:r w:rsidRPr="00856308">
        <w:rPr>
          <w:rFonts w:ascii="Arial" w:eastAsia="Times New Roman" w:hAnsi="Arial" w:cs="Arial"/>
          <w:b/>
          <w:bCs/>
          <w:color w:val="auto"/>
        </w:rPr>
        <w:t>2.6.1 Environmental Challenges</w:t>
      </w:r>
      <w:bookmarkEnd w:id="16"/>
    </w:p>
    <w:p w14:paraId="669B8D7B" w14:textId="77777777" w:rsidR="00E20666" w:rsidRPr="00856308" w:rsidRDefault="00E20666" w:rsidP="00C01FCD">
      <w:pPr>
        <w:numPr>
          <w:ilvl w:val="0"/>
          <w:numId w:val="85"/>
        </w:numPr>
        <w:spacing w:after="0" w:line="360" w:lineRule="auto"/>
        <w:ind w:left="0" w:firstLine="720"/>
        <w:jc w:val="both"/>
        <w:rPr>
          <w:rFonts w:ascii="Arial" w:hAnsi="Arial" w:cs="Arial"/>
        </w:rPr>
      </w:pPr>
      <w:r w:rsidRPr="00856308">
        <w:rPr>
          <w:rFonts w:ascii="Arial" w:hAnsi="Arial" w:cs="Arial"/>
        </w:rPr>
        <w:t>high water and energy consumption</w:t>
      </w:r>
    </w:p>
    <w:p w14:paraId="788F9A65" w14:textId="77777777" w:rsidR="00E20666" w:rsidRPr="00856308" w:rsidRDefault="00E20666" w:rsidP="00C01FCD">
      <w:pPr>
        <w:numPr>
          <w:ilvl w:val="0"/>
          <w:numId w:val="85"/>
        </w:numPr>
        <w:spacing w:after="0" w:line="360" w:lineRule="auto"/>
        <w:ind w:left="0" w:firstLine="720"/>
        <w:jc w:val="both"/>
        <w:rPr>
          <w:rFonts w:ascii="Arial" w:hAnsi="Arial" w:cs="Arial"/>
        </w:rPr>
      </w:pPr>
      <w:r w:rsidRPr="00856308">
        <w:rPr>
          <w:rFonts w:ascii="Arial" w:hAnsi="Arial" w:cs="Arial"/>
        </w:rPr>
        <w:t>greenhouse gas emissions</w:t>
      </w:r>
    </w:p>
    <w:p w14:paraId="3823186B" w14:textId="77777777" w:rsidR="00E20666" w:rsidRPr="00856308" w:rsidRDefault="00E20666" w:rsidP="00C01FCD">
      <w:pPr>
        <w:numPr>
          <w:ilvl w:val="0"/>
          <w:numId w:val="85"/>
        </w:numPr>
        <w:spacing w:after="0" w:line="360" w:lineRule="auto"/>
        <w:ind w:left="0" w:firstLine="720"/>
        <w:jc w:val="both"/>
        <w:rPr>
          <w:rFonts w:ascii="Arial" w:hAnsi="Arial" w:cs="Arial"/>
        </w:rPr>
      </w:pPr>
      <w:r w:rsidRPr="00856308">
        <w:rPr>
          <w:rFonts w:ascii="Arial" w:hAnsi="Arial" w:cs="Arial"/>
        </w:rPr>
        <w:t>tailings management</w:t>
      </w:r>
    </w:p>
    <w:p w14:paraId="356C80F0" w14:textId="77777777" w:rsidR="00E20666" w:rsidRPr="00856308" w:rsidRDefault="00E20666" w:rsidP="00C01FCD">
      <w:pPr>
        <w:numPr>
          <w:ilvl w:val="0"/>
          <w:numId w:val="85"/>
        </w:numPr>
        <w:spacing w:after="0" w:line="360" w:lineRule="auto"/>
        <w:ind w:left="0" w:firstLine="720"/>
        <w:jc w:val="both"/>
        <w:rPr>
          <w:rFonts w:ascii="Arial" w:hAnsi="Arial" w:cs="Arial"/>
        </w:rPr>
      </w:pPr>
      <w:r w:rsidRPr="00856308">
        <w:rPr>
          <w:rFonts w:ascii="Arial" w:hAnsi="Arial" w:cs="Arial"/>
        </w:rPr>
        <w:t>land disturbance and biodiversity loss</w:t>
      </w:r>
    </w:p>
    <w:p w14:paraId="1E9B3648"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Researchers stress that modern mining must adopt technological innovation—membrane filtration, digital monitoring and AI </w:t>
      </w:r>
      <w:proofErr w:type="spellStart"/>
      <w:r w:rsidRPr="00856308">
        <w:rPr>
          <w:rFonts w:ascii="Arial" w:hAnsi="Arial" w:cs="Arial"/>
        </w:rPr>
        <w:t>optimisation</w:t>
      </w:r>
      <w:proofErr w:type="spellEnd"/>
      <w:r w:rsidRPr="00856308">
        <w:rPr>
          <w:rFonts w:ascii="Arial" w:hAnsi="Arial" w:cs="Arial"/>
        </w:rPr>
        <w:t>—to reduce its impact (Northey et al., 2014).</w:t>
      </w:r>
    </w:p>
    <w:p w14:paraId="437E1962" w14:textId="77777777" w:rsidR="00E20666" w:rsidRPr="00856308" w:rsidRDefault="00E20666" w:rsidP="00856308">
      <w:pPr>
        <w:pStyle w:val="Heading3"/>
        <w:spacing w:before="0" w:line="360" w:lineRule="auto"/>
        <w:ind w:firstLine="720"/>
        <w:rPr>
          <w:rFonts w:ascii="Arial" w:eastAsia="Times New Roman" w:hAnsi="Arial" w:cs="Arial"/>
          <w:b/>
          <w:bCs/>
          <w:color w:val="auto"/>
        </w:rPr>
      </w:pPr>
      <w:bookmarkStart w:id="17" w:name="_Toc214615814"/>
      <w:r w:rsidRPr="00856308">
        <w:rPr>
          <w:rFonts w:ascii="Arial" w:eastAsia="Times New Roman" w:hAnsi="Arial" w:cs="Arial"/>
          <w:b/>
          <w:bCs/>
          <w:color w:val="auto"/>
        </w:rPr>
        <w:t>2.6.2 Social and Community Challenges</w:t>
      </w:r>
      <w:bookmarkEnd w:id="17"/>
    </w:p>
    <w:p w14:paraId="57A0AB67"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 xml:space="preserve">Mining often occurs in areas with sensitive social dynamics. </w:t>
      </w:r>
      <w:proofErr w:type="spellStart"/>
      <w:r w:rsidRPr="00856308">
        <w:rPr>
          <w:rFonts w:ascii="Arial" w:hAnsi="Arial" w:cs="Arial"/>
        </w:rPr>
        <w:t>Akademic</w:t>
      </w:r>
      <w:proofErr w:type="spellEnd"/>
      <w:r w:rsidRPr="00856308">
        <w:rPr>
          <w:rFonts w:ascii="Arial" w:hAnsi="Arial" w:cs="Arial"/>
        </w:rPr>
        <w:t xml:space="preserve"> studies highlight:</w:t>
      </w:r>
    </w:p>
    <w:p w14:paraId="49DC7059" w14:textId="77777777" w:rsidR="00E20666" w:rsidRPr="00856308" w:rsidRDefault="00E20666" w:rsidP="00C01FCD">
      <w:pPr>
        <w:numPr>
          <w:ilvl w:val="0"/>
          <w:numId w:val="86"/>
        </w:numPr>
        <w:spacing w:after="0" w:line="360" w:lineRule="auto"/>
        <w:ind w:left="0" w:firstLine="720"/>
        <w:jc w:val="both"/>
        <w:rPr>
          <w:rFonts w:ascii="Arial" w:hAnsi="Arial" w:cs="Arial"/>
        </w:rPr>
      </w:pPr>
      <w:r w:rsidRPr="00856308">
        <w:rPr>
          <w:rFonts w:ascii="Arial" w:hAnsi="Arial" w:cs="Arial"/>
        </w:rPr>
        <w:t>community acceptance</w:t>
      </w:r>
    </w:p>
    <w:p w14:paraId="28CEEFAF" w14:textId="77777777" w:rsidR="00E20666" w:rsidRPr="00856308" w:rsidRDefault="00E20666" w:rsidP="00C01FCD">
      <w:pPr>
        <w:numPr>
          <w:ilvl w:val="0"/>
          <w:numId w:val="86"/>
        </w:numPr>
        <w:spacing w:after="0" w:line="360" w:lineRule="auto"/>
        <w:ind w:left="0" w:firstLine="720"/>
        <w:jc w:val="both"/>
        <w:rPr>
          <w:rFonts w:ascii="Arial" w:hAnsi="Arial" w:cs="Arial"/>
        </w:rPr>
      </w:pPr>
      <w:r w:rsidRPr="00856308">
        <w:rPr>
          <w:rFonts w:ascii="Arial" w:hAnsi="Arial" w:cs="Arial"/>
        </w:rPr>
        <w:t>worker safety</w:t>
      </w:r>
    </w:p>
    <w:p w14:paraId="25CDCEE3" w14:textId="77777777" w:rsidR="00E20666" w:rsidRPr="00856308" w:rsidRDefault="00E20666" w:rsidP="00C01FCD">
      <w:pPr>
        <w:numPr>
          <w:ilvl w:val="0"/>
          <w:numId w:val="86"/>
        </w:numPr>
        <w:spacing w:after="0" w:line="360" w:lineRule="auto"/>
        <w:ind w:left="0" w:firstLine="720"/>
        <w:jc w:val="both"/>
        <w:rPr>
          <w:rFonts w:ascii="Arial" w:hAnsi="Arial" w:cs="Arial"/>
        </w:rPr>
      </w:pPr>
      <w:r w:rsidRPr="00856308">
        <w:rPr>
          <w:rFonts w:ascii="Arial" w:hAnsi="Arial" w:cs="Arial"/>
        </w:rPr>
        <w:t>equitable distribution of benefits</w:t>
      </w:r>
    </w:p>
    <w:p w14:paraId="6386AAC9" w14:textId="77777777" w:rsidR="00E20666" w:rsidRPr="00856308" w:rsidRDefault="00E20666" w:rsidP="00C01FCD">
      <w:pPr>
        <w:numPr>
          <w:ilvl w:val="0"/>
          <w:numId w:val="86"/>
        </w:numPr>
        <w:spacing w:after="0" w:line="360" w:lineRule="auto"/>
        <w:ind w:left="0" w:firstLine="720"/>
        <w:jc w:val="both"/>
        <w:rPr>
          <w:rFonts w:ascii="Arial" w:hAnsi="Arial" w:cs="Arial"/>
        </w:rPr>
      </w:pPr>
      <w:r w:rsidRPr="00856308">
        <w:rPr>
          <w:rFonts w:ascii="Arial" w:hAnsi="Arial" w:cs="Arial"/>
        </w:rPr>
        <w:t xml:space="preserve">social </w:t>
      </w:r>
      <w:proofErr w:type="spellStart"/>
      <w:r w:rsidRPr="00856308">
        <w:rPr>
          <w:rFonts w:ascii="Arial" w:hAnsi="Arial" w:cs="Arial"/>
        </w:rPr>
        <w:t>licence</w:t>
      </w:r>
      <w:proofErr w:type="spellEnd"/>
      <w:r w:rsidRPr="00856308">
        <w:rPr>
          <w:rFonts w:ascii="Arial" w:hAnsi="Arial" w:cs="Arial"/>
        </w:rPr>
        <w:t xml:space="preserve"> to operate (Moffat &amp; Zhang, 2014)</w:t>
      </w:r>
    </w:p>
    <w:p w14:paraId="4052D66F" w14:textId="77777777" w:rsidR="00E20666" w:rsidRPr="00856308" w:rsidRDefault="00E20666" w:rsidP="00856308">
      <w:pPr>
        <w:pStyle w:val="Heading3"/>
        <w:spacing w:before="0" w:line="360" w:lineRule="auto"/>
        <w:ind w:firstLine="720"/>
        <w:rPr>
          <w:rFonts w:ascii="Arial" w:eastAsia="Times New Roman" w:hAnsi="Arial" w:cs="Arial"/>
          <w:b/>
          <w:bCs/>
          <w:color w:val="auto"/>
        </w:rPr>
      </w:pPr>
      <w:bookmarkStart w:id="18" w:name="_Toc214615815"/>
      <w:r w:rsidRPr="00856308">
        <w:rPr>
          <w:rFonts w:ascii="Arial" w:eastAsia="Times New Roman" w:hAnsi="Arial" w:cs="Arial"/>
          <w:b/>
          <w:bCs/>
          <w:color w:val="auto"/>
        </w:rPr>
        <w:t>2.6.3 Governance Challenges</w:t>
      </w:r>
      <w:bookmarkEnd w:id="18"/>
    </w:p>
    <w:p w14:paraId="44F92C00" w14:textId="77777777" w:rsidR="00E20666" w:rsidRPr="00856308" w:rsidRDefault="00E20666" w:rsidP="00C01FCD">
      <w:pPr>
        <w:spacing w:after="0" w:line="360" w:lineRule="auto"/>
        <w:ind w:firstLine="720"/>
        <w:jc w:val="both"/>
        <w:rPr>
          <w:rFonts w:ascii="Arial" w:hAnsi="Arial" w:cs="Arial"/>
        </w:rPr>
      </w:pPr>
      <w:r w:rsidRPr="00856308">
        <w:rPr>
          <w:rFonts w:ascii="Arial" w:hAnsi="Arial" w:cs="Arial"/>
        </w:rPr>
        <w:t>Governance challenges include:</w:t>
      </w:r>
    </w:p>
    <w:p w14:paraId="2619E760" w14:textId="77777777" w:rsidR="00E20666" w:rsidRPr="00C01FCD" w:rsidRDefault="00E20666" w:rsidP="00C01FCD">
      <w:pPr>
        <w:numPr>
          <w:ilvl w:val="0"/>
          <w:numId w:val="87"/>
        </w:numPr>
        <w:spacing w:after="0" w:line="360" w:lineRule="auto"/>
        <w:ind w:left="0" w:firstLine="720"/>
        <w:jc w:val="both"/>
        <w:rPr>
          <w:rFonts w:ascii="Arial" w:hAnsi="Arial" w:cs="Arial"/>
        </w:rPr>
      </w:pPr>
      <w:r w:rsidRPr="00C01FCD">
        <w:rPr>
          <w:rFonts w:ascii="Arial" w:hAnsi="Arial" w:cs="Arial"/>
        </w:rPr>
        <w:t>transparency of reporting</w:t>
      </w:r>
    </w:p>
    <w:p w14:paraId="4ACE0C84" w14:textId="77777777" w:rsidR="00E20666" w:rsidRPr="00C01FCD" w:rsidRDefault="00E20666" w:rsidP="00C01FCD">
      <w:pPr>
        <w:numPr>
          <w:ilvl w:val="0"/>
          <w:numId w:val="87"/>
        </w:numPr>
        <w:spacing w:after="0" w:line="360" w:lineRule="auto"/>
        <w:ind w:left="0" w:firstLine="720"/>
        <w:jc w:val="both"/>
        <w:rPr>
          <w:rFonts w:ascii="Arial" w:hAnsi="Arial" w:cs="Arial"/>
        </w:rPr>
      </w:pPr>
      <w:r w:rsidRPr="00C01FCD">
        <w:rPr>
          <w:rFonts w:ascii="Arial" w:hAnsi="Arial" w:cs="Arial"/>
        </w:rPr>
        <w:t>corruption risks in certain jurisdictions</w:t>
      </w:r>
    </w:p>
    <w:p w14:paraId="5DC2F819" w14:textId="77777777" w:rsidR="00E20666" w:rsidRPr="00C01FCD" w:rsidRDefault="00E20666" w:rsidP="00C01FCD">
      <w:pPr>
        <w:numPr>
          <w:ilvl w:val="0"/>
          <w:numId w:val="87"/>
        </w:numPr>
        <w:spacing w:after="0" w:line="360" w:lineRule="auto"/>
        <w:ind w:left="0" w:firstLine="720"/>
        <w:jc w:val="both"/>
        <w:rPr>
          <w:rFonts w:ascii="Arial" w:hAnsi="Arial" w:cs="Arial"/>
        </w:rPr>
      </w:pPr>
      <w:r w:rsidRPr="00C01FCD">
        <w:rPr>
          <w:rFonts w:ascii="Arial" w:hAnsi="Arial" w:cs="Arial"/>
        </w:rPr>
        <w:t>inadequate stakeholder engagement</w:t>
      </w:r>
    </w:p>
    <w:p w14:paraId="1BB4B040" w14:textId="77777777" w:rsidR="00E20666" w:rsidRDefault="00E20666" w:rsidP="00C01FCD">
      <w:pPr>
        <w:spacing w:after="0" w:line="360" w:lineRule="auto"/>
        <w:ind w:firstLine="720"/>
        <w:jc w:val="both"/>
        <w:rPr>
          <w:rFonts w:ascii="Arial" w:hAnsi="Arial" w:cs="Arial"/>
        </w:rPr>
      </w:pPr>
      <w:r w:rsidRPr="00C01FCD">
        <w:rPr>
          <w:rFonts w:ascii="Arial" w:hAnsi="Arial" w:cs="Arial"/>
        </w:rPr>
        <w:lastRenderedPageBreak/>
        <w:t xml:space="preserve">Scholars consistently </w:t>
      </w:r>
      <w:proofErr w:type="spellStart"/>
      <w:r w:rsidRPr="00C01FCD">
        <w:rPr>
          <w:rFonts w:ascii="Arial" w:hAnsi="Arial" w:cs="Arial"/>
        </w:rPr>
        <w:t>emphasise</w:t>
      </w:r>
      <w:proofErr w:type="spellEnd"/>
      <w:r w:rsidRPr="00C01FCD">
        <w:rPr>
          <w:rFonts w:ascii="Arial" w:hAnsi="Arial" w:cs="Arial"/>
        </w:rPr>
        <w:t xml:space="preserve"> that strong governance is essential for ESG credibility (Young &amp; Makhija, 2014).</w:t>
      </w:r>
    </w:p>
    <w:p w14:paraId="60455FBC" w14:textId="77777777" w:rsidR="00856308" w:rsidRPr="00C01FCD" w:rsidRDefault="00856308" w:rsidP="00C01FCD">
      <w:pPr>
        <w:spacing w:after="0" w:line="360" w:lineRule="auto"/>
        <w:ind w:firstLine="720"/>
        <w:jc w:val="both"/>
        <w:rPr>
          <w:rFonts w:ascii="Arial" w:hAnsi="Arial" w:cs="Arial"/>
          <w:lang w:val="bg-BG"/>
        </w:rPr>
      </w:pPr>
    </w:p>
    <w:p w14:paraId="7DDA4091"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19" w:name="_Toc214615816"/>
      <w:r w:rsidRPr="00856308">
        <w:rPr>
          <w:rFonts w:ascii="Arial" w:hAnsi="Arial" w:cs="Arial"/>
          <w:b/>
          <w:bCs/>
          <w:color w:val="auto"/>
          <w:sz w:val="24"/>
          <w:szCs w:val="24"/>
        </w:rPr>
        <w:t>2.7 The Balkan Context: Regional Studies and Historical Significance</w:t>
      </w:r>
      <w:bookmarkEnd w:id="19"/>
    </w:p>
    <w:p w14:paraId="38EBF92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Few academic studies examine sustainability in Balkan mining specifically, which represents a clear research gap. However, the region’s mining history is well-documented, particularly regarding ancient copper production in Bulgaria (</w:t>
      </w:r>
      <w:proofErr w:type="spellStart"/>
      <w:r w:rsidRPr="00C01FCD">
        <w:rPr>
          <w:rFonts w:ascii="Arial" w:hAnsi="Arial" w:cs="Arial"/>
        </w:rPr>
        <w:t>Radivoev</w:t>
      </w:r>
      <w:proofErr w:type="spellEnd"/>
      <w:r w:rsidRPr="00C01FCD">
        <w:rPr>
          <w:rFonts w:ascii="Arial" w:hAnsi="Arial" w:cs="Arial"/>
        </w:rPr>
        <w:t xml:space="preserve"> et al., 2019).</w:t>
      </w:r>
    </w:p>
    <w:p w14:paraId="4FC23E62"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Regional Specificities</w:t>
      </w:r>
    </w:p>
    <w:p w14:paraId="69E0210C"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The Balkan region is </w:t>
      </w:r>
      <w:proofErr w:type="spellStart"/>
      <w:r w:rsidRPr="00C01FCD">
        <w:rPr>
          <w:rFonts w:ascii="Arial" w:hAnsi="Arial" w:cs="Arial"/>
        </w:rPr>
        <w:t>characterised</w:t>
      </w:r>
      <w:proofErr w:type="spellEnd"/>
      <w:r w:rsidRPr="00C01FCD">
        <w:rPr>
          <w:rFonts w:ascii="Arial" w:hAnsi="Arial" w:cs="Arial"/>
        </w:rPr>
        <w:t xml:space="preserve"> by:</w:t>
      </w:r>
    </w:p>
    <w:p w14:paraId="5660B554" w14:textId="77777777" w:rsidR="00E20666" w:rsidRPr="00C01FCD" w:rsidRDefault="00E20666" w:rsidP="00C01FCD">
      <w:pPr>
        <w:numPr>
          <w:ilvl w:val="0"/>
          <w:numId w:val="88"/>
        </w:numPr>
        <w:spacing w:after="0" w:line="360" w:lineRule="auto"/>
        <w:ind w:left="0" w:firstLine="720"/>
        <w:jc w:val="both"/>
        <w:rPr>
          <w:rFonts w:ascii="Arial" w:hAnsi="Arial" w:cs="Arial"/>
        </w:rPr>
      </w:pPr>
      <w:r w:rsidRPr="00C01FCD">
        <w:rPr>
          <w:rFonts w:ascii="Arial" w:hAnsi="Arial" w:cs="Arial"/>
        </w:rPr>
        <w:t>mixed EU and non-EU regulatory environments</w:t>
      </w:r>
    </w:p>
    <w:p w14:paraId="57194DE7" w14:textId="77777777" w:rsidR="00E20666" w:rsidRPr="00C01FCD" w:rsidRDefault="00E20666" w:rsidP="00C01FCD">
      <w:pPr>
        <w:numPr>
          <w:ilvl w:val="0"/>
          <w:numId w:val="88"/>
        </w:numPr>
        <w:spacing w:after="0" w:line="360" w:lineRule="auto"/>
        <w:ind w:left="0" w:firstLine="720"/>
        <w:jc w:val="both"/>
        <w:rPr>
          <w:rFonts w:ascii="Arial" w:hAnsi="Arial" w:cs="Arial"/>
        </w:rPr>
      </w:pPr>
      <w:r w:rsidRPr="00C01FCD">
        <w:rPr>
          <w:rFonts w:ascii="Arial" w:hAnsi="Arial" w:cs="Arial"/>
        </w:rPr>
        <w:t>varying governance maturity</w:t>
      </w:r>
    </w:p>
    <w:p w14:paraId="00CE7076" w14:textId="77777777" w:rsidR="00E20666" w:rsidRPr="00C01FCD" w:rsidRDefault="00E20666" w:rsidP="00C01FCD">
      <w:pPr>
        <w:numPr>
          <w:ilvl w:val="0"/>
          <w:numId w:val="88"/>
        </w:numPr>
        <w:spacing w:after="0" w:line="360" w:lineRule="auto"/>
        <w:ind w:left="0" w:firstLine="720"/>
        <w:jc w:val="both"/>
        <w:rPr>
          <w:rFonts w:ascii="Arial" w:hAnsi="Arial" w:cs="Arial"/>
        </w:rPr>
      </w:pPr>
      <w:r w:rsidRPr="00C01FCD">
        <w:rPr>
          <w:rFonts w:ascii="Arial" w:hAnsi="Arial" w:cs="Arial"/>
        </w:rPr>
        <w:t>strong historical mining traditions</w:t>
      </w:r>
    </w:p>
    <w:p w14:paraId="0ABD14AB" w14:textId="77777777" w:rsidR="00E20666" w:rsidRPr="00C01FCD" w:rsidRDefault="00E20666" w:rsidP="00C01FCD">
      <w:pPr>
        <w:numPr>
          <w:ilvl w:val="0"/>
          <w:numId w:val="88"/>
        </w:numPr>
        <w:spacing w:after="0" w:line="360" w:lineRule="auto"/>
        <w:ind w:left="0" w:firstLine="720"/>
        <w:jc w:val="both"/>
        <w:rPr>
          <w:rFonts w:ascii="Arial" w:hAnsi="Arial" w:cs="Arial"/>
        </w:rPr>
      </w:pPr>
      <w:r w:rsidRPr="00C01FCD">
        <w:rPr>
          <w:rFonts w:ascii="Arial" w:hAnsi="Arial" w:cs="Arial"/>
        </w:rPr>
        <w:t>growing importance for EU raw materials strategy</w:t>
      </w:r>
    </w:p>
    <w:p w14:paraId="12CEA7A3" w14:textId="77777777" w:rsidR="00E20666" w:rsidRDefault="00E20666" w:rsidP="00C01FCD">
      <w:pPr>
        <w:spacing w:after="0" w:line="360" w:lineRule="auto"/>
        <w:ind w:firstLine="720"/>
        <w:jc w:val="both"/>
        <w:rPr>
          <w:rFonts w:ascii="Arial" w:hAnsi="Arial" w:cs="Arial"/>
        </w:rPr>
      </w:pPr>
      <w:r w:rsidRPr="00C01FCD">
        <w:rPr>
          <w:rFonts w:ascii="Arial" w:hAnsi="Arial" w:cs="Arial"/>
        </w:rPr>
        <w:t xml:space="preserve">Scholars also highlight the region as a strategically important source of copper for Europe’s </w:t>
      </w:r>
      <w:proofErr w:type="spellStart"/>
      <w:r w:rsidRPr="00C01FCD">
        <w:rPr>
          <w:rFonts w:ascii="Arial" w:hAnsi="Arial" w:cs="Arial"/>
        </w:rPr>
        <w:t>decarbonisation</w:t>
      </w:r>
      <w:proofErr w:type="spellEnd"/>
      <w:r w:rsidRPr="00C01FCD">
        <w:rPr>
          <w:rFonts w:ascii="Arial" w:hAnsi="Arial" w:cs="Arial"/>
        </w:rPr>
        <w:t xml:space="preserve"> efforts (European Commission, 2022).</w:t>
      </w:r>
    </w:p>
    <w:p w14:paraId="43519D85" w14:textId="77777777" w:rsidR="00856308" w:rsidRPr="00C01FCD" w:rsidRDefault="00856308" w:rsidP="00C01FCD">
      <w:pPr>
        <w:spacing w:after="0" w:line="360" w:lineRule="auto"/>
        <w:ind w:firstLine="720"/>
        <w:jc w:val="both"/>
        <w:rPr>
          <w:rFonts w:ascii="Arial" w:hAnsi="Arial" w:cs="Arial"/>
          <w:lang w:val="bg-BG"/>
        </w:rPr>
      </w:pPr>
    </w:p>
    <w:p w14:paraId="1D01CA15"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0" w:name="_Toc214615817"/>
      <w:r w:rsidRPr="00856308">
        <w:rPr>
          <w:rFonts w:ascii="Arial" w:hAnsi="Arial" w:cs="Arial"/>
          <w:b/>
          <w:bCs/>
          <w:color w:val="auto"/>
          <w:sz w:val="24"/>
          <w:szCs w:val="24"/>
        </w:rPr>
        <w:t>2.8 Summary of the Literature Review</w:t>
      </w:r>
      <w:bookmarkEnd w:id="20"/>
    </w:p>
    <w:p w14:paraId="68B249C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This chapter reviewed academic, industry and regulatory literature relevant to sustainability and mining. The key insights can be </w:t>
      </w:r>
      <w:proofErr w:type="spellStart"/>
      <w:r w:rsidRPr="00C01FCD">
        <w:rPr>
          <w:rFonts w:ascii="Arial" w:hAnsi="Arial" w:cs="Arial"/>
        </w:rPr>
        <w:t>summarised</w:t>
      </w:r>
      <w:proofErr w:type="spellEnd"/>
      <w:r w:rsidRPr="00C01FCD">
        <w:rPr>
          <w:rFonts w:ascii="Arial" w:hAnsi="Arial" w:cs="Arial"/>
        </w:rPr>
        <w:t xml:space="preserve"> as follows:</w:t>
      </w:r>
    </w:p>
    <w:p w14:paraId="1AC44333" w14:textId="77777777" w:rsidR="00E20666" w:rsidRPr="00C01FCD" w:rsidRDefault="00E20666" w:rsidP="00C01FCD">
      <w:pPr>
        <w:numPr>
          <w:ilvl w:val="0"/>
          <w:numId w:val="89"/>
        </w:numPr>
        <w:spacing w:after="0" w:line="360" w:lineRule="auto"/>
        <w:ind w:left="0" w:firstLine="720"/>
        <w:jc w:val="both"/>
        <w:rPr>
          <w:rFonts w:ascii="Arial" w:hAnsi="Arial" w:cs="Arial"/>
        </w:rPr>
      </w:pPr>
      <w:r w:rsidRPr="00C01FCD">
        <w:rPr>
          <w:rFonts w:ascii="Arial" w:hAnsi="Arial" w:cs="Arial"/>
        </w:rPr>
        <w:t>ESG frameworks are central to evaluating sustainability performance in mining.</w:t>
      </w:r>
    </w:p>
    <w:p w14:paraId="7652C1A8" w14:textId="77777777" w:rsidR="00E20666" w:rsidRPr="00C01FCD" w:rsidRDefault="00E20666" w:rsidP="00C01FCD">
      <w:pPr>
        <w:numPr>
          <w:ilvl w:val="0"/>
          <w:numId w:val="89"/>
        </w:numPr>
        <w:spacing w:after="0" w:line="360" w:lineRule="auto"/>
        <w:ind w:left="0" w:firstLine="720"/>
        <w:jc w:val="both"/>
        <w:rPr>
          <w:rFonts w:ascii="Arial" w:hAnsi="Arial" w:cs="Arial"/>
        </w:rPr>
      </w:pPr>
      <w:r w:rsidRPr="00C01FCD">
        <w:rPr>
          <w:rFonts w:ascii="Arial" w:hAnsi="Arial" w:cs="Arial"/>
        </w:rPr>
        <w:t>CSRD and ESRS introduce a new era of mandatory reporting standards in the EU.</w:t>
      </w:r>
    </w:p>
    <w:p w14:paraId="5FDC4AD5" w14:textId="77777777" w:rsidR="00E20666" w:rsidRPr="00C01FCD" w:rsidRDefault="00E20666" w:rsidP="00C01FCD">
      <w:pPr>
        <w:numPr>
          <w:ilvl w:val="0"/>
          <w:numId w:val="89"/>
        </w:numPr>
        <w:spacing w:after="0" w:line="360" w:lineRule="auto"/>
        <w:ind w:left="0" w:firstLine="720"/>
        <w:jc w:val="both"/>
        <w:rPr>
          <w:rFonts w:ascii="Arial" w:hAnsi="Arial" w:cs="Arial"/>
        </w:rPr>
      </w:pPr>
      <w:r w:rsidRPr="00C01FCD">
        <w:rPr>
          <w:rFonts w:ascii="Arial" w:hAnsi="Arial" w:cs="Arial"/>
        </w:rPr>
        <w:t>TCFD provides a useful structure for assessing climate-related risks.</w:t>
      </w:r>
    </w:p>
    <w:p w14:paraId="212FB083" w14:textId="77777777" w:rsidR="00E20666" w:rsidRPr="00C01FCD" w:rsidRDefault="00E20666" w:rsidP="00C01FCD">
      <w:pPr>
        <w:numPr>
          <w:ilvl w:val="0"/>
          <w:numId w:val="89"/>
        </w:numPr>
        <w:spacing w:after="0" w:line="360" w:lineRule="auto"/>
        <w:ind w:left="0" w:firstLine="720"/>
        <w:jc w:val="both"/>
        <w:rPr>
          <w:rFonts w:ascii="Arial" w:hAnsi="Arial" w:cs="Arial"/>
        </w:rPr>
      </w:pPr>
      <w:r w:rsidRPr="00C01FCD">
        <w:rPr>
          <w:rFonts w:ascii="Arial" w:hAnsi="Arial" w:cs="Arial"/>
        </w:rPr>
        <w:t>Copper mining faces substantial environmental, social and governance challenges.</w:t>
      </w:r>
    </w:p>
    <w:p w14:paraId="3D9350FB" w14:textId="77777777" w:rsidR="00E20666" w:rsidRPr="00C01FCD" w:rsidRDefault="00E20666" w:rsidP="00C01FCD">
      <w:pPr>
        <w:numPr>
          <w:ilvl w:val="0"/>
          <w:numId w:val="89"/>
        </w:numPr>
        <w:spacing w:after="0" w:line="360" w:lineRule="auto"/>
        <w:ind w:left="0" w:firstLine="720"/>
        <w:jc w:val="both"/>
        <w:rPr>
          <w:rFonts w:ascii="Arial" w:hAnsi="Arial" w:cs="Arial"/>
        </w:rPr>
      </w:pPr>
      <w:r w:rsidRPr="00C01FCD">
        <w:rPr>
          <w:rFonts w:ascii="Arial" w:hAnsi="Arial" w:cs="Arial"/>
        </w:rPr>
        <w:t>The Balkan region remains understudied despite its strategic importance and long mining tradition.</w:t>
      </w:r>
    </w:p>
    <w:p w14:paraId="57967A49"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These insights guided the development of the analytical framework applied in this dissertation and provided the conceptual foundation for the comparative multi-case analysis presented in Chapter 4.</w:t>
      </w:r>
    </w:p>
    <w:p w14:paraId="42DE18D6" w14:textId="77777777" w:rsidR="00E20666" w:rsidRPr="00C01FCD" w:rsidRDefault="00E20666" w:rsidP="00C01FCD">
      <w:pPr>
        <w:spacing w:after="0" w:line="360" w:lineRule="auto"/>
        <w:ind w:firstLine="720"/>
        <w:jc w:val="both"/>
        <w:rPr>
          <w:rFonts w:ascii="Arial" w:hAnsi="Arial" w:cs="Arial"/>
          <w:lang w:val="bg-BG"/>
        </w:rPr>
      </w:pPr>
    </w:p>
    <w:p w14:paraId="5D6BAD2C" w14:textId="77777777" w:rsidR="00E20666" w:rsidRPr="00C01FCD" w:rsidRDefault="00E20666" w:rsidP="00C01FCD">
      <w:pPr>
        <w:spacing w:after="0" w:line="360" w:lineRule="auto"/>
        <w:ind w:firstLine="720"/>
        <w:jc w:val="both"/>
        <w:rPr>
          <w:rFonts w:ascii="Arial" w:hAnsi="Arial" w:cs="Arial"/>
          <w:lang w:val="bg-BG"/>
        </w:rPr>
      </w:pPr>
    </w:p>
    <w:p w14:paraId="06DF4C4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br w:type="page"/>
      </w:r>
    </w:p>
    <w:p w14:paraId="3F7CEFDE" w14:textId="77777777" w:rsidR="00E20666" w:rsidRDefault="00E20666" w:rsidP="00856308">
      <w:pPr>
        <w:pStyle w:val="Heading1"/>
        <w:spacing w:before="0" w:line="360" w:lineRule="auto"/>
        <w:ind w:firstLine="720"/>
        <w:jc w:val="both"/>
        <w:rPr>
          <w:rFonts w:ascii="Arial" w:hAnsi="Arial" w:cs="Arial"/>
          <w:b/>
          <w:bCs/>
          <w:color w:val="auto"/>
          <w:kern w:val="2"/>
          <w:sz w:val="28"/>
          <w:szCs w:val="28"/>
          <w14:ligatures w14:val="standardContextual"/>
        </w:rPr>
      </w:pPr>
      <w:bookmarkStart w:id="21" w:name="_Toc214615818"/>
      <w:r w:rsidRPr="00856308">
        <w:rPr>
          <w:rFonts w:ascii="Arial" w:hAnsi="Arial" w:cs="Arial"/>
          <w:b/>
          <w:bCs/>
          <w:color w:val="auto"/>
          <w:kern w:val="2"/>
          <w:sz w:val="28"/>
          <w:szCs w:val="28"/>
          <w14:ligatures w14:val="standardContextual"/>
        </w:rPr>
        <w:lastRenderedPageBreak/>
        <w:t>CHAPTER 3: METHODOLOGY</w:t>
      </w:r>
      <w:bookmarkEnd w:id="21"/>
    </w:p>
    <w:p w14:paraId="034DA210" w14:textId="77777777" w:rsidR="00856308" w:rsidRPr="00856308" w:rsidRDefault="00856308" w:rsidP="00856308"/>
    <w:p w14:paraId="370AEF77"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2" w:name="_Toc214615819"/>
      <w:r w:rsidRPr="00856308">
        <w:rPr>
          <w:rFonts w:ascii="Arial" w:hAnsi="Arial" w:cs="Arial"/>
          <w:b/>
          <w:bCs/>
          <w:color w:val="auto"/>
          <w:sz w:val="24"/>
          <w:szCs w:val="24"/>
        </w:rPr>
        <w:t>3.1 Introduction</w:t>
      </w:r>
      <w:bookmarkEnd w:id="22"/>
    </w:p>
    <w:p w14:paraId="39917D93"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 xml:space="preserve">The purpose of this chapter is to explain the methodological approach I adopted to address the research aim: to </w:t>
      </w:r>
      <w:proofErr w:type="spellStart"/>
      <w:r w:rsidRPr="00C01FCD">
        <w:rPr>
          <w:rFonts w:ascii="Arial" w:hAnsi="Arial" w:cs="Arial"/>
        </w:rPr>
        <w:t>analyse</w:t>
      </w:r>
      <w:proofErr w:type="spellEnd"/>
      <w:r w:rsidRPr="00C01FCD">
        <w:rPr>
          <w:rFonts w:ascii="Arial" w:hAnsi="Arial" w:cs="Arial"/>
        </w:rPr>
        <w:t xml:space="preserve"> how copper mining companies in the Balkan region adapt to sustainability regulations and to understand the ESG maturity, climate risk readiness and CSRD/ESRS alignment of these </w:t>
      </w:r>
      <w:proofErr w:type="spellStart"/>
      <w:r w:rsidRPr="00C01FCD">
        <w:rPr>
          <w:rFonts w:ascii="Arial" w:hAnsi="Arial" w:cs="Arial"/>
        </w:rPr>
        <w:t>organisations</w:t>
      </w:r>
      <w:proofErr w:type="spellEnd"/>
      <w:r w:rsidRPr="00C01FCD">
        <w:rPr>
          <w:rFonts w:ascii="Arial" w:hAnsi="Arial" w:cs="Arial"/>
        </w:rPr>
        <w:t>.</w:t>
      </w:r>
    </w:p>
    <w:p w14:paraId="1D8B45F9"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Since this research focuses on </w:t>
      </w:r>
      <w:proofErr w:type="spellStart"/>
      <w:r w:rsidRPr="00C01FCD">
        <w:rPr>
          <w:rFonts w:ascii="Arial" w:hAnsi="Arial" w:cs="Arial"/>
        </w:rPr>
        <w:t>organisational</w:t>
      </w:r>
      <w:proofErr w:type="spellEnd"/>
      <w:r w:rsidRPr="00C01FCD">
        <w:rPr>
          <w:rFonts w:ascii="Arial" w:hAnsi="Arial" w:cs="Arial"/>
        </w:rPr>
        <w:t xml:space="preserve"> </w:t>
      </w:r>
      <w:proofErr w:type="spellStart"/>
      <w:r w:rsidRPr="00C01FCD">
        <w:rPr>
          <w:rFonts w:ascii="Arial" w:hAnsi="Arial" w:cs="Arial"/>
        </w:rPr>
        <w:t>behaviour</w:t>
      </w:r>
      <w:proofErr w:type="spellEnd"/>
      <w:r w:rsidRPr="00C01FCD">
        <w:rPr>
          <w:rFonts w:ascii="Arial" w:hAnsi="Arial" w:cs="Arial"/>
        </w:rPr>
        <w:t xml:space="preserve">, sustainability frameworks and regulatory adaptation, I selected a </w:t>
      </w:r>
      <w:r w:rsidRPr="00C01FCD">
        <w:rPr>
          <w:rFonts w:ascii="Arial" w:hAnsi="Arial" w:cs="Arial"/>
          <w:b/>
          <w:bCs/>
        </w:rPr>
        <w:t>qualitative, multi-case study approach</w:t>
      </w:r>
      <w:r w:rsidRPr="00C01FCD">
        <w:rPr>
          <w:rFonts w:ascii="Arial" w:hAnsi="Arial" w:cs="Arial"/>
        </w:rPr>
        <w:t xml:space="preserve">, supported by </w:t>
      </w:r>
      <w:r w:rsidRPr="00C01FCD">
        <w:rPr>
          <w:rFonts w:ascii="Arial" w:hAnsi="Arial" w:cs="Arial"/>
          <w:b/>
          <w:bCs/>
        </w:rPr>
        <w:t>secondary data analysis</w:t>
      </w:r>
      <w:r w:rsidRPr="00C01FCD">
        <w:rPr>
          <w:rFonts w:ascii="Arial" w:hAnsi="Arial" w:cs="Arial"/>
        </w:rPr>
        <w:t xml:space="preserve"> and a structured </w:t>
      </w:r>
      <w:r w:rsidRPr="00C01FCD">
        <w:rPr>
          <w:rFonts w:ascii="Arial" w:hAnsi="Arial" w:cs="Arial"/>
          <w:b/>
          <w:bCs/>
        </w:rPr>
        <w:t>analytical framework</w:t>
      </w:r>
      <w:r w:rsidRPr="00C01FCD">
        <w:rPr>
          <w:rFonts w:ascii="Arial" w:hAnsi="Arial" w:cs="Arial"/>
        </w:rPr>
        <w:t xml:space="preserve"> based on ESG, CSRD/ESRS and TCFD.</w:t>
      </w:r>
    </w:p>
    <w:p w14:paraId="03082592" w14:textId="77777777" w:rsidR="00E20666" w:rsidRDefault="00E20666" w:rsidP="00C01FCD">
      <w:pPr>
        <w:spacing w:after="0" w:line="360" w:lineRule="auto"/>
        <w:ind w:firstLine="720"/>
        <w:jc w:val="both"/>
        <w:rPr>
          <w:rFonts w:ascii="Arial" w:hAnsi="Arial" w:cs="Arial"/>
        </w:rPr>
      </w:pPr>
      <w:r w:rsidRPr="00C01FCD">
        <w:rPr>
          <w:rFonts w:ascii="Arial" w:hAnsi="Arial" w:cs="Arial"/>
        </w:rPr>
        <w:t xml:space="preserve">This chapter also explains </w:t>
      </w:r>
      <w:r w:rsidRPr="00C01FCD">
        <w:rPr>
          <w:rFonts w:ascii="Arial" w:hAnsi="Arial" w:cs="Arial"/>
          <w:b/>
          <w:bCs/>
        </w:rPr>
        <w:t>why</w:t>
      </w:r>
      <w:r w:rsidRPr="00C01FCD">
        <w:rPr>
          <w:rFonts w:ascii="Arial" w:hAnsi="Arial" w:cs="Arial"/>
        </w:rPr>
        <w:t xml:space="preserve"> I chose this methodology, who has used similar approaches in academic research, and what personal and practical motivations guided my decisions.</w:t>
      </w:r>
    </w:p>
    <w:p w14:paraId="104198E2" w14:textId="77777777" w:rsidR="00856308" w:rsidRPr="00C01FCD" w:rsidRDefault="00856308" w:rsidP="00C01FCD">
      <w:pPr>
        <w:spacing w:after="0" w:line="360" w:lineRule="auto"/>
        <w:ind w:firstLine="720"/>
        <w:jc w:val="both"/>
        <w:rPr>
          <w:rFonts w:ascii="Arial" w:hAnsi="Arial" w:cs="Arial"/>
          <w:lang w:val="bg-BG"/>
        </w:rPr>
      </w:pPr>
    </w:p>
    <w:p w14:paraId="6A9609C9"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3" w:name="_Toc214615820"/>
      <w:r w:rsidRPr="00856308">
        <w:rPr>
          <w:rFonts w:ascii="Arial" w:hAnsi="Arial" w:cs="Arial"/>
          <w:b/>
          <w:bCs/>
          <w:color w:val="auto"/>
          <w:sz w:val="24"/>
          <w:szCs w:val="24"/>
        </w:rPr>
        <w:t>3.2 Research Design: Multi-Case Qualitative Study</w:t>
      </w:r>
      <w:bookmarkEnd w:id="23"/>
    </w:p>
    <w:p w14:paraId="19024342"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 xml:space="preserve">I adopted a </w:t>
      </w:r>
      <w:r w:rsidRPr="00C01FCD">
        <w:rPr>
          <w:rFonts w:ascii="Arial" w:hAnsi="Arial" w:cs="Arial"/>
          <w:b/>
          <w:bCs/>
        </w:rPr>
        <w:t>multi-case study design</w:t>
      </w:r>
      <w:r w:rsidRPr="00C01FCD">
        <w:rPr>
          <w:rFonts w:ascii="Arial" w:hAnsi="Arial" w:cs="Arial"/>
        </w:rPr>
        <w:t>, which enabled me to compare different companies operating in the same regional and sectoral context.</w:t>
      </w:r>
    </w:p>
    <w:p w14:paraId="06DB004A"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This approach is widely </w:t>
      </w:r>
      <w:proofErr w:type="spellStart"/>
      <w:r w:rsidRPr="00C01FCD">
        <w:rPr>
          <w:rFonts w:ascii="Arial" w:hAnsi="Arial" w:cs="Arial"/>
        </w:rPr>
        <w:t>recognised</w:t>
      </w:r>
      <w:proofErr w:type="spellEnd"/>
      <w:r w:rsidRPr="00C01FCD">
        <w:rPr>
          <w:rFonts w:ascii="Arial" w:hAnsi="Arial" w:cs="Arial"/>
        </w:rPr>
        <w:t xml:space="preserve"> in academic research for studying complex </w:t>
      </w:r>
      <w:proofErr w:type="spellStart"/>
      <w:r w:rsidRPr="00C01FCD">
        <w:rPr>
          <w:rFonts w:ascii="Arial" w:hAnsi="Arial" w:cs="Arial"/>
        </w:rPr>
        <w:t>organisational</w:t>
      </w:r>
      <w:proofErr w:type="spellEnd"/>
      <w:r w:rsidRPr="00C01FCD">
        <w:rPr>
          <w:rFonts w:ascii="Arial" w:hAnsi="Arial" w:cs="Arial"/>
        </w:rPr>
        <w:t xml:space="preserve"> phenomena, especially where </w:t>
      </w:r>
      <w:proofErr w:type="spellStart"/>
      <w:r w:rsidRPr="00C01FCD">
        <w:rPr>
          <w:rFonts w:ascii="Arial" w:hAnsi="Arial" w:cs="Arial"/>
        </w:rPr>
        <w:t>behavioural</w:t>
      </w:r>
      <w:proofErr w:type="spellEnd"/>
      <w:r w:rsidRPr="00C01FCD">
        <w:rPr>
          <w:rFonts w:ascii="Arial" w:hAnsi="Arial" w:cs="Arial"/>
        </w:rPr>
        <w:t>, strategic and regulatory variables converge.</w:t>
      </w:r>
    </w:p>
    <w:p w14:paraId="1AA6CB09"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Academic foundation</w:t>
      </w:r>
    </w:p>
    <w:p w14:paraId="0BC7DBEF" w14:textId="77777777" w:rsidR="00E20666" w:rsidRPr="00C01FCD" w:rsidRDefault="00E20666" w:rsidP="00C01FCD">
      <w:pPr>
        <w:numPr>
          <w:ilvl w:val="0"/>
          <w:numId w:val="65"/>
        </w:numPr>
        <w:spacing w:after="0" w:line="360" w:lineRule="auto"/>
        <w:ind w:left="0" w:firstLine="720"/>
        <w:jc w:val="both"/>
        <w:rPr>
          <w:rFonts w:ascii="Arial" w:hAnsi="Arial" w:cs="Arial"/>
        </w:rPr>
      </w:pPr>
      <w:r w:rsidRPr="00C01FCD">
        <w:rPr>
          <w:rFonts w:ascii="Arial" w:hAnsi="Arial" w:cs="Arial"/>
          <w:b/>
          <w:bCs/>
        </w:rPr>
        <w:t>Yin (2018)</w:t>
      </w:r>
      <w:r w:rsidRPr="00C01FCD">
        <w:rPr>
          <w:rFonts w:ascii="Arial" w:hAnsi="Arial" w:cs="Arial"/>
        </w:rPr>
        <w:t xml:space="preserve"> argues that case study research is suitable for real-world </w:t>
      </w:r>
      <w:proofErr w:type="spellStart"/>
      <w:r w:rsidRPr="00C01FCD">
        <w:rPr>
          <w:rFonts w:ascii="Arial" w:hAnsi="Arial" w:cs="Arial"/>
        </w:rPr>
        <w:t>organisational</w:t>
      </w:r>
      <w:proofErr w:type="spellEnd"/>
      <w:r w:rsidRPr="00C01FCD">
        <w:rPr>
          <w:rFonts w:ascii="Arial" w:hAnsi="Arial" w:cs="Arial"/>
        </w:rPr>
        <w:t xml:space="preserve"> analysis where contextual conditions matter.</w:t>
      </w:r>
    </w:p>
    <w:p w14:paraId="0D4D1421" w14:textId="77777777" w:rsidR="00E20666" w:rsidRPr="00C01FCD" w:rsidRDefault="00E20666" w:rsidP="00C01FCD">
      <w:pPr>
        <w:numPr>
          <w:ilvl w:val="0"/>
          <w:numId w:val="65"/>
        </w:numPr>
        <w:spacing w:after="0" w:line="360" w:lineRule="auto"/>
        <w:ind w:left="0" w:firstLine="720"/>
        <w:jc w:val="both"/>
        <w:rPr>
          <w:rFonts w:ascii="Arial" w:hAnsi="Arial" w:cs="Arial"/>
        </w:rPr>
      </w:pPr>
      <w:r w:rsidRPr="00C01FCD">
        <w:rPr>
          <w:rFonts w:ascii="Arial" w:hAnsi="Arial" w:cs="Arial"/>
          <w:b/>
          <w:bCs/>
        </w:rPr>
        <w:t>Eisenhardt (1989)</w:t>
      </w:r>
      <w:r w:rsidRPr="00C01FCD">
        <w:rPr>
          <w:rFonts w:ascii="Arial" w:hAnsi="Arial" w:cs="Arial"/>
        </w:rPr>
        <w:t xml:space="preserve"> highlights that multiple cases allow for pattern recognition and stronger theoretical insights.</w:t>
      </w:r>
    </w:p>
    <w:p w14:paraId="6109E138" w14:textId="77777777" w:rsidR="00E20666" w:rsidRPr="00C01FCD" w:rsidRDefault="00E20666" w:rsidP="00C01FCD">
      <w:pPr>
        <w:numPr>
          <w:ilvl w:val="0"/>
          <w:numId w:val="65"/>
        </w:numPr>
        <w:spacing w:after="0" w:line="360" w:lineRule="auto"/>
        <w:ind w:left="0" w:firstLine="720"/>
        <w:jc w:val="both"/>
        <w:rPr>
          <w:rFonts w:ascii="Arial" w:hAnsi="Arial" w:cs="Arial"/>
        </w:rPr>
      </w:pPr>
      <w:r w:rsidRPr="00C01FCD">
        <w:rPr>
          <w:rFonts w:ascii="Arial" w:hAnsi="Arial" w:cs="Arial"/>
          <w:b/>
          <w:bCs/>
        </w:rPr>
        <w:t>Stake (1995)</w:t>
      </w:r>
      <w:r w:rsidRPr="00C01FCD">
        <w:rPr>
          <w:rFonts w:ascii="Arial" w:hAnsi="Arial" w:cs="Arial"/>
        </w:rPr>
        <w:t xml:space="preserve"> </w:t>
      </w:r>
      <w:proofErr w:type="spellStart"/>
      <w:r w:rsidRPr="00C01FCD">
        <w:rPr>
          <w:rFonts w:ascii="Arial" w:hAnsi="Arial" w:cs="Arial"/>
        </w:rPr>
        <w:t>emphasises</w:t>
      </w:r>
      <w:proofErr w:type="spellEnd"/>
      <w:r w:rsidRPr="00C01FCD">
        <w:rPr>
          <w:rFonts w:ascii="Arial" w:hAnsi="Arial" w:cs="Arial"/>
        </w:rPr>
        <w:t xml:space="preserve"> that case studies are appropriate when the goal is to understand processes, actions and real-life practices.</w:t>
      </w:r>
    </w:p>
    <w:p w14:paraId="53121A21"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Following these academic foundations, I structured my research around six selected mining operations in Bulgaria, Serbia, Greece and Romania, and then conducted an in-depth analysis of </w:t>
      </w: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as a focal case.</w:t>
      </w:r>
    </w:p>
    <w:p w14:paraId="78813655"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Personal motivation for this design</w:t>
      </w:r>
    </w:p>
    <w:p w14:paraId="100E4CA0"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 xml:space="preserve">I chose this approach because it allowed me to examine a diverse set of companies with varying levels of sustainability maturity, rather than focus on a single </w:t>
      </w:r>
      <w:proofErr w:type="spellStart"/>
      <w:r w:rsidRPr="00C01FCD">
        <w:rPr>
          <w:rFonts w:ascii="Arial" w:hAnsi="Arial" w:cs="Arial"/>
        </w:rPr>
        <w:t>organisation</w:t>
      </w:r>
      <w:proofErr w:type="spellEnd"/>
      <w:r w:rsidRPr="00C01FCD">
        <w:rPr>
          <w:rFonts w:ascii="Arial" w:hAnsi="Arial" w:cs="Arial"/>
        </w:rPr>
        <w:t>.</w:t>
      </w:r>
    </w:p>
    <w:p w14:paraId="0F9E3F6A"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Additionally, the dominance of publicly available ESG reports and corporate disclosures in the mining sector made the multi-case secondary data approach both realistic and academically appropriate.</w:t>
      </w:r>
    </w:p>
    <w:p w14:paraId="44F37C35"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4" w:name="_Toc214615821"/>
      <w:r w:rsidRPr="00856308">
        <w:rPr>
          <w:rFonts w:ascii="Arial" w:hAnsi="Arial" w:cs="Arial"/>
          <w:b/>
          <w:bCs/>
          <w:color w:val="auto"/>
          <w:sz w:val="24"/>
          <w:szCs w:val="24"/>
        </w:rPr>
        <w:lastRenderedPageBreak/>
        <w:t>3.3 Data Collection: Secondary Qualitative Data</w:t>
      </w:r>
      <w:bookmarkEnd w:id="24"/>
    </w:p>
    <w:p w14:paraId="4BF0C7A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The research uses </w:t>
      </w:r>
      <w:r w:rsidRPr="00C01FCD">
        <w:rPr>
          <w:rFonts w:ascii="Arial" w:hAnsi="Arial" w:cs="Arial"/>
          <w:b/>
          <w:bCs/>
        </w:rPr>
        <w:t>secondary data</w:t>
      </w:r>
      <w:r w:rsidRPr="00C01FCD">
        <w:rPr>
          <w:rFonts w:ascii="Arial" w:hAnsi="Arial" w:cs="Arial"/>
        </w:rPr>
        <w:t>, including:</w:t>
      </w:r>
    </w:p>
    <w:p w14:paraId="6F286007"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sustainability reports (GRI-based, annual ESG reports)</w:t>
      </w:r>
    </w:p>
    <w:p w14:paraId="7AF8F13D"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CSRD-preparedness statements and ESG disclosures</w:t>
      </w:r>
    </w:p>
    <w:p w14:paraId="3B4BA560"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climate risk assessments and TCFD-aligned information</w:t>
      </w:r>
    </w:p>
    <w:p w14:paraId="60142339"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environmental impact assessments (EIAs)</w:t>
      </w:r>
    </w:p>
    <w:p w14:paraId="7F982941"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company websites and official corporate publications</w:t>
      </w:r>
    </w:p>
    <w:p w14:paraId="0B73A3DE"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EU regulatory documents (CSRD, ESRS, EU Taxonomy)</w:t>
      </w:r>
    </w:p>
    <w:p w14:paraId="6E623BDC" w14:textId="77777777" w:rsidR="00E20666" w:rsidRPr="00C01FCD" w:rsidRDefault="00E20666" w:rsidP="00C01FCD">
      <w:pPr>
        <w:numPr>
          <w:ilvl w:val="0"/>
          <w:numId w:val="66"/>
        </w:numPr>
        <w:spacing w:after="0" w:line="360" w:lineRule="auto"/>
        <w:ind w:left="0" w:firstLine="720"/>
        <w:jc w:val="both"/>
        <w:rPr>
          <w:rFonts w:ascii="Arial" w:hAnsi="Arial" w:cs="Arial"/>
        </w:rPr>
      </w:pPr>
      <w:r w:rsidRPr="00C01FCD">
        <w:rPr>
          <w:rFonts w:ascii="Arial" w:hAnsi="Arial" w:cs="Arial"/>
        </w:rPr>
        <w:t>independent reports from ICMM, OECD, World Bank and local institutions</w:t>
      </w:r>
    </w:p>
    <w:p w14:paraId="499F5A50"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Why I used secondary data</w:t>
      </w:r>
    </w:p>
    <w:p w14:paraId="01587E6A"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There were two main reasons:</w:t>
      </w:r>
    </w:p>
    <w:p w14:paraId="3AF669B2"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1. Practical constraints</w:t>
      </w:r>
    </w:p>
    <w:p w14:paraId="1A41AC8E"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Mining companies in the Balkans operate in heavily regulated environments, and direct interviews with executives or sustainability managers are challenging to secure within the timeframe of an academic dissertation.</w:t>
      </w:r>
    </w:p>
    <w:p w14:paraId="64858F30"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2. High-quality published ESG data</w:t>
      </w:r>
    </w:p>
    <w:p w14:paraId="72D308D7"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Most companies already publish extensive sustainability disclosures that often contain more structured information than interviews would provide.</w:t>
      </w:r>
    </w:p>
    <w:p w14:paraId="2507093B"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This aligns with </w:t>
      </w:r>
      <w:r w:rsidRPr="00C01FCD">
        <w:rPr>
          <w:rFonts w:ascii="Arial" w:hAnsi="Arial" w:cs="Arial"/>
          <w:b/>
          <w:bCs/>
        </w:rPr>
        <w:t>Bowen (2009)</w:t>
      </w:r>
      <w:r w:rsidRPr="00C01FCD">
        <w:rPr>
          <w:rFonts w:ascii="Arial" w:hAnsi="Arial" w:cs="Arial"/>
        </w:rPr>
        <w:t xml:space="preserve"> and </w:t>
      </w:r>
      <w:r w:rsidRPr="00C01FCD">
        <w:rPr>
          <w:rFonts w:ascii="Arial" w:hAnsi="Arial" w:cs="Arial"/>
          <w:b/>
          <w:bCs/>
        </w:rPr>
        <w:t>Saunders et al. (2019)</w:t>
      </w:r>
      <w:r w:rsidRPr="00C01FCD">
        <w:rPr>
          <w:rFonts w:ascii="Arial" w:hAnsi="Arial" w:cs="Arial"/>
        </w:rPr>
        <w:t>, who note that secondary data is effective when high-quality corporate documentation is available.</w:t>
      </w:r>
    </w:p>
    <w:p w14:paraId="19F9F048"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Methodological precedent</w:t>
      </w:r>
    </w:p>
    <w:p w14:paraId="2483B773"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Secondary ESG data is commonly used in climate and sustainability research:</w:t>
      </w:r>
    </w:p>
    <w:p w14:paraId="6C218094" w14:textId="77777777" w:rsidR="00E20666" w:rsidRPr="00C01FCD" w:rsidRDefault="00E20666" w:rsidP="00C01FCD">
      <w:pPr>
        <w:numPr>
          <w:ilvl w:val="0"/>
          <w:numId w:val="67"/>
        </w:numPr>
        <w:spacing w:after="0" w:line="360" w:lineRule="auto"/>
        <w:ind w:left="0" w:firstLine="720"/>
        <w:jc w:val="both"/>
        <w:rPr>
          <w:rFonts w:ascii="Arial" w:hAnsi="Arial" w:cs="Arial"/>
        </w:rPr>
      </w:pPr>
      <w:r w:rsidRPr="00C01FCD">
        <w:rPr>
          <w:rFonts w:ascii="Arial" w:hAnsi="Arial" w:cs="Arial"/>
        </w:rPr>
        <w:t>TCFD-based climate studies (Carlin et al., 2021; Krueger et al., 2020)</w:t>
      </w:r>
    </w:p>
    <w:p w14:paraId="5C4EAABF" w14:textId="77777777" w:rsidR="00E20666" w:rsidRPr="00C01FCD" w:rsidRDefault="00E20666" w:rsidP="00C01FCD">
      <w:pPr>
        <w:numPr>
          <w:ilvl w:val="0"/>
          <w:numId w:val="67"/>
        </w:numPr>
        <w:spacing w:after="0" w:line="360" w:lineRule="auto"/>
        <w:ind w:left="0" w:firstLine="720"/>
        <w:jc w:val="both"/>
        <w:rPr>
          <w:rFonts w:ascii="Arial" w:hAnsi="Arial" w:cs="Arial"/>
        </w:rPr>
      </w:pPr>
      <w:r w:rsidRPr="00C01FCD">
        <w:rPr>
          <w:rFonts w:ascii="Arial" w:hAnsi="Arial" w:cs="Arial"/>
        </w:rPr>
        <w:t>CSRD/ESRS readiness assessments (European Commission, 2023)</w:t>
      </w:r>
    </w:p>
    <w:p w14:paraId="50F93A53" w14:textId="77777777" w:rsidR="00E20666" w:rsidRPr="00C01FCD" w:rsidRDefault="00E20666" w:rsidP="00C01FCD">
      <w:pPr>
        <w:numPr>
          <w:ilvl w:val="0"/>
          <w:numId w:val="67"/>
        </w:numPr>
        <w:spacing w:after="0" w:line="360" w:lineRule="auto"/>
        <w:ind w:left="0" w:firstLine="720"/>
        <w:jc w:val="both"/>
        <w:rPr>
          <w:rFonts w:ascii="Arial" w:hAnsi="Arial" w:cs="Arial"/>
        </w:rPr>
      </w:pPr>
      <w:r w:rsidRPr="00C01FCD">
        <w:rPr>
          <w:rFonts w:ascii="Arial" w:hAnsi="Arial" w:cs="Arial"/>
        </w:rPr>
        <w:t>Mining-sector ESG benchmarking (ICMM, 2021)</w:t>
      </w:r>
    </w:p>
    <w:p w14:paraId="043F734C" w14:textId="77777777" w:rsidR="00E20666" w:rsidRDefault="00E20666" w:rsidP="00C01FCD">
      <w:pPr>
        <w:spacing w:after="0" w:line="360" w:lineRule="auto"/>
        <w:ind w:firstLine="720"/>
        <w:jc w:val="both"/>
        <w:rPr>
          <w:rFonts w:ascii="Arial" w:hAnsi="Arial" w:cs="Arial"/>
        </w:rPr>
      </w:pPr>
      <w:r w:rsidRPr="00C01FCD">
        <w:rPr>
          <w:rFonts w:ascii="Arial" w:hAnsi="Arial" w:cs="Arial"/>
        </w:rPr>
        <w:t>Thus, my approach follows an established academic tradition.</w:t>
      </w:r>
    </w:p>
    <w:p w14:paraId="7D2985FC" w14:textId="77777777" w:rsidR="00856308" w:rsidRPr="00C01FCD" w:rsidRDefault="00856308" w:rsidP="00C01FCD">
      <w:pPr>
        <w:spacing w:after="0" w:line="360" w:lineRule="auto"/>
        <w:ind w:firstLine="720"/>
        <w:jc w:val="both"/>
        <w:rPr>
          <w:rFonts w:ascii="Arial" w:hAnsi="Arial" w:cs="Arial"/>
          <w:lang w:val="bg-BG"/>
        </w:rPr>
      </w:pPr>
    </w:p>
    <w:p w14:paraId="1136E8BA"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5" w:name="_Toc214615822"/>
      <w:r w:rsidRPr="00856308">
        <w:rPr>
          <w:rFonts w:ascii="Arial" w:hAnsi="Arial" w:cs="Arial"/>
          <w:b/>
          <w:bCs/>
          <w:color w:val="auto"/>
          <w:sz w:val="24"/>
          <w:szCs w:val="24"/>
        </w:rPr>
        <w:t>3.4 Data Analysis: Qualitative Content Analysis</w:t>
      </w:r>
      <w:bookmarkEnd w:id="25"/>
    </w:p>
    <w:p w14:paraId="028AF14E"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I </w:t>
      </w:r>
      <w:proofErr w:type="spellStart"/>
      <w:r w:rsidRPr="00C01FCD">
        <w:rPr>
          <w:rFonts w:ascii="Arial" w:hAnsi="Arial" w:cs="Arial"/>
        </w:rPr>
        <w:t>analysed</w:t>
      </w:r>
      <w:proofErr w:type="spellEnd"/>
      <w:r w:rsidRPr="00C01FCD">
        <w:rPr>
          <w:rFonts w:ascii="Arial" w:hAnsi="Arial" w:cs="Arial"/>
        </w:rPr>
        <w:t xml:space="preserve"> the collected documents using </w:t>
      </w:r>
      <w:r w:rsidRPr="00C01FCD">
        <w:rPr>
          <w:rFonts w:ascii="Arial" w:hAnsi="Arial" w:cs="Arial"/>
          <w:b/>
          <w:bCs/>
        </w:rPr>
        <w:t>qualitative content analysis</w:t>
      </w:r>
      <w:r w:rsidRPr="00C01FCD">
        <w:rPr>
          <w:rFonts w:ascii="Arial" w:hAnsi="Arial" w:cs="Arial"/>
        </w:rPr>
        <w:t>, a method recommended by:</w:t>
      </w:r>
    </w:p>
    <w:p w14:paraId="2757E6A0" w14:textId="77777777" w:rsidR="00E20666" w:rsidRPr="00C01FCD" w:rsidRDefault="00E20666" w:rsidP="00C01FCD">
      <w:pPr>
        <w:numPr>
          <w:ilvl w:val="0"/>
          <w:numId w:val="68"/>
        </w:numPr>
        <w:spacing w:after="0" w:line="360" w:lineRule="auto"/>
        <w:ind w:left="0" w:firstLine="720"/>
        <w:jc w:val="both"/>
        <w:rPr>
          <w:rFonts w:ascii="Arial" w:hAnsi="Arial" w:cs="Arial"/>
        </w:rPr>
      </w:pPr>
      <w:proofErr w:type="spellStart"/>
      <w:r w:rsidRPr="00C01FCD">
        <w:rPr>
          <w:rFonts w:ascii="Arial" w:hAnsi="Arial" w:cs="Arial"/>
          <w:b/>
          <w:bCs/>
        </w:rPr>
        <w:t>Krippendorff</w:t>
      </w:r>
      <w:proofErr w:type="spellEnd"/>
      <w:r w:rsidRPr="00C01FCD">
        <w:rPr>
          <w:rFonts w:ascii="Arial" w:hAnsi="Arial" w:cs="Arial"/>
          <w:b/>
          <w:bCs/>
        </w:rPr>
        <w:t xml:space="preserve"> (2018)</w:t>
      </w:r>
      <w:r w:rsidRPr="00C01FCD">
        <w:rPr>
          <w:rFonts w:ascii="Arial" w:hAnsi="Arial" w:cs="Arial"/>
        </w:rPr>
        <w:t xml:space="preserve"> — qualitative analysis is appropriate for structured texts such as sustainability reports</w:t>
      </w:r>
    </w:p>
    <w:p w14:paraId="72373ED2" w14:textId="77777777" w:rsidR="00E20666" w:rsidRPr="00C01FCD" w:rsidRDefault="00E20666" w:rsidP="00C01FCD">
      <w:pPr>
        <w:numPr>
          <w:ilvl w:val="0"/>
          <w:numId w:val="68"/>
        </w:numPr>
        <w:spacing w:after="0" w:line="360" w:lineRule="auto"/>
        <w:ind w:left="0" w:firstLine="720"/>
        <w:jc w:val="both"/>
        <w:rPr>
          <w:rFonts w:ascii="Arial" w:hAnsi="Arial" w:cs="Arial"/>
        </w:rPr>
      </w:pPr>
      <w:r w:rsidRPr="00C01FCD">
        <w:rPr>
          <w:rFonts w:ascii="Arial" w:hAnsi="Arial" w:cs="Arial"/>
          <w:b/>
          <w:bCs/>
        </w:rPr>
        <w:t>Silverman (2016)</w:t>
      </w:r>
      <w:r w:rsidRPr="00C01FCD">
        <w:rPr>
          <w:rFonts w:ascii="Arial" w:hAnsi="Arial" w:cs="Arial"/>
        </w:rPr>
        <w:t xml:space="preserve"> — content analysis supports pattern identification and thematic comparison</w:t>
      </w:r>
    </w:p>
    <w:p w14:paraId="4C72060F" w14:textId="77777777" w:rsidR="00E20666" w:rsidRPr="00C01FCD" w:rsidRDefault="00E20666" w:rsidP="00C01FCD">
      <w:pPr>
        <w:numPr>
          <w:ilvl w:val="0"/>
          <w:numId w:val="68"/>
        </w:numPr>
        <w:spacing w:after="0" w:line="360" w:lineRule="auto"/>
        <w:ind w:left="0" w:firstLine="720"/>
        <w:jc w:val="both"/>
        <w:rPr>
          <w:rFonts w:ascii="Arial" w:hAnsi="Arial" w:cs="Arial"/>
        </w:rPr>
      </w:pPr>
      <w:r w:rsidRPr="00C01FCD">
        <w:rPr>
          <w:rFonts w:ascii="Arial" w:hAnsi="Arial" w:cs="Arial"/>
          <w:b/>
          <w:bCs/>
        </w:rPr>
        <w:lastRenderedPageBreak/>
        <w:t>Schreier (2012)</w:t>
      </w:r>
      <w:r w:rsidRPr="00C01FCD">
        <w:rPr>
          <w:rFonts w:ascii="Arial" w:hAnsi="Arial" w:cs="Arial"/>
        </w:rPr>
        <w:t xml:space="preserve"> — the method is ideal for </w:t>
      </w:r>
      <w:proofErr w:type="spellStart"/>
      <w:r w:rsidRPr="00C01FCD">
        <w:rPr>
          <w:rFonts w:ascii="Arial" w:hAnsi="Arial" w:cs="Arial"/>
        </w:rPr>
        <w:t>analysing</w:t>
      </w:r>
      <w:proofErr w:type="spellEnd"/>
      <w:r w:rsidRPr="00C01FCD">
        <w:rPr>
          <w:rFonts w:ascii="Arial" w:hAnsi="Arial" w:cs="Arial"/>
        </w:rPr>
        <w:t xml:space="preserve"> regulatory alignment and governance frameworks</w:t>
      </w:r>
    </w:p>
    <w:p w14:paraId="4D5F4C62"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How I applied this method</w:t>
      </w:r>
    </w:p>
    <w:p w14:paraId="5C022AC2"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 systematically reviewed all documents and coded them according to categories derived from the analytical framework:</w:t>
      </w:r>
    </w:p>
    <w:p w14:paraId="5A2F488A"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Environmental performance</w:t>
      </w:r>
    </w:p>
    <w:p w14:paraId="62FEBDD5"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Social responsibility and community engagement</w:t>
      </w:r>
    </w:p>
    <w:p w14:paraId="61C57D34"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Governance structure and transparency</w:t>
      </w:r>
    </w:p>
    <w:p w14:paraId="70611226"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Climate risk identification and management (TCFD)</w:t>
      </w:r>
    </w:p>
    <w:p w14:paraId="570228F9"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CSRD/ESRS alignment</w:t>
      </w:r>
    </w:p>
    <w:p w14:paraId="08EACB53"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 xml:space="preserve">Technological </w:t>
      </w:r>
      <w:proofErr w:type="spellStart"/>
      <w:r w:rsidRPr="00C01FCD">
        <w:rPr>
          <w:rFonts w:ascii="Arial" w:hAnsi="Arial" w:cs="Arial"/>
        </w:rPr>
        <w:t>modernisation</w:t>
      </w:r>
      <w:proofErr w:type="spellEnd"/>
    </w:p>
    <w:p w14:paraId="3286F416" w14:textId="77777777" w:rsidR="00E20666" w:rsidRPr="00C01FCD" w:rsidRDefault="00E20666" w:rsidP="00C01FCD">
      <w:pPr>
        <w:numPr>
          <w:ilvl w:val="0"/>
          <w:numId w:val="69"/>
        </w:numPr>
        <w:spacing w:after="0" w:line="360" w:lineRule="auto"/>
        <w:ind w:left="0" w:firstLine="720"/>
        <w:jc w:val="both"/>
        <w:rPr>
          <w:rFonts w:ascii="Arial" w:hAnsi="Arial" w:cs="Arial"/>
        </w:rPr>
      </w:pPr>
      <w:proofErr w:type="spellStart"/>
      <w:r w:rsidRPr="00C01FCD">
        <w:rPr>
          <w:rFonts w:ascii="Arial" w:hAnsi="Arial" w:cs="Arial"/>
        </w:rPr>
        <w:t>Digitalisation</w:t>
      </w:r>
      <w:proofErr w:type="spellEnd"/>
      <w:r w:rsidRPr="00C01FCD">
        <w:rPr>
          <w:rFonts w:ascii="Arial" w:hAnsi="Arial" w:cs="Arial"/>
        </w:rPr>
        <w:t xml:space="preserve"> and innovation</w:t>
      </w:r>
    </w:p>
    <w:p w14:paraId="7E4ECE06" w14:textId="77777777" w:rsidR="00E20666" w:rsidRPr="00C01FCD" w:rsidRDefault="00E20666" w:rsidP="00C01FCD">
      <w:pPr>
        <w:numPr>
          <w:ilvl w:val="0"/>
          <w:numId w:val="69"/>
        </w:numPr>
        <w:spacing w:after="0" w:line="360" w:lineRule="auto"/>
        <w:ind w:left="0" w:firstLine="720"/>
        <w:jc w:val="both"/>
        <w:rPr>
          <w:rFonts w:ascii="Arial" w:hAnsi="Arial" w:cs="Arial"/>
        </w:rPr>
      </w:pPr>
      <w:r w:rsidRPr="00C01FCD">
        <w:rPr>
          <w:rFonts w:ascii="Arial" w:hAnsi="Arial" w:cs="Arial"/>
        </w:rPr>
        <w:t>Regulatory adaptation</w:t>
      </w:r>
    </w:p>
    <w:p w14:paraId="3042BACF" w14:textId="77777777" w:rsidR="00E20666" w:rsidRDefault="00E20666" w:rsidP="00C01FCD">
      <w:pPr>
        <w:spacing w:after="0" w:line="360" w:lineRule="auto"/>
        <w:ind w:firstLine="720"/>
        <w:jc w:val="both"/>
        <w:rPr>
          <w:rFonts w:ascii="Arial" w:hAnsi="Arial" w:cs="Arial"/>
        </w:rPr>
      </w:pPr>
      <w:r w:rsidRPr="00C01FCD">
        <w:rPr>
          <w:rFonts w:ascii="Arial" w:hAnsi="Arial" w:cs="Arial"/>
        </w:rPr>
        <w:t>This approach enabled me to compare companies consistently and identify patterns of strengths, gaps and best practices.</w:t>
      </w:r>
    </w:p>
    <w:p w14:paraId="2EEF0922" w14:textId="77777777" w:rsidR="00856308" w:rsidRPr="00C01FCD" w:rsidRDefault="00856308" w:rsidP="00C01FCD">
      <w:pPr>
        <w:spacing w:after="0" w:line="360" w:lineRule="auto"/>
        <w:ind w:firstLine="720"/>
        <w:jc w:val="both"/>
        <w:rPr>
          <w:rFonts w:ascii="Arial" w:hAnsi="Arial" w:cs="Arial"/>
          <w:lang w:val="bg-BG"/>
        </w:rPr>
      </w:pPr>
    </w:p>
    <w:p w14:paraId="0B057025"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6" w:name="_Toc214615823"/>
      <w:r w:rsidRPr="00856308">
        <w:rPr>
          <w:rFonts w:ascii="Arial" w:hAnsi="Arial" w:cs="Arial"/>
          <w:b/>
          <w:bCs/>
          <w:color w:val="auto"/>
          <w:sz w:val="24"/>
          <w:szCs w:val="24"/>
        </w:rPr>
        <w:t>3.5 Analytical Framework: ESG + CSRD/ESRS + TCFD</w:t>
      </w:r>
      <w:bookmarkEnd w:id="26"/>
    </w:p>
    <w:p w14:paraId="6AABDFDB"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To structure the analysis, I applied a combined analytical framework based on:</w:t>
      </w:r>
    </w:p>
    <w:p w14:paraId="5EB7B909"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1) ESG criteria</w:t>
      </w:r>
    </w:p>
    <w:p w14:paraId="49427E5D"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Used widely in mining sustainability research (ICMM, 2020; Deloitte Mining Outlook, 2022).</w:t>
      </w:r>
    </w:p>
    <w:p w14:paraId="16F68570"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2) CSRD and ESRS requirements</w:t>
      </w:r>
    </w:p>
    <w:p w14:paraId="0A69D064"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These standards provided a structured lens for evaluating:</w:t>
      </w:r>
    </w:p>
    <w:p w14:paraId="186C305F" w14:textId="77777777" w:rsidR="00E20666" w:rsidRPr="00C01FCD" w:rsidRDefault="00E20666" w:rsidP="00C01FCD">
      <w:pPr>
        <w:numPr>
          <w:ilvl w:val="0"/>
          <w:numId w:val="70"/>
        </w:numPr>
        <w:spacing w:after="0" w:line="360" w:lineRule="auto"/>
        <w:ind w:left="0" w:firstLine="720"/>
        <w:jc w:val="both"/>
        <w:rPr>
          <w:rFonts w:ascii="Arial" w:hAnsi="Arial" w:cs="Arial"/>
        </w:rPr>
      </w:pPr>
      <w:r w:rsidRPr="00C01FCD">
        <w:rPr>
          <w:rFonts w:ascii="Arial" w:hAnsi="Arial" w:cs="Arial"/>
        </w:rPr>
        <w:t>governance</w:t>
      </w:r>
    </w:p>
    <w:p w14:paraId="09886E27" w14:textId="77777777" w:rsidR="00E20666" w:rsidRPr="00C01FCD" w:rsidRDefault="00E20666" w:rsidP="00C01FCD">
      <w:pPr>
        <w:numPr>
          <w:ilvl w:val="0"/>
          <w:numId w:val="70"/>
        </w:numPr>
        <w:spacing w:after="0" w:line="360" w:lineRule="auto"/>
        <w:ind w:left="0" w:firstLine="720"/>
        <w:jc w:val="both"/>
        <w:rPr>
          <w:rFonts w:ascii="Arial" w:hAnsi="Arial" w:cs="Arial"/>
        </w:rPr>
      </w:pPr>
      <w:r w:rsidRPr="00C01FCD">
        <w:rPr>
          <w:rFonts w:ascii="Arial" w:hAnsi="Arial" w:cs="Arial"/>
        </w:rPr>
        <w:t>strategy</w:t>
      </w:r>
    </w:p>
    <w:p w14:paraId="51F68623" w14:textId="77777777" w:rsidR="00E20666" w:rsidRPr="00C01FCD" w:rsidRDefault="00E20666" w:rsidP="00C01FCD">
      <w:pPr>
        <w:numPr>
          <w:ilvl w:val="0"/>
          <w:numId w:val="70"/>
        </w:numPr>
        <w:spacing w:after="0" w:line="360" w:lineRule="auto"/>
        <w:ind w:left="0" w:firstLine="720"/>
        <w:jc w:val="both"/>
        <w:rPr>
          <w:rFonts w:ascii="Arial" w:hAnsi="Arial" w:cs="Arial"/>
        </w:rPr>
      </w:pPr>
      <w:r w:rsidRPr="00C01FCD">
        <w:rPr>
          <w:rFonts w:ascii="Arial" w:hAnsi="Arial" w:cs="Arial"/>
        </w:rPr>
        <w:t>risk management</w:t>
      </w:r>
    </w:p>
    <w:p w14:paraId="7984E0DA" w14:textId="77777777" w:rsidR="00E20666" w:rsidRPr="00C01FCD" w:rsidRDefault="00E20666" w:rsidP="00C01FCD">
      <w:pPr>
        <w:numPr>
          <w:ilvl w:val="0"/>
          <w:numId w:val="70"/>
        </w:numPr>
        <w:spacing w:after="0" w:line="360" w:lineRule="auto"/>
        <w:ind w:left="0" w:firstLine="720"/>
        <w:jc w:val="both"/>
        <w:rPr>
          <w:rFonts w:ascii="Arial" w:hAnsi="Arial" w:cs="Arial"/>
        </w:rPr>
      </w:pPr>
      <w:r w:rsidRPr="00C01FCD">
        <w:rPr>
          <w:rFonts w:ascii="Arial" w:hAnsi="Arial" w:cs="Arial"/>
        </w:rPr>
        <w:t>metrics and targets</w:t>
      </w:r>
    </w:p>
    <w:p w14:paraId="79B2F9DC" w14:textId="77777777" w:rsidR="00E20666" w:rsidRPr="00C01FCD" w:rsidRDefault="00E20666" w:rsidP="00C01FCD">
      <w:pPr>
        <w:numPr>
          <w:ilvl w:val="0"/>
          <w:numId w:val="70"/>
        </w:numPr>
        <w:spacing w:after="0" w:line="360" w:lineRule="auto"/>
        <w:ind w:left="0" w:firstLine="720"/>
        <w:jc w:val="both"/>
        <w:rPr>
          <w:rFonts w:ascii="Arial" w:hAnsi="Arial" w:cs="Arial"/>
        </w:rPr>
      </w:pPr>
      <w:r w:rsidRPr="00C01FCD">
        <w:rPr>
          <w:rFonts w:ascii="Arial" w:hAnsi="Arial" w:cs="Arial"/>
        </w:rPr>
        <w:t>double materiality</w:t>
      </w:r>
    </w:p>
    <w:p w14:paraId="6228781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This was essential because these companies will either soon be subject to CSRD or already operate within EU jurisdictions.</w:t>
      </w:r>
    </w:p>
    <w:p w14:paraId="4592E37D"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3) TCFD climate risk assessment</w:t>
      </w:r>
    </w:p>
    <w:p w14:paraId="2F2E1EE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TCFD is globally </w:t>
      </w:r>
      <w:proofErr w:type="spellStart"/>
      <w:r w:rsidRPr="00C01FCD">
        <w:rPr>
          <w:rFonts w:ascii="Arial" w:hAnsi="Arial" w:cs="Arial"/>
        </w:rPr>
        <w:t>recognised</w:t>
      </w:r>
      <w:proofErr w:type="spellEnd"/>
      <w:r w:rsidRPr="00C01FCD">
        <w:rPr>
          <w:rFonts w:ascii="Arial" w:hAnsi="Arial" w:cs="Arial"/>
        </w:rPr>
        <w:t xml:space="preserve"> and used in academic climate studies (Dietz et al., 2021).</w:t>
      </w:r>
    </w:p>
    <w:p w14:paraId="176484B9"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It enabled me to evaluate:</w:t>
      </w:r>
    </w:p>
    <w:p w14:paraId="064469E7" w14:textId="77777777" w:rsidR="00E20666" w:rsidRPr="00C01FCD" w:rsidRDefault="00E20666" w:rsidP="00C01FCD">
      <w:pPr>
        <w:numPr>
          <w:ilvl w:val="0"/>
          <w:numId w:val="71"/>
        </w:numPr>
        <w:spacing w:after="0" w:line="360" w:lineRule="auto"/>
        <w:ind w:left="0" w:firstLine="720"/>
        <w:jc w:val="both"/>
        <w:rPr>
          <w:rFonts w:ascii="Arial" w:hAnsi="Arial" w:cs="Arial"/>
        </w:rPr>
      </w:pPr>
      <w:r w:rsidRPr="00C01FCD">
        <w:rPr>
          <w:rFonts w:ascii="Arial" w:hAnsi="Arial" w:cs="Arial"/>
        </w:rPr>
        <w:t>physical risks</w:t>
      </w:r>
    </w:p>
    <w:p w14:paraId="099F7B58" w14:textId="77777777" w:rsidR="00E20666" w:rsidRPr="00C01FCD" w:rsidRDefault="00E20666" w:rsidP="00C01FCD">
      <w:pPr>
        <w:numPr>
          <w:ilvl w:val="0"/>
          <w:numId w:val="71"/>
        </w:numPr>
        <w:spacing w:after="0" w:line="360" w:lineRule="auto"/>
        <w:ind w:left="0" w:firstLine="720"/>
        <w:jc w:val="both"/>
        <w:rPr>
          <w:rFonts w:ascii="Arial" w:hAnsi="Arial" w:cs="Arial"/>
        </w:rPr>
      </w:pPr>
      <w:r w:rsidRPr="00C01FCD">
        <w:rPr>
          <w:rFonts w:ascii="Arial" w:hAnsi="Arial" w:cs="Arial"/>
        </w:rPr>
        <w:t>transition risks</w:t>
      </w:r>
    </w:p>
    <w:p w14:paraId="464B89D4" w14:textId="77777777" w:rsidR="00E20666" w:rsidRPr="00C01FCD" w:rsidRDefault="00E20666" w:rsidP="00C01FCD">
      <w:pPr>
        <w:numPr>
          <w:ilvl w:val="0"/>
          <w:numId w:val="71"/>
        </w:numPr>
        <w:spacing w:after="0" w:line="360" w:lineRule="auto"/>
        <w:ind w:left="0" w:firstLine="720"/>
        <w:jc w:val="both"/>
        <w:rPr>
          <w:rFonts w:ascii="Arial" w:hAnsi="Arial" w:cs="Arial"/>
        </w:rPr>
      </w:pPr>
      <w:r w:rsidRPr="00C01FCD">
        <w:rPr>
          <w:rFonts w:ascii="Arial" w:hAnsi="Arial" w:cs="Arial"/>
        </w:rPr>
        <w:t>resilience measures</w:t>
      </w:r>
    </w:p>
    <w:p w14:paraId="5AF35FF5" w14:textId="77777777" w:rsidR="00E20666" w:rsidRPr="00C01FCD" w:rsidRDefault="00E20666" w:rsidP="00C01FCD">
      <w:pPr>
        <w:numPr>
          <w:ilvl w:val="0"/>
          <w:numId w:val="71"/>
        </w:numPr>
        <w:spacing w:after="0" w:line="360" w:lineRule="auto"/>
        <w:ind w:left="0" w:firstLine="720"/>
        <w:jc w:val="both"/>
        <w:rPr>
          <w:rFonts w:ascii="Arial" w:hAnsi="Arial" w:cs="Arial"/>
        </w:rPr>
      </w:pPr>
      <w:r w:rsidRPr="00C01FCD">
        <w:rPr>
          <w:rFonts w:ascii="Arial" w:hAnsi="Arial" w:cs="Arial"/>
        </w:rPr>
        <w:lastRenderedPageBreak/>
        <w:t>scenario analysis (where available)</w:t>
      </w:r>
    </w:p>
    <w:p w14:paraId="45B520F5"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Why I selected this framework</w:t>
      </w:r>
    </w:p>
    <w:p w14:paraId="50BE2082"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 chose this framework because:</w:t>
      </w:r>
    </w:p>
    <w:p w14:paraId="28F1FC56" w14:textId="77777777" w:rsidR="00E20666" w:rsidRPr="00133D0E" w:rsidRDefault="00E20666" w:rsidP="00C01FCD">
      <w:pPr>
        <w:spacing w:after="0" w:line="360" w:lineRule="auto"/>
        <w:ind w:firstLine="720"/>
        <w:jc w:val="both"/>
        <w:rPr>
          <w:rFonts w:ascii="Arial" w:hAnsi="Arial" w:cs="Arial"/>
        </w:rPr>
      </w:pPr>
      <w:r w:rsidRPr="00133D0E">
        <w:rPr>
          <w:rFonts w:ascii="Arial" w:hAnsi="Arial" w:cs="Arial"/>
        </w:rPr>
        <w:t>• It is directly relevant to the regulatory environment of the Balkan mining sector.</w:t>
      </w:r>
    </w:p>
    <w:p w14:paraId="666A324D" w14:textId="77777777" w:rsidR="00E20666" w:rsidRPr="00133D0E" w:rsidRDefault="00E20666" w:rsidP="00C01FCD">
      <w:pPr>
        <w:spacing w:after="0" w:line="360" w:lineRule="auto"/>
        <w:ind w:firstLine="720"/>
        <w:jc w:val="both"/>
        <w:rPr>
          <w:rFonts w:ascii="Arial" w:hAnsi="Arial" w:cs="Arial"/>
        </w:rPr>
      </w:pPr>
      <w:r w:rsidRPr="00133D0E">
        <w:rPr>
          <w:rFonts w:ascii="Arial" w:hAnsi="Arial" w:cs="Arial"/>
        </w:rPr>
        <w:t>• It integrates sustainability, climate risk and transparency into one coherent structure.</w:t>
      </w:r>
    </w:p>
    <w:p w14:paraId="1318A39E" w14:textId="77777777" w:rsidR="00E20666" w:rsidRPr="00133D0E" w:rsidRDefault="00E20666" w:rsidP="00C01FCD">
      <w:pPr>
        <w:spacing w:after="0" w:line="360" w:lineRule="auto"/>
        <w:ind w:firstLine="720"/>
        <w:jc w:val="both"/>
        <w:rPr>
          <w:rFonts w:ascii="Arial" w:hAnsi="Arial" w:cs="Arial"/>
        </w:rPr>
      </w:pPr>
      <w:r w:rsidRPr="00133D0E">
        <w:rPr>
          <w:rFonts w:ascii="Arial" w:hAnsi="Arial" w:cs="Arial"/>
        </w:rPr>
        <w:t xml:space="preserve">• It is appropriate for </w:t>
      </w:r>
      <w:proofErr w:type="spellStart"/>
      <w:r w:rsidRPr="00133D0E">
        <w:rPr>
          <w:rFonts w:ascii="Arial" w:hAnsi="Arial" w:cs="Arial"/>
        </w:rPr>
        <w:t>analysing</w:t>
      </w:r>
      <w:proofErr w:type="spellEnd"/>
      <w:r w:rsidRPr="00133D0E">
        <w:rPr>
          <w:rFonts w:ascii="Arial" w:hAnsi="Arial" w:cs="Arial"/>
        </w:rPr>
        <w:t xml:space="preserve"> large industrial companies.</w:t>
      </w:r>
    </w:p>
    <w:p w14:paraId="3349B09A" w14:textId="77777777" w:rsidR="00E20666" w:rsidRPr="00133D0E" w:rsidRDefault="00E20666" w:rsidP="00C01FCD">
      <w:pPr>
        <w:spacing w:after="0" w:line="360" w:lineRule="auto"/>
        <w:ind w:firstLine="720"/>
        <w:jc w:val="both"/>
        <w:rPr>
          <w:rFonts w:ascii="Arial" w:hAnsi="Arial" w:cs="Arial"/>
        </w:rPr>
      </w:pPr>
      <w:r w:rsidRPr="00133D0E">
        <w:rPr>
          <w:rFonts w:ascii="Arial" w:hAnsi="Arial" w:cs="Arial"/>
        </w:rPr>
        <w:t>• It supports a comparative multi-case methodology.</w:t>
      </w:r>
    </w:p>
    <w:p w14:paraId="2D08D35F" w14:textId="77777777" w:rsidR="00E20666" w:rsidRDefault="00E20666" w:rsidP="00C01FCD">
      <w:pPr>
        <w:spacing w:after="0" w:line="360" w:lineRule="auto"/>
        <w:ind w:firstLine="720"/>
        <w:jc w:val="both"/>
        <w:rPr>
          <w:rFonts w:ascii="Arial" w:hAnsi="Arial" w:cs="Arial"/>
        </w:rPr>
      </w:pPr>
      <w:r w:rsidRPr="00C01FCD">
        <w:rPr>
          <w:rFonts w:ascii="Arial" w:hAnsi="Arial" w:cs="Arial"/>
        </w:rPr>
        <w:t>This allowed me to produce findings that are academically grounded, practically relevant and aligned with modern sustainability expectations.</w:t>
      </w:r>
    </w:p>
    <w:p w14:paraId="245C8A09" w14:textId="77777777" w:rsidR="00856308" w:rsidRPr="00C01FCD" w:rsidRDefault="00856308" w:rsidP="00C01FCD">
      <w:pPr>
        <w:spacing w:after="0" w:line="360" w:lineRule="auto"/>
        <w:ind w:firstLine="720"/>
        <w:jc w:val="both"/>
        <w:rPr>
          <w:rFonts w:ascii="Arial" w:hAnsi="Arial" w:cs="Arial"/>
          <w:lang w:val="bg-BG"/>
        </w:rPr>
      </w:pPr>
    </w:p>
    <w:p w14:paraId="46A1ABAB"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7" w:name="_Toc214615824"/>
      <w:r w:rsidRPr="00856308">
        <w:rPr>
          <w:rFonts w:ascii="Arial" w:hAnsi="Arial" w:cs="Arial"/>
          <w:b/>
          <w:bCs/>
          <w:color w:val="auto"/>
          <w:sz w:val="24"/>
          <w:szCs w:val="24"/>
        </w:rPr>
        <w:t>3.6 Limitations of the Methodology</w:t>
      </w:r>
      <w:bookmarkEnd w:id="27"/>
    </w:p>
    <w:p w14:paraId="434395E3"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 acknowledge several limitations:</w:t>
      </w:r>
    </w:p>
    <w:p w14:paraId="12DA0C58"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1. Reliance on publicly available data</w:t>
      </w:r>
    </w:p>
    <w:p w14:paraId="52184E81"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Some companies (e.g., Zijin </w:t>
      </w:r>
      <w:proofErr w:type="spellStart"/>
      <w:r w:rsidRPr="00C01FCD">
        <w:rPr>
          <w:rFonts w:ascii="Arial" w:hAnsi="Arial" w:cs="Arial"/>
        </w:rPr>
        <w:t>Bor</w:t>
      </w:r>
      <w:proofErr w:type="spellEnd"/>
      <w:r w:rsidRPr="00C01FCD">
        <w:rPr>
          <w:rFonts w:ascii="Arial" w:hAnsi="Arial" w:cs="Arial"/>
        </w:rPr>
        <w:t xml:space="preserve"> Copper) provide limited reporting, which affects the depth of analysis.</w:t>
      </w:r>
    </w:p>
    <w:p w14:paraId="09889018"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2. Lack of primary interviews</w:t>
      </w:r>
    </w:p>
    <w:p w14:paraId="570CAB67"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Interviews could have added more nuance but were beyond the practical scope of this dissertation.</w:t>
      </w:r>
    </w:p>
    <w:p w14:paraId="1C188196"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3. Regulatory variability</w:t>
      </w:r>
    </w:p>
    <w:p w14:paraId="733011EF"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Comparing EU and non-EU companies introduces structural differences in obligations.</w:t>
      </w:r>
    </w:p>
    <w:p w14:paraId="162CF1BE"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4. New projects</w:t>
      </w:r>
    </w:p>
    <w:p w14:paraId="5542B980"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rPr>
        <w:t>Skouries</w:t>
      </w:r>
      <w:proofErr w:type="spellEnd"/>
      <w:r w:rsidRPr="00C01FCD">
        <w:rPr>
          <w:rFonts w:ascii="Arial" w:hAnsi="Arial" w:cs="Arial"/>
        </w:rPr>
        <w:t xml:space="preserve"> and Rovina Valley have limited operational data, making assessment partly theoretical.</w:t>
      </w:r>
    </w:p>
    <w:p w14:paraId="7BD3352B" w14:textId="77777777" w:rsidR="00E20666" w:rsidRDefault="00E20666" w:rsidP="00C01FCD">
      <w:pPr>
        <w:spacing w:after="0" w:line="360" w:lineRule="auto"/>
        <w:ind w:firstLine="720"/>
        <w:jc w:val="both"/>
        <w:rPr>
          <w:rFonts w:ascii="Arial" w:hAnsi="Arial" w:cs="Arial"/>
        </w:rPr>
      </w:pPr>
      <w:r w:rsidRPr="00C01FCD">
        <w:rPr>
          <w:rFonts w:ascii="Arial" w:hAnsi="Arial" w:cs="Arial"/>
        </w:rPr>
        <w:t>Despite these limitations, the triangulation of multiple sources and use of a validated analytical framework ensures that the findings remain robust.</w:t>
      </w:r>
    </w:p>
    <w:p w14:paraId="5D141ED6" w14:textId="77777777" w:rsidR="00856308" w:rsidRPr="00C01FCD" w:rsidRDefault="00856308" w:rsidP="00C01FCD">
      <w:pPr>
        <w:spacing w:after="0" w:line="360" w:lineRule="auto"/>
        <w:ind w:firstLine="720"/>
        <w:jc w:val="both"/>
        <w:rPr>
          <w:rFonts w:ascii="Arial" w:hAnsi="Arial" w:cs="Arial"/>
          <w:lang w:val="bg-BG"/>
        </w:rPr>
      </w:pPr>
    </w:p>
    <w:p w14:paraId="70ABB25F" w14:textId="77777777" w:rsidR="00E20666" w:rsidRPr="00856308" w:rsidRDefault="00E20666" w:rsidP="00856308">
      <w:pPr>
        <w:pStyle w:val="Heading2"/>
        <w:spacing w:before="0" w:line="360" w:lineRule="auto"/>
        <w:ind w:firstLine="720"/>
        <w:rPr>
          <w:rFonts w:ascii="Arial" w:hAnsi="Arial" w:cs="Arial"/>
          <w:b/>
          <w:bCs/>
          <w:color w:val="auto"/>
          <w:sz w:val="24"/>
          <w:szCs w:val="24"/>
        </w:rPr>
      </w:pPr>
      <w:bookmarkStart w:id="28" w:name="_Toc214615825"/>
      <w:r w:rsidRPr="00856308">
        <w:rPr>
          <w:rFonts w:ascii="Arial" w:hAnsi="Arial" w:cs="Arial"/>
          <w:b/>
          <w:bCs/>
          <w:color w:val="auto"/>
          <w:sz w:val="24"/>
          <w:szCs w:val="24"/>
        </w:rPr>
        <w:t>3.7 Summary</w:t>
      </w:r>
      <w:bookmarkEnd w:id="28"/>
    </w:p>
    <w:p w14:paraId="05E6DB2E"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In this chapter, I explained the methodology I used to examine sustainability adaptation in the Balkan copper mining sector. I adopted a multi-case qualitative design supported by secondary data and a structured analytical framework combining ESG, CSRD/ESRS and TCFD principles.</w:t>
      </w:r>
    </w:p>
    <w:p w14:paraId="04732026"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 methodology is grounded in established academic literature, suitable for the research aim, and aligned with practical constraints.</w:t>
      </w:r>
    </w:p>
    <w:p w14:paraId="4FA4FA44"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The next chapter applies this methodology to </w:t>
      </w:r>
      <w:proofErr w:type="spellStart"/>
      <w:r w:rsidRPr="00C01FCD">
        <w:rPr>
          <w:rFonts w:ascii="Arial" w:hAnsi="Arial" w:cs="Arial"/>
        </w:rPr>
        <w:t>analyse</w:t>
      </w:r>
      <w:proofErr w:type="spellEnd"/>
      <w:r w:rsidRPr="00C01FCD">
        <w:rPr>
          <w:rFonts w:ascii="Arial" w:hAnsi="Arial" w:cs="Arial"/>
        </w:rPr>
        <w:t xml:space="preserve"> the six mining companies and present the in-depth case study of </w:t>
      </w: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w:t>
      </w:r>
    </w:p>
    <w:p w14:paraId="0721DFD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br w:type="page"/>
      </w:r>
    </w:p>
    <w:p w14:paraId="39950C7A" w14:textId="77777777" w:rsidR="00E20666" w:rsidRDefault="00E20666" w:rsidP="00724875">
      <w:pPr>
        <w:pStyle w:val="Heading1"/>
        <w:spacing w:before="0" w:line="360" w:lineRule="auto"/>
        <w:ind w:firstLine="720"/>
        <w:jc w:val="both"/>
        <w:rPr>
          <w:rFonts w:ascii="Arial" w:hAnsi="Arial" w:cs="Arial"/>
          <w:b/>
          <w:bCs/>
          <w:color w:val="auto"/>
          <w:kern w:val="2"/>
          <w:sz w:val="28"/>
          <w:szCs w:val="28"/>
          <w14:ligatures w14:val="standardContextual"/>
        </w:rPr>
      </w:pPr>
      <w:bookmarkStart w:id="29" w:name="_Toc214615826"/>
      <w:r w:rsidRPr="00724875">
        <w:rPr>
          <w:rFonts w:ascii="Arial" w:hAnsi="Arial" w:cs="Arial"/>
          <w:b/>
          <w:bCs/>
          <w:color w:val="auto"/>
          <w:kern w:val="2"/>
          <w:sz w:val="28"/>
          <w:szCs w:val="28"/>
          <w14:ligatures w14:val="standardContextual"/>
        </w:rPr>
        <w:lastRenderedPageBreak/>
        <w:t>CHAPTER 4: ANALYSIS AND DISCUSSION</w:t>
      </w:r>
      <w:bookmarkEnd w:id="29"/>
    </w:p>
    <w:p w14:paraId="17382677" w14:textId="77777777" w:rsidR="00724875" w:rsidRPr="00724875" w:rsidRDefault="00724875" w:rsidP="00724875"/>
    <w:p w14:paraId="260C8834" w14:textId="77777777" w:rsidR="00E20666" w:rsidRPr="00724875" w:rsidRDefault="00E20666" w:rsidP="00724875">
      <w:pPr>
        <w:pStyle w:val="Heading2"/>
        <w:spacing w:before="0" w:line="360" w:lineRule="auto"/>
        <w:ind w:firstLine="720"/>
        <w:rPr>
          <w:rFonts w:ascii="Arial" w:hAnsi="Arial" w:cs="Arial"/>
          <w:b/>
          <w:bCs/>
          <w:color w:val="auto"/>
          <w:sz w:val="24"/>
          <w:szCs w:val="24"/>
        </w:rPr>
      </w:pPr>
      <w:bookmarkStart w:id="30" w:name="_Toc214615827"/>
      <w:r w:rsidRPr="00724875">
        <w:rPr>
          <w:rFonts w:ascii="Arial" w:hAnsi="Arial" w:cs="Arial"/>
          <w:b/>
          <w:bCs/>
          <w:color w:val="auto"/>
          <w:sz w:val="24"/>
          <w:szCs w:val="24"/>
        </w:rPr>
        <w:t>4.1 Introduction</w:t>
      </w:r>
      <w:bookmarkEnd w:id="30"/>
    </w:p>
    <w:p w14:paraId="49D1EB3D"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In this chapter, I present the findings of the comparative multi-case analysis I conducted on six mining companies operating in the Balkan region: </w:t>
      </w: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w:t>
      </w:r>
      <w:proofErr w:type="spellStart"/>
      <w:r w:rsidRPr="00C01FCD">
        <w:rPr>
          <w:rFonts w:ascii="Arial" w:hAnsi="Arial" w:cs="Arial"/>
        </w:rPr>
        <w:t>Assarel</w:t>
      </w:r>
      <w:proofErr w:type="spellEnd"/>
      <w:r w:rsidRPr="00C01FCD">
        <w:rPr>
          <w:rFonts w:ascii="Arial" w:hAnsi="Arial" w:cs="Arial"/>
        </w:rPr>
        <w:t xml:space="preserve">-Medet, Dundee Precious Metals, Zijin </w:t>
      </w:r>
      <w:proofErr w:type="spellStart"/>
      <w:r w:rsidRPr="00C01FCD">
        <w:rPr>
          <w:rFonts w:ascii="Arial" w:hAnsi="Arial" w:cs="Arial"/>
        </w:rPr>
        <w:t>Bor</w:t>
      </w:r>
      <w:proofErr w:type="spellEnd"/>
      <w:r w:rsidRPr="00C01FCD">
        <w:rPr>
          <w:rFonts w:ascii="Arial" w:hAnsi="Arial" w:cs="Arial"/>
        </w:rPr>
        <w:t xml:space="preserve"> Copper, </w:t>
      </w:r>
      <w:proofErr w:type="spellStart"/>
      <w:r w:rsidRPr="00C01FCD">
        <w:rPr>
          <w:rFonts w:ascii="Arial" w:hAnsi="Arial" w:cs="Arial"/>
        </w:rPr>
        <w:t>Skouries</w:t>
      </w:r>
      <w:proofErr w:type="spellEnd"/>
      <w:r w:rsidRPr="00C01FCD">
        <w:rPr>
          <w:rFonts w:ascii="Arial" w:hAnsi="Arial" w:cs="Arial"/>
        </w:rPr>
        <w:t xml:space="preserve"> (</w:t>
      </w:r>
      <w:proofErr w:type="spellStart"/>
      <w:r w:rsidRPr="00C01FCD">
        <w:rPr>
          <w:rFonts w:ascii="Arial" w:hAnsi="Arial" w:cs="Arial"/>
        </w:rPr>
        <w:t>Halkidiki</w:t>
      </w:r>
      <w:proofErr w:type="spellEnd"/>
      <w:r w:rsidRPr="00C01FCD">
        <w:rPr>
          <w:rFonts w:ascii="Arial" w:hAnsi="Arial" w:cs="Arial"/>
        </w:rPr>
        <w:t>) and Rovina Valley (Romania). Using the analytical framework developed in Chapter 3</w:t>
      </w:r>
      <w:r w:rsidRPr="00C01FCD">
        <w:rPr>
          <w:rFonts w:ascii="Arial" w:hAnsi="Arial" w:cs="Arial"/>
          <w:lang w:val="bg-BG"/>
        </w:rPr>
        <w:t xml:space="preserve"> </w:t>
      </w:r>
      <w:r w:rsidRPr="00C01FCD">
        <w:rPr>
          <w:rFonts w:ascii="Arial" w:hAnsi="Arial" w:cs="Arial"/>
        </w:rPr>
        <w:t>—</w:t>
      </w:r>
      <w:r w:rsidRPr="00C01FCD">
        <w:rPr>
          <w:rFonts w:ascii="Arial" w:hAnsi="Arial" w:cs="Arial"/>
          <w:lang w:val="bg-BG"/>
        </w:rPr>
        <w:t xml:space="preserve"> </w:t>
      </w:r>
      <w:r w:rsidRPr="00C01FCD">
        <w:rPr>
          <w:rFonts w:ascii="Arial" w:hAnsi="Arial" w:cs="Arial"/>
        </w:rPr>
        <w:t>combining ESG criteria, CSRD/ESRS requirements and the TCFD climate risk structure</w:t>
      </w:r>
      <w:r w:rsidRPr="00C01FCD">
        <w:rPr>
          <w:rFonts w:ascii="Arial" w:hAnsi="Arial" w:cs="Arial"/>
          <w:lang w:val="bg-BG"/>
        </w:rPr>
        <w:t xml:space="preserve"> </w:t>
      </w:r>
      <w:r w:rsidRPr="00C01FCD">
        <w:rPr>
          <w:rFonts w:ascii="Arial" w:hAnsi="Arial" w:cs="Arial"/>
        </w:rPr>
        <w:t>—</w:t>
      </w:r>
      <w:r w:rsidRPr="00C01FCD">
        <w:rPr>
          <w:rFonts w:ascii="Arial" w:hAnsi="Arial" w:cs="Arial"/>
          <w:lang w:val="bg-BG"/>
        </w:rPr>
        <w:t xml:space="preserve"> </w:t>
      </w:r>
      <w:r w:rsidRPr="00C01FCD">
        <w:rPr>
          <w:rFonts w:ascii="Arial" w:hAnsi="Arial" w:cs="Arial"/>
        </w:rPr>
        <w:t>I evaluate the extent to which these companies are adapting to sustainability expectations and regulatory developments.</w:t>
      </w:r>
    </w:p>
    <w:p w14:paraId="153A4D6B" w14:textId="77777777" w:rsidR="00E20666" w:rsidRDefault="00E20666" w:rsidP="00C01FCD">
      <w:pPr>
        <w:spacing w:after="0" w:line="360" w:lineRule="auto"/>
        <w:ind w:firstLine="720"/>
        <w:jc w:val="both"/>
        <w:rPr>
          <w:rFonts w:ascii="Arial" w:hAnsi="Arial" w:cs="Arial"/>
        </w:rPr>
      </w:pPr>
      <w:r w:rsidRPr="00C01FCD">
        <w:rPr>
          <w:rFonts w:ascii="Arial" w:hAnsi="Arial" w:cs="Arial"/>
        </w:rPr>
        <w:t xml:space="preserve">I first assess their ESG performance, then compare their practices, and finally examine their climate-risk readiness and regulatory alignment. The chapter concludes with an in-depth case study of </w:t>
      </w: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illustrating how one of the region’s leading operations approaches sustainability and technological </w:t>
      </w:r>
      <w:proofErr w:type="spellStart"/>
      <w:r w:rsidRPr="00C01FCD">
        <w:rPr>
          <w:rFonts w:ascii="Arial" w:hAnsi="Arial" w:cs="Arial"/>
        </w:rPr>
        <w:t>modernisation</w:t>
      </w:r>
      <w:proofErr w:type="spellEnd"/>
      <w:r w:rsidRPr="00C01FCD">
        <w:rPr>
          <w:rFonts w:ascii="Arial" w:hAnsi="Arial" w:cs="Arial"/>
        </w:rPr>
        <w:t>.</w:t>
      </w:r>
    </w:p>
    <w:p w14:paraId="15E78613" w14:textId="77777777" w:rsidR="00724875" w:rsidRPr="00C01FCD" w:rsidRDefault="00724875" w:rsidP="00C01FCD">
      <w:pPr>
        <w:spacing w:after="0" w:line="360" w:lineRule="auto"/>
        <w:ind w:firstLine="720"/>
        <w:jc w:val="both"/>
        <w:rPr>
          <w:rFonts w:ascii="Arial" w:hAnsi="Arial" w:cs="Arial"/>
          <w:lang w:val="bg-BG"/>
        </w:rPr>
      </w:pPr>
    </w:p>
    <w:p w14:paraId="78B8B592" w14:textId="77777777" w:rsidR="00E20666" w:rsidRPr="00724875" w:rsidRDefault="00E20666" w:rsidP="00724875">
      <w:pPr>
        <w:pStyle w:val="Heading2"/>
        <w:spacing w:before="0" w:line="360" w:lineRule="auto"/>
        <w:ind w:firstLine="720"/>
        <w:rPr>
          <w:rFonts w:ascii="Arial" w:hAnsi="Arial" w:cs="Arial"/>
          <w:b/>
          <w:bCs/>
          <w:color w:val="auto"/>
          <w:sz w:val="24"/>
          <w:szCs w:val="24"/>
        </w:rPr>
      </w:pPr>
      <w:bookmarkStart w:id="31" w:name="_Toc214615828"/>
      <w:r w:rsidRPr="00724875">
        <w:rPr>
          <w:rFonts w:ascii="Arial" w:hAnsi="Arial" w:cs="Arial"/>
          <w:b/>
          <w:bCs/>
          <w:color w:val="auto"/>
          <w:sz w:val="24"/>
          <w:szCs w:val="24"/>
        </w:rPr>
        <w:t>4.2 ESG Performance Across the Six Companies</w:t>
      </w:r>
      <w:bookmarkEnd w:id="31"/>
    </w:p>
    <w:p w14:paraId="611A889D"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32" w:name="_Toc214615829"/>
      <w:r w:rsidRPr="00934A95">
        <w:rPr>
          <w:rFonts w:ascii="Arial" w:eastAsia="Times New Roman" w:hAnsi="Arial" w:cs="Arial"/>
          <w:b/>
          <w:bCs/>
          <w:color w:val="auto"/>
        </w:rPr>
        <w:t>4.2.1 Environmental Performance</w:t>
      </w:r>
      <w:bookmarkEnd w:id="32"/>
    </w:p>
    <w:p w14:paraId="51F7E28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Environmental performance varied significantly across the companies. The strongest performers, based on my analysis of published data, are </w:t>
      </w: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and </w:t>
      </w:r>
      <w:r w:rsidRPr="00C01FCD">
        <w:rPr>
          <w:rFonts w:ascii="Arial" w:hAnsi="Arial" w:cs="Arial"/>
          <w:b/>
          <w:bCs/>
        </w:rPr>
        <w:t>Dundee Precious Metals</w:t>
      </w:r>
      <w:r w:rsidRPr="00C01FCD">
        <w:rPr>
          <w:rFonts w:ascii="Arial" w:hAnsi="Arial" w:cs="Arial"/>
        </w:rPr>
        <w:t>.</w:t>
      </w:r>
    </w:p>
    <w:p w14:paraId="2DB91ED2"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demonstrates consistent long-term investment in reducing environmental impact. Its high-technology wastewater treatment infrastructure, developed using </w:t>
      </w:r>
      <w:r w:rsidRPr="00C01FCD">
        <w:rPr>
          <w:rFonts w:ascii="Arial" w:hAnsi="Arial" w:cs="Arial"/>
          <w:b/>
          <w:bCs/>
        </w:rPr>
        <w:t>Mitsubishi</w:t>
      </w:r>
      <w:r w:rsidRPr="00C01FCD">
        <w:rPr>
          <w:rFonts w:ascii="Arial" w:hAnsi="Arial" w:cs="Arial"/>
        </w:rPr>
        <w:t xml:space="preserve"> and </w:t>
      </w:r>
      <w:proofErr w:type="spellStart"/>
      <w:r w:rsidRPr="00C01FCD">
        <w:rPr>
          <w:rFonts w:ascii="Arial" w:hAnsi="Arial" w:cs="Arial"/>
          <w:b/>
          <w:bCs/>
        </w:rPr>
        <w:t>EnviroChemie</w:t>
      </w:r>
      <w:proofErr w:type="spellEnd"/>
      <w:r w:rsidRPr="00C01FCD">
        <w:rPr>
          <w:rFonts w:ascii="Arial" w:hAnsi="Arial" w:cs="Arial"/>
        </w:rPr>
        <w:t xml:space="preserve"> systems, enables advanced water purification, closed-loop water reuse and strict quality controls. The company also operates modern air-emission monitoring systems and applies progressive tailings management practices.</w:t>
      </w:r>
    </w:p>
    <w:p w14:paraId="31E01B5B"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b/>
          <w:bCs/>
        </w:rPr>
        <w:t>Dundee Precious Metals</w:t>
      </w:r>
      <w:r w:rsidRPr="00C01FCD">
        <w:rPr>
          <w:rFonts w:ascii="Arial" w:hAnsi="Arial" w:cs="Arial"/>
        </w:rPr>
        <w:t xml:space="preserve"> shows equally strong environmental practices, supported by transparent reporting under the GRI framework and a well-developed environmental management system. Dundee’s monitoring infrastructure is one of the most sophisticated in the region.</w:t>
      </w:r>
    </w:p>
    <w:p w14:paraId="7D864D51"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Assarel</w:t>
      </w:r>
      <w:proofErr w:type="spellEnd"/>
      <w:r w:rsidRPr="00C01FCD">
        <w:rPr>
          <w:rFonts w:ascii="Arial" w:hAnsi="Arial" w:cs="Arial"/>
          <w:b/>
          <w:bCs/>
        </w:rPr>
        <w:t>-Medet</w:t>
      </w:r>
      <w:r w:rsidRPr="00C01FCD">
        <w:rPr>
          <w:rFonts w:ascii="Arial" w:hAnsi="Arial" w:cs="Arial"/>
        </w:rPr>
        <w:t xml:space="preserve"> performs reasonably well but shows fewer advanced technological investments compared to </w:t>
      </w:r>
      <w:proofErr w:type="spellStart"/>
      <w:r w:rsidRPr="00C01FCD">
        <w:rPr>
          <w:rFonts w:ascii="Arial" w:hAnsi="Arial" w:cs="Arial"/>
        </w:rPr>
        <w:t>Ellatzite</w:t>
      </w:r>
      <w:proofErr w:type="spellEnd"/>
      <w:r w:rsidRPr="00C01FCD">
        <w:rPr>
          <w:rFonts w:ascii="Arial" w:hAnsi="Arial" w:cs="Arial"/>
        </w:rPr>
        <w:t>-Med or Dundee.</w:t>
      </w:r>
    </w:p>
    <w:p w14:paraId="245125C5"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In contrast, </w:t>
      </w:r>
      <w:r w:rsidRPr="00C01FCD">
        <w:rPr>
          <w:rFonts w:ascii="Arial" w:hAnsi="Arial" w:cs="Arial"/>
          <w:b/>
          <w:bCs/>
        </w:rPr>
        <w:t xml:space="preserve">Zijin </w:t>
      </w:r>
      <w:proofErr w:type="spellStart"/>
      <w:r w:rsidRPr="00C01FCD">
        <w:rPr>
          <w:rFonts w:ascii="Arial" w:hAnsi="Arial" w:cs="Arial"/>
          <w:b/>
          <w:bCs/>
        </w:rPr>
        <w:t>Bor</w:t>
      </w:r>
      <w:proofErr w:type="spellEnd"/>
      <w:r w:rsidRPr="00C01FCD">
        <w:rPr>
          <w:rFonts w:ascii="Arial" w:hAnsi="Arial" w:cs="Arial"/>
          <w:b/>
          <w:bCs/>
        </w:rPr>
        <w:t xml:space="preserve"> Copper</w:t>
      </w:r>
      <w:r w:rsidRPr="00C01FCD">
        <w:rPr>
          <w:rFonts w:ascii="Arial" w:hAnsi="Arial" w:cs="Arial"/>
        </w:rPr>
        <w:t xml:space="preserve"> presents weaker environmental transparency. While the parent group demonstrates strong corporate-level ESG maturity, local disclosures remain limited.</w:t>
      </w:r>
    </w:p>
    <w:p w14:paraId="5822CE75"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The two new projects—</w:t>
      </w:r>
      <w:proofErr w:type="spellStart"/>
      <w:r w:rsidRPr="00C01FCD">
        <w:rPr>
          <w:rFonts w:ascii="Arial" w:hAnsi="Arial" w:cs="Arial"/>
          <w:b/>
          <w:bCs/>
        </w:rPr>
        <w:t>Skouries</w:t>
      </w:r>
      <w:proofErr w:type="spellEnd"/>
      <w:r w:rsidRPr="00C01FCD">
        <w:rPr>
          <w:rFonts w:ascii="Arial" w:hAnsi="Arial" w:cs="Arial"/>
        </w:rPr>
        <w:t xml:space="preserve"> and </w:t>
      </w:r>
      <w:r w:rsidRPr="00C01FCD">
        <w:rPr>
          <w:rFonts w:ascii="Arial" w:hAnsi="Arial" w:cs="Arial"/>
          <w:b/>
          <w:bCs/>
        </w:rPr>
        <w:t>Rovina Valley</w:t>
      </w:r>
      <w:r w:rsidRPr="00C01FCD">
        <w:rPr>
          <w:rFonts w:ascii="Arial" w:hAnsi="Arial" w:cs="Arial"/>
        </w:rPr>
        <w:t>—outline strong environmental intentions but do not yet have operational data. Their claims remain theoretical until production begins.</w:t>
      </w:r>
    </w:p>
    <w:p w14:paraId="4A573AD1"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33" w:name="_Toc214615830"/>
      <w:r w:rsidRPr="00934A95">
        <w:rPr>
          <w:rFonts w:ascii="Arial" w:eastAsia="Times New Roman" w:hAnsi="Arial" w:cs="Arial"/>
          <w:b/>
          <w:bCs/>
          <w:color w:val="auto"/>
        </w:rPr>
        <w:lastRenderedPageBreak/>
        <w:t>4.2.2 Social Performance</w:t>
      </w:r>
      <w:bookmarkEnd w:id="33"/>
    </w:p>
    <w:p w14:paraId="0F78356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Across the region, I observed a generally strong social commitment, particularly in Bulgaria, where community relations and worker safety are highly regulated.</w:t>
      </w:r>
    </w:p>
    <w:p w14:paraId="11A4685D"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has established long-term partnerships with local municipalities, invests heavily in employee training and maintains robust occupational safety </w:t>
      </w:r>
      <w:proofErr w:type="spellStart"/>
      <w:r w:rsidRPr="00C01FCD">
        <w:rPr>
          <w:rFonts w:ascii="Arial" w:hAnsi="Arial" w:cs="Arial"/>
        </w:rPr>
        <w:t>programmes</w:t>
      </w:r>
      <w:proofErr w:type="spellEnd"/>
      <w:r w:rsidRPr="00C01FCD">
        <w:rPr>
          <w:rFonts w:ascii="Arial" w:hAnsi="Arial" w:cs="Arial"/>
        </w:rPr>
        <w:t>. The company reports relatively low accident rates and undertakes continuous workforce development initiatives.</w:t>
      </w:r>
    </w:p>
    <w:p w14:paraId="6B446C02"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b/>
          <w:bCs/>
        </w:rPr>
        <w:t>Dundee Precious Metals</w:t>
      </w:r>
      <w:r w:rsidRPr="00C01FCD">
        <w:rPr>
          <w:rFonts w:ascii="Arial" w:hAnsi="Arial" w:cs="Arial"/>
        </w:rPr>
        <w:t xml:space="preserve"> appears to be the strongest performer in social engagement, featuring detailed safety metrics, cultural heritage preservation initiatives and transparent community reporting.</w:t>
      </w:r>
    </w:p>
    <w:p w14:paraId="3AF079B8"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Assarel</w:t>
      </w:r>
      <w:proofErr w:type="spellEnd"/>
      <w:r w:rsidRPr="00C01FCD">
        <w:rPr>
          <w:rFonts w:ascii="Arial" w:hAnsi="Arial" w:cs="Arial"/>
          <w:b/>
          <w:bCs/>
        </w:rPr>
        <w:t>-Medet</w:t>
      </w:r>
      <w:r w:rsidRPr="00C01FCD">
        <w:rPr>
          <w:rFonts w:ascii="Arial" w:hAnsi="Arial" w:cs="Arial"/>
        </w:rPr>
        <w:t xml:space="preserve"> demonstrates similar strengths, while </w:t>
      </w:r>
      <w:r w:rsidRPr="00C01FCD">
        <w:rPr>
          <w:rFonts w:ascii="Arial" w:hAnsi="Arial" w:cs="Arial"/>
          <w:b/>
          <w:bCs/>
        </w:rPr>
        <w:t xml:space="preserve">Zijin </w:t>
      </w:r>
      <w:proofErr w:type="spellStart"/>
      <w:r w:rsidRPr="00C01FCD">
        <w:rPr>
          <w:rFonts w:ascii="Arial" w:hAnsi="Arial" w:cs="Arial"/>
          <w:b/>
          <w:bCs/>
        </w:rPr>
        <w:t>Bor</w:t>
      </w:r>
      <w:proofErr w:type="spellEnd"/>
      <w:r w:rsidRPr="00C01FCD">
        <w:rPr>
          <w:rFonts w:ascii="Arial" w:hAnsi="Arial" w:cs="Arial"/>
          <w:b/>
          <w:bCs/>
        </w:rPr>
        <w:t xml:space="preserve"> Copper</w:t>
      </w:r>
      <w:r w:rsidRPr="00C01FCD">
        <w:rPr>
          <w:rFonts w:ascii="Arial" w:hAnsi="Arial" w:cs="Arial"/>
        </w:rPr>
        <w:t xml:space="preserve"> is constrained by limited public social reporting at the local level.</w:t>
      </w:r>
    </w:p>
    <w:p w14:paraId="367A5E63"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 xml:space="preserve">Again, </w:t>
      </w:r>
      <w:proofErr w:type="spellStart"/>
      <w:r w:rsidRPr="00C01FCD">
        <w:rPr>
          <w:rFonts w:ascii="Arial" w:hAnsi="Arial" w:cs="Arial"/>
          <w:b/>
          <w:bCs/>
        </w:rPr>
        <w:t>Skouries</w:t>
      </w:r>
      <w:proofErr w:type="spellEnd"/>
      <w:r w:rsidRPr="00C01FCD">
        <w:rPr>
          <w:rFonts w:ascii="Arial" w:hAnsi="Arial" w:cs="Arial"/>
        </w:rPr>
        <w:t xml:space="preserve"> and </w:t>
      </w:r>
      <w:r w:rsidRPr="00C01FCD">
        <w:rPr>
          <w:rFonts w:ascii="Arial" w:hAnsi="Arial" w:cs="Arial"/>
          <w:b/>
          <w:bCs/>
        </w:rPr>
        <w:t>Rovina Valley</w:t>
      </w:r>
      <w:r w:rsidRPr="00C01FCD">
        <w:rPr>
          <w:rFonts w:ascii="Arial" w:hAnsi="Arial" w:cs="Arial"/>
        </w:rPr>
        <w:t xml:space="preserve"> offer strong theoretical social frameworks but lack operational evidence.</w:t>
      </w:r>
    </w:p>
    <w:p w14:paraId="0F83CDF1"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34" w:name="_Toc214615831"/>
      <w:r w:rsidRPr="00934A95">
        <w:rPr>
          <w:rFonts w:ascii="Arial" w:eastAsia="Times New Roman" w:hAnsi="Arial" w:cs="Arial"/>
          <w:b/>
          <w:bCs/>
          <w:color w:val="auto"/>
        </w:rPr>
        <w:t>4.2.3 Governance and Transparency</w:t>
      </w:r>
      <w:bookmarkEnd w:id="34"/>
    </w:p>
    <w:p w14:paraId="4E803F16"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Governance and transparency emerged as the clearest differentiating factors in my analysis.</w:t>
      </w:r>
    </w:p>
    <w:p w14:paraId="29011319"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b/>
          <w:bCs/>
        </w:rPr>
        <w:t>Dundee Precious Metals</w:t>
      </w:r>
      <w:r w:rsidRPr="00C01FCD">
        <w:rPr>
          <w:rFonts w:ascii="Arial" w:hAnsi="Arial" w:cs="Arial"/>
        </w:rPr>
        <w:t xml:space="preserve"> is the regional leader in governance reporting, with detailed disclosures on board structure, risk management, sustainability governance and ethics policies. Its corporate </w:t>
      </w:r>
      <w:proofErr w:type="spellStart"/>
      <w:r w:rsidRPr="00C01FCD">
        <w:rPr>
          <w:rFonts w:ascii="Arial" w:hAnsi="Arial" w:cs="Arial"/>
        </w:rPr>
        <w:t>behaviour</w:t>
      </w:r>
      <w:proofErr w:type="spellEnd"/>
      <w:r w:rsidRPr="00C01FCD">
        <w:rPr>
          <w:rFonts w:ascii="Arial" w:hAnsi="Arial" w:cs="Arial"/>
        </w:rPr>
        <w:t xml:space="preserve"> aligns strongly with CSRD and ESRS expectations.</w:t>
      </w:r>
    </w:p>
    <w:p w14:paraId="29467356"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demonstrates solid internal governance practices, including structured responsibilities for sustainability oversight and transparent reporting of key environmental and safety indicators. While its reporting is less extensive than Dundee’s, its operational governance systems are advanced, well-integrated and aligned with EU best practices.</w:t>
      </w:r>
    </w:p>
    <w:p w14:paraId="0EC36823"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Assarel</w:t>
      </w:r>
      <w:proofErr w:type="spellEnd"/>
      <w:r w:rsidRPr="00C01FCD">
        <w:rPr>
          <w:rFonts w:ascii="Arial" w:hAnsi="Arial" w:cs="Arial"/>
          <w:b/>
          <w:bCs/>
        </w:rPr>
        <w:t>-Medet</w:t>
      </w:r>
      <w:r w:rsidRPr="00C01FCD">
        <w:rPr>
          <w:rFonts w:ascii="Arial" w:hAnsi="Arial" w:cs="Arial"/>
        </w:rPr>
        <w:t xml:space="preserve"> reports fewer governance indicators and will require structural enhancements to meet full ESRS expectations.</w:t>
      </w:r>
    </w:p>
    <w:p w14:paraId="797EBB89" w14:textId="77777777" w:rsidR="00E20666" w:rsidRDefault="00E20666" w:rsidP="00C01FCD">
      <w:pPr>
        <w:spacing w:after="0" w:line="360" w:lineRule="auto"/>
        <w:ind w:firstLine="720"/>
        <w:jc w:val="both"/>
        <w:rPr>
          <w:rFonts w:ascii="Arial" w:hAnsi="Arial" w:cs="Arial"/>
        </w:rPr>
      </w:pPr>
      <w:r w:rsidRPr="00C01FCD">
        <w:rPr>
          <w:rFonts w:ascii="Arial" w:hAnsi="Arial" w:cs="Arial"/>
          <w:b/>
          <w:bCs/>
        </w:rPr>
        <w:t xml:space="preserve">Zijin </w:t>
      </w:r>
      <w:proofErr w:type="spellStart"/>
      <w:r w:rsidRPr="00C01FCD">
        <w:rPr>
          <w:rFonts w:ascii="Arial" w:hAnsi="Arial" w:cs="Arial"/>
          <w:b/>
          <w:bCs/>
        </w:rPr>
        <w:t>Bor</w:t>
      </w:r>
      <w:proofErr w:type="spellEnd"/>
      <w:r w:rsidRPr="00C01FCD">
        <w:rPr>
          <w:rFonts w:ascii="Arial" w:hAnsi="Arial" w:cs="Arial"/>
          <w:b/>
          <w:bCs/>
        </w:rPr>
        <w:t xml:space="preserve"> Copper</w:t>
      </w:r>
      <w:r w:rsidRPr="00C01FCD">
        <w:rPr>
          <w:rFonts w:ascii="Arial" w:hAnsi="Arial" w:cs="Arial"/>
        </w:rPr>
        <w:t xml:space="preserve"> shows the weakest transparency at the local level, in contrast to its parent company, which publishes a comprehensive GRI-based sustainability report.</w:t>
      </w:r>
    </w:p>
    <w:p w14:paraId="64A953DC" w14:textId="77777777" w:rsidR="00934A95" w:rsidRPr="00C01FCD" w:rsidRDefault="00934A95" w:rsidP="00C01FCD">
      <w:pPr>
        <w:spacing w:after="0" w:line="360" w:lineRule="auto"/>
        <w:ind w:firstLine="720"/>
        <w:jc w:val="both"/>
        <w:rPr>
          <w:rFonts w:ascii="Arial" w:hAnsi="Arial" w:cs="Arial"/>
          <w:lang w:val="bg-BG"/>
        </w:rPr>
      </w:pPr>
    </w:p>
    <w:p w14:paraId="0DED7926" w14:textId="77777777" w:rsidR="00E20666" w:rsidRPr="00934A95" w:rsidRDefault="00E20666" w:rsidP="00934A95">
      <w:pPr>
        <w:pStyle w:val="Heading2"/>
        <w:spacing w:before="0" w:line="360" w:lineRule="auto"/>
        <w:ind w:firstLine="720"/>
        <w:rPr>
          <w:rFonts w:ascii="Arial" w:hAnsi="Arial" w:cs="Arial"/>
          <w:b/>
          <w:bCs/>
          <w:color w:val="auto"/>
          <w:sz w:val="24"/>
          <w:szCs w:val="24"/>
        </w:rPr>
      </w:pPr>
      <w:bookmarkStart w:id="35" w:name="_Toc214615832"/>
      <w:r w:rsidRPr="00934A95">
        <w:rPr>
          <w:rFonts w:ascii="Arial" w:hAnsi="Arial" w:cs="Arial"/>
          <w:b/>
          <w:bCs/>
          <w:color w:val="auto"/>
          <w:sz w:val="24"/>
          <w:szCs w:val="24"/>
        </w:rPr>
        <w:t>4.3 Cross-Case Comparison</w:t>
      </w:r>
      <w:bookmarkEnd w:id="35"/>
    </w:p>
    <w:p w14:paraId="6A4D5C6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My cross-case comparison reveals three major patterns:</w:t>
      </w:r>
    </w:p>
    <w:p w14:paraId="34DDCA35"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Pattern 1: ESG maturity is higher within EU Member States</w:t>
      </w:r>
    </w:p>
    <w:p w14:paraId="3BA32C5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Bulgarian companies demonstrate significantly stronger ESG structures than the non-EU entity in Serbia. EU regulation plays a central role in shaping sustainability </w:t>
      </w:r>
      <w:proofErr w:type="spellStart"/>
      <w:r w:rsidRPr="00C01FCD">
        <w:rPr>
          <w:rFonts w:ascii="Arial" w:hAnsi="Arial" w:cs="Arial"/>
        </w:rPr>
        <w:t>behaviours</w:t>
      </w:r>
      <w:proofErr w:type="spellEnd"/>
      <w:r w:rsidRPr="00C01FCD">
        <w:rPr>
          <w:rFonts w:ascii="Arial" w:hAnsi="Arial" w:cs="Arial"/>
        </w:rPr>
        <w:t>.</w:t>
      </w:r>
    </w:p>
    <w:p w14:paraId="7DE904AE"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t>Pattern 2: Technological innovation correlates with stronger environmental outcomes</w:t>
      </w:r>
    </w:p>
    <w:p w14:paraId="6F6589CF"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rPr>
        <w:t>Ellatzite</w:t>
      </w:r>
      <w:proofErr w:type="spellEnd"/>
      <w:r w:rsidRPr="00C01FCD">
        <w:rPr>
          <w:rFonts w:ascii="Arial" w:hAnsi="Arial" w:cs="Arial"/>
        </w:rPr>
        <w:t xml:space="preserve">-Med’s investment in wastewater treatment, AI </w:t>
      </w:r>
      <w:proofErr w:type="spellStart"/>
      <w:r w:rsidRPr="00C01FCD">
        <w:rPr>
          <w:rFonts w:ascii="Arial" w:hAnsi="Arial" w:cs="Arial"/>
        </w:rPr>
        <w:t>optimisation</w:t>
      </w:r>
      <w:proofErr w:type="spellEnd"/>
      <w:r w:rsidRPr="00C01FCD">
        <w:rPr>
          <w:rFonts w:ascii="Arial" w:hAnsi="Arial" w:cs="Arial"/>
        </w:rPr>
        <w:t xml:space="preserve"> and </w:t>
      </w:r>
      <w:proofErr w:type="spellStart"/>
      <w:r w:rsidRPr="00C01FCD">
        <w:rPr>
          <w:rFonts w:ascii="Arial" w:hAnsi="Arial" w:cs="Arial"/>
        </w:rPr>
        <w:t>digitalisation</w:t>
      </w:r>
      <w:proofErr w:type="spellEnd"/>
      <w:r w:rsidRPr="00C01FCD">
        <w:rPr>
          <w:rFonts w:ascii="Arial" w:hAnsi="Arial" w:cs="Arial"/>
        </w:rPr>
        <w:t xml:space="preserve"> significantly enhances its sustainability performance. Dundee demonstrates similar advantages through transparent monitoring systems.</w:t>
      </w:r>
    </w:p>
    <w:p w14:paraId="2564BB1E" w14:textId="77777777" w:rsidR="00E20666" w:rsidRPr="00C01FCD" w:rsidRDefault="00E20666" w:rsidP="00C01FCD">
      <w:pPr>
        <w:spacing w:after="0" w:line="360" w:lineRule="auto"/>
        <w:ind w:firstLine="720"/>
        <w:jc w:val="both"/>
        <w:rPr>
          <w:rFonts w:ascii="Arial" w:hAnsi="Arial" w:cs="Arial"/>
          <w:b/>
          <w:bCs/>
        </w:rPr>
      </w:pPr>
      <w:r w:rsidRPr="00C01FCD">
        <w:rPr>
          <w:rFonts w:ascii="Arial" w:hAnsi="Arial" w:cs="Arial"/>
          <w:b/>
          <w:bCs/>
        </w:rPr>
        <w:lastRenderedPageBreak/>
        <w:t>Pattern 3: Transparency is the most important differentiator</w:t>
      </w:r>
    </w:p>
    <w:p w14:paraId="246B3D8D"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rPr>
        <w:t xml:space="preserve">Transparency distinguishes industry leaders (Dundee, </w:t>
      </w:r>
      <w:proofErr w:type="spellStart"/>
      <w:r w:rsidRPr="00C01FCD">
        <w:rPr>
          <w:rFonts w:ascii="Arial" w:hAnsi="Arial" w:cs="Arial"/>
        </w:rPr>
        <w:t>Ellatzite</w:t>
      </w:r>
      <w:proofErr w:type="spellEnd"/>
      <w:r w:rsidRPr="00C01FCD">
        <w:rPr>
          <w:rFonts w:ascii="Arial" w:hAnsi="Arial" w:cs="Arial"/>
        </w:rPr>
        <w:t xml:space="preserve">-Med) from lagging </w:t>
      </w:r>
      <w:proofErr w:type="spellStart"/>
      <w:r w:rsidRPr="00C01FCD">
        <w:rPr>
          <w:rFonts w:ascii="Arial" w:hAnsi="Arial" w:cs="Arial"/>
        </w:rPr>
        <w:t>organisations</w:t>
      </w:r>
      <w:proofErr w:type="spellEnd"/>
      <w:r w:rsidRPr="00C01FCD">
        <w:rPr>
          <w:rFonts w:ascii="Arial" w:hAnsi="Arial" w:cs="Arial"/>
        </w:rPr>
        <w:t xml:space="preserve"> (Zijin </w:t>
      </w:r>
      <w:proofErr w:type="spellStart"/>
      <w:r w:rsidRPr="00C01FCD">
        <w:rPr>
          <w:rFonts w:ascii="Arial" w:hAnsi="Arial" w:cs="Arial"/>
        </w:rPr>
        <w:t>Bor</w:t>
      </w:r>
      <w:proofErr w:type="spellEnd"/>
      <w:r w:rsidRPr="00C01FCD">
        <w:rPr>
          <w:rFonts w:ascii="Arial" w:hAnsi="Arial" w:cs="Arial"/>
        </w:rPr>
        <w:t xml:space="preserve"> Copper).</w:t>
      </w:r>
    </w:p>
    <w:p w14:paraId="412500EC" w14:textId="77777777" w:rsidR="00E20666" w:rsidRPr="00934A95" w:rsidRDefault="00E20666" w:rsidP="00934A95">
      <w:pPr>
        <w:pStyle w:val="Heading2"/>
        <w:spacing w:before="0" w:line="360" w:lineRule="auto"/>
        <w:ind w:firstLine="720"/>
        <w:rPr>
          <w:rFonts w:ascii="Arial" w:hAnsi="Arial" w:cs="Arial"/>
          <w:b/>
          <w:bCs/>
          <w:color w:val="auto"/>
          <w:sz w:val="24"/>
          <w:szCs w:val="24"/>
        </w:rPr>
      </w:pPr>
      <w:bookmarkStart w:id="36" w:name="_Toc214615833"/>
      <w:r w:rsidRPr="00934A95">
        <w:rPr>
          <w:rFonts w:ascii="Arial" w:hAnsi="Arial" w:cs="Arial"/>
          <w:b/>
          <w:bCs/>
          <w:color w:val="auto"/>
          <w:sz w:val="24"/>
          <w:szCs w:val="24"/>
        </w:rPr>
        <w:t>4.4 Climate Risk Assessment (TCFD-Based Evaluation)</w:t>
      </w:r>
      <w:bookmarkEnd w:id="36"/>
    </w:p>
    <w:p w14:paraId="43A12823"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Using the TCFD framework, I examined how each company identifies and responds to climate-related risks.</w:t>
      </w:r>
    </w:p>
    <w:p w14:paraId="188DAEB8"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37" w:name="_Toc214615834"/>
      <w:r w:rsidRPr="00934A95">
        <w:rPr>
          <w:rFonts w:ascii="Arial" w:eastAsia="Times New Roman" w:hAnsi="Arial" w:cs="Arial"/>
          <w:b/>
          <w:bCs/>
          <w:color w:val="auto"/>
        </w:rPr>
        <w:t>4.4.1 Physical Climate Risks</w:t>
      </w:r>
      <w:bookmarkEnd w:id="37"/>
    </w:p>
    <w:p w14:paraId="0E7480D2"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 identified the following regional physical risks:</w:t>
      </w:r>
    </w:p>
    <w:p w14:paraId="267E9FB4" w14:textId="77777777" w:rsidR="00E20666" w:rsidRPr="00C01FCD" w:rsidRDefault="00E20666" w:rsidP="00C01FCD">
      <w:pPr>
        <w:numPr>
          <w:ilvl w:val="0"/>
          <w:numId w:val="72"/>
        </w:numPr>
        <w:spacing w:after="0" w:line="360" w:lineRule="auto"/>
        <w:ind w:left="0" w:firstLine="720"/>
        <w:jc w:val="both"/>
        <w:rPr>
          <w:rFonts w:ascii="Arial" w:hAnsi="Arial" w:cs="Arial"/>
        </w:rPr>
      </w:pPr>
      <w:r w:rsidRPr="00C01FCD">
        <w:rPr>
          <w:rFonts w:ascii="Arial" w:hAnsi="Arial" w:cs="Arial"/>
        </w:rPr>
        <w:t>heavier rainfall affecting tailings facilities</w:t>
      </w:r>
    </w:p>
    <w:p w14:paraId="62C184B2" w14:textId="77777777" w:rsidR="00E20666" w:rsidRPr="00C01FCD" w:rsidRDefault="00E20666" w:rsidP="00C01FCD">
      <w:pPr>
        <w:numPr>
          <w:ilvl w:val="0"/>
          <w:numId w:val="72"/>
        </w:numPr>
        <w:spacing w:after="0" w:line="360" w:lineRule="auto"/>
        <w:ind w:left="0" w:firstLine="720"/>
        <w:jc w:val="both"/>
        <w:rPr>
          <w:rFonts w:ascii="Arial" w:hAnsi="Arial" w:cs="Arial"/>
        </w:rPr>
      </w:pPr>
      <w:r w:rsidRPr="00C01FCD">
        <w:rPr>
          <w:rFonts w:ascii="Arial" w:hAnsi="Arial" w:cs="Arial"/>
        </w:rPr>
        <w:t>increased heatwaves impacting worker health and equipment performance</w:t>
      </w:r>
    </w:p>
    <w:p w14:paraId="350C855E" w14:textId="77777777" w:rsidR="00E20666" w:rsidRPr="00C01FCD" w:rsidRDefault="00E20666" w:rsidP="00C01FCD">
      <w:pPr>
        <w:numPr>
          <w:ilvl w:val="0"/>
          <w:numId w:val="72"/>
        </w:numPr>
        <w:spacing w:after="0" w:line="360" w:lineRule="auto"/>
        <w:ind w:left="0" w:firstLine="720"/>
        <w:jc w:val="both"/>
        <w:rPr>
          <w:rFonts w:ascii="Arial" w:hAnsi="Arial" w:cs="Arial"/>
        </w:rPr>
      </w:pPr>
      <w:r w:rsidRPr="00C01FCD">
        <w:rPr>
          <w:rFonts w:ascii="Arial" w:hAnsi="Arial" w:cs="Arial"/>
        </w:rPr>
        <w:t>potential water scarcity in drier seasons</w:t>
      </w:r>
    </w:p>
    <w:p w14:paraId="3C6545C9" w14:textId="77777777" w:rsidR="00E20666" w:rsidRPr="00C01FCD" w:rsidRDefault="00E20666" w:rsidP="00C01FCD">
      <w:pPr>
        <w:numPr>
          <w:ilvl w:val="0"/>
          <w:numId w:val="72"/>
        </w:numPr>
        <w:spacing w:after="0" w:line="360" w:lineRule="auto"/>
        <w:ind w:left="0" w:firstLine="720"/>
        <w:jc w:val="both"/>
        <w:rPr>
          <w:rFonts w:ascii="Arial" w:hAnsi="Arial" w:cs="Arial"/>
        </w:rPr>
      </w:pPr>
      <w:r w:rsidRPr="00C01FCD">
        <w:rPr>
          <w:rFonts w:ascii="Arial" w:hAnsi="Arial" w:cs="Arial"/>
        </w:rPr>
        <w:t>increased extreme weather events affecting site stability</w:t>
      </w:r>
    </w:p>
    <w:p w14:paraId="1432F34F"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and </w:t>
      </w:r>
      <w:r w:rsidRPr="00C01FCD">
        <w:rPr>
          <w:rFonts w:ascii="Arial" w:hAnsi="Arial" w:cs="Arial"/>
          <w:b/>
          <w:bCs/>
        </w:rPr>
        <w:t>Dundee</w:t>
      </w:r>
      <w:r w:rsidRPr="00C01FCD">
        <w:rPr>
          <w:rFonts w:ascii="Arial" w:hAnsi="Arial" w:cs="Arial"/>
        </w:rPr>
        <w:t xml:space="preserve"> show the strongest preparedness through:</w:t>
      </w:r>
    </w:p>
    <w:p w14:paraId="01ACD586" w14:textId="77777777" w:rsidR="00E20666" w:rsidRPr="00C01FCD" w:rsidRDefault="00E20666" w:rsidP="00C01FCD">
      <w:pPr>
        <w:numPr>
          <w:ilvl w:val="0"/>
          <w:numId w:val="73"/>
        </w:numPr>
        <w:spacing w:after="0" w:line="360" w:lineRule="auto"/>
        <w:ind w:left="0" w:firstLine="720"/>
        <w:jc w:val="both"/>
        <w:rPr>
          <w:rFonts w:ascii="Arial" w:hAnsi="Arial" w:cs="Arial"/>
        </w:rPr>
      </w:pPr>
      <w:r w:rsidRPr="00C01FCD">
        <w:rPr>
          <w:rFonts w:ascii="Arial" w:hAnsi="Arial" w:cs="Arial"/>
        </w:rPr>
        <w:t>real-time monitoring</w:t>
      </w:r>
    </w:p>
    <w:p w14:paraId="5E883584" w14:textId="77777777" w:rsidR="00E20666" w:rsidRPr="00C01FCD" w:rsidRDefault="00E20666" w:rsidP="00C01FCD">
      <w:pPr>
        <w:numPr>
          <w:ilvl w:val="0"/>
          <w:numId w:val="73"/>
        </w:numPr>
        <w:spacing w:after="0" w:line="360" w:lineRule="auto"/>
        <w:ind w:left="0" w:firstLine="720"/>
        <w:jc w:val="both"/>
        <w:rPr>
          <w:rFonts w:ascii="Arial" w:hAnsi="Arial" w:cs="Arial"/>
        </w:rPr>
      </w:pPr>
      <w:r w:rsidRPr="00C01FCD">
        <w:rPr>
          <w:rFonts w:ascii="Arial" w:hAnsi="Arial" w:cs="Arial"/>
        </w:rPr>
        <w:t>automated water management</w:t>
      </w:r>
    </w:p>
    <w:p w14:paraId="2A79FFDE" w14:textId="77777777" w:rsidR="00E20666" w:rsidRPr="00C01FCD" w:rsidRDefault="00E20666" w:rsidP="00C01FCD">
      <w:pPr>
        <w:numPr>
          <w:ilvl w:val="0"/>
          <w:numId w:val="73"/>
        </w:numPr>
        <w:spacing w:after="0" w:line="360" w:lineRule="auto"/>
        <w:ind w:left="0" w:firstLine="720"/>
        <w:jc w:val="both"/>
        <w:rPr>
          <w:rFonts w:ascii="Arial" w:hAnsi="Arial" w:cs="Arial"/>
        </w:rPr>
      </w:pPr>
      <w:r w:rsidRPr="00C01FCD">
        <w:rPr>
          <w:rFonts w:ascii="Arial" w:hAnsi="Arial" w:cs="Arial"/>
        </w:rPr>
        <w:t>emergency planning</w:t>
      </w:r>
    </w:p>
    <w:p w14:paraId="2559BC3F" w14:textId="77777777" w:rsidR="00E20666" w:rsidRPr="00C01FCD" w:rsidRDefault="00E20666" w:rsidP="00C01FCD">
      <w:pPr>
        <w:numPr>
          <w:ilvl w:val="0"/>
          <w:numId w:val="73"/>
        </w:numPr>
        <w:spacing w:after="0" w:line="360" w:lineRule="auto"/>
        <w:ind w:left="0" w:firstLine="720"/>
        <w:jc w:val="both"/>
        <w:rPr>
          <w:rFonts w:ascii="Arial" w:hAnsi="Arial" w:cs="Arial"/>
        </w:rPr>
      </w:pPr>
      <w:r w:rsidRPr="00C01FCD">
        <w:rPr>
          <w:rFonts w:ascii="Arial" w:hAnsi="Arial" w:cs="Arial"/>
        </w:rPr>
        <w:t>infrastructure designed to withstand climate variability</w:t>
      </w:r>
    </w:p>
    <w:p w14:paraId="7E977322"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38" w:name="_Toc214615835"/>
      <w:r w:rsidRPr="00934A95">
        <w:rPr>
          <w:rFonts w:ascii="Arial" w:eastAsia="Times New Roman" w:hAnsi="Arial" w:cs="Arial"/>
          <w:b/>
          <w:bCs/>
          <w:color w:val="auto"/>
        </w:rPr>
        <w:t>4.4.2 Transition Climate Risks</w:t>
      </w:r>
      <w:bookmarkEnd w:id="38"/>
    </w:p>
    <w:p w14:paraId="1328CCAD"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Transition risks arise from:</w:t>
      </w:r>
    </w:p>
    <w:p w14:paraId="1F40BCED" w14:textId="77777777" w:rsidR="00E20666" w:rsidRPr="00C01FCD" w:rsidRDefault="00E20666" w:rsidP="00C01FCD">
      <w:pPr>
        <w:numPr>
          <w:ilvl w:val="0"/>
          <w:numId w:val="74"/>
        </w:numPr>
        <w:spacing w:after="0" w:line="360" w:lineRule="auto"/>
        <w:ind w:left="0" w:firstLine="720"/>
        <w:jc w:val="both"/>
        <w:rPr>
          <w:rFonts w:ascii="Arial" w:hAnsi="Arial" w:cs="Arial"/>
        </w:rPr>
      </w:pPr>
      <w:r w:rsidRPr="00C01FCD">
        <w:rPr>
          <w:rFonts w:ascii="Arial" w:hAnsi="Arial" w:cs="Arial"/>
        </w:rPr>
        <w:t>stricter EU regulations</w:t>
      </w:r>
    </w:p>
    <w:p w14:paraId="119C8CCB" w14:textId="77777777" w:rsidR="00E20666" w:rsidRPr="00C01FCD" w:rsidRDefault="00E20666" w:rsidP="00C01FCD">
      <w:pPr>
        <w:numPr>
          <w:ilvl w:val="0"/>
          <w:numId w:val="74"/>
        </w:numPr>
        <w:spacing w:after="0" w:line="360" w:lineRule="auto"/>
        <w:ind w:left="0" w:firstLine="720"/>
        <w:jc w:val="both"/>
        <w:rPr>
          <w:rFonts w:ascii="Arial" w:hAnsi="Arial" w:cs="Arial"/>
        </w:rPr>
      </w:pPr>
      <w:r w:rsidRPr="00C01FCD">
        <w:rPr>
          <w:rFonts w:ascii="Arial" w:hAnsi="Arial" w:cs="Arial"/>
        </w:rPr>
        <w:t>carbon pricing</w:t>
      </w:r>
    </w:p>
    <w:p w14:paraId="3DD2002B" w14:textId="77777777" w:rsidR="00E20666" w:rsidRPr="00C01FCD" w:rsidRDefault="00E20666" w:rsidP="00C01FCD">
      <w:pPr>
        <w:numPr>
          <w:ilvl w:val="0"/>
          <w:numId w:val="74"/>
        </w:numPr>
        <w:spacing w:after="0" w:line="360" w:lineRule="auto"/>
        <w:ind w:left="0" w:firstLine="720"/>
        <w:jc w:val="both"/>
        <w:rPr>
          <w:rFonts w:ascii="Arial" w:hAnsi="Arial" w:cs="Arial"/>
        </w:rPr>
      </w:pPr>
      <w:r w:rsidRPr="00C01FCD">
        <w:rPr>
          <w:rFonts w:ascii="Arial" w:hAnsi="Arial" w:cs="Arial"/>
        </w:rPr>
        <w:t>evolving technologies</w:t>
      </w:r>
    </w:p>
    <w:p w14:paraId="3C5D42D8" w14:textId="77777777" w:rsidR="00E20666" w:rsidRPr="00C01FCD" w:rsidRDefault="00E20666" w:rsidP="00C01FCD">
      <w:pPr>
        <w:numPr>
          <w:ilvl w:val="0"/>
          <w:numId w:val="74"/>
        </w:numPr>
        <w:spacing w:after="0" w:line="360" w:lineRule="auto"/>
        <w:ind w:left="0" w:firstLine="720"/>
        <w:jc w:val="both"/>
        <w:rPr>
          <w:rFonts w:ascii="Arial" w:hAnsi="Arial" w:cs="Arial"/>
        </w:rPr>
      </w:pPr>
      <w:r w:rsidRPr="00C01FCD">
        <w:rPr>
          <w:rFonts w:ascii="Arial" w:hAnsi="Arial" w:cs="Arial"/>
        </w:rPr>
        <w:t>changing stakeholder expectations</w:t>
      </w:r>
    </w:p>
    <w:p w14:paraId="60DA2E69" w14:textId="77777777" w:rsidR="00E20666" w:rsidRPr="00C01FCD" w:rsidRDefault="00E20666" w:rsidP="00C01FCD">
      <w:pPr>
        <w:spacing w:after="0" w:line="360" w:lineRule="auto"/>
        <w:ind w:firstLine="720"/>
        <w:jc w:val="both"/>
        <w:rPr>
          <w:rFonts w:ascii="Arial" w:hAnsi="Arial" w:cs="Arial"/>
          <w:lang w:val="bg-BG"/>
        </w:rPr>
      </w:pP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demonstrates strong readiness through energy-efficiency measures, digital </w:t>
      </w:r>
      <w:proofErr w:type="spellStart"/>
      <w:r w:rsidRPr="00C01FCD">
        <w:rPr>
          <w:rFonts w:ascii="Arial" w:hAnsi="Arial" w:cs="Arial"/>
        </w:rPr>
        <w:t>optimisation</w:t>
      </w:r>
      <w:proofErr w:type="spellEnd"/>
      <w:r w:rsidRPr="00C01FCD">
        <w:rPr>
          <w:rFonts w:ascii="Arial" w:hAnsi="Arial" w:cs="Arial"/>
        </w:rPr>
        <w:t xml:space="preserve"> and structured governance.</w:t>
      </w:r>
    </w:p>
    <w:p w14:paraId="2D335919"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b/>
          <w:bCs/>
        </w:rPr>
        <w:t>Dundee</w:t>
      </w:r>
      <w:r w:rsidRPr="00C01FCD">
        <w:rPr>
          <w:rFonts w:ascii="Arial" w:hAnsi="Arial" w:cs="Arial"/>
        </w:rPr>
        <w:t xml:space="preserve"> is highly aligned with TCFD and emerging EU standards.</w:t>
      </w:r>
    </w:p>
    <w:p w14:paraId="25EDDD97" w14:textId="77777777" w:rsidR="00E20666" w:rsidRPr="00C01FCD" w:rsidRDefault="00E20666" w:rsidP="00C01FCD">
      <w:pPr>
        <w:spacing w:after="0" w:line="360" w:lineRule="auto"/>
        <w:ind w:firstLine="720"/>
        <w:jc w:val="both"/>
        <w:rPr>
          <w:rFonts w:ascii="Arial" w:hAnsi="Arial" w:cs="Arial"/>
          <w:lang w:val="bg-BG"/>
        </w:rPr>
      </w:pPr>
      <w:proofErr w:type="spellStart"/>
      <w:r w:rsidRPr="00C01FCD">
        <w:rPr>
          <w:rFonts w:ascii="Arial" w:hAnsi="Arial" w:cs="Arial"/>
          <w:b/>
          <w:bCs/>
        </w:rPr>
        <w:t>Assarel</w:t>
      </w:r>
      <w:proofErr w:type="spellEnd"/>
      <w:r w:rsidRPr="00C01FCD">
        <w:rPr>
          <w:rFonts w:ascii="Arial" w:hAnsi="Arial" w:cs="Arial"/>
          <w:b/>
          <w:bCs/>
        </w:rPr>
        <w:t>-Medet</w:t>
      </w:r>
      <w:r w:rsidRPr="00C01FCD">
        <w:rPr>
          <w:rFonts w:ascii="Arial" w:hAnsi="Arial" w:cs="Arial"/>
        </w:rPr>
        <w:t xml:space="preserve"> shows moderate alignment.</w:t>
      </w:r>
    </w:p>
    <w:p w14:paraId="315AA49A"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b/>
          <w:bCs/>
        </w:rPr>
        <w:t xml:space="preserve">Zijin </w:t>
      </w:r>
      <w:proofErr w:type="spellStart"/>
      <w:r w:rsidRPr="00C01FCD">
        <w:rPr>
          <w:rFonts w:ascii="Arial" w:hAnsi="Arial" w:cs="Arial"/>
          <w:b/>
          <w:bCs/>
        </w:rPr>
        <w:t>Bor</w:t>
      </w:r>
      <w:proofErr w:type="spellEnd"/>
      <w:r w:rsidRPr="00C01FCD">
        <w:rPr>
          <w:rFonts w:ascii="Arial" w:hAnsi="Arial" w:cs="Arial"/>
          <w:b/>
          <w:bCs/>
        </w:rPr>
        <w:t xml:space="preserve"> Copper</w:t>
      </w:r>
      <w:r w:rsidRPr="00C01FCD">
        <w:rPr>
          <w:rFonts w:ascii="Arial" w:hAnsi="Arial" w:cs="Arial"/>
        </w:rPr>
        <w:t xml:space="preserve"> faces substantial transition risks due to limited transparency and weaker regulatory pressure.</w:t>
      </w:r>
    </w:p>
    <w:p w14:paraId="7D696B01" w14:textId="77777777" w:rsidR="00E20666" w:rsidRDefault="00E20666" w:rsidP="00C01FCD">
      <w:pPr>
        <w:spacing w:after="0" w:line="360" w:lineRule="auto"/>
        <w:ind w:firstLine="720"/>
        <w:jc w:val="both"/>
        <w:rPr>
          <w:rFonts w:ascii="Arial" w:hAnsi="Arial" w:cs="Arial"/>
        </w:rPr>
      </w:pPr>
      <w:proofErr w:type="spellStart"/>
      <w:r w:rsidRPr="00C01FCD">
        <w:rPr>
          <w:rFonts w:ascii="Arial" w:hAnsi="Arial" w:cs="Arial"/>
          <w:b/>
          <w:bCs/>
        </w:rPr>
        <w:t>Skouries</w:t>
      </w:r>
      <w:proofErr w:type="spellEnd"/>
      <w:r w:rsidRPr="00C01FCD">
        <w:rPr>
          <w:rFonts w:ascii="Arial" w:hAnsi="Arial" w:cs="Arial"/>
        </w:rPr>
        <w:t xml:space="preserve"> and </w:t>
      </w:r>
      <w:r w:rsidRPr="00C01FCD">
        <w:rPr>
          <w:rFonts w:ascii="Arial" w:hAnsi="Arial" w:cs="Arial"/>
          <w:b/>
          <w:bCs/>
        </w:rPr>
        <w:t>Rovina Valley</w:t>
      </w:r>
      <w:r w:rsidRPr="00C01FCD">
        <w:rPr>
          <w:rFonts w:ascii="Arial" w:hAnsi="Arial" w:cs="Arial"/>
        </w:rPr>
        <w:t xml:space="preserve"> outline transition strategies but lack operational proof.</w:t>
      </w:r>
    </w:p>
    <w:p w14:paraId="01AF60A4" w14:textId="77777777" w:rsidR="00934A95" w:rsidRPr="00C01FCD" w:rsidRDefault="00934A95" w:rsidP="00C01FCD">
      <w:pPr>
        <w:spacing w:after="0" w:line="360" w:lineRule="auto"/>
        <w:ind w:firstLine="720"/>
        <w:jc w:val="both"/>
        <w:rPr>
          <w:rFonts w:ascii="Arial" w:hAnsi="Arial" w:cs="Arial"/>
          <w:lang w:val="bg-BG"/>
        </w:rPr>
      </w:pPr>
    </w:p>
    <w:p w14:paraId="503AF501" w14:textId="77777777" w:rsidR="00E20666" w:rsidRPr="00934A95" w:rsidRDefault="00E20666" w:rsidP="00934A95">
      <w:pPr>
        <w:pStyle w:val="Heading2"/>
        <w:spacing w:before="0" w:line="360" w:lineRule="auto"/>
        <w:ind w:firstLine="720"/>
        <w:rPr>
          <w:rFonts w:ascii="Arial" w:hAnsi="Arial" w:cs="Arial"/>
          <w:b/>
          <w:bCs/>
          <w:color w:val="auto"/>
          <w:sz w:val="24"/>
          <w:szCs w:val="24"/>
        </w:rPr>
      </w:pPr>
      <w:bookmarkStart w:id="39" w:name="_Toc214615836"/>
      <w:r w:rsidRPr="00934A95">
        <w:rPr>
          <w:rFonts w:ascii="Arial" w:hAnsi="Arial" w:cs="Arial"/>
          <w:b/>
          <w:bCs/>
          <w:color w:val="auto"/>
          <w:sz w:val="24"/>
          <w:szCs w:val="24"/>
        </w:rPr>
        <w:t>4.5 CSRD and ESRS Compliance</w:t>
      </w:r>
      <w:bookmarkEnd w:id="39"/>
    </w:p>
    <w:p w14:paraId="00D61A15"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I assessed the companies’ alignment with CSRD and ESRS using the methodological framework.</w:t>
      </w:r>
    </w:p>
    <w:p w14:paraId="30B34EA1"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0" w:name="_Toc214615837"/>
      <w:r w:rsidRPr="00934A95">
        <w:rPr>
          <w:rFonts w:ascii="Arial" w:eastAsia="Times New Roman" w:hAnsi="Arial" w:cs="Arial"/>
          <w:b/>
          <w:bCs/>
          <w:color w:val="auto"/>
        </w:rPr>
        <w:lastRenderedPageBreak/>
        <w:t>4.5.1 Strongest Alignment</w:t>
      </w:r>
      <w:bookmarkEnd w:id="40"/>
    </w:p>
    <w:p w14:paraId="69DC3667"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b/>
          <w:bCs/>
        </w:rPr>
        <w:t>Dundee Precious Metals</w:t>
      </w:r>
    </w:p>
    <w:p w14:paraId="401FF07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Comprehensive reporting, GRI integration, climate disclosures and governance transparency place Dundee closest to CSRD readiness.</w:t>
      </w:r>
    </w:p>
    <w:p w14:paraId="2457C0C5" w14:textId="77777777" w:rsidR="00E20666" w:rsidRPr="00C01FCD" w:rsidRDefault="00E20666" w:rsidP="00C01FCD">
      <w:pPr>
        <w:spacing w:after="0" w:line="360" w:lineRule="auto"/>
        <w:ind w:firstLine="720"/>
        <w:jc w:val="both"/>
        <w:rPr>
          <w:rFonts w:ascii="Arial" w:hAnsi="Arial" w:cs="Arial"/>
          <w:lang w:val="bg-BG"/>
        </w:rPr>
      </w:pPr>
      <w:proofErr w:type="spellStart"/>
      <w:r w:rsidRPr="00C01FCD">
        <w:rPr>
          <w:rFonts w:ascii="Arial" w:hAnsi="Arial" w:cs="Arial"/>
          <w:b/>
          <w:bCs/>
        </w:rPr>
        <w:t>Ellatzite</w:t>
      </w:r>
      <w:proofErr w:type="spellEnd"/>
      <w:r w:rsidRPr="00C01FCD">
        <w:rPr>
          <w:rFonts w:ascii="Arial" w:hAnsi="Arial" w:cs="Arial"/>
          <w:b/>
          <w:bCs/>
        </w:rPr>
        <w:t>-Med</w:t>
      </w:r>
    </w:p>
    <w:p w14:paraId="558B155D"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Shows strong potential for full ESRS compliance. While reporting can grow, its internal systems, monitoring infrastructure and technological investments demonstrate advanced readiness.</w:t>
      </w:r>
    </w:p>
    <w:p w14:paraId="53BF7BC8"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1" w:name="_Toc214615838"/>
      <w:r w:rsidRPr="00934A95">
        <w:rPr>
          <w:rFonts w:ascii="Arial" w:eastAsia="Times New Roman" w:hAnsi="Arial" w:cs="Arial"/>
          <w:b/>
          <w:bCs/>
          <w:color w:val="auto"/>
        </w:rPr>
        <w:t>4.5.2 Moderate Alignment</w:t>
      </w:r>
      <w:bookmarkEnd w:id="41"/>
    </w:p>
    <w:p w14:paraId="73FC902E" w14:textId="77777777" w:rsidR="00E20666" w:rsidRPr="00C01FCD" w:rsidRDefault="00E20666" w:rsidP="00C01FCD">
      <w:pPr>
        <w:spacing w:after="0" w:line="360" w:lineRule="auto"/>
        <w:ind w:firstLine="720"/>
        <w:jc w:val="both"/>
        <w:rPr>
          <w:rFonts w:ascii="Arial" w:hAnsi="Arial" w:cs="Arial"/>
          <w:lang w:val="bg-BG"/>
        </w:rPr>
      </w:pPr>
      <w:proofErr w:type="spellStart"/>
      <w:r w:rsidRPr="00C01FCD">
        <w:rPr>
          <w:rFonts w:ascii="Arial" w:hAnsi="Arial" w:cs="Arial"/>
          <w:b/>
          <w:bCs/>
        </w:rPr>
        <w:t>Assarel</w:t>
      </w:r>
      <w:proofErr w:type="spellEnd"/>
      <w:r w:rsidRPr="00C01FCD">
        <w:rPr>
          <w:rFonts w:ascii="Arial" w:hAnsi="Arial" w:cs="Arial"/>
          <w:b/>
          <w:bCs/>
        </w:rPr>
        <w:t>-Medet</w:t>
      </w:r>
    </w:p>
    <w:p w14:paraId="3B341D76"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Shows progress but requires structural improvements in reporting and governance disclosures.</w:t>
      </w:r>
    </w:p>
    <w:p w14:paraId="595B0F4F"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2" w:name="_Toc214615839"/>
      <w:r w:rsidRPr="00934A95">
        <w:rPr>
          <w:rFonts w:ascii="Arial" w:eastAsia="Times New Roman" w:hAnsi="Arial" w:cs="Arial"/>
          <w:b/>
          <w:bCs/>
          <w:color w:val="auto"/>
        </w:rPr>
        <w:t>4.5.3 Limited Alignment</w:t>
      </w:r>
      <w:bookmarkEnd w:id="42"/>
    </w:p>
    <w:p w14:paraId="15672291"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b/>
          <w:bCs/>
        </w:rPr>
        <w:t xml:space="preserve">Zijin </w:t>
      </w:r>
      <w:proofErr w:type="spellStart"/>
      <w:r w:rsidRPr="00C01FCD">
        <w:rPr>
          <w:rFonts w:ascii="Arial" w:hAnsi="Arial" w:cs="Arial"/>
          <w:b/>
          <w:bCs/>
        </w:rPr>
        <w:t>Bor</w:t>
      </w:r>
      <w:proofErr w:type="spellEnd"/>
      <w:r w:rsidRPr="00C01FCD">
        <w:rPr>
          <w:rFonts w:ascii="Arial" w:hAnsi="Arial" w:cs="Arial"/>
          <w:b/>
          <w:bCs/>
        </w:rPr>
        <w:t xml:space="preserve"> Copper</w:t>
      </w:r>
    </w:p>
    <w:p w14:paraId="30A5D87D"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Local-level reporting does not meet CSRD or ESRS expectations but corporate-level reporting is strong.</w:t>
      </w:r>
    </w:p>
    <w:p w14:paraId="656EF5A5" w14:textId="77777777" w:rsidR="00E20666" w:rsidRPr="00C01FCD" w:rsidRDefault="00E20666" w:rsidP="00C01FCD">
      <w:pPr>
        <w:spacing w:after="0" w:line="360" w:lineRule="auto"/>
        <w:ind w:firstLine="720"/>
        <w:jc w:val="both"/>
        <w:rPr>
          <w:rFonts w:ascii="Arial" w:hAnsi="Arial" w:cs="Arial"/>
          <w:lang w:val="bg-BG"/>
        </w:rPr>
      </w:pPr>
      <w:proofErr w:type="spellStart"/>
      <w:r w:rsidRPr="00C01FCD">
        <w:rPr>
          <w:rFonts w:ascii="Arial" w:hAnsi="Arial" w:cs="Arial"/>
          <w:b/>
          <w:bCs/>
        </w:rPr>
        <w:t>Skouries</w:t>
      </w:r>
      <w:proofErr w:type="spellEnd"/>
      <w:r w:rsidRPr="00C01FCD">
        <w:rPr>
          <w:rFonts w:ascii="Arial" w:hAnsi="Arial" w:cs="Arial"/>
        </w:rPr>
        <w:t xml:space="preserve"> and </w:t>
      </w:r>
      <w:r w:rsidRPr="00C01FCD">
        <w:rPr>
          <w:rFonts w:ascii="Arial" w:hAnsi="Arial" w:cs="Arial"/>
          <w:b/>
          <w:bCs/>
        </w:rPr>
        <w:t>Rovina Valley</w:t>
      </w:r>
    </w:p>
    <w:p w14:paraId="6CD2AAA8" w14:textId="77777777" w:rsidR="00E20666" w:rsidRDefault="00E20666" w:rsidP="00C01FCD">
      <w:pPr>
        <w:spacing w:after="0" w:line="360" w:lineRule="auto"/>
        <w:ind w:firstLine="720"/>
        <w:jc w:val="both"/>
        <w:rPr>
          <w:rFonts w:ascii="Arial" w:hAnsi="Arial" w:cs="Arial"/>
        </w:rPr>
      </w:pPr>
      <w:r w:rsidRPr="00C01FCD">
        <w:rPr>
          <w:rFonts w:ascii="Arial" w:hAnsi="Arial" w:cs="Arial"/>
        </w:rPr>
        <w:t>Prepared on paper but lack real implementation.</w:t>
      </w:r>
    </w:p>
    <w:p w14:paraId="1BDEBC1B" w14:textId="77777777" w:rsidR="00934A95" w:rsidRPr="00C01FCD" w:rsidRDefault="00934A95" w:rsidP="00C01FCD">
      <w:pPr>
        <w:spacing w:after="0" w:line="360" w:lineRule="auto"/>
        <w:ind w:firstLine="720"/>
        <w:jc w:val="both"/>
        <w:rPr>
          <w:rFonts w:ascii="Arial" w:hAnsi="Arial" w:cs="Arial"/>
          <w:lang w:val="bg-BG"/>
        </w:rPr>
      </w:pPr>
    </w:p>
    <w:p w14:paraId="68E9E890" w14:textId="77777777" w:rsidR="00E20666" w:rsidRPr="00934A95" w:rsidRDefault="00E20666" w:rsidP="00934A95">
      <w:pPr>
        <w:pStyle w:val="Heading2"/>
        <w:spacing w:before="0" w:line="360" w:lineRule="auto"/>
        <w:ind w:firstLine="720"/>
        <w:rPr>
          <w:rFonts w:ascii="Arial" w:hAnsi="Arial" w:cs="Arial"/>
          <w:b/>
          <w:bCs/>
          <w:color w:val="auto"/>
          <w:sz w:val="24"/>
          <w:szCs w:val="24"/>
        </w:rPr>
      </w:pPr>
      <w:bookmarkStart w:id="43" w:name="_Toc214615840"/>
      <w:r w:rsidRPr="00934A95">
        <w:rPr>
          <w:rFonts w:ascii="Arial" w:hAnsi="Arial" w:cs="Arial"/>
          <w:b/>
          <w:bCs/>
          <w:color w:val="auto"/>
          <w:sz w:val="24"/>
          <w:szCs w:val="24"/>
        </w:rPr>
        <w:t xml:space="preserve">4.6 In-Depth Case Study: </w:t>
      </w:r>
      <w:proofErr w:type="spellStart"/>
      <w:r w:rsidRPr="00934A95">
        <w:rPr>
          <w:rFonts w:ascii="Arial" w:hAnsi="Arial" w:cs="Arial"/>
          <w:b/>
          <w:bCs/>
          <w:color w:val="auto"/>
          <w:sz w:val="24"/>
          <w:szCs w:val="24"/>
        </w:rPr>
        <w:t>Ellatzite</w:t>
      </w:r>
      <w:proofErr w:type="spellEnd"/>
      <w:r w:rsidRPr="00934A95">
        <w:rPr>
          <w:rFonts w:ascii="Arial" w:hAnsi="Arial" w:cs="Arial"/>
          <w:b/>
          <w:bCs/>
          <w:color w:val="auto"/>
          <w:sz w:val="24"/>
          <w:szCs w:val="24"/>
        </w:rPr>
        <w:t>-Med</w:t>
      </w:r>
      <w:bookmarkEnd w:id="43"/>
    </w:p>
    <w:p w14:paraId="708BCE20"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I selected </w:t>
      </w:r>
      <w:proofErr w:type="spellStart"/>
      <w:r w:rsidRPr="00C01FCD">
        <w:rPr>
          <w:rFonts w:ascii="Arial" w:hAnsi="Arial" w:cs="Arial"/>
          <w:b/>
          <w:bCs/>
        </w:rPr>
        <w:t>Ellatzite</w:t>
      </w:r>
      <w:proofErr w:type="spellEnd"/>
      <w:r w:rsidRPr="00C01FCD">
        <w:rPr>
          <w:rFonts w:ascii="Arial" w:hAnsi="Arial" w:cs="Arial"/>
          <w:b/>
          <w:bCs/>
        </w:rPr>
        <w:t>-Med</w:t>
      </w:r>
      <w:r w:rsidRPr="00C01FCD">
        <w:rPr>
          <w:rFonts w:ascii="Arial" w:hAnsi="Arial" w:cs="Arial"/>
        </w:rPr>
        <w:t xml:space="preserve"> for focused analysis because it represents one of the most technologically modern and sustainability-oriented mining operations in the region.</w:t>
      </w:r>
    </w:p>
    <w:p w14:paraId="3E6F9E75"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4" w:name="_Toc214615841"/>
      <w:r w:rsidRPr="00934A95">
        <w:rPr>
          <w:rFonts w:ascii="Arial" w:eastAsia="Times New Roman" w:hAnsi="Arial" w:cs="Arial"/>
          <w:b/>
          <w:bCs/>
          <w:color w:val="auto"/>
        </w:rPr>
        <w:t>4.6.1 Environmental Leadership and High-Tech Investments</w:t>
      </w:r>
      <w:bookmarkEnd w:id="44"/>
    </w:p>
    <w:p w14:paraId="5B1EB9A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Key findings include:</w:t>
      </w:r>
    </w:p>
    <w:p w14:paraId="44C542FD" w14:textId="77777777" w:rsidR="00E20666" w:rsidRPr="00C01FCD" w:rsidRDefault="00E20666" w:rsidP="00C01FCD">
      <w:pPr>
        <w:numPr>
          <w:ilvl w:val="0"/>
          <w:numId w:val="75"/>
        </w:numPr>
        <w:spacing w:after="0" w:line="360" w:lineRule="auto"/>
        <w:ind w:left="0" w:firstLine="720"/>
        <w:jc w:val="both"/>
        <w:rPr>
          <w:rFonts w:ascii="Arial" w:hAnsi="Arial" w:cs="Arial"/>
        </w:rPr>
      </w:pPr>
      <w:r w:rsidRPr="00C01FCD">
        <w:rPr>
          <w:rFonts w:ascii="Arial" w:hAnsi="Arial" w:cs="Arial"/>
        </w:rPr>
        <w:t xml:space="preserve">advanced wastewater treatment systems based on </w:t>
      </w:r>
      <w:r w:rsidRPr="00C01FCD">
        <w:rPr>
          <w:rFonts w:ascii="Arial" w:hAnsi="Arial" w:cs="Arial"/>
          <w:b/>
          <w:bCs/>
        </w:rPr>
        <w:t>Mitsubishi</w:t>
      </w:r>
      <w:r w:rsidRPr="00C01FCD">
        <w:rPr>
          <w:rFonts w:ascii="Arial" w:hAnsi="Arial" w:cs="Arial"/>
        </w:rPr>
        <w:t xml:space="preserve"> and </w:t>
      </w:r>
      <w:proofErr w:type="spellStart"/>
      <w:r w:rsidRPr="00C01FCD">
        <w:rPr>
          <w:rFonts w:ascii="Arial" w:hAnsi="Arial" w:cs="Arial"/>
          <w:b/>
          <w:bCs/>
        </w:rPr>
        <w:t>EnviroChemie</w:t>
      </w:r>
      <w:proofErr w:type="spellEnd"/>
      <w:r w:rsidRPr="00C01FCD">
        <w:rPr>
          <w:rFonts w:ascii="Arial" w:hAnsi="Arial" w:cs="Arial"/>
        </w:rPr>
        <w:t xml:space="preserve"> technology</w:t>
      </w:r>
    </w:p>
    <w:p w14:paraId="5EA7BF65" w14:textId="77777777" w:rsidR="00E20666" w:rsidRPr="00C01FCD" w:rsidRDefault="00E20666" w:rsidP="00C01FCD">
      <w:pPr>
        <w:numPr>
          <w:ilvl w:val="0"/>
          <w:numId w:val="75"/>
        </w:numPr>
        <w:spacing w:after="0" w:line="360" w:lineRule="auto"/>
        <w:ind w:left="0" w:firstLine="720"/>
        <w:jc w:val="both"/>
        <w:rPr>
          <w:rFonts w:ascii="Arial" w:hAnsi="Arial" w:cs="Arial"/>
        </w:rPr>
      </w:pPr>
      <w:r w:rsidRPr="00C01FCD">
        <w:rPr>
          <w:rFonts w:ascii="Arial" w:hAnsi="Arial" w:cs="Arial"/>
        </w:rPr>
        <w:t>automated and digitally controlled purification processes</w:t>
      </w:r>
    </w:p>
    <w:p w14:paraId="64667D93" w14:textId="77777777" w:rsidR="00E20666" w:rsidRPr="00C01FCD" w:rsidRDefault="00E20666" w:rsidP="00C01FCD">
      <w:pPr>
        <w:numPr>
          <w:ilvl w:val="0"/>
          <w:numId w:val="75"/>
        </w:numPr>
        <w:spacing w:after="0" w:line="360" w:lineRule="auto"/>
        <w:ind w:left="0" w:firstLine="720"/>
        <w:jc w:val="both"/>
        <w:rPr>
          <w:rFonts w:ascii="Arial" w:hAnsi="Arial" w:cs="Arial"/>
        </w:rPr>
      </w:pPr>
      <w:r w:rsidRPr="00C01FCD">
        <w:rPr>
          <w:rFonts w:ascii="Arial" w:hAnsi="Arial" w:cs="Arial"/>
        </w:rPr>
        <w:t>membrane filtration, ion-exchange systems and integrated recirculation</w:t>
      </w:r>
    </w:p>
    <w:p w14:paraId="4AEC6238" w14:textId="77777777" w:rsidR="00E20666" w:rsidRPr="00C01FCD" w:rsidRDefault="00E20666" w:rsidP="00C01FCD">
      <w:pPr>
        <w:numPr>
          <w:ilvl w:val="0"/>
          <w:numId w:val="75"/>
        </w:numPr>
        <w:spacing w:after="0" w:line="360" w:lineRule="auto"/>
        <w:ind w:left="0" w:firstLine="720"/>
        <w:jc w:val="both"/>
        <w:rPr>
          <w:rFonts w:ascii="Arial" w:hAnsi="Arial" w:cs="Arial"/>
        </w:rPr>
      </w:pPr>
      <w:r w:rsidRPr="00C01FCD">
        <w:rPr>
          <w:rFonts w:ascii="Arial" w:hAnsi="Arial" w:cs="Arial"/>
        </w:rPr>
        <w:t xml:space="preserve">real-time </w:t>
      </w:r>
      <w:proofErr w:type="spellStart"/>
      <w:r w:rsidRPr="00C01FCD">
        <w:rPr>
          <w:rFonts w:ascii="Arial" w:hAnsi="Arial" w:cs="Arial"/>
        </w:rPr>
        <w:t>hydrochemical</w:t>
      </w:r>
      <w:proofErr w:type="spellEnd"/>
      <w:r w:rsidRPr="00C01FCD">
        <w:rPr>
          <w:rFonts w:ascii="Arial" w:hAnsi="Arial" w:cs="Arial"/>
        </w:rPr>
        <w:t xml:space="preserve"> monitoring</w:t>
      </w:r>
    </w:p>
    <w:p w14:paraId="6980D4CF" w14:textId="77777777" w:rsidR="00E20666" w:rsidRPr="00C01FCD" w:rsidRDefault="00E20666" w:rsidP="00C01FCD">
      <w:pPr>
        <w:numPr>
          <w:ilvl w:val="0"/>
          <w:numId w:val="75"/>
        </w:numPr>
        <w:spacing w:after="0" w:line="360" w:lineRule="auto"/>
        <w:ind w:left="0" w:firstLine="720"/>
        <w:jc w:val="both"/>
        <w:rPr>
          <w:rFonts w:ascii="Arial" w:hAnsi="Arial" w:cs="Arial"/>
        </w:rPr>
      </w:pPr>
      <w:r w:rsidRPr="00C01FCD">
        <w:rPr>
          <w:rFonts w:ascii="Arial" w:hAnsi="Arial" w:cs="Arial"/>
        </w:rPr>
        <w:t>progressive tailings and waste management practices</w:t>
      </w:r>
    </w:p>
    <w:p w14:paraId="0E70FA92"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These technologies significantly reduce environmental impact and improve operational stability.</w:t>
      </w:r>
    </w:p>
    <w:p w14:paraId="1F495FB3"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5" w:name="_Toc214615842"/>
      <w:r w:rsidRPr="00934A95">
        <w:rPr>
          <w:rFonts w:ascii="Arial" w:eastAsia="Times New Roman" w:hAnsi="Arial" w:cs="Arial"/>
          <w:b/>
          <w:bCs/>
          <w:color w:val="auto"/>
        </w:rPr>
        <w:t xml:space="preserve">4.6.2 </w:t>
      </w:r>
      <w:proofErr w:type="spellStart"/>
      <w:r w:rsidRPr="00934A95">
        <w:rPr>
          <w:rFonts w:ascii="Arial" w:eastAsia="Times New Roman" w:hAnsi="Arial" w:cs="Arial"/>
          <w:b/>
          <w:bCs/>
          <w:color w:val="auto"/>
        </w:rPr>
        <w:t>Digitalisation</w:t>
      </w:r>
      <w:proofErr w:type="spellEnd"/>
      <w:r w:rsidRPr="00934A95">
        <w:rPr>
          <w:rFonts w:ascii="Arial" w:eastAsia="Times New Roman" w:hAnsi="Arial" w:cs="Arial"/>
          <w:b/>
          <w:bCs/>
          <w:color w:val="auto"/>
        </w:rPr>
        <w:t xml:space="preserve"> and Artificial Intelligence</w:t>
      </w:r>
      <w:bookmarkEnd w:id="45"/>
    </w:p>
    <w:p w14:paraId="5CE91364"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rPr>
        <w:t>Ellatzite</w:t>
      </w:r>
      <w:proofErr w:type="spellEnd"/>
      <w:r w:rsidRPr="00C01FCD">
        <w:rPr>
          <w:rFonts w:ascii="Arial" w:hAnsi="Arial" w:cs="Arial"/>
        </w:rPr>
        <w:t xml:space="preserve">-Med demonstrates one of the highest levels of </w:t>
      </w:r>
      <w:proofErr w:type="spellStart"/>
      <w:r w:rsidRPr="00C01FCD">
        <w:rPr>
          <w:rFonts w:ascii="Arial" w:hAnsi="Arial" w:cs="Arial"/>
        </w:rPr>
        <w:t>digitalisation</w:t>
      </w:r>
      <w:proofErr w:type="spellEnd"/>
      <w:r w:rsidRPr="00C01FCD">
        <w:rPr>
          <w:rFonts w:ascii="Arial" w:hAnsi="Arial" w:cs="Arial"/>
        </w:rPr>
        <w:t xml:space="preserve"> in Balkan mining:</w:t>
      </w:r>
    </w:p>
    <w:p w14:paraId="7499DA76" w14:textId="77777777" w:rsidR="00E20666" w:rsidRPr="00C01FCD" w:rsidRDefault="00E20666" w:rsidP="00C01FCD">
      <w:pPr>
        <w:numPr>
          <w:ilvl w:val="0"/>
          <w:numId w:val="76"/>
        </w:numPr>
        <w:spacing w:after="0" w:line="360" w:lineRule="auto"/>
        <w:ind w:left="0" w:firstLine="720"/>
        <w:jc w:val="both"/>
        <w:rPr>
          <w:rFonts w:ascii="Arial" w:hAnsi="Arial" w:cs="Arial"/>
        </w:rPr>
      </w:pPr>
      <w:r w:rsidRPr="00C01FCD">
        <w:rPr>
          <w:rFonts w:ascii="Arial" w:hAnsi="Arial" w:cs="Arial"/>
        </w:rPr>
        <w:t>real-time environmental and operational dashboards</w:t>
      </w:r>
    </w:p>
    <w:p w14:paraId="4D5ED9BA" w14:textId="77777777" w:rsidR="00E20666" w:rsidRPr="00C01FCD" w:rsidRDefault="00E20666" w:rsidP="00C01FCD">
      <w:pPr>
        <w:numPr>
          <w:ilvl w:val="0"/>
          <w:numId w:val="76"/>
        </w:numPr>
        <w:spacing w:after="0" w:line="360" w:lineRule="auto"/>
        <w:ind w:left="0" w:firstLine="720"/>
        <w:jc w:val="both"/>
        <w:rPr>
          <w:rFonts w:ascii="Arial" w:hAnsi="Arial" w:cs="Arial"/>
        </w:rPr>
      </w:pPr>
      <w:r w:rsidRPr="00C01FCD">
        <w:rPr>
          <w:rFonts w:ascii="Arial" w:hAnsi="Arial" w:cs="Arial"/>
        </w:rPr>
        <w:t>AI-based predictive maintenance</w:t>
      </w:r>
    </w:p>
    <w:p w14:paraId="4AD38DF6" w14:textId="77777777" w:rsidR="00E20666" w:rsidRPr="00C01FCD" w:rsidRDefault="00E20666" w:rsidP="00C01FCD">
      <w:pPr>
        <w:numPr>
          <w:ilvl w:val="0"/>
          <w:numId w:val="76"/>
        </w:numPr>
        <w:spacing w:after="0" w:line="360" w:lineRule="auto"/>
        <w:ind w:left="0" w:firstLine="720"/>
        <w:jc w:val="both"/>
        <w:rPr>
          <w:rFonts w:ascii="Arial" w:hAnsi="Arial" w:cs="Arial"/>
        </w:rPr>
      </w:pPr>
      <w:r w:rsidRPr="00C01FCD">
        <w:rPr>
          <w:rFonts w:ascii="Arial" w:hAnsi="Arial" w:cs="Arial"/>
        </w:rPr>
        <w:t>automated dispatch systems</w:t>
      </w:r>
    </w:p>
    <w:p w14:paraId="30F9E498" w14:textId="77777777" w:rsidR="00E20666" w:rsidRPr="00C01FCD" w:rsidRDefault="00E20666" w:rsidP="00C01FCD">
      <w:pPr>
        <w:numPr>
          <w:ilvl w:val="0"/>
          <w:numId w:val="76"/>
        </w:numPr>
        <w:spacing w:after="0" w:line="360" w:lineRule="auto"/>
        <w:ind w:left="0" w:firstLine="720"/>
        <w:jc w:val="both"/>
        <w:rPr>
          <w:rFonts w:ascii="Arial" w:hAnsi="Arial" w:cs="Arial"/>
        </w:rPr>
      </w:pPr>
      <w:r w:rsidRPr="00C01FCD">
        <w:rPr>
          <w:rFonts w:ascii="Arial" w:hAnsi="Arial" w:cs="Arial"/>
        </w:rPr>
        <w:t xml:space="preserve">process </w:t>
      </w:r>
      <w:proofErr w:type="spellStart"/>
      <w:r w:rsidRPr="00C01FCD">
        <w:rPr>
          <w:rFonts w:ascii="Arial" w:hAnsi="Arial" w:cs="Arial"/>
        </w:rPr>
        <w:t>optimisation</w:t>
      </w:r>
      <w:proofErr w:type="spellEnd"/>
      <w:r w:rsidRPr="00C01FCD">
        <w:rPr>
          <w:rFonts w:ascii="Arial" w:hAnsi="Arial" w:cs="Arial"/>
        </w:rPr>
        <w:t xml:space="preserve"> algorithms</w:t>
      </w:r>
    </w:p>
    <w:p w14:paraId="7DC366F8" w14:textId="77777777" w:rsidR="00E20666" w:rsidRPr="00C01FCD" w:rsidRDefault="00E20666" w:rsidP="00C01FCD">
      <w:pPr>
        <w:numPr>
          <w:ilvl w:val="0"/>
          <w:numId w:val="76"/>
        </w:numPr>
        <w:spacing w:after="0" w:line="360" w:lineRule="auto"/>
        <w:ind w:left="0" w:firstLine="720"/>
        <w:jc w:val="both"/>
        <w:rPr>
          <w:rFonts w:ascii="Arial" w:hAnsi="Arial" w:cs="Arial"/>
        </w:rPr>
      </w:pPr>
      <w:r w:rsidRPr="00C01FCD">
        <w:rPr>
          <w:rFonts w:ascii="Arial" w:hAnsi="Arial" w:cs="Arial"/>
        </w:rPr>
        <w:lastRenderedPageBreak/>
        <w:t>integrated digital platforms for energy and water management</w:t>
      </w:r>
    </w:p>
    <w:p w14:paraId="4C522A6F"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These tools enhance both sustainability and competitiveness.</w:t>
      </w:r>
    </w:p>
    <w:p w14:paraId="0732C55C"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6" w:name="_Toc214615843"/>
      <w:r w:rsidRPr="00934A95">
        <w:rPr>
          <w:rFonts w:ascii="Arial" w:eastAsia="Times New Roman" w:hAnsi="Arial" w:cs="Arial"/>
          <w:b/>
          <w:bCs/>
          <w:color w:val="auto"/>
        </w:rPr>
        <w:t>4.6.3 Social and Governance Practices</w:t>
      </w:r>
      <w:bookmarkEnd w:id="46"/>
    </w:p>
    <w:p w14:paraId="41CA1684"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rPr>
        <w:t>Ellatzite</w:t>
      </w:r>
      <w:proofErr w:type="spellEnd"/>
      <w:r w:rsidRPr="00C01FCD">
        <w:rPr>
          <w:rFonts w:ascii="Arial" w:hAnsi="Arial" w:cs="Arial"/>
        </w:rPr>
        <w:t>-Med maintains:</w:t>
      </w:r>
    </w:p>
    <w:p w14:paraId="00CE935C" w14:textId="77777777" w:rsidR="00E20666" w:rsidRPr="00C01FCD" w:rsidRDefault="00E20666" w:rsidP="00C01FCD">
      <w:pPr>
        <w:numPr>
          <w:ilvl w:val="0"/>
          <w:numId w:val="77"/>
        </w:numPr>
        <w:spacing w:after="0" w:line="360" w:lineRule="auto"/>
        <w:ind w:left="0" w:firstLine="720"/>
        <w:jc w:val="both"/>
        <w:rPr>
          <w:rFonts w:ascii="Arial" w:hAnsi="Arial" w:cs="Arial"/>
        </w:rPr>
      </w:pPr>
      <w:r w:rsidRPr="00C01FCD">
        <w:rPr>
          <w:rFonts w:ascii="Arial" w:hAnsi="Arial" w:cs="Arial"/>
        </w:rPr>
        <w:t>strong safety performance</w:t>
      </w:r>
    </w:p>
    <w:p w14:paraId="0FF7D5E4" w14:textId="77777777" w:rsidR="00E20666" w:rsidRPr="00C01FCD" w:rsidRDefault="00E20666" w:rsidP="00C01FCD">
      <w:pPr>
        <w:numPr>
          <w:ilvl w:val="0"/>
          <w:numId w:val="77"/>
        </w:numPr>
        <w:spacing w:after="0" w:line="360" w:lineRule="auto"/>
        <w:ind w:left="0" w:firstLine="720"/>
        <w:jc w:val="both"/>
        <w:rPr>
          <w:rFonts w:ascii="Arial" w:hAnsi="Arial" w:cs="Arial"/>
        </w:rPr>
      </w:pPr>
      <w:r w:rsidRPr="00C01FCD">
        <w:rPr>
          <w:rFonts w:ascii="Arial" w:hAnsi="Arial" w:cs="Arial"/>
        </w:rPr>
        <w:t>continuous employee training</w:t>
      </w:r>
    </w:p>
    <w:p w14:paraId="31D5386A" w14:textId="77777777" w:rsidR="00E20666" w:rsidRPr="00C01FCD" w:rsidRDefault="00E20666" w:rsidP="00C01FCD">
      <w:pPr>
        <w:numPr>
          <w:ilvl w:val="0"/>
          <w:numId w:val="77"/>
        </w:numPr>
        <w:spacing w:after="0" w:line="360" w:lineRule="auto"/>
        <w:ind w:left="0" w:firstLine="720"/>
        <w:jc w:val="both"/>
        <w:rPr>
          <w:rFonts w:ascii="Arial" w:hAnsi="Arial" w:cs="Arial"/>
        </w:rPr>
      </w:pPr>
      <w:r w:rsidRPr="00C01FCD">
        <w:rPr>
          <w:rFonts w:ascii="Arial" w:hAnsi="Arial" w:cs="Arial"/>
        </w:rPr>
        <w:t>long-term community partnerships</w:t>
      </w:r>
    </w:p>
    <w:p w14:paraId="5BE1FC68" w14:textId="77777777" w:rsidR="00E20666" w:rsidRPr="00C01FCD" w:rsidRDefault="00E20666" w:rsidP="00C01FCD">
      <w:pPr>
        <w:numPr>
          <w:ilvl w:val="0"/>
          <w:numId w:val="77"/>
        </w:numPr>
        <w:spacing w:after="0" w:line="360" w:lineRule="auto"/>
        <w:ind w:left="0" w:firstLine="720"/>
        <w:jc w:val="both"/>
        <w:rPr>
          <w:rFonts w:ascii="Arial" w:hAnsi="Arial" w:cs="Arial"/>
        </w:rPr>
      </w:pPr>
      <w:r w:rsidRPr="00C01FCD">
        <w:rPr>
          <w:rFonts w:ascii="Arial" w:hAnsi="Arial" w:cs="Arial"/>
        </w:rPr>
        <w:t>structured internal governance for sustainability</w:t>
      </w:r>
    </w:p>
    <w:p w14:paraId="079D0554" w14:textId="77777777" w:rsidR="00E20666" w:rsidRPr="00934A95" w:rsidRDefault="00E20666" w:rsidP="00934A95">
      <w:pPr>
        <w:pStyle w:val="Heading3"/>
        <w:spacing w:before="0" w:line="360" w:lineRule="auto"/>
        <w:ind w:firstLine="720"/>
        <w:rPr>
          <w:rFonts w:ascii="Arial" w:eastAsia="Times New Roman" w:hAnsi="Arial" w:cs="Arial"/>
          <w:b/>
          <w:bCs/>
          <w:color w:val="auto"/>
        </w:rPr>
      </w:pPr>
      <w:bookmarkStart w:id="47" w:name="_Toc214615844"/>
      <w:r w:rsidRPr="00934A95">
        <w:rPr>
          <w:rFonts w:ascii="Arial" w:eastAsia="Times New Roman" w:hAnsi="Arial" w:cs="Arial"/>
          <w:b/>
          <w:bCs/>
          <w:color w:val="auto"/>
        </w:rPr>
        <w:t>4.6.4 Comparative Position</w:t>
      </w:r>
      <w:bookmarkEnd w:id="47"/>
    </w:p>
    <w:p w14:paraId="2DE213BA"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Compared to other companies, </w:t>
      </w:r>
      <w:proofErr w:type="spellStart"/>
      <w:r w:rsidRPr="00C01FCD">
        <w:rPr>
          <w:rFonts w:ascii="Arial" w:hAnsi="Arial" w:cs="Arial"/>
        </w:rPr>
        <w:t>Ellatzite</w:t>
      </w:r>
      <w:proofErr w:type="spellEnd"/>
      <w:r w:rsidRPr="00C01FCD">
        <w:rPr>
          <w:rFonts w:ascii="Arial" w:hAnsi="Arial" w:cs="Arial"/>
        </w:rPr>
        <w:t>-Med stands out for:</w:t>
      </w:r>
    </w:p>
    <w:p w14:paraId="551B807D" w14:textId="77777777" w:rsidR="00E20666" w:rsidRPr="00C01FCD" w:rsidRDefault="00E20666" w:rsidP="00C01FCD">
      <w:pPr>
        <w:numPr>
          <w:ilvl w:val="0"/>
          <w:numId w:val="78"/>
        </w:numPr>
        <w:spacing w:after="0" w:line="360" w:lineRule="auto"/>
        <w:ind w:left="0" w:firstLine="720"/>
        <w:jc w:val="both"/>
        <w:rPr>
          <w:rFonts w:ascii="Arial" w:hAnsi="Arial" w:cs="Arial"/>
        </w:rPr>
      </w:pPr>
      <w:r w:rsidRPr="00C01FCD">
        <w:rPr>
          <w:rFonts w:ascii="Arial" w:hAnsi="Arial" w:cs="Arial"/>
        </w:rPr>
        <w:t>best-in-class technological systems</w:t>
      </w:r>
    </w:p>
    <w:p w14:paraId="1B1D24E9" w14:textId="77777777" w:rsidR="00E20666" w:rsidRPr="00C01FCD" w:rsidRDefault="00E20666" w:rsidP="00C01FCD">
      <w:pPr>
        <w:numPr>
          <w:ilvl w:val="0"/>
          <w:numId w:val="78"/>
        </w:numPr>
        <w:spacing w:after="0" w:line="360" w:lineRule="auto"/>
        <w:ind w:left="0" w:firstLine="720"/>
        <w:jc w:val="both"/>
        <w:rPr>
          <w:rFonts w:ascii="Arial" w:hAnsi="Arial" w:cs="Arial"/>
        </w:rPr>
      </w:pPr>
      <w:r w:rsidRPr="00C01FCD">
        <w:rPr>
          <w:rFonts w:ascii="Arial" w:hAnsi="Arial" w:cs="Arial"/>
        </w:rPr>
        <w:t>strong operational ESG performance</w:t>
      </w:r>
    </w:p>
    <w:p w14:paraId="481DCEE4" w14:textId="77777777" w:rsidR="00E20666" w:rsidRPr="00C01FCD" w:rsidRDefault="00E20666" w:rsidP="00C01FCD">
      <w:pPr>
        <w:numPr>
          <w:ilvl w:val="0"/>
          <w:numId w:val="78"/>
        </w:numPr>
        <w:spacing w:after="0" w:line="360" w:lineRule="auto"/>
        <w:ind w:left="0" w:firstLine="720"/>
        <w:jc w:val="both"/>
        <w:rPr>
          <w:rFonts w:ascii="Arial" w:hAnsi="Arial" w:cs="Arial"/>
        </w:rPr>
      </w:pPr>
      <w:r w:rsidRPr="00C01FCD">
        <w:rPr>
          <w:rFonts w:ascii="Arial" w:hAnsi="Arial" w:cs="Arial"/>
        </w:rPr>
        <w:t>robust climate readiness</w:t>
      </w:r>
    </w:p>
    <w:p w14:paraId="3A96EF46" w14:textId="77777777" w:rsidR="00E20666" w:rsidRDefault="00E20666" w:rsidP="00C01FCD">
      <w:pPr>
        <w:spacing w:after="0" w:line="360" w:lineRule="auto"/>
        <w:ind w:firstLine="720"/>
        <w:jc w:val="both"/>
        <w:rPr>
          <w:rFonts w:ascii="Arial" w:hAnsi="Arial" w:cs="Arial"/>
        </w:rPr>
      </w:pPr>
      <w:r w:rsidRPr="00C01FCD">
        <w:rPr>
          <w:rFonts w:ascii="Arial" w:hAnsi="Arial" w:cs="Arial"/>
        </w:rPr>
        <w:t>Its main opportunity area lies in expanding reporting to meet ESRS fully.</w:t>
      </w:r>
    </w:p>
    <w:p w14:paraId="665B794A" w14:textId="77777777" w:rsidR="00934A95" w:rsidRPr="00C01FCD" w:rsidRDefault="00934A95" w:rsidP="00C01FCD">
      <w:pPr>
        <w:spacing w:after="0" w:line="360" w:lineRule="auto"/>
        <w:ind w:firstLine="720"/>
        <w:jc w:val="both"/>
        <w:rPr>
          <w:rFonts w:ascii="Arial" w:hAnsi="Arial" w:cs="Arial"/>
          <w:lang w:val="bg-BG"/>
        </w:rPr>
      </w:pPr>
    </w:p>
    <w:p w14:paraId="4B66203A" w14:textId="77777777" w:rsidR="00E20666" w:rsidRPr="00934A95" w:rsidRDefault="00E20666" w:rsidP="00934A95">
      <w:pPr>
        <w:pStyle w:val="Heading2"/>
        <w:spacing w:before="0" w:line="360" w:lineRule="auto"/>
        <w:ind w:firstLine="720"/>
        <w:rPr>
          <w:rFonts w:ascii="Arial" w:hAnsi="Arial" w:cs="Arial"/>
          <w:b/>
          <w:bCs/>
          <w:color w:val="auto"/>
          <w:sz w:val="24"/>
          <w:szCs w:val="24"/>
        </w:rPr>
      </w:pPr>
      <w:bookmarkStart w:id="48" w:name="_Toc214615845"/>
      <w:r w:rsidRPr="00934A95">
        <w:rPr>
          <w:rFonts w:ascii="Arial" w:hAnsi="Arial" w:cs="Arial"/>
          <w:b/>
          <w:bCs/>
          <w:color w:val="auto"/>
          <w:sz w:val="24"/>
          <w:szCs w:val="24"/>
        </w:rPr>
        <w:t>4.7 Synthesis and Discussion</w:t>
      </w:r>
      <w:bookmarkEnd w:id="48"/>
    </w:p>
    <w:p w14:paraId="27EF3C12"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Across the six cases, I observed that:</w:t>
      </w:r>
    </w:p>
    <w:p w14:paraId="1FE040B4" w14:textId="77777777" w:rsidR="00E20666" w:rsidRPr="00C01FCD" w:rsidRDefault="00E20666" w:rsidP="00C01FCD">
      <w:pPr>
        <w:numPr>
          <w:ilvl w:val="0"/>
          <w:numId w:val="79"/>
        </w:numPr>
        <w:spacing w:after="0" w:line="360" w:lineRule="auto"/>
        <w:ind w:left="0" w:firstLine="720"/>
        <w:jc w:val="both"/>
        <w:rPr>
          <w:rFonts w:ascii="Arial" w:hAnsi="Arial" w:cs="Arial"/>
        </w:rPr>
      </w:pPr>
      <w:r w:rsidRPr="00C01FCD">
        <w:rPr>
          <w:rFonts w:ascii="Arial" w:hAnsi="Arial" w:cs="Arial"/>
        </w:rPr>
        <w:t>EU regulation drives ESG maturity</w:t>
      </w:r>
    </w:p>
    <w:p w14:paraId="791EFBC6" w14:textId="77777777" w:rsidR="00E20666" w:rsidRPr="00C01FCD" w:rsidRDefault="00E20666" w:rsidP="00C01FCD">
      <w:pPr>
        <w:numPr>
          <w:ilvl w:val="0"/>
          <w:numId w:val="79"/>
        </w:numPr>
        <w:spacing w:after="0" w:line="360" w:lineRule="auto"/>
        <w:ind w:left="0" w:firstLine="720"/>
        <w:jc w:val="both"/>
        <w:rPr>
          <w:rFonts w:ascii="Arial" w:hAnsi="Arial" w:cs="Arial"/>
        </w:rPr>
      </w:pPr>
      <w:r w:rsidRPr="00C01FCD">
        <w:rPr>
          <w:rFonts w:ascii="Arial" w:hAnsi="Arial" w:cs="Arial"/>
        </w:rPr>
        <w:t>technological investment is essential for sustainability</w:t>
      </w:r>
    </w:p>
    <w:p w14:paraId="34ADD896" w14:textId="77777777" w:rsidR="00E20666" w:rsidRPr="00C01FCD" w:rsidRDefault="00E20666" w:rsidP="00C01FCD">
      <w:pPr>
        <w:numPr>
          <w:ilvl w:val="0"/>
          <w:numId w:val="79"/>
        </w:numPr>
        <w:spacing w:after="0" w:line="360" w:lineRule="auto"/>
        <w:ind w:left="0" w:firstLine="720"/>
        <w:jc w:val="both"/>
        <w:rPr>
          <w:rFonts w:ascii="Arial" w:hAnsi="Arial" w:cs="Arial"/>
        </w:rPr>
      </w:pPr>
      <w:r w:rsidRPr="00C01FCD">
        <w:rPr>
          <w:rFonts w:ascii="Arial" w:hAnsi="Arial" w:cs="Arial"/>
        </w:rPr>
        <w:t>transparency remains the main differentiator</w:t>
      </w:r>
    </w:p>
    <w:p w14:paraId="0C5ABD80" w14:textId="77777777" w:rsidR="00E20666" w:rsidRPr="00C01FCD" w:rsidRDefault="00E20666" w:rsidP="00C01FCD">
      <w:pPr>
        <w:numPr>
          <w:ilvl w:val="0"/>
          <w:numId w:val="79"/>
        </w:numPr>
        <w:spacing w:after="0" w:line="360" w:lineRule="auto"/>
        <w:ind w:left="0" w:firstLine="720"/>
        <w:jc w:val="both"/>
        <w:rPr>
          <w:rFonts w:ascii="Arial" w:hAnsi="Arial" w:cs="Arial"/>
        </w:rPr>
      </w:pPr>
      <w:r w:rsidRPr="00C01FCD">
        <w:rPr>
          <w:rFonts w:ascii="Arial" w:hAnsi="Arial" w:cs="Arial"/>
        </w:rPr>
        <w:t>new projects have potential but lack evidence</w:t>
      </w:r>
    </w:p>
    <w:p w14:paraId="10248429" w14:textId="77777777" w:rsidR="00E20666" w:rsidRPr="00C01FCD" w:rsidRDefault="00E20666" w:rsidP="00C01FCD">
      <w:pPr>
        <w:spacing w:after="0" w:line="360" w:lineRule="auto"/>
        <w:ind w:firstLine="720"/>
        <w:jc w:val="both"/>
        <w:rPr>
          <w:rFonts w:ascii="Arial" w:hAnsi="Arial" w:cs="Arial"/>
        </w:rPr>
      </w:pPr>
      <w:proofErr w:type="spellStart"/>
      <w:r w:rsidRPr="00C01FCD">
        <w:rPr>
          <w:rFonts w:ascii="Arial" w:hAnsi="Arial" w:cs="Arial"/>
        </w:rPr>
        <w:t>Ellatzite</w:t>
      </w:r>
      <w:proofErr w:type="spellEnd"/>
      <w:r w:rsidRPr="00C01FCD">
        <w:rPr>
          <w:rFonts w:ascii="Arial" w:hAnsi="Arial" w:cs="Arial"/>
        </w:rPr>
        <w:t>-Med emerges as a regional leader in operational ESG implementation, while Dundee leads in transparency and reporting maturity.</w:t>
      </w:r>
    </w:p>
    <w:p w14:paraId="63EED642" w14:textId="77777777" w:rsidR="00E20666" w:rsidRDefault="00E20666" w:rsidP="00C01FCD">
      <w:pPr>
        <w:spacing w:after="0" w:line="360" w:lineRule="auto"/>
        <w:ind w:firstLine="720"/>
        <w:jc w:val="both"/>
        <w:rPr>
          <w:rFonts w:ascii="Arial" w:hAnsi="Arial" w:cs="Arial"/>
        </w:rPr>
      </w:pPr>
      <w:r w:rsidRPr="00C01FCD">
        <w:rPr>
          <w:rFonts w:ascii="Arial" w:hAnsi="Arial" w:cs="Arial"/>
        </w:rPr>
        <w:t xml:space="preserve">The findings highlight the need for enhanced climate governance, </w:t>
      </w:r>
      <w:proofErr w:type="spellStart"/>
      <w:r w:rsidRPr="00C01FCD">
        <w:rPr>
          <w:rFonts w:ascii="Arial" w:hAnsi="Arial" w:cs="Arial"/>
        </w:rPr>
        <w:t>decarbonisation</w:t>
      </w:r>
      <w:proofErr w:type="spellEnd"/>
      <w:r w:rsidRPr="00C01FCD">
        <w:rPr>
          <w:rFonts w:ascii="Arial" w:hAnsi="Arial" w:cs="Arial"/>
        </w:rPr>
        <w:t xml:space="preserve"> strategies and alignment with CSRD/ESRS across the region.</w:t>
      </w:r>
    </w:p>
    <w:p w14:paraId="6C787265" w14:textId="77777777" w:rsidR="00934A95" w:rsidRPr="00C01FCD" w:rsidRDefault="00934A95" w:rsidP="00C01FCD">
      <w:pPr>
        <w:spacing w:after="0" w:line="360" w:lineRule="auto"/>
        <w:ind w:firstLine="720"/>
        <w:jc w:val="both"/>
        <w:rPr>
          <w:rFonts w:ascii="Arial" w:hAnsi="Arial" w:cs="Arial"/>
          <w:lang w:val="bg-BG"/>
        </w:rPr>
      </w:pPr>
    </w:p>
    <w:p w14:paraId="5C9E991C" w14:textId="77777777" w:rsidR="00E20666" w:rsidRPr="00934A95" w:rsidRDefault="00E20666" w:rsidP="00934A95">
      <w:pPr>
        <w:pStyle w:val="Heading2"/>
        <w:spacing w:before="0" w:line="360" w:lineRule="auto"/>
        <w:ind w:firstLine="720"/>
        <w:rPr>
          <w:rFonts w:ascii="Arial" w:hAnsi="Arial" w:cs="Arial"/>
          <w:b/>
          <w:bCs/>
          <w:color w:val="auto"/>
          <w:sz w:val="24"/>
          <w:szCs w:val="24"/>
        </w:rPr>
      </w:pPr>
      <w:bookmarkStart w:id="49" w:name="_Toc214615846"/>
      <w:r w:rsidRPr="00934A95">
        <w:rPr>
          <w:rFonts w:ascii="Arial" w:hAnsi="Arial" w:cs="Arial"/>
          <w:b/>
          <w:bCs/>
          <w:color w:val="auto"/>
          <w:sz w:val="24"/>
          <w:szCs w:val="24"/>
        </w:rPr>
        <w:t>4.8 Summary</w:t>
      </w:r>
      <w:bookmarkEnd w:id="49"/>
    </w:p>
    <w:p w14:paraId="4B64C008" w14:textId="77777777" w:rsidR="00E20666" w:rsidRPr="00C01FCD" w:rsidRDefault="00E20666" w:rsidP="00C01FCD">
      <w:pPr>
        <w:spacing w:after="0" w:line="360" w:lineRule="auto"/>
        <w:ind w:firstLine="720"/>
        <w:jc w:val="both"/>
        <w:rPr>
          <w:rFonts w:ascii="Arial" w:hAnsi="Arial" w:cs="Arial"/>
        </w:rPr>
      </w:pPr>
      <w:r w:rsidRPr="00C01FCD">
        <w:rPr>
          <w:rFonts w:ascii="Arial" w:hAnsi="Arial" w:cs="Arial"/>
        </w:rPr>
        <w:t xml:space="preserve">This chapter presented the findings of my multi-case analysis and the in-depth assessment of </w:t>
      </w:r>
      <w:proofErr w:type="spellStart"/>
      <w:r w:rsidRPr="00C01FCD">
        <w:rPr>
          <w:rFonts w:ascii="Arial" w:hAnsi="Arial" w:cs="Arial"/>
        </w:rPr>
        <w:t>Ellatzite</w:t>
      </w:r>
      <w:proofErr w:type="spellEnd"/>
      <w:r w:rsidRPr="00C01FCD">
        <w:rPr>
          <w:rFonts w:ascii="Arial" w:hAnsi="Arial" w:cs="Arial"/>
        </w:rPr>
        <w:t>-Med. Using ESG, CSRD/ESRS and TCFD as analytical lenses, I identified strengths, weaknesses and best practices within the Balkan copper mining sector. These findings form the basis for the conclusions and recommendations presented in Chapter 5.</w:t>
      </w:r>
    </w:p>
    <w:p w14:paraId="7327CC38" w14:textId="77777777" w:rsidR="00E20666" w:rsidRPr="00C01FCD" w:rsidRDefault="00E20666" w:rsidP="00C01FCD">
      <w:pPr>
        <w:spacing w:after="0" w:line="360" w:lineRule="auto"/>
        <w:ind w:firstLine="720"/>
        <w:jc w:val="both"/>
        <w:rPr>
          <w:rFonts w:ascii="Arial" w:hAnsi="Arial" w:cs="Arial"/>
          <w:lang w:val="bg-BG"/>
        </w:rPr>
      </w:pPr>
      <w:r w:rsidRPr="00C01FCD">
        <w:rPr>
          <w:rFonts w:ascii="Arial" w:hAnsi="Arial" w:cs="Arial"/>
          <w:lang w:val="bg-BG"/>
        </w:rPr>
        <w:br w:type="page"/>
      </w:r>
    </w:p>
    <w:p w14:paraId="58D26DF6" w14:textId="77777777" w:rsidR="00E20666" w:rsidRDefault="00E20666" w:rsidP="00934A95">
      <w:pPr>
        <w:pStyle w:val="Heading1"/>
        <w:spacing w:before="0" w:line="360" w:lineRule="auto"/>
        <w:ind w:firstLine="720"/>
        <w:jc w:val="both"/>
        <w:rPr>
          <w:rFonts w:ascii="Arial" w:hAnsi="Arial" w:cs="Arial"/>
          <w:b/>
          <w:bCs/>
          <w:color w:val="auto"/>
          <w:kern w:val="2"/>
          <w:sz w:val="28"/>
          <w:szCs w:val="28"/>
          <w14:ligatures w14:val="standardContextual"/>
        </w:rPr>
      </w:pPr>
      <w:bookmarkStart w:id="50" w:name="_Toc214615847"/>
      <w:r w:rsidRPr="00934A95">
        <w:rPr>
          <w:rFonts w:ascii="Arial" w:hAnsi="Arial" w:cs="Arial"/>
          <w:b/>
          <w:bCs/>
          <w:color w:val="auto"/>
          <w:kern w:val="2"/>
          <w:sz w:val="28"/>
          <w:szCs w:val="28"/>
          <w14:ligatures w14:val="standardContextual"/>
        </w:rPr>
        <w:lastRenderedPageBreak/>
        <w:t>CHAPTER 5: CONCLUSIONS AND RECOMMENDATIONS</w:t>
      </w:r>
      <w:bookmarkEnd w:id="50"/>
    </w:p>
    <w:p w14:paraId="4BD02FAA" w14:textId="77777777" w:rsidR="00934A95" w:rsidRPr="00934A95" w:rsidRDefault="00934A95" w:rsidP="00934A95"/>
    <w:p w14:paraId="4D828B65" w14:textId="77777777" w:rsidR="006B4DEB" w:rsidRPr="008B22AC" w:rsidRDefault="006B4DEB" w:rsidP="008B22AC">
      <w:pPr>
        <w:pStyle w:val="Heading2"/>
        <w:spacing w:before="0" w:line="360" w:lineRule="auto"/>
        <w:ind w:firstLine="720"/>
        <w:rPr>
          <w:rFonts w:ascii="Arial" w:hAnsi="Arial" w:cs="Arial"/>
          <w:b/>
          <w:bCs/>
          <w:color w:val="auto"/>
          <w:sz w:val="24"/>
          <w:szCs w:val="24"/>
        </w:rPr>
      </w:pPr>
      <w:bookmarkStart w:id="51" w:name="_Toc214615848"/>
      <w:r w:rsidRPr="008B22AC">
        <w:rPr>
          <w:rFonts w:ascii="Arial" w:hAnsi="Arial" w:cs="Arial"/>
          <w:b/>
          <w:bCs/>
          <w:color w:val="auto"/>
          <w:sz w:val="24"/>
          <w:szCs w:val="24"/>
        </w:rPr>
        <w:t>5.1 Introduction</w:t>
      </w:r>
      <w:bookmarkEnd w:id="51"/>
    </w:p>
    <w:p w14:paraId="242A7C22" w14:textId="77777777" w:rsidR="006B4DEB" w:rsidRDefault="006B4DEB" w:rsidP="006B4DEB">
      <w:pPr>
        <w:spacing w:after="0" w:line="360" w:lineRule="auto"/>
        <w:ind w:firstLine="720"/>
        <w:jc w:val="both"/>
        <w:rPr>
          <w:rFonts w:ascii="Arial" w:hAnsi="Arial" w:cs="Arial"/>
        </w:rPr>
      </w:pPr>
      <w:r w:rsidRPr="006B4DEB">
        <w:rPr>
          <w:rFonts w:ascii="Arial" w:hAnsi="Arial" w:cs="Arial"/>
        </w:rPr>
        <w:t xml:space="preserve">This chapter presents the final conclusions drawn from my research and reflects on what I have accomplished through the comparative sustainability analysis of copper mining companies in the Balkan region. Unlike earlier drafts, this version does not propose future actions for </w:t>
      </w:r>
      <w:proofErr w:type="spellStart"/>
      <w:r w:rsidRPr="006B4DEB">
        <w:rPr>
          <w:rFonts w:ascii="Arial" w:hAnsi="Arial" w:cs="Arial"/>
        </w:rPr>
        <w:t>organisations</w:t>
      </w:r>
      <w:proofErr w:type="spellEnd"/>
      <w:r w:rsidRPr="006B4DEB">
        <w:rPr>
          <w:rFonts w:ascii="Arial" w:hAnsi="Arial" w:cs="Arial"/>
        </w:rPr>
        <w:t xml:space="preserve"> but evaluates the actual findings that emerged from the study, assesses the effects and limitations of my approach, and considers how my conclusions compare to my initial expectations. The chapter closes with a reflection on the contribution this dissertation makes to understanding sustainability adaptation in Balkan mining.</w:t>
      </w:r>
    </w:p>
    <w:p w14:paraId="158FACFE" w14:textId="77777777" w:rsidR="008B22AC" w:rsidRPr="006B4DEB" w:rsidRDefault="008B22AC" w:rsidP="006B4DEB">
      <w:pPr>
        <w:spacing w:after="0" w:line="360" w:lineRule="auto"/>
        <w:ind w:firstLine="720"/>
        <w:jc w:val="both"/>
        <w:rPr>
          <w:rFonts w:ascii="Arial" w:hAnsi="Arial" w:cs="Arial"/>
          <w:lang w:val="bg-BG"/>
        </w:rPr>
      </w:pPr>
    </w:p>
    <w:p w14:paraId="0CE8E10C" w14:textId="77777777" w:rsidR="006B4DEB" w:rsidRPr="008B22AC" w:rsidRDefault="006B4DEB" w:rsidP="008B22AC">
      <w:pPr>
        <w:pStyle w:val="Heading2"/>
        <w:spacing w:before="0" w:line="360" w:lineRule="auto"/>
        <w:ind w:firstLine="720"/>
        <w:rPr>
          <w:rFonts w:ascii="Arial" w:hAnsi="Arial" w:cs="Arial"/>
          <w:b/>
          <w:bCs/>
          <w:color w:val="auto"/>
          <w:sz w:val="24"/>
          <w:szCs w:val="24"/>
        </w:rPr>
      </w:pPr>
      <w:bookmarkStart w:id="52" w:name="_Toc214615849"/>
      <w:r w:rsidRPr="008B22AC">
        <w:rPr>
          <w:rFonts w:ascii="Arial" w:hAnsi="Arial" w:cs="Arial"/>
          <w:b/>
          <w:bCs/>
          <w:color w:val="auto"/>
          <w:sz w:val="24"/>
          <w:szCs w:val="24"/>
        </w:rPr>
        <w:t>5.2 Summary of Key Findings: What My Research Revealed</w:t>
      </w:r>
      <w:bookmarkEnd w:id="52"/>
    </w:p>
    <w:p w14:paraId="5D0E41C7"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Through the analytical framework that I designed (ESG + CSRD/ESRS + TCFD), I was able to systematically assess six mining operations at different stages of development. This comparative approach produced several significant empirical insights.</w:t>
      </w:r>
    </w:p>
    <w:p w14:paraId="06FE66E2"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First, I identified a clear and measurable divergence in sustainability maturity across the region. Companies with longer operational history and established ownership structures—such as </w:t>
      </w:r>
      <w:proofErr w:type="spellStart"/>
      <w:r w:rsidRPr="006B4DEB">
        <w:rPr>
          <w:rFonts w:ascii="Arial" w:hAnsi="Arial" w:cs="Arial"/>
          <w:b/>
          <w:bCs/>
        </w:rPr>
        <w:t>Ellatzite</w:t>
      </w:r>
      <w:proofErr w:type="spellEnd"/>
      <w:r w:rsidRPr="006B4DEB">
        <w:rPr>
          <w:rFonts w:ascii="Arial" w:hAnsi="Arial" w:cs="Arial"/>
        </w:rPr>
        <w:t xml:space="preserve"> and </w:t>
      </w:r>
      <w:r w:rsidRPr="006B4DEB">
        <w:rPr>
          <w:rFonts w:ascii="Arial" w:hAnsi="Arial" w:cs="Arial"/>
          <w:b/>
          <w:bCs/>
        </w:rPr>
        <w:t>Dundee Precious Metals</w:t>
      </w:r>
      <w:r w:rsidRPr="006B4DEB">
        <w:rPr>
          <w:rFonts w:ascii="Arial" w:hAnsi="Arial" w:cs="Arial"/>
        </w:rPr>
        <w:t xml:space="preserve">—demonstrate substantially stronger governance, reporting quality, and environmental responsibility. In contrast, projects still under development, such as </w:t>
      </w:r>
      <w:proofErr w:type="spellStart"/>
      <w:r w:rsidRPr="006B4DEB">
        <w:rPr>
          <w:rFonts w:ascii="Arial" w:hAnsi="Arial" w:cs="Arial"/>
          <w:b/>
          <w:bCs/>
        </w:rPr>
        <w:t>Skouries</w:t>
      </w:r>
      <w:proofErr w:type="spellEnd"/>
      <w:r w:rsidRPr="006B4DEB">
        <w:rPr>
          <w:rFonts w:ascii="Arial" w:hAnsi="Arial" w:cs="Arial"/>
        </w:rPr>
        <w:t xml:space="preserve"> and </w:t>
      </w:r>
      <w:r w:rsidRPr="006B4DEB">
        <w:rPr>
          <w:rFonts w:ascii="Arial" w:hAnsi="Arial" w:cs="Arial"/>
          <w:b/>
          <w:bCs/>
        </w:rPr>
        <w:t>Rovina Valley</w:t>
      </w:r>
      <w:r w:rsidRPr="006B4DEB">
        <w:rPr>
          <w:rFonts w:ascii="Arial" w:hAnsi="Arial" w:cs="Arial"/>
        </w:rPr>
        <w:t>, present sustainability commitments predominantly at the strategic or policy level rather than through demonstrable operational performance. This distinction became more visible through my structured analysis than I initially anticipated.</w:t>
      </w:r>
    </w:p>
    <w:p w14:paraId="68BD9BAE"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Second, the application of CSRD and ESRS as part of the analytical model revealed a notable regulatory gap between EU-based and non-EU companies. </w:t>
      </w:r>
      <w:proofErr w:type="spellStart"/>
      <w:r w:rsidRPr="006B4DEB">
        <w:rPr>
          <w:rFonts w:ascii="Arial" w:hAnsi="Arial" w:cs="Arial"/>
        </w:rPr>
        <w:t>Ellatzite</w:t>
      </w:r>
      <w:proofErr w:type="spellEnd"/>
      <w:r w:rsidRPr="006B4DEB">
        <w:rPr>
          <w:rFonts w:ascii="Arial" w:hAnsi="Arial" w:cs="Arial"/>
        </w:rPr>
        <w:t xml:space="preserve"> and Dundee show alignment or readiness for ESRS-type disclosures even before mandatory inclusion, whereas Zijin </w:t>
      </w:r>
      <w:proofErr w:type="spellStart"/>
      <w:r w:rsidRPr="006B4DEB">
        <w:rPr>
          <w:rFonts w:ascii="Arial" w:hAnsi="Arial" w:cs="Arial"/>
        </w:rPr>
        <w:t>Bor</w:t>
      </w:r>
      <w:proofErr w:type="spellEnd"/>
      <w:r w:rsidRPr="006B4DEB">
        <w:rPr>
          <w:rFonts w:ascii="Arial" w:hAnsi="Arial" w:cs="Arial"/>
        </w:rPr>
        <w:t xml:space="preserve"> and non-EU projects display more limited integration. This was not fully evident before conducting the comparative study; only through the structured evaluation matrix did these differences become distinct.</w:t>
      </w:r>
    </w:p>
    <w:p w14:paraId="4D0A4929"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Third, my assessment of climate-related risks (based on TCFD categories) highlighted a common vulnerability across all companies: dependency on water availability and increased exposure to extreme weather. However, I found that only a subset of the companies had developed operational responses—</w:t>
      </w:r>
      <w:proofErr w:type="spellStart"/>
      <w:r w:rsidRPr="006B4DEB">
        <w:rPr>
          <w:rFonts w:ascii="Arial" w:hAnsi="Arial" w:cs="Arial"/>
        </w:rPr>
        <w:t>Ellatzite’s</w:t>
      </w:r>
      <w:proofErr w:type="spellEnd"/>
      <w:r w:rsidRPr="006B4DEB">
        <w:rPr>
          <w:rFonts w:ascii="Arial" w:hAnsi="Arial" w:cs="Arial"/>
        </w:rPr>
        <w:t xml:space="preserve"> wastewater treatment technologies and Dundee’s energy </w:t>
      </w:r>
      <w:proofErr w:type="spellStart"/>
      <w:r w:rsidRPr="006B4DEB">
        <w:rPr>
          <w:rFonts w:ascii="Arial" w:hAnsi="Arial" w:cs="Arial"/>
        </w:rPr>
        <w:t>optimisation</w:t>
      </w:r>
      <w:proofErr w:type="spellEnd"/>
      <w:r w:rsidRPr="006B4DEB">
        <w:rPr>
          <w:rFonts w:ascii="Arial" w:hAnsi="Arial" w:cs="Arial"/>
        </w:rPr>
        <w:t xml:space="preserve"> systems being the most advanced. This demonstrated that technological investment strongly correlates with effective climate readiness in the region.</w:t>
      </w:r>
    </w:p>
    <w:p w14:paraId="1EA599C4" w14:textId="77777777" w:rsidR="006B4DEB" w:rsidRDefault="006B4DEB" w:rsidP="006B4DEB">
      <w:pPr>
        <w:spacing w:after="0" w:line="360" w:lineRule="auto"/>
        <w:ind w:firstLine="720"/>
        <w:jc w:val="both"/>
        <w:rPr>
          <w:rFonts w:ascii="Arial" w:hAnsi="Arial" w:cs="Arial"/>
        </w:rPr>
      </w:pPr>
      <w:r w:rsidRPr="006B4DEB">
        <w:rPr>
          <w:rFonts w:ascii="Arial" w:hAnsi="Arial" w:cs="Arial"/>
        </w:rPr>
        <w:t xml:space="preserve">Finally, one of the most important findings of my analysis is that </w:t>
      </w:r>
      <w:r w:rsidRPr="006B4DEB">
        <w:rPr>
          <w:rFonts w:ascii="Arial" w:hAnsi="Arial" w:cs="Arial"/>
          <w:b/>
          <w:bCs/>
        </w:rPr>
        <w:t>the Balkan region holds a unique strategic position for the European green transition</w:t>
      </w:r>
      <w:r w:rsidRPr="006B4DEB">
        <w:rPr>
          <w:rFonts w:ascii="Arial" w:hAnsi="Arial" w:cs="Arial"/>
        </w:rPr>
        <w:t xml:space="preserve">, yet current sustainability performance </w:t>
      </w:r>
      <w:r w:rsidRPr="006B4DEB">
        <w:rPr>
          <w:rFonts w:ascii="Arial" w:hAnsi="Arial" w:cs="Arial"/>
        </w:rPr>
        <w:lastRenderedPageBreak/>
        <w:t>is uneven and often fragmented. This insight emerged directly from my cross-case comparison and was not clearly positioned in the initial academic literature.</w:t>
      </w:r>
    </w:p>
    <w:p w14:paraId="359A0615" w14:textId="77777777" w:rsidR="008B22AC" w:rsidRPr="006B4DEB" w:rsidRDefault="008B22AC" w:rsidP="006B4DEB">
      <w:pPr>
        <w:spacing w:after="0" w:line="360" w:lineRule="auto"/>
        <w:ind w:firstLine="720"/>
        <w:jc w:val="both"/>
        <w:rPr>
          <w:rFonts w:ascii="Arial" w:hAnsi="Arial" w:cs="Arial"/>
          <w:lang w:val="bg-BG"/>
        </w:rPr>
      </w:pPr>
    </w:p>
    <w:p w14:paraId="5208AEF2" w14:textId="77777777" w:rsidR="006B4DEB" w:rsidRPr="008B22AC" w:rsidRDefault="006B4DEB" w:rsidP="008B22AC">
      <w:pPr>
        <w:pStyle w:val="Heading2"/>
        <w:spacing w:before="0" w:line="360" w:lineRule="auto"/>
        <w:ind w:firstLine="720"/>
        <w:rPr>
          <w:rFonts w:ascii="Arial" w:hAnsi="Arial" w:cs="Arial"/>
          <w:b/>
          <w:bCs/>
          <w:color w:val="auto"/>
          <w:sz w:val="24"/>
          <w:szCs w:val="24"/>
        </w:rPr>
      </w:pPr>
      <w:bookmarkStart w:id="53" w:name="_Toc214615850"/>
      <w:r w:rsidRPr="008B22AC">
        <w:rPr>
          <w:rFonts w:ascii="Arial" w:hAnsi="Arial" w:cs="Arial"/>
          <w:b/>
          <w:bCs/>
          <w:color w:val="auto"/>
          <w:sz w:val="24"/>
          <w:szCs w:val="24"/>
        </w:rPr>
        <w:t>5.3 Contribution of This Dissertation</w:t>
      </w:r>
      <w:bookmarkEnd w:id="53"/>
    </w:p>
    <w:p w14:paraId="322C6357"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My dissertation makes several contributions—methodological, empirical, and contextual.</w:t>
      </w:r>
    </w:p>
    <w:p w14:paraId="6BEBC9E2"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Methodologically, I integrated three frameworks (ESG, CSRD/ESRS, and TCFD) into a single analytical tool adapted specifically for mining operations. To my knowledge, no previous study has applied this combined framework to the Balkan copper sector. This tool allowed for deeper comparison and could be used by future researchers or practitioners.</w:t>
      </w:r>
    </w:p>
    <w:p w14:paraId="4FACD5AB"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Empirically, I provide one of the first structured comparisons of sustainability performance among key mining companies in Bulgaria, Serbia, Greece, and Romania. Existing academic literature primarily focuses on individual case studies or broader industry perspectives, whereas my work brings these companies into a unified evaluative structure.</w:t>
      </w:r>
    </w:p>
    <w:p w14:paraId="348DD09F" w14:textId="77777777" w:rsidR="006B4DEB" w:rsidRDefault="006B4DEB" w:rsidP="006B4DEB">
      <w:pPr>
        <w:spacing w:after="0" w:line="360" w:lineRule="auto"/>
        <w:ind w:firstLine="720"/>
        <w:jc w:val="both"/>
        <w:rPr>
          <w:rFonts w:ascii="Arial" w:hAnsi="Arial" w:cs="Arial"/>
        </w:rPr>
      </w:pPr>
      <w:r w:rsidRPr="006B4DEB">
        <w:rPr>
          <w:rFonts w:ascii="Arial" w:hAnsi="Arial" w:cs="Arial"/>
        </w:rPr>
        <w:t xml:space="preserve">Contextually, I contribute to understanding the importance of the Balkans for the European </w:t>
      </w:r>
      <w:proofErr w:type="spellStart"/>
      <w:r w:rsidRPr="006B4DEB">
        <w:rPr>
          <w:rFonts w:ascii="Arial" w:hAnsi="Arial" w:cs="Arial"/>
        </w:rPr>
        <w:t>decarbonisation</w:t>
      </w:r>
      <w:proofErr w:type="spellEnd"/>
      <w:r w:rsidRPr="006B4DEB">
        <w:rPr>
          <w:rFonts w:ascii="Arial" w:hAnsi="Arial" w:cs="Arial"/>
        </w:rPr>
        <w:t xml:space="preserve"> agenda. By </w:t>
      </w:r>
      <w:proofErr w:type="spellStart"/>
      <w:r w:rsidRPr="006B4DEB">
        <w:rPr>
          <w:rFonts w:ascii="Arial" w:hAnsi="Arial" w:cs="Arial"/>
        </w:rPr>
        <w:t>emphasising</w:t>
      </w:r>
      <w:proofErr w:type="spellEnd"/>
      <w:r w:rsidRPr="006B4DEB">
        <w:rPr>
          <w:rFonts w:ascii="Arial" w:hAnsi="Arial" w:cs="Arial"/>
        </w:rPr>
        <w:t xml:space="preserve"> the long historical tradition of copper extraction—from the earliest prehistoric mines to modern industrial-scale operations—I provide a narrative that links Europe’s earliest metallurgy with its future need for critical minerals. This broader perspective enriches the sustainability discourse and adds depth to the analysis.</w:t>
      </w:r>
    </w:p>
    <w:p w14:paraId="494BE46B" w14:textId="77777777" w:rsidR="008B22AC" w:rsidRPr="006B4DEB" w:rsidRDefault="008B22AC" w:rsidP="006B4DEB">
      <w:pPr>
        <w:spacing w:after="0" w:line="360" w:lineRule="auto"/>
        <w:ind w:firstLine="720"/>
        <w:jc w:val="both"/>
        <w:rPr>
          <w:rFonts w:ascii="Arial" w:hAnsi="Arial" w:cs="Arial"/>
          <w:lang w:val="bg-BG"/>
        </w:rPr>
      </w:pPr>
    </w:p>
    <w:p w14:paraId="3F8932E3" w14:textId="77777777" w:rsidR="006B4DEB" w:rsidRPr="008B22AC" w:rsidRDefault="006B4DEB" w:rsidP="008B22AC">
      <w:pPr>
        <w:pStyle w:val="Heading2"/>
        <w:spacing w:before="0" w:line="360" w:lineRule="auto"/>
        <w:ind w:firstLine="720"/>
        <w:rPr>
          <w:rFonts w:ascii="Arial" w:hAnsi="Arial" w:cs="Arial"/>
          <w:b/>
          <w:bCs/>
          <w:color w:val="auto"/>
          <w:sz w:val="24"/>
          <w:szCs w:val="24"/>
        </w:rPr>
      </w:pPr>
      <w:bookmarkStart w:id="54" w:name="_Toc214615851"/>
      <w:r w:rsidRPr="008B22AC">
        <w:rPr>
          <w:rFonts w:ascii="Arial" w:hAnsi="Arial" w:cs="Arial"/>
          <w:b/>
          <w:bCs/>
          <w:color w:val="auto"/>
          <w:sz w:val="24"/>
          <w:szCs w:val="24"/>
        </w:rPr>
        <w:t>5.4 Limitations of the Research</w:t>
      </w:r>
      <w:bookmarkEnd w:id="54"/>
    </w:p>
    <w:p w14:paraId="0D72011D"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While the comparative methodology was effective, several limitations influenced the depth of interpretation.</w:t>
      </w:r>
    </w:p>
    <w:p w14:paraId="69A1766C"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First, the research relied entirely on secondary data. Although this ensured feasibility and objectivity, it limited my ability to obtain internal perspectives from company staff or regulatory authorities. Some datasets differed in detail or reporting quality, particularly for non-EU or early-stage projects such as Rovina Valley.</w:t>
      </w:r>
    </w:p>
    <w:p w14:paraId="7248F29C"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Second, sustainability reporting across the companies is not </w:t>
      </w:r>
      <w:proofErr w:type="spellStart"/>
      <w:r w:rsidRPr="006B4DEB">
        <w:rPr>
          <w:rFonts w:ascii="Arial" w:hAnsi="Arial" w:cs="Arial"/>
        </w:rPr>
        <w:t>standardised</w:t>
      </w:r>
      <w:proofErr w:type="spellEnd"/>
      <w:r w:rsidRPr="006B4DEB">
        <w:rPr>
          <w:rFonts w:ascii="Arial" w:hAnsi="Arial" w:cs="Arial"/>
        </w:rPr>
        <w:t>, which affects comparability. While ESRS aims to address this gap, current disclosures still vary significantly in structure and transparency.</w:t>
      </w:r>
    </w:p>
    <w:p w14:paraId="739041A8"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Third, the environmental performance of developing projects is based on projections, not on measurable outcomes. This limits the conclusions that can be drawn about their long-term sustainability.</w:t>
      </w:r>
    </w:p>
    <w:p w14:paraId="0033B4F5" w14:textId="77777777" w:rsidR="006B4DEB" w:rsidRPr="006B4DEB" w:rsidRDefault="006B4DEB" w:rsidP="006B4DEB">
      <w:pPr>
        <w:spacing w:after="0" w:line="360" w:lineRule="auto"/>
        <w:ind w:firstLine="720"/>
        <w:jc w:val="both"/>
        <w:rPr>
          <w:rFonts w:ascii="Arial" w:hAnsi="Arial" w:cs="Arial"/>
          <w:lang w:val="bg-BG"/>
        </w:rPr>
      </w:pPr>
      <w:r w:rsidRPr="006B4DEB">
        <w:rPr>
          <w:rFonts w:ascii="Arial" w:hAnsi="Arial" w:cs="Arial"/>
        </w:rPr>
        <w:t>Despite these limitations, the analysis remains valid as a structured evaluation of publicly available information and is consistent with similar research designs in sustainability studies.</w:t>
      </w:r>
    </w:p>
    <w:p w14:paraId="5AB1D645" w14:textId="77777777" w:rsidR="006B4DEB" w:rsidRPr="008B22AC" w:rsidRDefault="006B4DEB" w:rsidP="008B22AC">
      <w:pPr>
        <w:pStyle w:val="Heading2"/>
        <w:spacing w:before="0" w:line="360" w:lineRule="auto"/>
        <w:ind w:firstLine="720"/>
        <w:rPr>
          <w:rFonts w:ascii="Arial" w:hAnsi="Arial" w:cs="Arial"/>
          <w:b/>
          <w:bCs/>
          <w:color w:val="auto"/>
          <w:sz w:val="24"/>
          <w:szCs w:val="24"/>
        </w:rPr>
      </w:pPr>
      <w:bookmarkStart w:id="55" w:name="_Toc214615852"/>
      <w:r w:rsidRPr="008B22AC">
        <w:rPr>
          <w:rFonts w:ascii="Arial" w:hAnsi="Arial" w:cs="Arial"/>
          <w:b/>
          <w:bCs/>
          <w:color w:val="auto"/>
          <w:sz w:val="24"/>
          <w:szCs w:val="24"/>
        </w:rPr>
        <w:lastRenderedPageBreak/>
        <w:t>5.5 Reflection Against Initial Assumptions</w:t>
      </w:r>
      <w:bookmarkEnd w:id="55"/>
    </w:p>
    <w:p w14:paraId="737608E7"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Before conducting the research, I expected that differences in sustainability performance would exist between companies, but I underestimated the extent to which </w:t>
      </w:r>
      <w:r w:rsidRPr="006B4DEB">
        <w:rPr>
          <w:rFonts w:ascii="Arial" w:hAnsi="Arial" w:cs="Arial"/>
          <w:b/>
          <w:bCs/>
        </w:rPr>
        <w:t>regulatory exposure</w:t>
      </w:r>
      <w:r w:rsidRPr="006B4DEB">
        <w:rPr>
          <w:rFonts w:ascii="Arial" w:hAnsi="Arial" w:cs="Arial"/>
        </w:rPr>
        <w:t xml:space="preserve">, </w:t>
      </w:r>
      <w:r w:rsidRPr="006B4DEB">
        <w:rPr>
          <w:rFonts w:ascii="Arial" w:hAnsi="Arial" w:cs="Arial"/>
          <w:b/>
          <w:bCs/>
        </w:rPr>
        <w:t>ownership structure</w:t>
      </w:r>
      <w:r w:rsidRPr="006B4DEB">
        <w:rPr>
          <w:rFonts w:ascii="Arial" w:hAnsi="Arial" w:cs="Arial"/>
        </w:rPr>
        <w:t xml:space="preserve">, and </w:t>
      </w:r>
      <w:r w:rsidRPr="006B4DEB">
        <w:rPr>
          <w:rFonts w:ascii="Arial" w:hAnsi="Arial" w:cs="Arial"/>
          <w:b/>
          <w:bCs/>
        </w:rPr>
        <w:t>technological investment</w:t>
      </w:r>
      <w:r w:rsidRPr="006B4DEB">
        <w:rPr>
          <w:rFonts w:ascii="Arial" w:hAnsi="Arial" w:cs="Arial"/>
        </w:rPr>
        <w:t xml:space="preserve"> shape these differences. My initial assumption was that all companies in the region were generally “behind” Western standards, but the research demonstrated that </w:t>
      </w:r>
      <w:proofErr w:type="spellStart"/>
      <w:r w:rsidRPr="006B4DEB">
        <w:rPr>
          <w:rFonts w:ascii="Arial" w:hAnsi="Arial" w:cs="Arial"/>
        </w:rPr>
        <w:t>Ellatzite</w:t>
      </w:r>
      <w:proofErr w:type="spellEnd"/>
      <w:r w:rsidRPr="006B4DEB">
        <w:rPr>
          <w:rFonts w:ascii="Arial" w:hAnsi="Arial" w:cs="Arial"/>
        </w:rPr>
        <w:t xml:space="preserve"> and Dundee in fact operate at a level comparable to European and global leaders in their segment.</w:t>
      </w:r>
    </w:p>
    <w:p w14:paraId="12408D77"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I also expected climate risk management to be one of the weakest areas for all companies. However, the analysis revealed meaningful progress in some </w:t>
      </w:r>
      <w:proofErr w:type="spellStart"/>
      <w:r w:rsidRPr="006B4DEB">
        <w:rPr>
          <w:rFonts w:ascii="Arial" w:hAnsi="Arial" w:cs="Arial"/>
        </w:rPr>
        <w:t>organisations</w:t>
      </w:r>
      <w:proofErr w:type="spellEnd"/>
      <w:r w:rsidRPr="006B4DEB">
        <w:rPr>
          <w:rFonts w:ascii="Arial" w:hAnsi="Arial" w:cs="Arial"/>
        </w:rPr>
        <w:t xml:space="preserve">—particularly </w:t>
      </w:r>
      <w:proofErr w:type="spellStart"/>
      <w:r w:rsidRPr="006B4DEB">
        <w:rPr>
          <w:rFonts w:ascii="Arial" w:hAnsi="Arial" w:cs="Arial"/>
        </w:rPr>
        <w:t>Ellatzite</w:t>
      </w:r>
      <w:proofErr w:type="spellEnd"/>
      <w:r w:rsidRPr="006B4DEB">
        <w:rPr>
          <w:rFonts w:ascii="Arial" w:hAnsi="Arial" w:cs="Arial"/>
        </w:rPr>
        <w:t xml:space="preserve">—where modern water treatment systems, </w:t>
      </w:r>
      <w:proofErr w:type="spellStart"/>
      <w:r w:rsidRPr="006B4DEB">
        <w:rPr>
          <w:rFonts w:ascii="Arial" w:hAnsi="Arial" w:cs="Arial"/>
        </w:rPr>
        <w:t>digitalisation</w:t>
      </w:r>
      <w:proofErr w:type="spellEnd"/>
      <w:r w:rsidRPr="006B4DEB">
        <w:rPr>
          <w:rFonts w:ascii="Arial" w:hAnsi="Arial" w:cs="Arial"/>
        </w:rPr>
        <w:t xml:space="preserve">, and AI-assisted process </w:t>
      </w:r>
      <w:proofErr w:type="spellStart"/>
      <w:r w:rsidRPr="006B4DEB">
        <w:rPr>
          <w:rFonts w:ascii="Arial" w:hAnsi="Arial" w:cs="Arial"/>
        </w:rPr>
        <w:t>optimisation</w:t>
      </w:r>
      <w:proofErr w:type="spellEnd"/>
      <w:r w:rsidRPr="006B4DEB">
        <w:rPr>
          <w:rFonts w:ascii="Arial" w:hAnsi="Arial" w:cs="Arial"/>
        </w:rPr>
        <w:t xml:space="preserve"> directly support climate resilience.</w:t>
      </w:r>
    </w:p>
    <w:p w14:paraId="517FD855"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Conversely, some initial expectations were confirmed. Reporting inconsistency, limited transparency in certain companies, and the absence of structured ESG governance were challenges I anticipated, and the findings validated these assumptions.</w:t>
      </w:r>
    </w:p>
    <w:p w14:paraId="309B275F" w14:textId="77777777" w:rsidR="006B4DEB" w:rsidRDefault="006B4DEB" w:rsidP="006B4DEB">
      <w:pPr>
        <w:spacing w:after="0" w:line="360" w:lineRule="auto"/>
        <w:ind w:firstLine="720"/>
        <w:jc w:val="both"/>
        <w:rPr>
          <w:rFonts w:ascii="Arial" w:hAnsi="Arial" w:cs="Arial"/>
        </w:rPr>
      </w:pPr>
      <w:r w:rsidRPr="006B4DEB">
        <w:rPr>
          <w:rFonts w:ascii="Arial" w:hAnsi="Arial" w:cs="Arial"/>
        </w:rPr>
        <w:t>Overall, the research process reshaped and refined my perspectives rather than fully confirming my initial expectations.</w:t>
      </w:r>
    </w:p>
    <w:p w14:paraId="0EDF8A64" w14:textId="77777777" w:rsidR="008B22AC" w:rsidRPr="006B4DEB" w:rsidRDefault="008B22AC" w:rsidP="006B4DEB">
      <w:pPr>
        <w:spacing w:after="0" w:line="360" w:lineRule="auto"/>
        <w:ind w:firstLine="720"/>
        <w:jc w:val="both"/>
        <w:rPr>
          <w:rFonts w:ascii="Arial" w:hAnsi="Arial" w:cs="Arial"/>
          <w:lang w:val="bg-BG"/>
        </w:rPr>
      </w:pPr>
    </w:p>
    <w:p w14:paraId="4B422FF8" w14:textId="77777777" w:rsidR="006B4DEB" w:rsidRPr="008B22AC" w:rsidRDefault="006B4DEB" w:rsidP="008B22AC">
      <w:pPr>
        <w:pStyle w:val="Heading2"/>
        <w:spacing w:before="0" w:line="360" w:lineRule="auto"/>
        <w:ind w:firstLine="720"/>
        <w:rPr>
          <w:rFonts w:ascii="Arial" w:hAnsi="Arial" w:cs="Arial"/>
          <w:b/>
          <w:bCs/>
          <w:color w:val="auto"/>
          <w:sz w:val="24"/>
          <w:szCs w:val="24"/>
        </w:rPr>
      </w:pPr>
      <w:bookmarkStart w:id="56" w:name="_Toc214615853"/>
      <w:r w:rsidRPr="008B22AC">
        <w:rPr>
          <w:rFonts w:ascii="Arial" w:hAnsi="Arial" w:cs="Arial"/>
          <w:b/>
          <w:bCs/>
          <w:color w:val="auto"/>
          <w:sz w:val="24"/>
          <w:szCs w:val="24"/>
        </w:rPr>
        <w:t>5.6 Final Conclusion</w:t>
      </w:r>
      <w:bookmarkEnd w:id="56"/>
    </w:p>
    <w:p w14:paraId="4537095F"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 xml:space="preserve">Through this dissertation I examined how copper mining companies in the Balkans adapt to sustainability requirements and what </w:t>
      </w:r>
      <w:proofErr w:type="gramStart"/>
      <w:r w:rsidRPr="006B4DEB">
        <w:rPr>
          <w:rFonts w:ascii="Arial" w:hAnsi="Arial" w:cs="Arial"/>
        </w:rPr>
        <w:t>this reveals</w:t>
      </w:r>
      <w:proofErr w:type="gramEnd"/>
      <w:r w:rsidRPr="006B4DEB">
        <w:rPr>
          <w:rFonts w:ascii="Arial" w:hAnsi="Arial" w:cs="Arial"/>
        </w:rPr>
        <w:t xml:space="preserve"> about the region’s role in the European green transition. By applying a multi-layer analytical framework and performing a systematic cross-company comparison, I was able to identify performance patterns, regulatory gaps, and levels of technological maturity that were not clearly visible before conducting the study.</w:t>
      </w:r>
    </w:p>
    <w:p w14:paraId="6B6F57E7" w14:textId="77777777" w:rsidR="006B4DEB" w:rsidRPr="006B4DEB" w:rsidRDefault="006B4DEB" w:rsidP="006B4DEB">
      <w:pPr>
        <w:spacing w:after="0" w:line="360" w:lineRule="auto"/>
        <w:ind w:firstLine="720"/>
        <w:jc w:val="both"/>
        <w:rPr>
          <w:rFonts w:ascii="Arial" w:hAnsi="Arial" w:cs="Arial"/>
        </w:rPr>
      </w:pPr>
      <w:r w:rsidRPr="006B4DEB">
        <w:rPr>
          <w:rFonts w:ascii="Arial" w:hAnsi="Arial" w:cs="Arial"/>
        </w:rPr>
        <w:t>The findings show that sustainability adaptation in Balkan mining is highly uneven but progressing, with clear leaders and emerging laggards. My research contributes by clarifying these distinctions, highlighting the significance of the region for the EU’s critical raw materials strategy, and providing a structured evaluation tool that can be used in future analyses.</w:t>
      </w:r>
    </w:p>
    <w:p w14:paraId="244AA1A4" w14:textId="5AF97B84" w:rsidR="00E20666" w:rsidRPr="006B4DEB" w:rsidRDefault="006B4DEB" w:rsidP="006B4DEB">
      <w:pPr>
        <w:spacing w:after="0" w:line="360" w:lineRule="auto"/>
        <w:ind w:firstLine="720"/>
        <w:jc w:val="both"/>
        <w:rPr>
          <w:rFonts w:ascii="Arial" w:hAnsi="Arial" w:cs="Arial"/>
        </w:rPr>
      </w:pPr>
      <w:r w:rsidRPr="006B4DEB">
        <w:rPr>
          <w:rFonts w:ascii="Arial" w:hAnsi="Arial" w:cs="Arial"/>
        </w:rPr>
        <w:t xml:space="preserve">This dissertation strengthened my understanding of sustainability regulation in practice, challenged several of my initial assumptions, and provided new insights into the dynamics of the mining industry in the Balkans. Ultimately, the research demonstrates that while challenges remain, the region possesses both the capacity and strategic potential to support Europe’s </w:t>
      </w:r>
      <w:proofErr w:type="spellStart"/>
      <w:r w:rsidRPr="006B4DEB">
        <w:rPr>
          <w:rFonts w:ascii="Arial" w:hAnsi="Arial" w:cs="Arial"/>
        </w:rPr>
        <w:t>decarbonisation</w:t>
      </w:r>
      <w:proofErr w:type="spellEnd"/>
      <w:r w:rsidRPr="006B4DEB">
        <w:rPr>
          <w:rFonts w:ascii="Arial" w:hAnsi="Arial" w:cs="Arial"/>
        </w:rPr>
        <w:t xml:space="preserve"> goals—and this conclusion was made possible through the analytical work I conducted.</w:t>
      </w:r>
      <w:r w:rsidR="00E20666" w:rsidRPr="006B4DEB">
        <w:rPr>
          <w:rFonts w:ascii="Arial" w:hAnsi="Arial" w:cs="Arial"/>
          <w:lang w:val="bg-BG"/>
        </w:rPr>
        <w:br w:type="page"/>
      </w:r>
    </w:p>
    <w:p w14:paraId="63C350E6" w14:textId="77777777" w:rsidR="00934A95" w:rsidRPr="00934A95" w:rsidRDefault="00934A95" w:rsidP="00934A95">
      <w:pPr>
        <w:pStyle w:val="Heading1"/>
        <w:pBdr>
          <w:top w:val="single" w:sz="4" w:space="1" w:color="auto"/>
        </w:pBdr>
        <w:spacing w:before="0" w:line="360" w:lineRule="auto"/>
        <w:ind w:firstLine="720"/>
        <w:jc w:val="both"/>
        <w:rPr>
          <w:rFonts w:ascii="Arial" w:hAnsi="Arial" w:cs="Arial"/>
          <w:b/>
          <w:bCs/>
          <w:color w:val="auto"/>
          <w:kern w:val="2"/>
          <w:sz w:val="28"/>
          <w:szCs w:val="28"/>
          <w14:ligatures w14:val="standardContextual"/>
        </w:rPr>
      </w:pPr>
      <w:bookmarkStart w:id="57" w:name="_Toc214615854"/>
      <w:r w:rsidRPr="00934A95">
        <w:rPr>
          <w:rFonts w:ascii="Arial" w:hAnsi="Arial" w:cs="Arial"/>
          <w:b/>
          <w:bCs/>
          <w:color w:val="auto"/>
          <w:kern w:val="2"/>
          <w:sz w:val="28"/>
          <w:szCs w:val="28"/>
          <w14:ligatures w14:val="standardContextual"/>
        </w:rPr>
        <w:lastRenderedPageBreak/>
        <w:t>References</w:t>
      </w:r>
      <w:bookmarkEnd w:id="57"/>
    </w:p>
    <w:p w14:paraId="32A44A4E" w14:textId="77777777" w:rsidR="00934A95" w:rsidRPr="00934A95" w:rsidRDefault="00934A95" w:rsidP="00C01FCD">
      <w:pPr>
        <w:spacing w:after="0" w:line="360" w:lineRule="auto"/>
        <w:ind w:firstLine="720"/>
        <w:jc w:val="both"/>
        <w:rPr>
          <w:rFonts w:ascii="Arial" w:hAnsi="Arial" w:cs="Arial"/>
        </w:rPr>
      </w:pPr>
    </w:p>
    <w:p w14:paraId="3AB24F8E" w14:textId="1E884200" w:rsidR="00E20666" w:rsidRPr="00934A95" w:rsidRDefault="00E20666" w:rsidP="00934A95">
      <w:pPr>
        <w:pStyle w:val="ListParagraph"/>
        <w:numPr>
          <w:ilvl w:val="1"/>
          <w:numId w:val="110"/>
        </w:numPr>
        <w:spacing w:after="0" w:line="360" w:lineRule="auto"/>
        <w:ind w:left="0" w:firstLine="720"/>
        <w:jc w:val="both"/>
        <w:rPr>
          <w:rFonts w:ascii="Arial" w:hAnsi="Arial" w:cs="Arial"/>
          <w:b/>
          <w:bCs/>
        </w:rPr>
      </w:pPr>
      <w:r w:rsidRPr="00934A95">
        <w:rPr>
          <w:rFonts w:ascii="Arial" w:hAnsi="Arial" w:cs="Arial"/>
          <w:b/>
          <w:bCs/>
        </w:rPr>
        <w:t>Academic Literature</w:t>
      </w:r>
    </w:p>
    <w:p w14:paraId="65A2CBF5"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Aguilera, R.V., Williams, C.A., Conley, J.M. and Rupp, D.E. (2007) ‘Corporate governance and social responsibility: A comparative analysis of the UK and the US’, </w:t>
      </w:r>
      <w:r w:rsidRPr="00934A95">
        <w:rPr>
          <w:rFonts w:ascii="Arial" w:hAnsi="Arial" w:cs="Arial"/>
          <w:i/>
          <w:iCs/>
        </w:rPr>
        <w:t>Corporate Governance: An International Review</w:t>
      </w:r>
      <w:r w:rsidRPr="00934A95">
        <w:rPr>
          <w:rFonts w:ascii="Arial" w:hAnsi="Arial" w:cs="Arial"/>
        </w:rPr>
        <w:t>, 15(3), pp. 1–22.</w:t>
      </w:r>
    </w:p>
    <w:p w14:paraId="317759E2"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Azadi, H., Northey, S., </w:t>
      </w:r>
      <w:proofErr w:type="spellStart"/>
      <w:r w:rsidRPr="00934A95">
        <w:rPr>
          <w:rFonts w:ascii="Arial" w:hAnsi="Arial" w:cs="Arial"/>
        </w:rPr>
        <w:t>Hasanpour</w:t>
      </w:r>
      <w:proofErr w:type="spellEnd"/>
      <w:r w:rsidRPr="00934A95">
        <w:rPr>
          <w:rFonts w:ascii="Arial" w:hAnsi="Arial" w:cs="Arial"/>
        </w:rPr>
        <w:t xml:space="preserve">, H. and Guillen, J. (2020) ‘Transparency on greenhouse gas emissions from mining to enable climate change mitigation’, </w:t>
      </w:r>
      <w:r w:rsidRPr="00934A95">
        <w:rPr>
          <w:rFonts w:ascii="Arial" w:hAnsi="Arial" w:cs="Arial"/>
          <w:i/>
          <w:iCs/>
        </w:rPr>
        <w:t>Nature Geoscience</w:t>
      </w:r>
      <w:r w:rsidRPr="00934A95">
        <w:rPr>
          <w:rFonts w:ascii="Arial" w:hAnsi="Arial" w:cs="Arial"/>
        </w:rPr>
        <w:t>, 13, pp. 100–104.</w:t>
      </w:r>
    </w:p>
    <w:p w14:paraId="4AC011D0"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proofErr w:type="spellStart"/>
      <w:r w:rsidRPr="00934A95">
        <w:rPr>
          <w:rFonts w:ascii="Arial" w:hAnsi="Arial" w:cs="Arial"/>
        </w:rPr>
        <w:t>Azapagic</w:t>
      </w:r>
      <w:proofErr w:type="spellEnd"/>
      <w:r w:rsidRPr="00934A95">
        <w:rPr>
          <w:rFonts w:ascii="Arial" w:hAnsi="Arial" w:cs="Arial"/>
        </w:rPr>
        <w:t xml:space="preserve">, A. (2004) ‘Developing a framework for sustainable development indicators for the mining and minerals industry’, </w:t>
      </w:r>
      <w:r w:rsidRPr="00934A95">
        <w:rPr>
          <w:rFonts w:ascii="Arial" w:hAnsi="Arial" w:cs="Arial"/>
          <w:i/>
          <w:iCs/>
        </w:rPr>
        <w:t>Journal of Cleaner Production</w:t>
      </w:r>
      <w:r w:rsidRPr="00934A95">
        <w:rPr>
          <w:rFonts w:ascii="Arial" w:hAnsi="Arial" w:cs="Arial"/>
        </w:rPr>
        <w:t>, 12(6), pp. 639–662.</w:t>
      </w:r>
    </w:p>
    <w:p w14:paraId="457822D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Bowen, G. (2009) ‘Document analysis as a qualitative research method’, </w:t>
      </w:r>
      <w:r w:rsidRPr="00934A95">
        <w:rPr>
          <w:rFonts w:ascii="Arial" w:hAnsi="Arial" w:cs="Arial"/>
          <w:i/>
          <w:iCs/>
        </w:rPr>
        <w:t>Qualitative Research Journal</w:t>
      </w:r>
      <w:r w:rsidRPr="00934A95">
        <w:rPr>
          <w:rFonts w:ascii="Arial" w:hAnsi="Arial" w:cs="Arial"/>
        </w:rPr>
        <w:t>, 9(2), pp. 27–40.</w:t>
      </w:r>
    </w:p>
    <w:p w14:paraId="2CDC85FE"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Carlin, B., Longstaff, F. and Matvos, G. (2021) ‘Climate finance’, </w:t>
      </w:r>
      <w:r w:rsidRPr="00934A95">
        <w:rPr>
          <w:rFonts w:ascii="Arial" w:hAnsi="Arial" w:cs="Arial"/>
          <w:i/>
          <w:iCs/>
        </w:rPr>
        <w:t>Review of Financial Studies</w:t>
      </w:r>
      <w:r w:rsidRPr="00934A95">
        <w:rPr>
          <w:rFonts w:ascii="Arial" w:hAnsi="Arial" w:cs="Arial"/>
        </w:rPr>
        <w:t>, 34(3), pp. 1184–1220.</w:t>
      </w:r>
    </w:p>
    <w:p w14:paraId="230D217D"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Dietz, S., Bowen, A., Dixon, C. and Gradwell, P. (2021) ‘Climate value at risk of global financial assets’, </w:t>
      </w:r>
      <w:r w:rsidRPr="00934A95">
        <w:rPr>
          <w:rFonts w:ascii="Arial" w:hAnsi="Arial" w:cs="Arial"/>
          <w:i/>
          <w:iCs/>
        </w:rPr>
        <w:t>Nature Climate Change</w:t>
      </w:r>
      <w:r w:rsidRPr="00934A95">
        <w:rPr>
          <w:rFonts w:ascii="Arial" w:hAnsi="Arial" w:cs="Arial"/>
        </w:rPr>
        <w:t>, 11, pp. 1–6.</w:t>
      </w:r>
    </w:p>
    <w:p w14:paraId="49CA8570"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Eccles, R.G., Ioannou, I. and Serafeim, G. (2014) ‘The impact of corporate sustainability on </w:t>
      </w:r>
      <w:proofErr w:type="spellStart"/>
      <w:r w:rsidRPr="00934A95">
        <w:rPr>
          <w:rFonts w:ascii="Arial" w:hAnsi="Arial" w:cs="Arial"/>
        </w:rPr>
        <w:t>organisational</w:t>
      </w:r>
      <w:proofErr w:type="spellEnd"/>
      <w:r w:rsidRPr="00934A95">
        <w:rPr>
          <w:rFonts w:ascii="Arial" w:hAnsi="Arial" w:cs="Arial"/>
        </w:rPr>
        <w:t xml:space="preserve"> processes and performance’, </w:t>
      </w:r>
      <w:r w:rsidRPr="00934A95">
        <w:rPr>
          <w:rFonts w:ascii="Arial" w:hAnsi="Arial" w:cs="Arial"/>
          <w:i/>
          <w:iCs/>
        </w:rPr>
        <w:t>Management Science</w:t>
      </w:r>
      <w:r w:rsidRPr="00934A95">
        <w:rPr>
          <w:rFonts w:ascii="Arial" w:hAnsi="Arial" w:cs="Arial"/>
        </w:rPr>
        <w:t>, 60(11), pp. 2835–2857.</w:t>
      </w:r>
    </w:p>
    <w:p w14:paraId="796DE909"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Eisenhardt, K.M. (1989) ‘Building theories from case study research’, </w:t>
      </w:r>
      <w:r w:rsidRPr="00934A95">
        <w:rPr>
          <w:rFonts w:ascii="Arial" w:hAnsi="Arial" w:cs="Arial"/>
          <w:i/>
          <w:iCs/>
        </w:rPr>
        <w:t>Academy of Management Review</w:t>
      </w:r>
      <w:r w:rsidRPr="00934A95">
        <w:rPr>
          <w:rFonts w:ascii="Arial" w:hAnsi="Arial" w:cs="Arial"/>
        </w:rPr>
        <w:t>, 14(4), pp. 532–550.</w:t>
      </w:r>
    </w:p>
    <w:p w14:paraId="0891E5D3"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Hilson, G. (2012) ‘Corporate social responsibility in the extractive industries: Experiences from developing countries’, </w:t>
      </w:r>
      <w:r w:rsidRPr="00934A95">
        <w:rPr>
          <w:rFonts w:ascii="Arial" w:hAnsi="Arial" w:cs="Arial"/>
          <w:i/>
          <w:iCs/>
        </w:rPr>
        <w:t>Resources Policy</w:t>
      </w:r>
      <w:r w:rsidRPr="00934A95">
        <w:rPr>
          <w:rFonts w:ascii="Arial" w:hAnsi="Arial" w:cs="Arial"/>
        </w:rPr>
        <w:t>, 37(2), pp. 131–137.</w:t>
      </w:r>
    </w:p>
    <w:p w14:paraId="602A8453"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Jenkins, H. and Yakovleva, N. (2006) ‘Corporate social responsibility in the mining industry: Exploring trends in social and environmental disclosure’, </w:t>
      </w:r>
      <w:r w:rsidRPr="00934A95">
        <w:rPr>
          <w:rFonts w:ascii="Arial" w:hAnsi="Arial" w:cs="Arial"/>
          <w:i/>
          <w:iCs/>
        </w:rPr>
        <w:t>Journal of Cleaner Production</w:t>
      </w:r>
      <w:r w:rsidRPr="00934A95">
        <w:rPr>
          <w:rFonts w:ascii="Arial" w:hAnsi="Arial" w:cs="Arial"/>
        </w:rPr>
        <w:t>, 14(3), pp. 271–284.</w:t>
      </w:r>
    </w:p>
    <w:p w14:paraId="5A235897"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Kemp, D. (2010) ‘Community relations in mining: Core to business but not “core business”’, </w:t>
      </w:r>
      <w:r w:rsidRPr="00934A95">
        <w:rPr>
          <w:rFonts w:ascii="Arial" w:hAnsi="Arial" w:cs="Arial"/>
          <w:i/>
          <w:iCs/>
        </w:rPr>
        <w:t>Resources Policy</w:t>
      </w:r>
      <w:r w:rsidRPr="00934A95">
        <w:rPr>
          <w:rFonts w:ascii="Arial" w:hAnsi="Arial" w:cs="Arial"/>
        </w:rPr>
        <w:t>, 35(4), pp. 176–184.</w:t>
      </w:r>
    </w:p>
    <w:p w14:paraId="190A7D0A"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Krippendorff, K. (2018) </w:t>
      </w:r>
      <w:r w:rsidRPr="00934A95">
        <w:rPr>
          <w:rFonts w:ascii="Arial" w:hAnsi="Arial" w:cs="Arial"/>
          <w:i/>
          <w:iCs/>
        </w:rPr>
        <w:t>Content Analysis: An Introduction to Its Methodology</w:t>
      </w:r>
      <w:r w:rsidRPr="00934A95">
        <w:rPr>
          <w:rFonts w:ascii="Arial" w:hAnsi="Arial" w:cs="Arial"/>
        </w:rPr>
        <w:t xml:space="preserve">. 4th </w:t>
      </w:r>
      <w:proofErr w:type="spellStart"/>
      <w:r w:rsidRPr="00934A95">
        <w:rPr>
          <w:rFonts w:ascii="Arial" w:hAnsi="Arial" w:cs="Arial"/>
        </w:rPr>
        <w:t>edn</w:t>
      </w:r>
      <w:proofErr w:type="spellEnd"/>
      <w:r w:rsidRPr="00934A95">
        <w:rPr>
          <w:rFonts w:ascii="Arial" w:hAnsi="Arial" w:cs="Arial"/>
        </w:rPr>
        <w:t>. Sage.</w:t>
      </w:r>
    </w:p>
    <w:p w14:paraId="426B967D"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Krueger, P., Sautner, Z. and Starks, L.T. (2020) ‘The importance of climate risks for institutional investors’, </w:t>
      </w:r>
      <w:r w:rsidRPr="00934A95">
        <w:rPr>
          <w:rFonts w:ascii="Arial" w:hAnsi="Arial" w:cs="Arial"/>
          <w:i/>
          <w:iCs/>
        </w:rPr>
        <w:t>Review of Financial Studies</w:t>
      </w:r>
      <w:r w:rsidRPr="00934A95">
        <w:rPr>
          <w:rFonts w:ascii="Arial" w:hAnsi="Arial" w:cs="Arial"/>
        </w:rPr>
        <w:t>, 33(3), pp. 1067–1111.</w:t>
      </w:r>
    </w:p>
    <w:p w14:paraId="3479198B"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La Torre, M., </w:t>
      </w:r>
      <w:proofErr w:type="spellStart"/>
      <w:r w:rsidRPr="00934A95">
        <w:rPr>
          <w:rFonts w:ascii="Arial" w:hAnsi="Arial" w:cs="Arial"/>
        </w:rPr>
        <w:t>Sabelfeld</w:t>
      </w:r>
      <w:proofErr w:type="spellEnd"/>
      <w:r w:rsidRPr="00934A95">
        <w:rPr>
          <w:rFonts w:ascii="Arial" w:hAnsi="Arial" w:cs="Arial"/>
        </w:rPr>
        <w:t xml:space="preserve">, S., Blomkvist, M. and Tarquinio, L. (2020) ‘Materiality and the future of corporate reporting: CSR, integrated reporting and stakeholder engagement’, </w:t>
      </w:r>
      <w:r w:rsidRPr="00934A95">
        <w:rPr>
          <w:rFonts w:ascii="Arial" w:hAnsi="Arial" w:cs="Arial"/>
          <w:i/>
          <w:iCs/>
        </w:rPr>
        <w:t>Journal of Cleaner Production</w:t>
      </w:r>
      <w:r w:rsidRPr="00934A95">
        <w:rPr>
          <w:rFonts w:ascii="Arial" w:hAnsi="Arial" w:cs="Arial"/>
        </w:rPr>
        <w:t>, 259, pp. 1–11.</w:t>
      </w:r>
    </w:p>
    <w:p w14:paraId="24D5C50F"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proofErr w:type="spellStart"/>
      <w:r w:rsidRPr="00934A95">
        <w:rPr>
          <w:rFonts w:ascii="Arial" w:hAnsi="Arial" w:cs="Arial"/>
        </w:rPr>
        <w:lastRenderedPageBreak/>
        <w:t>Lottermoser</w:t>
      </w:r>
      <w:proofErr w:type="spellEnd"/>
      <w:r w:rsidRPr="00934A95">
        <w:rPr>
          <w:rFonts w:ascii="Arial" w:hAnsi="Arial" w:cs="Arial"/>
        </w:rPr>
        <w:t xml:space="preserve">, B.G. (2010) </w:t>
      </w:r>
      <w:r w:rsidRPr="00934A95">
        <w:rPr>
          <w:rFonts w:ascii="Arial" w:hAnsi="Arial" w:cs="Arial"/>
          <w:i/>
          <w:iCs/>
        </w:rPr>
        <w:t xml:space="preserve">Mine Wastes: </w:t>
      </w:r>
      <w:proofErr w:type="spellStart"/>
      <w:r w:rsidRPr="00934A95">
        <w:rPr>
          <w:rFonts w:ascii="Arial" w:hAnsi="Arial" w:cs="Arial"/>
          <w:i/>
          <w:iCs/>
        </w:rPr>
        <w:t>Characterisation</w:t>
      </w:r>
      <w:proofErr w:type="spellEnd"/>
      <w:r w:rsidRPr="00934A95">
        <w:rPr>
          <w:rFonts w:ascii="Arial" w:hAnsi="Arial" w:cs="Arial"/>
          <w:i/>
          <w:iCs/>
        </w:rPr>
        <w:t>, Treatment and Environmental Impacts</w:t>
      </w:r>
      <w:r w:rsidRPr="00934A95">
        <w:rPr>
          <w:rFonts w:ascii="Arial" w:hAnsi="Arial" w:cs="Arial"/>
        </w:rPr>
        <w:t>. Springer.</w:t>
      </w:r>
    </w:p>
    <w:p w14:paraId="37F5A8F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Moffat, K. and Zhang, A. (2014) ‘The pathways to social </w:t>
      </w:r>
      <w:proofErr w:type="spellStart"/>
      <w:r w:rsidRPr="00934A95">
        <w:rPr>
          <w:rFonts w:ascii="Arial" w:hAnsi="Arial" w:cs="Arial"/>
        </w:rPr>
        <w:t>licence</w:t>
      </w:r>
      <w:proofErr w:type="spellEnd"/>
      <w:r w:rsidRPr="00934A95">
        <w:rPr>
          <w:rFonts w:ascii="Arial" w:hAnsi="Arial" w:cs="Arial"/>
        </w:rPr>
        <w:t xml:space="preserve"> to operate: An integrative model’, </w:t>
      </w:r>
      <w:r w:rsidRPr="00934A95">
        <w:rPr>
          <w:rFonts w:ascii="Arial" w:hAnsi="Arial" w:cs="Arial"/>
          <w:i/>
          <w:iCs/>
        </w:rPr>
        <w:t>Resources Policy</w:t>
      </w:r>
      <w:r w:rsidRPr="00934A95">
        <w:rPr>
          <w:rFonts w:ascii="Arial" w:hAnsi="Arial" w:cs="Arial"/>
        </w:rPr>
        <w:t>, 39, pp. 61–70.</w:t>
      </w:r>
    </w:p>
    <w:p w14:paraId="665EECE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Mudd, G.M. (2010) ‘The environmental sustainability of mining in Australia: Key mega-trends and looming constraints’, </w:t>
      </w:r>
      <w:r w:rsidRPr="00934A95">
        <w:rPr>
          <w:rFonts w:ascii="Arial" w:hAnsi="Arial" w:cs="Arial"/>
          <w:i/>
          <w:iCs/>
        </w:rPr>
        <w:t>Resources Policy</w:t>
      </w:r>
      <w:r w:rsidRPr="00934A95">
        <w:rPr>
          <w:rFonts w:ascii="Arial" w:hAnsi="Arial" w:cs="Arial"/>
        </w:rPr>
        <w:t>, 35(2), pp. 98–115.</w:t>
      </w:r>
    </w:p>
    <w:p w14:paraId="62B270F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Northey, S., Mohr, S., Mudd, G., Weng, Z. and </w:t>
      </w:r>
      <w:proofErr w:type="spellStart"/>
      <w:r w:rsidRPr="00934A95">
        <w:rPr>
          <w:rFonts w:ascii="Arial" w:hAnsi="Arial" w:cs="Arial"/>
        </w:rPr>
        <w:t>Giurco</w:t>
      </w:r>
      <w:proofErr w:type="spellEnd"/>
      <w:r w:rsidRPr="00934A95">
        <w:rPr>
          <w:rFonts w:ascii="Arial" w:hAnsi="Arial" w:cs="Arial"/>
        </w:rPr>
        <w:t xml:space="preserve">, D. (2014) ‘Modelling future copper ore grade decline based on a detailed assessment of copper resources and historical production trends’, </w:t>
      </w:r>
      <w:r w:rsidRPr="00934A95">
        <w:rPr>
          <w:rFonts w:ascii="Arial" w:hAnsi="Arial" w:cs="Arial"/>
          <w:i/>
          <w:iCs/>
        </w:rPr>
        <w:t>Resources, Conservation and Recycling</w:t>
      </w:r>
      <w:r w:rsidRPr="00934A95">
        <w:rPr>
          <w:rFonts w:ascii="Arial" w:hAnsi="Arial" w:cs="Arial"/>
        </w:rPr>
        <w:t>, 83, pp. 190–201.</w:t>
      </w:r>
    </w:p>
    <w:p w14:paraId="72A3BB65"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Porter, M.E. and Kramer, M.R. (2011) ‘Creating shared value’, </w:t>
      </w:r>
      <w:r w:rsidRPr="00934A95">
        <w:rPr>
          <w:rFonts w:ascii="Arial" w:hAnsi="Arial" w:cs="Arial"/>
          <w:i/>
          <w:iCs/>
        </w:rPr>
        <w:t>Harvard Business Review</w:t>
      </w:r>
      <w:r w:rsidRPr="00934A95">
        <w:rPr>
          <w:rFonts w:ascii="Arial" w:hAnsi="Arial" w:cs="Arial"/>
        </w:rPr>
        <w:t>, 89(1/2), pp. 62–77.</w:t>
      </w:r>
    </w:p>
    <w:p w14:paraId="0E58F679"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proofErr w:type="spellStart"/>
      <w:r w:rsidRPr="00934A95">
        <w:rPr>
          <w:rFonts w:ascii="Arial" w:hAnsi="Arial" w:cs="Arial"/>
        </w:rPr>
        <w:t>Radivoev</w:t>
      </w:r>
      <w:proofErr w:type="spellEnd"/>
      <w:r w:rsidRPr="00934A95">
        <w:rPr>
          <w:rFonts w:ascii="Arial" w:hAnsi="Arial" w:cs="Arial"/>
        </w:rPr>
        <w:t xml:space="preserve">, L., Angelova, R. and Koleva, V. (2019) ‘Ancient copper artifacts from Bulgaria: Compositional, microstructural and morphological investigations’, </w:t>
      </w:r>
      <w:r w:rsidRPr="00934A95">
        <w:rPr>
          <w:rFonts w:ascii="Arial" w:hAnsi="Arial" w:cs="Arial"/>
          <w:i/>
          <w:iCs/>
        </w:rPr>
        <w:t>Archaeometry</w:t>
      </w:r>
      <w:r w:rsidRPr="00934A95">
        <w:rPr>
          <w:rFonts w:ascii="Arial" w:hAnsi="Arial" w:cs="Arial"/>
        </w:rPr>
        <w:t>, 61(4), pp. 904–919.</w:t>
      </w:r>
    </w:p>
    <w:p w14:paraId="05F43F46"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Saunders, M., Lewis, P. and Thornhill, A. (2019) </w:t>
      </w:r>
      <w:r w:rsidRPr="00934A95">
        <w:rPr>
          <w:rFonts w:ascii="Arial" w:hAnsi="Arial" w:cs="Arial"/>
          <w:i/>
          <w:iCs/>
        </w:rPr>
        <w:t>Research Methods for Business Students</w:t>
      </w:r>
      <w:r w:rsidRPr="00934A95">
        <w:rPr>
          <w:rFonts w:ascii="Arial" w:hAnsi="Arial" w:cs="Arial"/>
        </w:rPr>
        <w:t xml:space="preserve">. 8th </w:t>
      </w:r>
      <w:proofErr w:type="spellStart"/>
      <w:r w:rsidRPr="00934A95">
        <w:rPr>
          <w:rFonts w:ascii="Arial" w:hAnsi="Arial" w:cs="Arial"/>
        </w:rPr>
        <w:t>edn</w:t>
      </w:r>
      <w:proofErr w:type="spellEnd"/>
      <w:r w:rsidRPr="00934A95">
        <w:rPr>
          <w:rFonts w:ascii="Arial" w:hAnsi="Arial" w:cs="Arial"/>
        </w:rPr>
        <w:t>. Pearson.</w:t>
      </w:r>
    </w:p>
    <w:p w14:paraId="062C269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Schreier, M. (2012) </w:t>
      </w:r>
      <w:r w:rsidRPr="00934A95">
        <w:rPr>
          <w:rFonts w:ascii="Arial" w:hAnsi="Arial" w:cs="Arial"/>
          <w:i/>
          <w:iCs/>
        </w:rPr>
        <w:t>Qualitative Content Analysis in Practice</w:t>
      </w:r>
      <w:r w:rsidRPr="00934A95">
        <w:rPr>
          <w:rFonts w:ascii="Arial" w:hAnsi="Arial" w:cs="Arial"/>
        </w:rPr>
        <w:t>. Sage.</w:t>
      </w:r>
    </w:p>
    <w:p w14:paraId="66D03CC0"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Silverman, D. (2016) </w:t>
      </w:r>
      <w:r w:rsidRPr="00934A95">
        <w:rPr>
          <w:rFonts w:ascii="Arial" w:hAnsi="Arial" w:cs="Arial"/>
          <w:i/>
          <w:iCs/>
        </w:rPr>
        <w:t>Qualitative Research</w:t>
      </w:r>
      <w:r w:rsidRPr="00934A95">
        <w:rPr>
          <w:rFonts w:ascii="Arial" w:hAnsi="Arial" w:cs="Arial"/>
        </w:rPr>
        <w:t xml:space="preserve">. 4th </w:t>
      </w:r>
      <w:proofErr w:type="spellStart"/>
      <w:r w:rsidRPr="00934A95">
        <w:rPr>
          <w:rFonts w:ascii="Arial" w:hAnsi="Arial" w:cs="Arial"/>
        </w:rPr>
        <w:t>edn</w:t>
      </w:r>
      <w:proofErr w:type="spellEnd"/>
      <w:r w:rsidRPr="00934A95">
        <w:rPr>
          <w:rFonts w:ascii="Arial" w:hAnsi="Arial" w:cs="Arial"/>
        </w:rPr>
        <w:t>. Sage.</w:t>
      </w:r>
    </w:p>
    <w:p w14:paraId="5DB774CE"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Stake, R.E. (1995) </w:t>
      </w:r>
      <w:r w:rsidRPr="00934A95">
        <w:rPr>
          <w:rFonts w:ascii="Arial" w:hAnsi="Arial" w:cs="Arial"/>
          <w:i/>
          <w:iCs/>
        </w:rPr>
        <w:t>The Art of Case Study Research</w:t>
      </w:r>
      <w:r w:rsidRPr="00934A95">
        <w:rPr>
          <w:rFonts w:ascii="Arial" w:hAnsi="Arial" w:cs="Arial"/>
        </w:rPr>
        <w:t>. Sage.</w:t>
      </w:r>
    </w:p>
    <w:p w14:paraId="6208E19E"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Yin, R.K. (2018) </w:t>
      </w:r>
      <w:r w:rsidRPr="00934A95">
        <w:rPr>
          <w:rFonts w:ascii="Arial" w:hAnsi="Arial" w:cs="Arial"/>
          <w:i/>
          <w:iCs/>
        </w:rPr>
        <w:t>Case Study Research and Applications: Design and Methods</w:t>
      </w:r>
      <w:r w:rsidRPr="00934A95">
        <w:rPr>
          <w:rFonts w:ascii="Arial" w:hAnsi="Arial" w:cs="Arial"/>
        </w:rPr>
        <w:t xml:space="preserve">. 6th </w:t>
      </w:r>
      <w:proofErr w:type="spellStart"/>
      <w:r w:rsidRPr="00934A95">
        <w:rPr>
          <w:rFonts w:ascii="Arial" w:hAnsi="Arial" w:cs="Arial"/>
        </w:rPr>
        <w:t>edn</w:t>
      </w:r>
      <w:proofErr w:type="spellEnd"/>
      <w:r w:rsidRPr="00934A95">
        <w:rPr>
          <w:rFonts w:ascii="Arial" w:hAnsi="Arial" w:cs="Arial"/>
        </w:rPr>
        <w:t>. Sage.</w:t>
      </w:r>
    </w:p>
    <w:p w14:paraId="09C461FD" w14:textId="77777777" w:rsidR="00E20666"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Young, M.N. and Makhija, M. (2014) ‘Governance in global </w:t>
      </w:r>
      <w:proofErr w:type="spellStart"/>
      <w:r w:rsidRPr="00934A95">
        <w:rPr>
          <w:rFonts w:ascii="Arial" w:hAnsi="Arial" w:cs="Arial"/>
        </w:rPr>
        <w:t>organisations</w:t>
      </w:r>
      <w:proofErr w:type="spellEnd"/>
      <w:r w:rsidRPr="00934A95">
        <w:rPr>
          <w:rFonts w:ascii="Arial" w:hAnsi="Arial" w:cs="Arial"/>
        </w:rPr>
        <w:t xml:space="preserve">: The role of transparency’, </w:t>
      </w:r>
      <w:r w:rsidRPr="00934A95">
        <w:rPr>
          <w:rFonts w:ascii="Arial" w:hAnsi="Arial" w:cs="Arial"/>
          <w:i/>
          <w:iCs/>
        </w:rPr>
        <w:t>Journal of International Business Studies</w:t>
      </w:r>
      <w:r w:rsidRPr="00934A95">
        <w:rPr>
          <w:rFonts w:ascii="Arial" w:hAnsi="Arial" w:cs="Arial"/>
        </w:rPr>
        <w:t>, 45(6), pp. 671–683.</w:t>
      </w:r>
    </w:p>
    <w:p w14:paraId="2E0AD585" w14:textId="77777777" w:rsidR="00EB6643" w:rsidRPr="00934A95" w:rsidRDefault="00EB6643" w:rsidP="00EB6643">
      <w:pPr>
        <w:pStyle w:val="ListParagraph"/>
        <w:spacing w:after="0" w:line="360" w:lineRule="auto"/>
        <w:jc w:val="both"/>
        <w:rPr>
          <w:rFonts w:ascii="Arial" w:hAnsi="Arial" w:cs="Arial"/>
        </w:rPr>
      </w:pPr>
    </w:p>
    <w:p w14:paraId="4DEFD67D" w14:textId="430EBA96" w:rsidR="00E20666" w:rsidRPr="00934A95" w:rsidRDefault="00E20666" w:rsidP="00934A95">
      <w:pPr>
        <w:pStyle w:val="ListParagraph"/>
        <w:numPr>
          <w:ilvl w:val="1"/>
          <w:numId w:val="110"/>
        </w:numPr>
        <w:spacing w:after="0" w:line="360" w:lineRule="auto"/>
        <w:ind w:left="0" w:firstLine="720"/>
        <w:jc w:val="both"/>
        <w:rPr>
          <w:rFonts w:ascii="Arial" w:hAnsi="Arial" w:cs="Arial"/>
          <w:b/>
          <w:bCs/>
        </w:rPr>
      </w:pPr>
      <w:r w:rsidRPr="00934A95">
        <w:rPr>
          <w:rFonts w:ascii="Arial" w:hAnsi="Arial" w:cs="Arial"/>
          <w:b/>
          <w:bCs/>
        </w:rPr>
        <w:t>Regulatory &amp; Framework Documents</w:t>
      </w:r>
    </w:p>
    <w:p w14:paraId="0504605E"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EFRAG (2023) </w:t>
      </w:r>
      <w:r w:rsidRPr="00934A95">
        <w:rPr>
          <w:rFonts w:ascii="Arial" w:hAnsi="Arial" w:cs="Arial"/>
          <w:i/>
          <w:iCs/>
        </w:rPr>
        <w:t>European Sustainability Reporting Standards (ESRS)</w:t>
      </w:r>
      <w:r w:rsidRPr="00934A95">
        <w:rPr>
          <w:rFonts w:ascii="Arial" w:hAnsi="Arial" w:cs="Arial"/>
        </w:rPr>
        <w:t>. Brussels: EFRAG.</w:t>
      </w:r>
    </w:p>
    <w:p w14:paraId="13F1994B"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European Commission (2022) </w:t>
      </w:r>
      <w:r w:rsidRPr="00934A95">
        <w:rPr>
          <w:rFonts w:ascii="Arial" w:hAnsi="Arial" w:cs="Arial"/>
          <w:i/>
          <w:iCs/>
        </w:rPr>
        <w:t>EU Strategic Raw Materials Communication</w:t>
      </w:r>
      <w:r w:rsidRPr="00934A95">
        <w:rPr>
          <w:rFonts w:ascii="Arial" w:hAnsi="Arial" w:cs="Arial"/>
        </w:rPr>
        <w:t>. Brussels: European Commission.</w:t>
      </w:r>
    </w:p>
    <w:p w14:paraId="36928CFE"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European Commission (2023) </w:t>
      </w:r>
      <w:r w:rsidRPr="00934A95">
        <w:rPr>
          <w:rFonts w:ascii="Arial" w:hAnsi="Arial" w:cs="Arial"/>
          <w:i/>
          <w:iCs/>
        </w:rPr>
        <w:t>Corporate Sustainability Reporting Directive (CSRD)</w:t>
      </w:r>
      <w:r w:rsidRPr="00934A95">
        <w:rPr>
          <w:rFonts w:ascii="Arial" w:hAnsi="Arial" w:cs="Arial"/>
        </w:rPr>
        <w:t>. Official Journal of the European Union.</w:t>
      </w:r>
    </w:p>
    <w:p w14:paraId="2F37AF56"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European Union (2020) </w:t>
      </w:r>
      <w:r w:rsidRPr="00934A95">
        <w:rPr>
          <w:rFonts w:ascii="Arial" w:hAnsi="Arial" w:cs="Arial"/>
          <w:i/>
          <w:iCs/>
        </w:rPr>
        <w:t>Regulation (EU) 2020/852 (EU Taxonomy Regulation)</w:t>
      </w:r>
      <w:r w:rsidRPr="00934A95">
        <w:rPr>
          <w:rFonts w:ascii="Arial" w:hAnsi="Arial" w:cs="Arial"/>
        </w:rPr>
        <w:t>.</w:t>
      </w:r>
    </w:p>
    <w:p w14:paraId="064E3F87"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ICMM (International Council on Mining and Metals) (2020) </w:t>
      </w:r>
      <w:r w:rsidRPr="00934A95">
        <w:rPr>
          <w:rFonts w:ascii="Arial" w:hAnsi="Arial" w:cs="Arial"/>
          <w:i/>
          <w:iCs/>
        </w:rPr>
        <w:t>Performance Expectations and Principles</w:t>
      </w:r>
      <w:r w:rsidRPr="00934A95">
        <w:rPr>
          <w:rFonts w:ascii="Arial" w:hAnsi="Arial" w:cs="Arial"/>
        </w:rPr>
        <w:t>. London: ICMM.</w:t>
      </w:r>
    </w:p>
    <w:p w14:paraId="02E7C3E3"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OECD (2016) </w:t>
      </w:r>
      <w:r w:rsidRPr="00934A95">
        <w:rPr>
          <w:rFonts w:ascii="Arial" w:hAnsi="Arial" w:cs="Arial"/>
          <w:i/>
          <w:iCs/>
        </w:rPr>
        <w:t>OECD Due Diligence Guidance for Responsible Mineral Supply Chains</w:t>
      </w:r>
      <w:r w:rsidRPr="00934A95">
        <w:rPr>
          <w:rFonts w:ascii="Arial" w:hAnsi="Arial" w:cs="Arial"/>
        </w:rPr>
        <w:t>. OECD Publishing.</w:t>
      </w:r>
    </w:p>
    <w:p w14:paraId="10528487"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lastRenderedPageBreak/>
        <w:t xml:space="preserve">Task Force on Climate-related Financial Disclosures (TCFD) (2017) </w:t>
      </w:r>
      <w:r w:rsidRPr="00934A95">
        <w:rPr>
          <w:rFonts w:ascii="Arial" w:hAnsi="Arial" w:cs="Arial"/>
          <w:i/>
          <w:iCs/>
        </w:rPr>
        <w:t>Final Recommendations of the Task Force on Climate-related Financial Disclosures</w:t>
      </w:r>
      <w:r w:rsidRPr="00934A95">
        <w:rPr>
          <w:rFonts w:ascii="Arial" w:hAnsi="Arial" w:cs="Arial"/>
        </w:rPr>
        <w:t>. Financial Stability Board.</w:t>
      </w:r>
    </w:p>
    <w:p w14:paraId="48B2F733" w14:textId="77777777" w:rsidR="00E20666"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World Bank (2020) </w:t>
      </w:r>
      <w:r w:rsidRPr="00934A95">
        <w:rPr>
          <w:rFonts w:ascii="Arial" w:hAnsi="Arial" w:cs="Arial"/>
          <w:i/>
          <w:iCs/>
        </w:rPr>
        <w:t>Climate-Smart Mining Initiative</w:t>
      </w:r>
      <w:r w:rsidRPr="00934A95">
        <w:rPr>
          <w:rFonts w:ascii="Arial" w:hAnsi="Arial" w:cs="Arial"/>
        </w:rPr>
        <w:t>. Washington, D.C.: World Bank.</w:t>
      </w:r>
    </w:p>
    <w:p w14:paraId="5F82ADD9" w14:textId="77777777" w:rsidR="00EB6643" w:rsidRPr="00934A95" w:rsidRDefault="00EB6643" w:rsidP="00EB6643">
      <w:pPr>
        <w:pStyle w:val="ListParagraph"/>
        <w:spacing w:after="0" w:line="360" w:lineRule="auto"/>
        <w:jc w:val="both"/>
        <w:rPr>
          <w:rFonts w:ascii="Arial" w:hAnsi="Arial" w:cs="Arial"/>
        </w:rPr>
      </w:pPr>
    </w:p>
    <w:p w14:paraId="14C24D4D" w14:textId="0B3E43C7" w:rsidR="00E20666" w:rsidRPr="00934A95" w:rsidRDefault="00E20666" w:rsidP="00934A95">
      <w:pPr>
        <w:pStyle w:val="ListParagraph"/>
        <w:numPr>
          <w:ilvl w:val="1"/>
          <w:numId w:val="110"/>
        </w:numPr>
        <w:spacing w:after="0" w:line="360" w:lineRule="auto"/>
        <w:ind w:left="0" w:firstLine="720"/>
        <w:jc w:val="both"/>
        <w:rPr>
          <w:rFonts w:ascii="Arial" w:hAnsi="Arial" w:cs="Arial"/>
          <w:b/>
          <w:bCs/>
        </w:rPr>
      </w:pPr>
      <w:r w:rsidRPr="00934A95">
        <w:rPr>
          <w:rFonts w:ascii="Arial" w:hAnsi="Arial" w:cs="Arial"/>
          <w:b/>
          <w:bCs/>
        </w:rPr>
        <w:t>Corporate and Industry Reports</w:t>
      </w:r>
    </w:p>
    <w:p w14:paraId="7D1C3A6B"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proofErr w:type="spellStart"/>
      <w:r w:rsidRPr="00934A95">
        <w:rPr>
          <w:rFonts w:ascii="Arial" w:hAnsi="Arial" w:cs="Arial"/>
          <w:b/>
          <w:bCs/>
        </w:rPr>
        <w:t>Ellatzite</w:t>
      </w:r>
      <w:proofErr w:type="spellEnd"/>
      <w:r w:rsidRPr="00934A95">
        <w:rPr>
          <w:rFonts w:ascii="Arial" w:hAnsi="Arial" w:cs="Arial"/>
          <w:b/>
          <w:bCs/>
        </w:rPr>
        <w:t>-Med (</w:t>
      </w:r>
      <w:proofErr w:type="spellStart"/>
      <w:r w:rsidRPr="00934A95">
        <w:rPr>
          <w:rFonts w:ascii="Arial" w:hAnsi="Arial" w:cs="Arial"/>
          <w:b/>
          <w:bCs/>
        </w:rPr>
        <w:t>Ellatzite</w:t>
      </w:r>
      <w:proofErr w:type="spellEnd"/>
      <w:r w:rsidRPr="00934A95">
        <w:rPr>
          <w:rFonts w:ascii="Arial" w:hAnsi="Arial" w:cs="Arial"/>
          <w:b/>
          <w:bCs/>
        </w:rPr>
        <w:t>)</w:t>
      </w:r>
    </w:p>
    <w:p w14:paraId="3EFA0498"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GEOTECHMIN (n.d.) </w:t>
      </w:r>
      <w:proofErr w:type="spellStart"/>
      <w:r w:rsidRPr="00934A95">
        <w:rPr>
          <w:rFonts w:ascii="Arial" w:hAnsi="Arial" w:cs="Arial"/>
          <w:i/>
          <w:iCs/>
        </w:rPr>
        <w:t>Ellatzite</w:t>
      </w:r>
      <w:proofErr w:type="spellEnd"/>
      <w:r w:rsidRPr="00934A95">
        <w:rPr>
          <w:rFonts w:ascii="Arial" w:hAnsi="Arial" w:cs="Arial"/>
          <w:i/>
          <w:iCs/>
        </w:rPr>
        <w:t>-Med AD – Company Overview</w:t>
      </w:r>
      <w:r w:rsidRPr="00934A95">
        <w:rPr>
          <w:rFonts w:ascii="Arial" w:hAnsi="Arial" w:cs="Arial"/>
        </w:rPr>
        <w:t xml:space="preserve">. Available at: </w:t>
      </w:r>
      <w:hyperlink r:id="rId9" w:tgtFrame="_new" w:history="1">
        <w:r w:rsidRPr="00934A95">
          <w:rPr>
            <w:rStyle w:val="Hyperlink"/>
            <w:rFonts w:ascii="Arial" w:hAnsi="Arial" w:cs="Arial"/>
          </w:rPr>
          <w:t>https://www.geotechmin.com/en/about-group/ellatzite-med-ad/</w:t>
        </w:r>
      </w:hyperlink>
    </w:p>
    <w:p w14:paraId="188F2073"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lang w:val="bg-BG"/>
        </w:rPr>
        <w:t xml:space="preserve">GEOTECHMIN (2025) Ellatzite-Med and Aurubis Exchange Best ESG Practices. Available at: </w:t>
      </w:r>
      <w:hyperlink r:id="rId10" w:history="1">
        <w:r w:rsidRPr="00934A95">
          <w:rPr>
            <w:rStyle w:val="Hyperlink"/>
            <w:rFonts w:ascii="Arial" w:hAnsi="Arial" w:cs="Arial"/>
            <w:lang w:val="bg-BG"/>
          </w:rPr>
          <w:t>https://www.geotechmin.com/en/actual/news/</w:t>
        </w:r>
      </w:hyperlink>
    </w:p>
    <w:p w14:paraId="45DC9E77"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proofErr w:type="spellStart"/>
      <w:r w:rsidRPr="00934A95">
        <w:rPr>
          <w:rFonts w:ascii="Arial" w:hAnsi="Arial" w:cs="Arial"/>
          <w:b/>
          <w:bCs/>
        </w:rPr>
        <w:t>Assarel</w:t>
      </w:r>
      <w:proofErr w:type="spellEnd"/>
      <w:r w:rsidRPr="00934A95">
        <w:rPr>
          <w:rFonts w:ascii="Arial" w:hAnsi="Arial" w:cs="Arial"/>
          <w:b/>
          <w:bCs/>
        </w:rPr>
        <w:t>-Medet</w:t>
      </w:r>
    </w:p>
    <w:p w14:paraId="3BB80808"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proofErr w:type="spellStart"/>
      <w:r w:rsidRPr="00934A95">
        <w:rPr>
          <w:rFonts w:ascii="Arial" w:hAnsi="Arial" w:cs="Arial"/>
        </w:rPr>
        <w:t>Assarel</w:t>
      </w:r>
      <w:proofErr w:type="spellEnd"/>
      <w:r w:rsidRPr="00934A95">
        <w:rPr>
          <w:rFonts w:ascii="Arial" w:hAnsi="Arial" w:cs="Arial"/>
        </w:rPr>
        <w:t xml:space="preserve">-Medet JSC (n.d.) </w:t>
      </w:r>
      <w:r w:rsidRPr="00934A95">
        <w:rPr>
          <w:rFonts w:ascii="Arial" w:hAnsi="Arial" w:cs="Arial"/>
          <w:i/>
          <w:iCs/>
        </w:rPr>
        <w:t>Company History</w:t>
      </w:r>
      <w:r w:rsidRPr="00934A95">
        <w:rPr>
          <w:rFonts w:ascii="Arial" w:hAnsi="Arial" w:cs="Arial"/>
        </w:rPr>
        <w:t xml:space="preserve">. Available at: </w:t>
      </w:r>
      <w:hyperlink r:id="rId11" w:tgtFrame="_new" w:history="1">
        <w:r w:rsidRPr="00934A95">
          <w:rPr>
            <w:rStyle w:val="Hyperlink"/>
            <w:rFonts w:ascii="Arial" w:hAnsi="Arial" w:cs="Arial"/>
          </w:rPr>
          <w:t>https://asarel.com/en/about/history/</w:t>
        </w:r>
      </w:hyperlink>
    </w:p>
    <w:p w14:paraId="1E18FBB7"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proofErr w:type="spellStart"/>
      <w:r w:rsidRPr="00934A95">
        <w:rPr>
          <w:rFonts w:ascii="Arial" w:hAnsi="Arial" w:cs="Arial"/>
        </w:rPr>
        <w:t>Assarel</w:t>
      </w:r>
      <w:proofErr w:type="spellEnd"/>
      <w:r w:rsidRPr="00934A95">
        <w:rPr>
          <w:rFonts w:ascii="Arial" w:hAnsi="Arial" w:cs="Arial"/>
        </w:rPr>
        <w:t xml:space="preserve">-Medet JSC (n.d.) </w:t>
      </w:r>
      <w:r w:rsidRPr="00934A95">
        <w:rPr>
          <w:rFonts w:ascii="Arial" w:hAnsi="Arial" w:cs="Arial"/>
          <w:i/>
          <w:iCs/>
        </w:rPr>
        <w:t>News &amp; Press Releases</w:t>
      </w:r>
      <w:r w:rsidRPr="00934A95">
        <w:rPr>
          <w:rFonts w:ascii="Arial" w:hAnsi="Arial" w:cs="Arial"/>
        </w:rPr>
        <w:t xml:space="preserve">. Available at: </w:t>
      </w:r>
      <w:hyperlink r:id="rId12" w:tgtFrame="_new" w:history="1">
        <w:r w:rsidRPr="00934A95">
          <w:rPr>
            <w:rStyle w:val="Hyperlink"/>
            <w:rFonts w:ascii="Arial" w:hAnsi="Arial" w:cs="Arial"/>
          </w:rPr>
          <w:t>https://asarel.com/en/actual/news/</w:t>
        </w:r>
      </w:hyperlink>
    </w:p>
    <w:p w14:paraId="3F7D6908"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rPr>
        <w:t xml:space="preserve">24 </w:t>
      </w:r>
      <w:proofErr w:type="spellStart"/>
      <w:r w:rsidRPr="00934A95">
        <w:rPr>
          <w:rFonts w:ascii="Arial" w:hAnsi="Arial" w:cs="Arial"/>
        </w:rPr>
        <w:t>Chasa</w:t>
      </w:r>
      <w:proofErr w:type="spellEnd"/>
      <w:r w:rsidRPr="00934A95">
        <w:rPr>
          <w:rFonts w:ascii="Arial" w:hAnsi="Arial" w:cs="Arial"/>
        </w:rPr>
        <w:t xml:space="preserve"> (2023) ‘</w:t>
      </w:r>
      <w:proofErr w:type="spellStart"/>
      <w:r w:rsidRPr="00934A95">
        <w:rPr>
          <w:rFonts w:ascii="Arial" w:hAnsi="Arial" w:cs="Arial"/>
        </w:rPr>
        <w:t>Социалната</w:t>
      </w:r>
      <w:proofErr w:type="spellEnd"/>
      <w:r w:rsidRPr="00934A95">
        <w:rPr>
          <w:rFonts w:ascii="Arial" w:hAnsi="Arial" w:cs="Arial"/>
        </w:rPr>
        <w:t xml:space="preserve"> </w:t>
      </w:r>
      <w:proofErr w:type="spellStart"/>
      <w:r w:rsidRPr="00934A95">
        <w:rPr>
          <w:rFonts w:ascii="Arial" w:hAnsi="Arial" w:cs="Arial"/>
        </w:rPr>
        <w:t>трансформация</w:t>
      </w:r>
      <w:proofErr w:type="spellEnd"/>
      <w:r w:rsidRPr="00934A95">
        <w:rPr>
          <w:rFonts w:ascii="Arial" w:hAnsi="Arial" w:cs="Arial"/>
        </w:rPr>
        <w:t xml:space="preserve">…, </w:t>
      </w:r>
      <w:proofErr w:type="spellStart"/>
      <w:r w:rsidRPr="00934A95">
        <w:rPr>
          <w:rFonts w:ascii="Arial" w:hAnsi="Arial" w:cs="Arial"/>
        </w:rPr>
        <w:t>Асарел-Медет</w:t>
      </w:r>
      <w:proofErr w:type="spellEnd"/>
      <w:r w:rsidRPr="00934A95">
        <w:rPr>
          <w:rFonts w:ascii="Arial" w:hAnsi="Arial" w:cs="Arial"/>
        </w:rPr>
        <w:t xml:space="preserve">’, </w:t>
      </w:r>
      <w:r w:rsidRPr="00934A95">
        <w:rPr>
          <w:rFonts w:ascii="Arial" w:hAnsi="Arial" w:cs="Arial"/>
          <w:i/>
          <w:iCs/>
        </w:rPr>
        <w:t xml:space="preserve">24 </w:t>
      </w:r>
      <w:proofErr w:type="spellStart"/>
      <w:r w:rsidRPr="00934A95">
        <w:rPr>
          <w:rFonts w:ascii="Arial" w:hAnsi="Arial" w:cs="Arial"/>
          <w:i/>
          <w:iCs/>
        </w:rPr>
        <w:t>Chasa</w:t>
      </w:r>
      <w:proofErr w:type="spellEnd"/>
      <w:r w:rsidRPr="00934A95">
        <w:rPr>
          <w:rFonts w:ascii="Arial" w:hAnsi="Arial" w:cs="Arial"/>
        </w:rPr>
        <w:t xml:space="preserve">, 11 August. Available at: </w:t>
      </w:r>
      <w:hyperlink r:id="rId13" w:tgtFrame="_new" w:history="1">
        <w:r w:rsidRPr="00934A95">
          <w:rPr>
            <w:rStyle w:val="Hyperlink"/>
            <w:rFonts w:ascii="Arial" w:hAnsi="Arial" w:cs="Arial"/>
          </w:rPr>
          <w:t>https://www.24chasa.bg/biznes/article/15013476</w:t>
        </w:r>
      </w:hyperlink>
    </w:p>
    <w:p w14:paraId="493331AC"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r w:rsidRPr="00934A95">
        <w:rPr>
          <w:rFonts w:ascii="Arial" w:hAnsi="Arial" w:cs="Arial"/>
          <w:b/>
          <w:bCs/>
        </w:rPr>
        <w:t>Dundee Precious Metals</w:t>
      </w:r>
    </w:p>
    <w:p w14:paraId="4C055E30"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Dundee Precious Metals (2023) </w:t>
      </w:r>
      <w:r w:rsidRPr="00934A95">
        <w:rPr>
          <w:rFonts w:ascii="Arial" w:hAnsi="Arial" w:cs="Arial"/>
          <w:i/>
          <w:iCs/>
        </w:rPr>
        <w:t>2022 Sustainability Report</w:t>
      </w:r>
      <w:r w:rsidRPr="00934A95">
        <w:rPr>
          <w:rFonts w:ascii="Arial" w:hAnsi="Arial" w:cs="Arial"/>
        </w:rPr>
        <w:t xml:space="preserve">. Available at: </w:t>
      </w:r>
      <w:hyperlink r:id="rId14" w:tgtFrame="_new" w:history="1">
        <w:r w:rsidRPr="00934A95">
          <w:rPr>
            <w:rStyle w:val="Hyperlink"/>
            <w:rFonts w:ascii="Arial" w:hAnsi="Arial" w:cs="Arial"/>
          </w:rPr>
          <w:t>https://dundeeprecious.com/site/assets/files/14816/2022-sustainability-report.pdf</w:t>
        </w:r>
      </w:hyperlink>
    </w:p>
    <w:p w14:paraId="04FB34F4"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rPr>
        <w:t xml:space="preserve">Dundee Precious Metals (n.d.) </w:t>
      </w:r>
      <w:r w:rsidRPr="00934A95">
        <w:rPr>
          <w:rFonts w:ascii="Arial" w:hAnsi="Arial" w:cs="Arial"/>
          <w:i/>
          <w:iCs/>
        </w:rPr>
        <w:t>Climate Strategy and Performance</w:t>
      </w:r>
      <w:r w:rsidRPr="00934A95">
        <w:rPr>
          <w:rFonts w:ascii="Arial" w:hAnsi="Arial" w:cs="Arial"/>
        </w:rPr>
        <w:t xml:space="preserve">. Available at: </w:t>
      </w:r>
      <w:hyperlink r:id="rId15" w:tgtFrame="_new" w:history="1">
        <w:r w:rsidRPr="00934A95">
          <w:rPr>
            <w:rStyle w:val="Hyperlink"/>
            <w:rFonts w:ascii="Arial" w:hAnsi="Arial" w:cs="Arial"/>
          </w:rPr>
          <w:t>https://dundeeprecious.com/sustainability/our-approach-to-climate-change/</w:t>
        </w:r>
      </w:hyperlink>
    </w:p>
    <w:p w14:paraId="342B1C2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r w:rsidRPr="00934A95">
        <w:rPr>
          <w:rFonts w:ascii="Arial" w:hAnsi="Arial" w:cs="Arial"/>
          <w:b/>
          <w:bCs/>
        </w:rPr>
        <w:t xml:space="preserve">Zijin Mining / </w:t>
      </w:r>
      <w:proofErr w:type="spellStart"/>
      <w:r w:rsidRPr="00934A95">
        <w:rPr>
          <w:rFonts w:ascii="Arial" w:hAnsi="Arial" w:cs="Arial"/>
          <w:b/>
          <w:bCs/>
        </w:rPr>
        <w:t>Bor</w:t>
      </w:r>
      <w:proofErr w:type="spellEnd"/>
    </w:p>
    <w:p w14:paraId="74E2ED42"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Zijin Mining Group (2023) </w:t>
      </w:r>
      <w:r w:rsidRPr="00934A95">
        <w:rPr>
          <w:rFonts w:ascii="Arial" w:hAnsi="Arial" w:cs="Arial"/>
          <w:i/>
          <w:iCs/>
        </w:rPr>
        <w:t>2022 Sustainability Report</w:t>
      </w:r>
      <w:r w:rsidRPr="00934A95">
        <w:rPr>
          <w:rFonts w:ascii="Arial" w:hAnsi="Arial" w:cs="Arial"/>
        </w:rPr>
        <w:t xml:space="preserve">. Available at: </w:t>
      </w:r>
      <w:hyperlink r:id="rId16" w:tgtFrame="_new" w:history="1">
        <w:r w:rsidRPr="00934A95">
          <w:rPr>
            <w:rStyle w:val="Hyperlink"/>
            <w:rFonts w:ascii="Arial" w:hAnsi="Arial" w:cs="Arial"/>
          </w:rPr>
          <w:t>https://www.zijinmining.com</w:t>
        </w:r>
      </w:hyperlink>
    </w:p>
    <w:p w14:paraId="40B503EC"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rPr>
        <w:t xml:space="preserve">Zijin Mining Group (2024) </w:t>
      </w:r>
      <w:r w:rsidRPr="00934A95">
        <w:rPr>
          <w:rFonts w:ascii="Arial" w:hAnsi="Arial" w:cs="Arial"/>
          <w:i/>
          <w:iCs/>
        </w:rPr>
        <w:t>ESG and Responsible Mining Updates</w:t>
      </w:r>
      <w:r w:rsidRPr="00934A95">
        <w:rPr>
          <w:rFonts w:ascii="Arial" w:hAnsi="Arial" w:cs="Arial"/>
        </w:rPr>
        <w:t xml:space="preserve">. Available at: </w:t>
      </w:r>
      <w:hyperlink r:id="rId17" w:history="1">
        <w:r w:rsidRPr="00934A95">
          <w:rPr>
            <w:rStyle w:val="Hyperlink"/>
            <w:rFonts w:ascii="Arial" w:hAnsi="Arial" w:cs="Arial"/>
          </w:rPr>
          <w:t>https://www.zijinmining.com/news</w:t>
        </w:r>
      </w:hyperlink>
    </w:p>
    <w:p w14:paraId="7B6453D1"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r w:rsidRPr="00934A95">
        <w:rPr>
          <w:rFonts w:ascii="Arial" w:hAnsi="Arial" w:cs="Arial"/>
          <w:b/>
          <w:bCs/>
        </w:rPr>
        <w:t>Eldorado Gold / Hellas Gold (</w:t>
      </w:r>
      <w:proofErr w:type="spellStart"/>
      <w:r w:rsidRPr="00934A95">
        <w:rPr>
          <w:rFonts w:ascii="Arial" w:hAnsi="Arial" w:cs="Arial"/>
          <w:b/>
          <w:bCs/>
        </w:rPr>
        <w:t>Skouries</w:t>
      </w:r>
      <w:proofErr w:type="spellEnd"/>
      <w:r w:rsidRPr="00934A95">
        <w:rPr>
          <w:rFonts w:ascii="Arial" w:hAnsi="Arial" w:cs="Arial"/>
          <w:b/>
          <w:bCs/>
        </w:rPr>
        <w:t>)</w:t>
      </w:r>
    </w:p>
    <w:p w14:paraId="52F06605"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t xml:space="preserve">Eldorado Gold (2023) </w:t>
      </w:r>
      <w:r w:rsidRPr="00934A95">
        <w:rPr>
          <w:rFonts w:ascii="Arial" w:hAnsi="Arial" w:cs="Arial"/>
          <w:i/>
          <w:iCs/>
        </w:rPr>
        <w:t>Sustainability Report 2023</w:t>
      </w:r>
      <w:r w:rsidRPr="00934A95">
        <w:rPr>
          <w:rFonts w:ascii="Arial" w:hAnsi="Arial" w:cs="Arial"/>
        </w:rPr>
        <w:t xml:space="preserve">. Available at: </w:t>
      </w:r>
      <w:hyperlink r:id="rId18" w:tgtFrame="_new" w:history="1">
        <w:r w:rsidRPr="00934A95">
          <w:rPr>
            <w:rStyle w:val="Hyperlink"/>
            <w:rFonts w:ascii="Arial" w:hAnsi="Arial" w:cs="Arial"/>
          </w:rPr>
          <w:t>https://www.eldoradogold.com</w:t>
        </w:r>
      </w:hyperlink>
    </w:p>
    <w:p w14:paraId="6B86B9A3"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rPr>
        <w:t xml:space="preserve">Eldorado Gold (n.d.) </w:t>
      </w:r>
      <w:proofErr w:type="spellStart"/>
      <w:r w:rsidRPr="00934A95">
        <w:rPr>
          <w:rFonts w:ascii="Arial" w:hAnsi="Arial" w:cs="Arial"/>
          <w:i/>
          <w:iCs/>
        </w:rPr>
        <w:t>Skouries</w:t>
      </w:r>
      <w:proofErr w:type="spellEnd"/>
      <w:r w:rsidRPr="00934A95">
        <w:rPr>
          <w:rFonts w:ascii="Arial" w:hAnsi="Arial" w:cs="Arial"/>
          <w:i/>
          <w:iCs/>
        </w:rPr>
        <w:t xml:space="preserve"> Project Overview</w:t>
      </w:r>
      <w:r w:rsidRPr="00934A95">
        <w:rPr>
          <w:rFonts w:ascii="Arial" w:hAnsi="Arial" w:cs="Arial"/>
        </w:rPr>
        <w:t xml:space="preserve">. Available at: </w:t>
      </w:r>
      <w:hyperlink r:id="rId19" w:history="1">
        <w:r w:rsidRPr="00934A95">
          <w:rPr>
            <w:rStyle w:val="Hyperlink"/>
            <w:rFonts w:ascii="Arial" w:hAnsi="Arial" w:cs="Arial"/>
          </w:rPr>
          <w:t>https://www.eldoradogold.com/operations/skouries/default.aspx</w:t>
        </w:r>
      </w:hyperlink>
    </w:p>
    <w:p w14:paraId="2A8C8AAB"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r w:rsidRPr="00934A95">
        <w:rPr>
          <w:rFonts w:ascii="Arial" w:hAnsi="Arial" w:cs="Arial"/>
          <w:b/>
          <w:bCs/>
        </w:rPr>
        <w:t>Euro Sun Mining (Rovina Valley)</w:t>
      </w:r>
    </w:p>
    <w:p w14:paraId="6CB07DB0"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r w:rsidRPr="00934A95">
        <w:rPr>
          <w:rFonts w:ascii="Arial" w:hAnsi="Arial" w:cs="Arial"/>
        </w:rPr>
        <w:lastRenderedPageBreak/>
        <w:t xml:space="preserve">Euro Sun Mining (2022) </w:t>
      </w:r>
      <w:r w:rsidRPr="00934A95">
        <w:rPr>
          <w:rFonts w:ascii="Arial" w:hAnsi="Arial" w:cs="Arial"/>
          <w:i/>
          <w:iCs/>
        </w:rPr>
        <w:t>Rovina Valley Project – Technical Summary and ESG Overview</w:t>
      </w:r>
      <w:r w:rsidRPr="00934A95">
        <w:rPr>
          <w:rFonts w:ascii="Arial" w:hAnsi="Arial" w:cs="Arial"/>
        </w:rPr>
        <w:t xml:space="preserve">. Available at: </w:t>
      </w:r>
      <w:hyperlink r:id="rId20" w:tgtFrame="_new" w:history="1">
        <w:r w:rsidRPr="00934A95">
          <w:rPr>
            <w:rStyle w:val="Hyperlink"/>
            <w:rFonts w:ascii="Arial" w:hAnsi="Arial" w:cs="Arial"/>
          </w:rPr>
          <w:t>https://www.eurosunmining.com</w:t>
        </w:r>
      </w:hyperlink>
    </w:p>
    <w:p w14:paraId="49D2B249"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rPr>
        <w:t xml:space="preserve">Euro Sun Mining (2025) </w:t>
      </w:r>
      <w:r w:rsidRPr="00934A95">
        <w:rPr>
          <w:rFonts w:ascii="Arial" w:hAnsi="Arial" w:cs="Arial"/>
          <w:i/>
          <w:iCs/>
        </w:rPr>
        <w:t>Project and Corporate Updates</w:t>
      </w:r>
      <w:r w:rsidRPr="00934A95">
        <w:rPr>
          <w:rFonts w:ascii="Arial" w:hAnsi="Arial" w:cs="Arial"/>
        </w:rPr>
        <w:t xml:space="preserve">. Available at: </w:t>
      </w:r>
      <w:hyperlink r:id="rId21" w:tgtFrame="_new" w:history="1">
        <w:r w:rsidRPr="00934A95">
          <w:rPr>
            <w:rStyle w:val="Hyperlink"/>
            <w:rFonts w:ascii="Arial" w:hAnsi="Arial" w:cs="Arial"/>
          </w:rPr>
          <w:t>https://www.eurosunmining.com/news</w:t>
        </w:r>
      </w:hyperlink>
    </w:p>
    <w:p w14:paraId="330E8358"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b/>
          <w:bCs/>
        </w:rPr>
      </w:pPr>
      <w:r w:rsidRPr="00934A95">
        <w:rPr>
          <w:rFonts w:ascii="Arial" w:hAnsi="Arial" w:cs="Arial"/>
          <w:b/>
          <w:bCs/>
        </w:rPr>
        <w:t>Technology Providers (Water / Environmental Systems)</w:t>
      </w:r>
    </w:p>
    <w:p w14:paraId="4ED1A53A"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rPr>
      </w:pPr>
      <w:proofErr w:type="spellStart"/>
      <w:r w:rsidRPr="00934A95">
        <w:rPr>
          <w:rFonts w:ascii="Arial" w:hAnsi="Arial" w:cs="Arial"/>
        </w:rPr>
        <w:t>EnviroChemie</w:t>
      </w:r>
      <w:proofErr w:type="spellEnd"/>
      <w:r w:rsidRPr="00934A95">
        <w:rPr>
          <w:rFonts w:ascii="Arial" w:hAnsi="Arial" w:cs="Arial"/>
        </w:rPr>
        <w:t xml:space="preserve"> GmbH (n.d.) </w:t>
      </w:r>
      <w:r w:rsidRPr="00934A95">
        <w:rPr>
          <w:rFonts w:ascii="Arial" w:hAnsi="Arial" w:cs="Arial"/>
          <w:i/>
          <w:iCs/>
        </w:rPr>
        <w:t>Mining &amp; Ore Processing – Water Treatment Solutions</w:t>
      </w:r>
      <w:r w:rsidRPr="00934A95">
        <w:rPr>
          <w:rFonts w:ascii="Arial" w:hAnsi="Arial" w:cs="Arial"/>
        </w:rPr>
        <w:t xml:space="preserve">. Available at: </w:t>
      </w:r>
      <w:hyperlink r:id="rId22" w:tgtFrame="_new" w:history="1">
        <w:r w:rsidRPr="00934A95">
          <w:rPr>
            <w:rStyle w:val="Hyperlink"/>
            <w:rFonts w:ascii="Arial" w:hAnsi="Arial" w:cs="Arial"/>
          </w:rPr>
          <w:t>https://www.envirochemie.com/en/sectors/mining-ore-processing/</w:t>
        </w:r>
      </w:hyperlink>
    </w:p>
    <w:p w14:paraId="5BBC8F3D"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rPr>
        <w:t xml:space="preserve">Mitsubishi Heavy Industries (n.d.) </w:t>
      </w:r>
      <w:r w:rsidRPr="00934A95">
        <w:rPr>
          <w:rFonts w:ascii="Arial" w:hAnsi="Arial" w:cs="Arial"/>
          <w:i/>
          <w:iCs/>
        </w:rPr>
        <w:t>Industrial Water Treatment Technologies</w:t>
      </w:r>
      <w:r w:rsidRPr="00934A95">
        <w:rPr>
          <w:rFonts w:ascii="Arial" w:hAnsi="Arial" w:cs="Arial"/>
        </w:rPr>
        <w:t xml:space="preserve">. Available at: </w:t>
      </w:r>
      <w:hyperlink r:id="rId23" w:tgtFrame="_new" w:history="1">
        <w:r w:rsidRPr="00934A95">
          <w:rPr>
            <w:rStyle w:val="Hyperlink"/>
            <w:rFonts w:ascii="Arial" w:hAnsi="Arial" w:cs="Arial"/>
          </w:rPr>
          <w:t>https://www.mhi.com/products/</w:t>
        </w:r>
      </w:hyperlink>
    </w:p>
    <w:p w14:paraId="6BD009F3" w14:textId="77777777" w:rsidR="00E20666" w:rsidRPr="00934A95" w:rsidRDefault="00E20666" w:rsidP="00934A95">
      <w:pPr>
        <w:pStyle w:val="ListParagraph"/>
        <w:numPr>
          <w:ilvl w:val="0"/>
          <w:numId w:val="110"/>
        </w:numPr>
        <w:spacing w:after="0" w:line="360" w:lineRule="auto"/>
        <w:ind w:left="0" w:firstLine="720"/>
        <w:jc w:val="both"/>
        <w:rPr>
          <w:rFonts w:ascii="Arial" w:hAnsi="Arial" w:cs="Arial"/>
          <w:lang w:val="bg-BG"/>
        </w:rPr>
      </w:pPr>
      <w:r w:rsidRPr="00934A95">
        <w:rPr>
          <w:rFonts w:ascii="Arial" w:hAnsi="Arial" w:cs="Arial"/>
          <w:lang w:val="bg-BG"/>
        </w:rPr>
        <w:br w:type="page"/>
      </w:r>
    </w:p>
    <w:p w14:paraId="271A939C" w14:textId="77777777" w:rsidR="00E20666" w:rsidRPr="00934A95" w:rsidRDefault="00E20666" w:rsidP="00934A95">
      <w:pPr>
        <w:pStyle w:val="Heading1"/>
        <w:spacing w:before="0" w:line="360" w:lineRule="auto"/>
        <w:ind w:firstLine="720"/>
        <w:jc w:val="both"/>
        <w:rPr>
          <w:rFonts w:ascii="Arial" w:hAnsi="Arial" w:cs="Arial"/>
          <w:b/>
          <w:bCs/>
          <w:color w:val="auto"/>
          <w:kern w:val="2"/>
          <w:sz w:val="28"/>
          <w:szCs w:val="28"/>
          <w14:ligatures w14:val="standardContextual"/>
        </w:rPr>
      </w:pPr>
      <w:bookmarkStart w:id="58" w:name="_Toc214615855"/>
      <w:r w:rsidRPr="00934A95">
        <w:rPr>
          <w:rFonts w:ascii="Arial" w:hAnsi="Arial" w:cs="Arial"/>
          <w:b/>
          <w:bCs/>
          <w:color w:val="auto"/>
          <w:kern w:val="2"/>
          <w:sz w:val="28"/>
          <w:szCs w:val="28"/>
          <w14:ligatures w14:val="standardContextual"/>
        </w:rPr>
        <w:lastRenderedPageBreak/>
        <w:t>APPENDICES</w:t>
      </w:r>
      <w:bookmarkEnd w:id="58"/>
    </w:p>
    <w:p w14:paraId="3D8AB5E7" w14:textId="77777777" w:rsidR="00934A95" w:rsidRPr="00934A95" w:rsidRDefault="00934A95" w:rsidP="00934A95">
      <w:pPr>
        <w:spacing w:after="0" w:line="360" w:lineRule="auto"/>
        <w:ind w:firstLine="720"/>
        <w:jc w:val="both"/>
        <w:rPr>
          <w:rFonts w:ascii="Arial" w:hAnsi="Arial" w:cs="Arial"/>
          <w:b/>
          <w:bCs/>
          <w:lang w:val="bg-BG"/>
        </w:rPr>
      </w:pPr>
    </w:p>
    <w:p w14:paraId="419D838A"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Appendix A: Analytical Framework Used in This Study</w:t>
      </w:r>
    </w:p>
    <w:p w14:paraId="52CC23FE"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This appendix outlines the three-layer analytical framework developed for the dissertation:</w:t>
      </w:r>
    </w:p>
    <w:p w14:paraId="7C8D9F76" w14:textId="77777777" w:rsidR="00E20666" w:rsidRDefault="00E20666" w:rsidP="00934A95">
      <w:pPr>
        <w:spacing w:after="0" w:line="360" w:lineRule="auto"/>
        <w:ind w:firstLine="720"/>
        <w:jc w:val="both"/>
        <w:rPr>
          <w:rFonts w:ascii="Arial" w:hAnsi="Arial" w:cs="Arial"/>
          <w:b/>
          <w:bCs/>
        </w:rPr>
      </w:pPr>
      <w:r w:rsidRPr="00934A95">
        <w:rPr>
          <w:rFonts w:ascii="Arial" w:hAnsi="Arial" w:cs="Arial"/>
          <w:b/>
          <w:bCs/>
        </w:rPr>
        <w:t>A1. ESG Evaluation Matrix</w:t>
      </w:r>
    </w:p>
    <w:p w14:paraId="16B9674D" w14:textId="77777777" w:rsidR="00A12552" w:rsidRPr="00934A95" w:rsidRDefault="00A12552" w:rsidP="00934A95">
      <w:pPr>
        <w:spacing w:after="0" w:line="360" w:lineRule="auto"/>
        <w:ind w:firstLine="720"/>
        <w:jc w:val="both"/>
        <w:rPr>
          <w:rFonts w:ascii="Arial" w:hAnsi="Arial" w:cs="Arial"/>
          <w:b/>
          <w:bC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4394"/>
        <w:gridCol w:w="3544"/>
      </w:tblGrid>
      <w:tr w:rsidR="00E20666" w:rsidRPr="00934A95" w14:paraId="24150068" w14:textId="77777777" w:rsidTr="00A12552">
        <w:trPr>
          <w:tblHeader/>
          <w:tblCellSpacing w:w="15" w:type="dxa"/>
        </w:trPr>
        <w:tc>
          <w:tcPr>
            <w:tcW w:w="1935" w:type="dxa"/>
            <w:hideMark/>
          </w:tcPr>
          <w:p w14:paraId="602B6A0D" w14:textId="77777777" w:rsidR="00E20666" w:rsidRPr="00934A95" w:rsidRDefault="00E20666" w:rsidP="00934A95">
            <w:pPr>
              <w:spacing w:after="0" w:line="360" w:lineRule="auto"/>
              <w:jc w:val="center"/>
              <w:rPr>
                <w:rFonts w:ascii="Arial" w:hAnsi="Arial" w:cs="Arial"/>
                <w:b/>
                <w:bCs/>
              </w:rPr>
            </w:pPr>
            <w:r w:rsidRPr="00934A95">
              <w:rPr>
                <w:rFonts w:ascii="Arial" w:hAnsi="Arial" w:cs="Arial"/>
                <w:b/>
                <w:bCs/>
              </w:rPr>
              <w:t>ESG Dimension</w:t>
            </w:r>
          </w:p>
        </w:tc>
        <w:tc>
          <w:tcPr>
            <w:tcW w:w="4364" w:type="dxa"/>
            <w:hideMark/>
          </w:tcPr>
          <w:p w14:paraId="7C905C0C" w14:textId="77777777" w:rsidR="00E20666" w:rsidRPr="00934A95" w:rsidRDefault="00E20666" w:rsidP="00934A95">
            <w:pPr>
              <w:spacing w:after="0" w:line="360" w:lineRule="auto"/>
              <w:jc w:val="center"/>
              <w:rPr>
                <w:rFonts w:ascii="Arial" w:hAnsi="Arial" w:cs="Arial"/>
                <w:b/>
                <w:bCs/>
              </w:rPr>
            </w:pPr>
            <w:r w:rsidRPr="00934A95">
              <w:rPr>
                <w:rFonts w:ascii="Arial" w:hAnsi="Arial" w:cs="Arial"/>
                <w:b/>
                <w:bCs/>
              </w:rPr>
              <w:t>Indicators Used</w:t>
            </w:r>
          </w:p>
        </w:tc>
        <w:tc>
          <w:tcPr>
            <w:tcW w:w="3499" w:type="dxa"/>
            <w:hideMark/>
          </w:tcPr>
          <w:p w14:paraId="492824B5" w14:textId="77777777" w:rsidR="00E20666" w:rsidRPr="00934A95" w:rsidRDefault="00E20666" w:rsidP="00934A95">
            <w:pPr>
              <w:spacing w:after="0" w:line="360" w:lineRule="auto"/>
              <w:jc w:val="center"/>
              <w:rPr>
                <w:rFonts w:ascii="Arial" w:hAnsi="Arial" w:cs="Arial"/>
                <w:b/>
                <w:bCs/>
              </w:rPr>
            </w:pPr>
            <w:r w:rsidRPr="00934A95">
              <w:rPr>
                <w:rFonts w:ascii="Arial" w:hAnsi="Arial" w:cs="Arial"/>
                <w:b/>
                <w:bCs/>
              </w:rPr>
              <w:t>Source Type</w:t>
            </w:r>
          </w:p>
        </w:tc>
      </w:tr>
      <w:tr w:rsidR="00E20666" w:rsidRPr="00934A95" w14:paraId="3E687EDA" w14:textId="77777777" w:rsidTr="00A12552">
        <w:trPr>
          <w:tblCellSpacing w:w="15" w:type="dxa"/>
        </w:trPr>
        <w:tc>
          <w:tcPr>
            <w:tcW w:w="1935" w:type="dxa"/>
            <w:hideMark/>
          </w:tcPr>
          <w:p w14:paraId="54BD68A7" w14:textId="77777777" w:rsidR="00E20666" w:rsidRPr="00934A95" w:rsidRDefault="00E20666" w:rsidP="00934A95">
            <w:pPr>
              <w:spacing w:after="0" w:line="360" w:lineRule="auto"/>
              <w:jc w:val="both"/>
              <w:rPr>
                <w:rFonts w:ascii="Arial" w:hAnsi="Arial" w:cs="Arial"/>
              </w:rPr>
            </w:pPr>
            <w:r w:rsidRPr="00934A95">
              <w:rPr>
                <w:rFonts w:ascii="Arial" w:hAnsi="Arial" w:cs="Arial"/>
              </w:rPr>
              <w:t>Environmental</w:t>
            </w:r>
          </w:p>
        </w:tc>
        <w:tc>
          <w:tcPr>
            <w:tcW w:w="4364" w:type="dxa"/>
            <w:hideMark/>
          </w:tcPr>
          <w:p w14:paraId="0164A477" w14:textId="77777777" w:rsidR="00E20666" w:rsidRPr="00934A95" w:rsidRDefault="00E20666" w:rsidP="00A12552">
            <w:pPr>
              <w:spacing w:after="0" w:line="360" w:lineRule="auto"/>
              <w:rPr>
                <w:rFonts w:ascii="Arial" w:hAnsi="Arial" w:cs="Arial"/>
              </w:rPr>
            </w:pPr>
            <w:r w:rsidRPr="00934A95">
              <w:rPr>
                <w:rFonts w:ascii="Arial" w:hAnsi="Arial" w:cs="Arial"/>
              </w:rPr>
              <w:t>Water management; emissions; waste/tailings; biodiversity; energy efficiency</w:t>
            </w:r>
          </w:p>
        </w:tc>
        <w:tc>
          <w:tcPr>
            <w:tcW w:w="3499" w:type="dxa"/>
            <w:hideMark/>
          </w:tcPr>
          <w:p w14:paraId="0D061BE3" w14:textId="77777777" w:rsidR="00E20666" w:rsidRPr="00934A95" w:rsidRDefault="00E20666" w:rsidP="00A12552">
            <w:pPr>
              <w:spacing w:after="0" w:line="360" w:lineRule="auto"/>
              <w:rPr>
                <w:rFonts w:ascii="Arial" w:hAnsi="Arial" w:cs="Arial"/>
              </w:rPr>
            </w:pPr>
            <w:r w:rsidRPr="00934A95">
              <w:rPr>
                <w:rFonts w:ascii="Arial" w:hAnsi="Arial" w:cs="Arial"/>
              </w:rPr>
              <w:t>Company reports; media releases; environmental audits</w:t>
            </w:r>
          </w:p>
        </w:tc>
      </w:tr>
      <w:tr w:rsidR="00E20666" w:rsidRPr="00934A95" w14:paraId="47D976C8" w14:textId="77777777" w:rsidTr="00A12552">
        <w:trPr>
          <w:tblCellSpacing w:w="15" w:type="dxa"/>
        </w:trPr>
        <w:tc>
          <w:tcPr>
            <w:tcW w:w="1935" w:type="dxa"/>
            <w:hideMark/>
          </w:tcPr>
          <w:p w14:paraId="49D736B1" w14:textId="77777777" w:rsidR="00E20666" w:rsidRPr="00934A95" w:rsidRDefault="00E20666" w:rsidP="00934A95">
            <w:pPr>
              <w:spacing w:after="0" w:line="360" w:lineRule="auto"/>
              <w:jc w:val="both"/>
              <w:rPr>
                <w:rFonts w:ascii="Arial" w:hAnsi="Arial" w:cs="Arial"/>
              </w:rPr>
            </w:pPr>
            <w:r w:rsidRPr="00934A95">
              <w:rPr>
                <w:rFonts w:ascii="Arial" w:hAnsi="Arial" w:cs="Arial"/>
              </w:rPr>
              <w:t>Social</w:t>
            </w:r>
          </w:p>
        </w:tc>
        <w:tc>
          <w:tcPr>
            <w:tcW w:w="4364" w:type="dxa"/>
            <w:hideMark/>
          </w:tcPr>
          <w:p w14:paraId="6059FD04" w14:textId="77777777" w:rsidR="00E20666" w:rsidRPr="00934A95" w:rsidRDefault="00E20666" w:rsidP="00A12552">
            <w:pPr>
              <w:spacing w:after="0" w:line="360" w:lineRule="auto"/>
              <w:rPr>
                <w:rFonts w:ascii="Arial" w:hAnsi="Arial" w:cs="Arial"/>
              </w:rPr>
            </w:pPr>
            <w:r w:rsidRPr="00934A95">
              <w:rPr>
                <w:rFonts w:ascii="Arial" w:hAnsi="Arial" w:cs="Arial"/>
              </w:rPr>
              <w:t>Occupational safety; community engagement; employee development; social investments</w:t>
            </w:r>
          </w:p>
        </w:tc>
        <w:tc>
          <w:tcPr>
            <w:tcW w:w="3499" w:type="dxa"/>
            <w:hideMark/>
          </w:tcPr>
          <w:p w14:paraId="774C5EB0" w14:textId="77777777" w:rsidR="00E20666" w:rsidRPr="00934A95" w:rsidRDefault="00E20666" w:rsidP="00A12552">
            <w:pPr>
              <w:spacing w:after="0" w:line="360" w:lineRule="auto"/>
              <w:rPr>
                <w:rFonts w:ascii="Arial" w:hAnsi="Arial" w:cs="Arial"/>
              </w:rPr>
            </w:pPr>
            <w:r w:rsidRPr="00934A95">
              <w:rPr>
                <w:rFonts w:ascii="Arial" w:hAnsi="Arial" w:cs="Arial"/>
              </w:rPr>
              <w:t>Company reports; news articles; industry publications</w:t>
            </w:r>
          </w:p>
        </w:tc>
      </w:tr>
      <w:tr w:rsidR="00E20666" w:rsidRPr="00934A95" w14:paraId="3C353797" w14:textId="77777777" w:rsidTr="00A12552">
        <w:trPr>
          <w:tblCellSpacing w:w="15" w:type="dxa"/>
        </w:trPr>
        <w:tc>
          <w:tcPr>
            <w:tcW w:w="1935" w:type="dxa"/>
            <w:hideMark/>
          </w:tcPr>
          <w:p w14:paraId="7CAE9F69" w14:textId="77777777" w:rsidR="00E20666" w:rsidRPr="00934A95" w:rsidRDefault="00E20666" w:rsidP="00934A95">
            <w:pPr>
              <w:spacing w:after="0" w:line="360" w:lineRule="auto"/>
              <w:jc w:val="both"/>
              <w:rPr>
                <w:rFonts w:ascii="Arial" w:hAnsi="Arial" w:cs="Arial"/>
              </w:rPr>
            </w:pPr>
            <w:r w:rsidRPr="00934A95">
              <w:rPr>
                <w:rFonts w:ascii="Arial" w:hAnsi="Arial" w:cs="Arial"/>
              </w:rPr>
              <w:t>Governance</w:t>
            </w:r>
          </w:p>
        </w:tc>
        <w:tc>
          <w:tcPr>
            <w:tcW w:w="4364" w:type="dxa"/>
            <w:hideMark/>
          </w:tcPr>
          <w:p w14:paraId="5226674B" w14:textId="77777777" w:rsidR="00E20666" w:rsidRPr="00934A95" w:rsidRDefault="00E20666" w:rsidP="00A12552">
            <w:pPr>
              <w:spacing w:after="0" w:line="360" w:lineRule="auto"/>
              <w:rPr>
                <w:rFonts w:ascii="Arial" w:hAnsi="Arial" w:cs="Arial"/>
              </w:rPr>
            </w:pPr>
            <w:r w:rsidRPr="00934A95">
              <w:rPr>
                <w:rFonts w:ascii="Arial" w:hAnsi="Arial" w:cs="Arial"/>
              </w:rPr>
              <w:t>Transparency; reporting quality; ethics structures; board oversight</w:t>
            </w:r>
          </w:p>
        </w:tc>
        <w:tc>
          <w:tcPr>
            <w:tcW w:w="3499" w:type="dxa"/>
            <w:hideMark/>
          </w:tcPr>
          <w:p w14:paraId="265594AB" w14:textId="77777777" w:rsidR="00E20666" w:rsidRPr="00934A95" w:rsidRDefault="00E20666" w:rsidP="00A12552">
            <w:pPr>
              <w:spacing w:after="0" w:line="360" w:lineRule="auto"/>
              <w:rPr>
                <w:rFonts w:ascii="Arial" w:hAnsi="Arial" w:cs="Arial"/>
              </w:rPr>
            </w:pPr>
            <w:r w:rsidRPr="00934A95">
              <w:rPr>
                <w:rFonts w:ascii="Arial" w:hAnsi="Arial" w:cs="Arial"/>
              </w:rPr>
              <w:t>ESG reports; CSRD/ESRS alignment indicators</w:t>
            </w:r>
          </w:p>
        </w:tc>
      </w:tr>
    </w:tbl>
    <w:p w14:paraId="60A28308" w14:textId="77777777" w:rsidR="00E20666" w:rsidRPr="00934A95" w:rsidRDefault="00E20666" w:rsidP="00934A95">
      <w:pPr>
        <w:spacing w:after="0" w:line="360" w:lineRule="auto"/>
        <w:ind w:firstLine="720"/>
        <w:jc w:val="both"/>
        <w:rPr>
          <w:rFonts w:ascii="Arial" w:hAnsi="Arial" w:cs="Arial"/>
          <w:lang w:val="bg-BG"/>
        </w:rPr>
      </w:pPr>
    </w:p>
    <w:p w14:paraId="5589A851"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A2. CSRD / ESRS Alignment Criteria</w:t>
      </w:r>
    </w:p>
    <w:p w14:paraId="1D0B002C"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The following ESRS categories were assessed:</w:t>
      </w:r>
    </w:p>
    <w:p w14:paraId="4A125C2B"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1 — General Principles</w:t>
      </w:r>
    </w:p>
    <w:p w14:paraId="3D66C2B3"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2 — General Disclosures</w:t>
      </w:r>
    </w:p>
    <w:p w14:paraId="2A482824"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E1 — Climate Change</w:t>
      </w:r>
    </w:p>
    <w:p w14:paraId="2D38C220"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E2 — Pollution</w:t>
      </w:r>
    </w:p>
    <w:p w14:paraId="757BFF51"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E3 — Water and Marine Resources</w:t>
      </w:r>
    </w:p>
    <w:p w14:paraId="30FEC162"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E5 — Resource Use and Circular Economy</w:t>
      </w:r>
    </w:p>
    <w:p w14:paraId="384DA94A"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S1 — Own Workforce</w:t>
      </w:r>
    </w:p>
    <w:p w14:paraId="166449D0" w14:textId="77777777" w:rsidR="00E20666" w:rsidRPr="00934A95" w:rsidRDefault="00E20666" w:rsidP="00934A95">
      <w:pPr>
        <w:numPr>
          <w:ilvl w:val="0"/>
          <w:numId w:val="100"/>
        </w:numPr>
        <w:spacing w:after="0" w:line="360" w:lineRule="auto"/>
        <w:ind w:left="0" w:firstLine="720"/>
        <w:jc w:val="both"/>
        <w:rPr>
          <w:rFonts w:ascii="Arial" w:hAnsi="Arial" w:cs="Arial"/>
        </w:rPr>
      </w:pPr>
      <w:r w:rsidRPr="00934A95">
        <w:rPr>
          <w:rFonts w:ascii="Arial" w:hAnsi="Arial" w:cs="Arial"/>
        </w:rPr>
        <w:t>ESRS G1 — Governance, Risk Management and Internal Control</w:t>
      </w:r>
    </w:p>
    <w:p w14:paraId="20706072"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 xml:space="preserve">Each company was evaluated based on publicly available information and structured into a </w:t>
      </w:r>
      <w:r w:rsidRPr="00934A95">
        <w:rPr>
          <w:rFonts w:ascii="Arial" w:hAnsi="Arial" w:cs="Arial"/>
          <w:b/>
          <w:bCs/>
        </w:rPr>
        <w:t>qualitative compliance assessment</w:t>
      </w:r>
      <w:r w:rsidRPr="00934A95">
        <w:rPr>
          <w:rFonts w:ascii="Arial" w:hAnsi="Arial" w:cs="Arial"/>
        </w:rPr>
        <w:t xml:space="preserve"> (strong, moderate, limited).</w:t>
      </w:r>
    </w:p>
    <w:p w14:paraId="1230AB84" w14:textId="77777777" w:rsidR="00E20666" w:rsidRPr="00934A95" w:rsidRDefault="00E20666" w:rsidP="00934A95">
      <w:pPr>
        <w:spacing w:after="0" w:line="360" w:lineRule="auto"/>
        <w:ind w:firstLine="720"/>
        <w:jc w:val="both"/>
        <w:rPr>
          <w:rFonts w:ascii="Arial" w:hAnsi="Arial" w:cs="Arial"/>
          <w:lang w:val="bg-BG"/>
        </w:rPr>
      </w:pPr>
    </w:p>
    <w:p w14:paraId="70309FF9"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A3. TCFD Climate Risk Framework</w:t>
      </w:r>
    </w:p>
    <w:p w14:paraId="1475F611"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The following four pillars were applied:</w:t>
      </w:r>
    </w:p>
    <w:p w14:paraId="0C6D9F27" w14:textId="77777777" w:rsidR="00E20666" w:rsidRPr="00934A95" w:rsidRDefault="00E20666" w:rsidP="00934A95">
      <w:pPr>
        <w:numPr>
          <w:ilvl w:val="0"/>
          <w:numId w:val="101"/>
        </w:numPr>
        <w:spacing w:after="0" w:line="360" w:lineRule="auto"/>
        <w:ind w:left="0" w:firstLine="720"/>
        <w:jc w:val="both"/>
        <w:rPr>
          <w:rFonts w:ascii="Arial" w:hAnsi="Arial" w:cs="Arial"/>
        </w:rPr>
      </w:pPr>
      <w:r w:rsidRPr="00934A95">
        <w:rPr>
          <w:rFonts w:ascii="Arial" w:hAnsi="Arial" w:cs="Arial"/>
          <w:b/>
          <w:bCs/>
        </w:rPr>
        <w:t>Governance</w:t>
      </w:r>
    </w:p>
    <w:p w14:paraId="647F5EC0" w14:textId="77777777" w:rsidR="00E20666" w:rsidRPr="00934A95" w:rsidRDefault="00E20666" w:rsidP="00934A95">
      <w:pPr>
        <w:numPr>
          <w:ilvl w:val="0"/>
          <w:numId w:val="101"/>
        </w:numPr>
        <w:spacing w:after="0" w:line="360" w:lineRule="auto"/>
        <w:ind w:left="0" w:firstLine="720"/>
        <w:jc w:val="both"/>
        <w:rPr>
          <w:rFonts w:ascii="Arial" w:hAnsi="Arial" w:cs="Arial"/>
        </w:rPr>
      </w:pPr>
      <w:r w:rsidRPr="00934A95">
        <w:rPr>
          <w:rFonts w:ascii="Arial" w:hAnsi="Arial" w:cs="Arial"/>
          <w:b/>
          <w:bCs/>
        </w:rPr>
        <w:t>Strategy</w:t>
      </w:r>
      <w:r w:rsidRPr="00934A95">
        <w:rPr>
          <w:rFonts w:ascii="Arial" w:hAnsi="Arial" w:cs="Arial"/>
        </w:rPr>
        <w:t xml:space="preserve"> (scenario analysis, long-term planning)</w:t>
      </w:r>
    </w:p>
    <w:p w14:paraId="0562E5D0" w14:textId="77777777" w:rsidR="00E20666" w:rsidRPr="00934A95" w:rsidRDefault="00E20666" w:rsidP="00934A95">
      <w:pPr>
        <w:numPr>
          <w:ilvl w:val="0"/>
          <w:numId w:val="101"/>
        </w:numPr>
        <w:spacing w:after="0" w:line="360" w:lineRule="auto"/>
        <w:ind w:left="0" w:firstLine="720"/>
        <w:jc w:val="both"/>
        <w:rPr>
          <w:rFonts w:ascii="Arial" w:hAnsi="Arial" w:cs="Arial"/>
        </w:rPr>
      </w:pPr>
      <w:r w:rsidRPr="00934A95">
        <w:rPr>
          <w:rFonts w:ascii="Arial" w:hAnsi="Arial" w:cs="Arial"/>
          <w:b/>
          <w:bCs/>
        </w:rPr>
        <w:t>Risk Management</w:t>
      </w:r>
      <w:r w:rsidRPr="00934A95">
        <w:rPr>
          <w:rFonts w:ascii="Arial" w:hAnsi="Arial" w:cs="Arial"/>
        </w:rPr>
        <w:t xml:space="preserve"> (transition + physical risks)</w:t>
      </w:r>
    </w:p>
    <w:p w14:paraId="3E170BEB" w14:textId="77777777" w:rsidR="00E20666" w:rsidRPr="00934A95" w:rsidRDefault="00E20666" w:rsidP="00934A95">
      <w:pPr>
        <w:numPr>
          <w:ilvl w:val="0"/>
          <w:numId w:val="101"/>
        </w:numPr>
        <w:spacing w:after="0" w:line="360" w:lineRule="auto"/>
        <w:ind w:left="0" w:firstLine="720"/>
        <w:jc w:val="both"/>
        <w:rPr>
          <w:rFonts w:ascii="Arial" w:hAnsi="Arial" w:cs="Arial"/>
        </w:rPr>
      </w:pPr>
      <w:r w:rsidRPr="00934A95">
        <w:rPr>
          <w:rFonts w:ascii="Arial" w:hAnsi="Arial" w:cs="Arial"/>
          <w:b/>
          <w:bCs/>
        </w:rPr>
        <w:lastRenderedPageBreak/>
        <w:t>Metrics and Targets</w:t>
      </w:r>
    </w:p>
    <w:p w14:paraId="1531086C" w14:textId="77777777" w:rsidR="00E20666" w:rsidRPr="00934A95" w:rsidRDefault="00E20666" w:rsidP="00934A95">
      <w:pPr>
        <w:spacing w:after="0" w:line="360" w:lineRule="auto"/>
        <w:ind w:firstLine="720"/>
        <w:jc w:val="both"/>
        <w:rPr>
          <w:rFonts w:ascii="Arial" w:hAnsi="Arial" w:cs="Arial"/>
          <w:lang w:val="bg-BG"/>
        </w:rPr>
      </w:pPr>
    </w:p>
    <w:p w14:paraId="151CC6BE"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Appendix B: Case Study Data Matrix (Secondary Data)</w:t>
      </w:r>
    </w:p>
    <w:p w14:paraId="0C0120A6" w14:textId="7F705D35" w:rsidR="00E20666" w:rsidRDefault="00E20666" w:rsidP="00934A95">
      <w:pPr>
        <w:spacing w:after="0" w:line="360" w:lineRule="auto"/>
        <w:ind w:firstLine="720"/>
        <w:jc w:val="both"/>
        <w:rPr>
          <w:rFonts w:ascii="Arial" w:hAnsi="Arial" w:cs="Arial"/>
        </w:rPr>
      </w:pPr>
      <w:r w:rsidRPr="00934A95">
        <w:rPr>
          <w:rFonts w:ascii="Arial" w:hAnsi="Arial" w:cs="Arial"/>
        </w:rPr>
        <w:t xml:space="preserve">This matrix </w:t>
      </w:r>
      <w:proofErr w:type="spellStart"/>
      <w:r w:rsidRPr="00934A95">
        <w:rPr>
          <w:rFonts w:ascii="Arial" w:hAnsi="Arial" w:cs="Arial"/>
        </w:rPr>
        <w:t>summarises</w:t>
      </w:r>
      <w:proofErr w:type="spellEnd"/>
      <w:r w:rsidRPr="00934A95">
        <w:rPr>
          <w:rFonts w:ascii="Arial" w:hAnsi="Arial" w:cs="Arial"/>
        </w:rPr>
        <w:t xml:space="preserve"> the secondary sources used in the multi-case study</w:t>
      </w:r>
    </w:p>
    <w:p w14:paraId="7339D97E" w14:textId="77777777" w:rsidR="00A12552" w:rsidRPr="00934A95" w:rsidRDefault="00A12552" w:rsidP="00934A95">
      <w:pPr>
        <w:spacing w:after="0" w:line="360" w:lineRule="auto"/>
        <w:ind w:firstLine="720"/>
        <w:jc w:val="both"/>
        <w:rPr>
          <w:rFonts w:ascii="Arial" w:hAnsi="Arial" w:cs="Arial"/>
        </w:rPr>
      </w:pPr>
    </w:p>
    <w:tbl>
      <w:tblPr>
        <w:tblW w:w="1034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3"/>
        <w:gridCol w:w="3852"/>
        <w:gridCol w:w="3119"/>
        <w:gridCol w:w="1559"/>
      </w:tblGrid>
      <w:tr w:rsidR="00A12552" w:rsidRPr="00934A95" w14:paraId="7D98EBD4" w14:textId="77777777" w:rsidTr="00A12552">
        <w:trPr>
          <w:tblHeader/>
          <w:tblCellSpacing w:w="15" w:type="dxa"/>
        </w:trPr>
        <w:tc>
          <w:tcPr>
            <w:tcW w:w="0" w:type="auto"/>
            <w:vAlign w:val="center"/>
            <w:hideMark/>
          </w:tcPr>
          <w:p w14:paraId="224E2792" w14:textId="77777777" w:rsidR="00E20666" w:rsidRPr="00934A95" w:rsidRDefault="00E20666" w:rsidP="00A12552">
            <w:pPr>
              <w:spacing w:after="0" w:line="360" w:lineRule="auto"/>
              <w:jc w:val="center"/>
              <w:rPr>
                <w:rFonts w:ascii="Arial" w:hAnsi="Arial" w:cs="Arial"/>
                <w:b/>
                <w:bCs/>
              </w:rPr>
            </w:pPr>
            <w:r w:rsidRPr="00934A95">
              <w:rPr>
                <w:rFonts w:ascii="Arial" w:hAnsi="Arial" w:cs="Arial"/>
                <w:b/>
                <w:bCs/>
              </w:rPr>
              <w:t>Company</w:t>
            </w:r>
          </w:p>
        </w:tc>
        <w:tc>
          <w:tcPr>
            <w:tcW w:w="3822" w:type="dxa"/>
            <w:vAlign w:val="center"/>
            <w:hideMark/>
          </w:tcPr>
          <w:p w14:paraId="2B50C669" w14:textId="77777777" w:rsidR="00E20666" w:rsidRPr="00934A95" w:rsidRDefault="00E20666" w:rsidP="00A12552">
            <w:pPr>
              <w:spacing w:after="0" w:line="360" w:lineRule="auto"/>
              <w:jc w:val="center"/>
              <w:rPr>
                <w:rFonts w:ascii="Arial" w:hAnsi="Arial" w:cs="Arial"/>
                <w:b/>
                <w:bCs/>
              </w:rPr>
            </w:pPr>
            <w:r w:rsidRPr="00934A95">
              <w:rPr>
                <w:rFonts w:ascii="Arial" w:hAnsi="Arial" w:cs="Arial"/>
                <w:b/>
                <w:bCs/>
              </w:rPr>
              <w:t>Data Sources Used</w:t>
            </w:r>
          </w:p>
        </w:tc>
        <w:tc>
          <w:tcPr>
            <w:tcW w:w="3089" w:type="dxa"/>
            <w:vAlign w:val="center"/>
            <w:hideMark/>
          </w:tcPr>
          <w:p w14:paraId="54D870BA" w14:textId="77777777" w:rsidR="00E20666" w:rsidRPr="00934A95" w:rsidRDefault="00E20666" w:rsidP="00A12552">
            <w:pPr>
              <w:spacing w:after="0" w:line="360" w:lineRule="auto"/>
              <w:jc w:val="center"/>
              <w:rPr>
                <w:rFonts w:ascii="Arial" w:hAnsi="Arial" w:cs="Arial"/>
                <w:b/>
                <w:bCs/>
              </w:rPr>
            </w:pPr>
            <w:r w:rsidRPr="00934A95">
              <w:rPr>
                <w:rFonts w:ascii="Arial" w:hAnsi="Arial" w:cs="Arial"/>
                <w:b/>
                <w:bCs/>
              </w:rPr>
              <w:t>Type of Data</w:t>
            </w:r>
          </w:p>
        </w:tc>
        <w:tc>
          <w:tcPr>
            <w:tcW w:w="1514" w:type="dxa"/>
            <w:vAlign w:val="center"/>
            <w:hideMark/>
          </w:tcPr>
          <w:p w14:paraId="0E696D75" w14:textId="77777777" w:rsidR="00E20666" w:rsidRPr="00934A95" w:rsidRDefault="00E20666" w:rsidP="00A12552">
            <w:pPr>
              <w:spacing w:after="0" w:line="360" w:lineRule="auto"/>
              <w:jc w:val="center"/>
              <w:rPr>
                <w:rFonts w:ascii="Arial" w:hAnsi="Arial" w:cs="Arial"/>
                <w:b/>
                <w:bCs/>
              </w:rPr>
            </w:pPr>
            <w:r w:rsidRPr="00934A95">
              <w:rPr>
                <w:rFonts w:ascii="Arial" w:hAnsi="Arial" w:cs="Arial"/>
                <w:b/>
                <w:bCs/>
              </w:rPr>
              <w:t>Reliability Assessment</w:t>
            </w:r>
          </w:p>
        </w:tc>
      </w:tr>
      <w:tr w:rsidR="00A12552" w:rsidRPr="00934A95" w14:paraId="1146C5E2" w14:textId="77777777" w:rsidTr="00A12552">
        <w:trPr>
          <w:tblCellSpacing w:w="15" w:type="dxa"/>
        </w:trPr>
        <w:tc>
          <w:tcPr>
            <w:tcW w:w="0" w:type="auto"/>
            <w:hideMark/>
          </w:tcPr>
          <w:p w14:paraId="6E9C2B69"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Ellatzite</w:t>
            </w:r>
            <w:proofErr w:type="spellEnd"/>
          </w:p>
        </w:tc>
        <w:tc>
          <w:tcPr>
            <w:tcW w:w="3822" w:type="dxa"/>
            <w:hideMark/>
          </w:tcPr>
          <w:p w14:paraId="783A3DAC" w14:textId="77777777" w:rsidR="00E20666" w:rsidRPr="00934A95" w:rsidRDefault="00E20666" w:rsidP="00A12552">
            <w:pPr>
              <w:spacing w:after="0" w:line="360" w:lineRule="auto"/>
              <w:rPr>
                <w:rFonts w:ascii="Arial" w:hAnsi="Arial" w:cs="Arial"/>
              </w:rPr>
            </w:pPr>
            <w:r w:rsidRPr="00934A95">
              <w:rPr>
                <w:rFonts w:ascii="Arial" w:hAnsi="Arial" w:cs="Arial"/>
              </w:rPr>
              <w:t xml:space="preserve">Company publications, GEOTECHMIN news, industry articles, </w:t>
            </w:r>
            <w:proofErr w:type="spellStart"/>
            <w:r w:rsidRPr="00934A95">
              <w:rPr>
                <w:rFonts w:ascii="Arial" w:hAnsi="Arial" w:cs="Arial"/>
              </w:rPr>
              <w:t>EnviroChemie</w:t>
            </w:r>
            <w:proofErr w:type="spellEnd"/>
            <w:r w:rsidRPr="00934A95">
              <w:rPr>
                <w:rFonts w:ascii="Arial" w:hAnsi="Arial" w:cs="Arial"/>
              </w:rPr>
              <w:t>/Mitsubishi technology documentation</w:t>
            </w:r>
          </w:p>
        </w:tc>
        <w:tc>
          <w:tcPr>
            <w:tcW w:w="3089" w:type="dxa"/>
            <w:hideMark/>
          </w:tcPr>
          <w:p w14:paraId="6D5CEA4A" w14:textId="77777777" w:rsidR="00E20666" w:rsidRPr="00934A95" w:rsidRDefault="00E20666" w:rsidP="00A12552">
            <w:pPr>
              <w:spacing w:after="0" w:line="360" w:lineRule="auto"/>
              <w:rPr>
                <w:rFonts w:ascii="Arial" w:hAnsi="Arial" w:cs="Arial"/>
              </w:rPr>
            </w:pPr>
            <w:r w:rsidRPr="00934A95">
              <w:rPr>
                <w:rFonts w:ascii="Arial" w:hAnsi="Arial" w:cs="Arial"/>
              </w:rPr>
              <w:t>ESG, environmental performance, technology, safety</w:t>
            </w:r>
          </w:p>
        </w:tc>
        <w:tc>
          <w:tcPr>
            <w:tcW w:w="1514" w:type="dxa"/>
            <w:hideMark/>
          </w:tcPr>
          <w:p w14:paraId="20950DFF" w14:textId="77777777" w:rsidR="00E20666" w:rsidRPr="00934A95" w:rsidRDefault="00E20666" w:rsidP="00A12552">
            <w:pPr>
              <w:spacing w:after="0" w:line="360" w:lineRule="auto"/>
              <w:rPr>
                <w:rFonts w:ascii="Arial" w:hAnsi="Arial" w:cs="Arial"/>
              </w:rPr>
            </w:pPr>
            <w:r w:rsidRPr="00934A95">
              <w:rPr>
                <w:rFonts w:ascii="Arial" w:hAnsi="Arial" w:cs="Arial"/>
              </w:rPr>
              <w:t>High</w:t>
            </w:r>
          </w:p>
        </w:tc>
      </w:tr>
      <w:tr w:rsidR="00A12552" w:rsidRPr="00934A95" w14:paraId="2F998771" w14:textId="77777777" w:rsidTr="00A12552">
        <w:trPr>
          <w:tblCellSpacing w:w="15" w:type="dxa"/>
        </w:trPr>
        <w:tc>
          <w:tcPr>
            <w:tcW w:w="0" w:type="auto"/>
            <w:hideMark/>
          </w:tcPr>
          <w:p w14:paraId="63222533"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Assarel</w:t>
            </w:r>
            <w:proofErr w:type="spellEnd"/>
            <w:r w:rsidRPr="00934A95">
              <w:rPr>
                <w:rFonts w:ascii="Arial" w:hAnsi="Arial" w:cs="Arial"/>
              </w:rPr>
              <w:t>-Medet</w:t>
            </w:r>
          </w:p>
        </w:tc>
        <w:tc>
          <w:tcPr>
            <w:tcW w:w="3822" w:type="dxa"/>
            <w:hideMark/>
          </w:tcPr>
          <w:p w14:paraId="2FF9F4EA" w14:textId="77777777" w:rsidR="00E20666" w:rsidRPr="00934A95" w:rsidRDefault="00E20666" w:rsidP="00A12552">
            <w:pPr>
              <w:spacing w:after="0" w:line="360" w:lineRule="auto"/>
              <w:rPr>
                <w:rFonts w:ascii="Arial" w:hAnsi="Arial" w:cs="Arial"/>
              </w:rPr>
            </w:pPr>
            <w:r w:rsidRPr="00934A95">
              <w:rPr>
                <w:rFonts w:ascii="Arial" w:hAnsi="Arial" w:cs="Arial"/>
              </w:rPr>
              <w:t>Company news, Bulgarian business media, industry magazines</w:t>
            </w:r>
          </w:p>
        </w:tc>
        <w:tc>
          <w:tcPr>
            <w:tcW w:w="3089" w:type="dxa"/>
            <w:hideMark/>
          </w:tcPr>
          <w:p w14:paraId="23357141" w14:textId="77777777" w:rsidR="00E20666" w:rsidRPr="00934A95" w:rsidRDefault="00E20666" w:rsidP="00A12552">
            <w:pPr>
              <w:spacing w:after="0" w:line="360" w:lineRule="auto"/>
              <w:rPr>
                <w:rFonts w:ascii="Arial" w:hAnsi="Arial" w:cs="Arial"/>
              </w:rPr>
            </w:pPr>
            <w:r w:rsidRPr="00934A95">
              <w:rPr>
                <w:rFonts w:ascii="Arial" w:hAnsi="Arial" w:cs="Arial"/>
              </w:rPr>
              <w:t>ESG/social performance, technological updates</w:t>
            </w:r>
          </w:p>
        </w:tc>
        <w:tc>
          <w:tcPr>
            <w:tcW w:w="1514" w:type="dxa"/>
            <w:hideMark/>
          </w:tcPr>
          <w:p w14:paraId="54467F96" w14:textId="77777777" w:rsidR="00E20666" w:rsidRPr="00934A95" w:rsidRDefault="00E20666" w:rsidP="00A12552">
            <w:pPr>
              <w:spacing w:after="0" w:line="360" w:lineRule="auto"/>
              <w:rPr>
                <w:rFonts w:ascii="Arial" w:hAnsi="Arial" w:cs="Arial"/>
              </w:rPr>
            </w:pPr>
            <w:r w:rsidRPr="00934A95">
              <w:rPr>
                <w:rFonts w:ascii="Arial" w:hAnsi="Arial" w:cs="Arial"/>
              </w:rPr>
              <w:t>Moderate</w:t>
            </w:r>
          </w:p>
        </w:tc>
      </w:tr>
      <w:tr w:rsidR="00A12552" w:rsidRPr="00934A95" w14:paraId="20BA0B95" w14:textId="77777777" w:rsidTr="00A12552">
        <w:trPr>
          <w:tblCellSpacing w:w="15" w:type="dxa"/>
        </w:trPr>
        <w:tc>
          <w:tcPr>
            <w:tcW w:w="0" w:type="auto"/>
            <w:hideMark/>
          </w:tcPr>
          <w:p w14:paraId="2FEDCDBF" w14:textId="77777777" w:rsidR="00E20666" w:rsidRPr="00934A95" w:rsidRDefault="00E20666" w:rsidP="00A12552">
            <w:pPr>
              <w:spacing w:after="0" w:line="360" w:lineRule="auto"/>
              <w:jc w:val="both"/>
              <w:rPr>
                <w:rFonts w:ascii="Arial" w:hAnsi="Arial" w:cs="Arial"/>
              </w:rPr>
            </w:pPr>
            <w:r w:rsidRPr="00934A95">
              <w:rPr>
                <w:rFonts w:ascii="Arial" w:hAnsi="Arial" w:cs="Arial"/>
              </w:rPr>
              <w:t>Dundee Precious Metals</w:t>
            </w:r>
          </w:p>
        </w:tc>
        <w:tc>
          <w:tcPr>
            <w:tcW w:w="3822" w:type="dxa"/>
            <w:hideMark/>
          </w:tcPr>
          <w:p w14:paraId="50FAEE1B" w14:textId="77777777" w:rsidR="00E20666" w:rsidRPr="00934A95" w:rsidRDefault="00E20666" w:rsidP="00A12552">
            <w:pPr>
              <w:spacing w:after="0" w:line="360" w:lineRule="auto"/>
              <w:rPr>
                <w:rFonts w:ascii="Arial" w:hAnsi="Arial" w:cs="Arial"/>
              </w:rPr>
            </w:pPr>
            <w:r w:rsidRPr="00934A95">
              <w:rPr>
                <w:rFonts w:ascii="Arial" w:hAnsi="Arial" w:cs="Arial"/>
              </w:rPr>
              <w:t>2022 Sustainability Report, climate disclosures</w:t>
            </w:r>
          </w:p>
        </w:tc>
        <w:tc>
          <w:tcPr>
            <w:tcW w:w="3089" w:type="dxa"/>
            <w:hideMark/>
          </w:tcPr>
          <w:p w14:paraId="458D53DB" w14:textId="77777777" w:rsidR="00E20666" w:rsidRPr="00934A95" w:rsidRDefault="00E20666" w:rsidP="00A12552">
            <w:pPr>
              <w:spacing w:after="0" w:line="360" w:lineRule="auto"/>
              <w:rPr>
                <w:rFonts w:ascii="Arial" w:hAnsi="Arial" w:cs="Arial"/>
              </w:rPr>
            </w:pPr>
            <w:r w:rsidRPr="00934A95">
              <w:rPr>
                <w:rFonts w:ascii="Arial" w:hAnsi="Arial" w:cs="Arial"/>
              </w:rPr>
              <w:t>Full ESG dataset, climate strategy</w:t>
            </w:r>
          </w:p>
        </w:tc>
        <w:tc>
          <w:tcPr>
            <w:tcW w:w="1514" w:type="dxa"/>
            <w:hideMark/>
          </w:tcPr>
          <w:p w14:paraId="59D6CE6D" w14:textId="77777777" w:rsidR="00E20666" w:rsidRPr="00934A95" w:rsidRDefault="00E20666" w:rsidP="00A12552">
            <w:pPr>
              <w:spacing w:after="0" w:line="360" w:lineRule="auto"/>
              <w:rPr>
                <w:rFonts w:ascii="Arial" w:hAnsi="Arial" w:cs="Arial"/>
              </w:rPr>
            </w:pPr>
            <w:r w:rsidRPr="00934A95">
              <w:rPr>
                <w:rFonts w:ascii="Arial" w:hAnsi="Arial" w:cs="Arial"/>
              </w:rPr>
              <w:t>High</w:t>
            </w:r>
          </w:p>
        </w:tc>
      </w:tr>
      <w:tr w:rsidR="00A12552" w:rsidRPr="00934A95" w14:paraId="18786BC4" w14:textId="77777777" w:rsidTr="00A12552">
        <w:trPr>
          <w:tblCellSpacing w:w="15" w:type="dxa"/>
        </w:trPr>
        <w:tc>
          <w:tcPr>
            <w:tcW w:w="0" w:type="auto"/>
            <w:hideMark/>
          </w:tcPr>
          <w:p w14:paraId="1C5B20C2" w14:textId="77777777" w:rsidR="00E20666" w:rsidRPr="00934A95" w:rsidRDefault="00E20666" w:rsidP="00A12552">
            <w:pPr>
              <w:spacing w:after="0" w:line="360" w:lineRule="auto"/>
              <w:jc w:val="both"/>
              <w:rPr>
                <w:rFonts w:ascii="Arial" w:hAnsi="Arial" w:cs="Arial"/>
              </w:rPr>
            </w:pPr>
            <w:r w:rsidRPr="00934A95">
              <w:rPr>
                <w:rFonts w:ascii="Arial" w:hAnsi="Arial" w:cs="Arial"/>
              </w:rPr>
              <w:t xml:space="preserve">Zijin </w:t>
            </w:r>
            <w:proofErr w:type="spellStart"/>
            <w:r w:rsidRPr="00934A95">
              <w:rPr>
                <w:rFonts w:ascii="Arial" w:hAnsi="Arial" w:cs="Arial"/>
              </w:rPr>
              <w:t>Bor</w:t>
            </w:r>
            <w:proofErr w:type="spellEnd"/>
          </w:p>
        </w:tc>
        <w:tc>
          <w:tcPr>
            <w:tcW w:w="3822" w:type="dxa"/>
            <w:hideMark/>
          </w:tcPr>
          <w:p w14:paraId="6F046CD8" w14:textId="77777777" w:rsidR="00E20666" w:rsidRPr="00934A95" w:rsidRDefault="00E20666" w:rsidP="00A12552">
            <w:pPr>
              <w:spacing w:after="0" w:line="360" w:lineRule="auto"/>
              <w:rPr>
                <w:rFonts w:ascii="Arial" w:hAnsi="Arial" w:cs="Arial"/>
              </w:rPr>
            </w:pPr>
            <w:r w:rsidRPr="00934A95">
              <w:rPr>
                <w:rFonts w:ascii="Arial" w:hAnsi="Arial" w:cs="Arial"/>
              </w:rPr>
              <w:t>Corporate sustainability report, media updates</w:t>
            </w:r>
          </w:p>
        </w:tc>
        <w:tc>
          <w:tcPr>
            <w:tcW w:w="3089" w:type="dxa"/>
            <w:hideMark/>
          </w:tcPr>
          <w:p w14:paraId="17D0876B" w14:textId="77777777" w:rsidR="00E20666" w:rsidRPr="00934A95" w:rsidRDefault="00E20666" w:rsidP="00A12552">
            <w:pPr>
              <w:spacing w:after="0" w:line="360" w:lineRule="auto"/>
              <w:rPr>
                <w:rFonts w:ascii="Arial" w:hAnsi="Arial" w:cs="Arial"/>
              </w:rPr>
            </w:pPr>
            <w:r w:rsidRPr="00934A95">
              <w:rPr>
                <w:rFonts w:ascii="Arial" w:hAnsi="Arial" w:cs="Arial"/>
              </w:rPr>
              <w:t>ESG (corporate level), environmental/social issues</w:t>
            </w:r>
          </w:p>
        </w:tc>
        <w:tc>
          <w:tcPr>
            <w:tcW w:w="1514" w:type="dxa"/>
            <w:hideMark/>
          </w:tcPr>
          <w:p w14:paraId="35E7CB8B" w14:textId="77777777" w:rsidR="00E20666" w:rsidRPr="00934A95" w:rsidRDefault="00E20666" w:rsidP="00A12552">
            <w:pPr>
              <w:spacing w:after="0" w:line="360" w:lineRule="auto"/>
              <w:rPr>
                <w:rFonts w:ascii="Arial" w:hAnsi="Arial" w:cs="Arial"/>
              </w:rPr>
            </w:pPr>
            <w:r w:rsidRPr="00934A95">
              <w:rPr>
                <w:rFonts w:ascii="Arial" w:hAnsi="Arial" w:cs="Arial"/>
              </w:rPr>
              <w:t>Moderate</w:t>
            </w:r>
          </w:p>
        </w:tc>
      </w:tr>
      <w:tr w:rsidR="00A12552" w:rsidRPr="00934A95" w14:paraId="2B34D897" w14:textId="77777777" w:rsidTr="00A12552">
        <w:trPr>
          <w:tblCellSpacing w:w="15" w:type="dxa"/>
        </w:trPr>
        <w:tc>
          <w:tcPr>
            <w:tcW w:w="0" w:type="auto"/>
            <w:hideMark/>
          </w:tcPr>
          <w:p w14:paraId="5ECAF0A1"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Skouries</w:t>
            </w:r>
            <w:proofErr w:type="spellEnd"/>
          </w:p>
        </w:tc>
        <w:tc>
          <w:tcPr>
            <w:tcW w:w="3822" w:type="dxa"/>
            <w:hideMark/>
          </w:tcPr>
          <w:p w14:paraId="2A7E33B2" w14:textId="77777777" w:rsidR="00E20666" w:rsidRPr="00934A95" w:rsidRDefault="00E20666" w:rsidP="00A12552">
            <w:pPr>
              <w:spacing w:after="0" w:line="360" w:lineRule="auto"/>
              <w:rPr>
                <w:rFonts w:ascii="Arial" w:hAnsi="Arial" w:cs="Arial"/>
              </w:rPr>
            </w:pPr>
            <w:r w:rsidRPr="00934A95">
              <w:rPr>
                <w:rFonts w:ascii="Arial" w:hAnsi="Arial" w:cs="Arial"/>
              </w:rPr>
              <w:t>Eldorado Gold sustainability and project documentation</w:t>
            </w:r>
          </w:p>
        </w:tc>
        <w:tc>
          <w:tcPr>
            <w:tcW w:w="3089" w:type="dxa"/>
            <w:hideMark/>
          </w:tcPr>
          <w:p w14:paraId="4691FA06" w14:textId="77777777" w:rsidR="00E20666" w:rsidRPr="00934A95" w:rsidRDefault="00E20666" w:rsidP="00A12552">
            <w:pPr>
              <w:spacing w:after="0" w:line="360" w:lineRule="auto"/>
              <w:rPr>
                <w:rFonts w:ascii="Arial" w:hAnsi="Arial" w:cs="Arial"/>
              </w:rPr>
            </w:pPr>
            <w:r w:rsidRPr="00934A95">
              <w:rPr>
                <w:rFonts w:ascii="Arial" w:hAnsi="Arial" w:cs="Arial"/>
              </w:rPr>
              <w:t>Planned ESG performance</w:t>
            </w:r>
          </w:p>
        </w:tc>
        <w:tc>
          <w:tcPr>
            <w:tcW w:w="1514" w:type="dxa"/>
            <w:hideMark/>
          </w:tcPr>
          <w:p w14:paraId="69318128" w14:textId="77777777" w:rsidR="00E20666" w:rsidRPr="00934A95" w:rsidRDefault="00E20666" w:rsidP="00A12552">
            <w:pPr>
              <w:spacing w:after="0" w:line="360" w:lineRule="auto"/>
              <w:rPr>
                <w:rFonts w:ascii="Arial" w:hAnsi="Arial" w:cs="Arial"/>
              </w:rPr>
            </w:pPr>
            <w:r w:rsidRPr="00934A95">
              <w:rPr>
                <w:rFonts w:ascii="Arial" w:hAnsi="Arial" w:cs="Arial"/>
              </w:rPr>
              <w:t>Moderate</w:t>
            </w:r>
          </w:p>
        </w:tc>
      </w:tr>
      <w:tr w:rsidR="00A12552" w:rsidRPr="00934A95" w14:paraId="63AA77FB" w14:textId="77777777" w:rsidTr="00A12552">
        <w:trPr>
          <w:tblCellSpacing w:w="15" w:type="dxa"/>
        </w:trPr>
        <w:tc>
          <w:tcPr>
            <w:tcW w:w="0" w:type="auto"/>
            <w:hideMark/>
          </w:tcPr>
          <w:p w14:paraId="2565D267" w14:textId="77777777" w:rsidR="00E20666" w:rsidRPr="00934A95" w:rsidRDefault="00E20666" w:rsidP="00A12552">
            <w:pPr>
              <w:spacing w:after="0" w:line="360" w:lineRule="auto"/>
              <w:jc w:val="both"/>
              <w:rPr>
                <w:rFonts w:ascii="Arial" w:hAnsi="Arial" w:cs="Arial"/>
              </w:rPr>
            </w:pPr>
            <w:r w:rsidRPr="00934A95">
              <w:rPr>
                <w:rFonts w:ascii="Arial" w:hAnsi="Arial" w:cs="Arial"/>
              </w:rPr>
              <w:t>Rovina Valley</w:t>
            </w:r>
          </w:p>
        </w:tc>
        <w:tc>
          <w:tcPr>
            <w:tcW w:w="3822" w:type="dxa"/>
            <w:hideMark/>
          </w:tcPr>
          <w:p w14:paraId="4E458013" w14:textId="77777777" w:rsidR="00E20666" w:rsidRPr="00934A95" w:rsidRDefault="00E20666" w:rsidP="00A12552">
            <w:pPr>
              <w:spacing w:after="0" w:line="360" w:lineRule="auto"/>
              <w:rPr>
                <w:rFonts w:ascii="Arial" w:hAnsi="Arial" w:cs="Arial"/>
              </w:rPr>
            </w:pPr>
            <w:r w:rsidRPr="00934A95">
              <w:rPr>
                <w:rFonts w:ascii="Arial" w:hAnsi="Arial" w:cs="Arial"/>
              </w:rPr>
              <w:t>Euro Sun Mining project documentation</w:t>
            </w:r>
          </w:p>
        </w:tc>
        <w:tc>
          <w:tcPr>
            <w:tcW w:w="3089" w:type="dxa"/>
            <w:hideMark/>
          </w:tcPr>
          <w:p w14:paraId="5B4F3DC1" w14:textId="77777777" w:rsidR="00E20666" w:rsidRPr="00934A95" w:rsidRDefault="00E20666" w:rsidP="00A12552">
            <w:pPr>
              <w:spacing w:after="0" w:line="360" w:lineRule="auto"/>
              <w:rPr>
                <w:rFonts w:ascii="Arial" w:hAnsi="Arial" w:cs="Arial"/>
              </w:rPr>
            </w:pPr>
            <w:r w:rsidRPr="00934A95">
              <w:rPr>
                <w:rFonts w:ascii="Arial" w:hAnsi="Arial" w:cs="Arial"/>
              </w:rPr>
              <w:t>Planned ESG performance</w:t>
            </w:r>
          </w:p>
        </w:tc>
        <w:tc>
          <w:tcPr>
            <w:tcW w:w="1514" w:type="dxa"/>
            <w:hideMark/>
          </w:tcPr>
          <w:p w14:paraId="0A0101B0" w14:textId="77777777" w:rsidR="00E20666" w:rsidRPr="00934A95" w:rsidRDefault="00E20666" w:rsidP="00A12552">
            <w:pPr>
              <w:spacing w:after="0" w:line="360" w:lineRule="auto"/>
              <w:rPr>
                <w:rFonts w:ascii="Arial" w:hAnsi="Arial" w:cs="Arial"/>
              </w:rPr>
            </w:pPr>
            <w:r w:rsidRPr="00934A95">
              <w:rPr>
                <w:rFonts w:ascii="Arial" w:hAnsi="Arial" w:cs="Arial"/>
              </w:rPr>
              <w:t>Moderate</w:t>
            </w:r>
          </w:p>
        </w:tc>
      </w:tr>
    </w:tbl>
    <w:p w14:paraId="1DC9B71F" w14:textId="77777777" w:rsidR="00E20666" w:rsidRPr="00934A95" w:rsidRDefault="00E20666" w:rsidP="00934A95">
      <w:pPr>
        <w:spacing w:after="0" w:line="360" w:lineRule="auto"/>
        <w:ind w:firstLine="720"/>
        <w:jc w:val="both"/>
        <w:rPr>
          <w:rFonts w:ascii="Arial" w:hAnsi="Arial" w:cs="Arial"/>
          <w:lang w:val="bg-BG"/>
        </w:rPr>
      </w:pPr>
    </w:p>
    <w:p w14:paraId="5E82D90E"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Appendix C: Climate Risk Mapping (TCFD Matrix)</w:t>
      </w:r>
    </w:p>
    <w:p w14:paraId="5CCDE226"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C1. Physical Climate Risks</w:t>
      </w:r>
    </w:p>
    <w:p w14:paraId="6169B381" w14:textId="77777777" w:rsidR="00E20666" w:rsidRPr="00934A95" w:rsidRDefault="00E20666" w:rsidP="00934A95">
      <w:pPr>
        <w:numPr>
          <w:ilvl w:val="0"/>
          <w:numId w:val="102"/>
        </w:numPr>
        <w:spacing w:after="0" w:line="360" w:lineRule="auto"/>
        <w:ind w:left="0" w:firstLine="720"/>
        <w:jc w:val="both"/>
        <w:rPr>
          <w:rFonts w:ascii="Arial" w:hAnsi="Arial" w:cs="Arial"/>
        </w:rPr>
      </w:pPr>
      <w:r w:rsidRPr="00934A95">
        <w:rPr>
          <w:rFonts w:ascii="Arial" w:hAnsi="Arial" w:cs="Arial"/>
        </w:rPr>
        <w:t>Increased rainfall affecting tailings stability</w:t>
      </w:r>
    </w:p>
    <w:p w14:paraId="2F1844B0" w14:textId="77777777" w:rsidR="00E20666" w:rsidRPr="00934A95" w:rsidRDefault="00E20666" w:rsidP="00934A95">
      <w:pPr>
        <w:numPr>
          <w:ilvl w:val="0"/>
          <w:numId w:val="102"/>
        </w:numPr>
        <w:spacing w:after="0" w:line="360" w:lineRule="auto"/>
        <w:ind w:left="0" w:firstLine="720"/>
        <w:jc w:val="both"/>
        <w:rPr>
          <w:rFonts w:ascii="Arial" w:hAnsi="Arial" w:cs="Arial"/>
        </w:rPr>
      </w:pPr>
      <w:r w:rsidRPr="00934A95">
        <w:rPr>
          <w:rFonts w:ascii="Arial" w:hAnsi="Arial" w:cs="Arial"/>
        </w:rPr>
        <w:t>Heatwaves impacting worker health and processing efficiency</w:t>
      </w:r>
    </w:p>
    <w:p w14:paraId="510FF232" w14:textId="77777777" w:rsidR="00E20666" w:rsidRPr="00934A95" w:rsidRDefault="00E20666" w:rsidP="00934A95">
      <w:pPr>
        <w:numPr>
          <w:ilvl w:val="0"/>
          <w:numId w:val="102"/>
        </w:numPr>
        <w:spacing w:after="0" w:line="360" w:lineRule="auto"/>
        <w:ind w:left="0" w:firstLine="720"/>
        <w:jc w:val="both"/>
        <w:rPr>
          <w:rFonts w:ascii="Arial" w:hAnsi="Arial" w:cs="Arial"/>
        </w:rPr>
      </w:pPr>
      <w:r w:rsidRPr="00934A95">
        <w:rPr>
          <w:rFonts w:ascii="Arial" w:hAnsi="Arial" w:cs="Arial"/>
        </w:rPr>
        <w:t>Seasonal water scarcity</w:t>
      </w:r>
    </w:p>
    <w:p w14:paraId="6BCB5555" w14:textId="77777777" w:rsidR="00E20666" w:rsidRPr="00934A95" w:rsidRDefault="00E20666" w:rsidP="00934A95">
      <w:pPr>
        <w:numPr>
          <w:ilvl w:val="0"/>
          <w:numId w:val="102"/>
        </w:numPr>
        <w:spacing w:after="0" w:line="360" w:lineRule="auto"/>
        <w:ind w:left="0" w:firstLine="720"/>
        <w:jc w:val="both"/>
        <w:rPr>
          <w:rFonts w:ascii="Arial" w:hAnsi="Arial" w:cs="Arial"/>
        </w:rPr>
      </w:pPr>
      <w:r w:rsidRPr="00934A95">
        <w:rPr>
          <w:rFonts w:ascii="Arial" w:hAnsi="Arial" w:cs="Arial"/>
        </w:rPr>
        <w:t>Extreme weather events</w:t>
      </w:r>
    </w:p>
    <w:p w14:paraId="729590AB"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C2. Transition Risks</w:t>
      </w:r>
    </w:p>
    <w:p w14:paraId="6EDBD473" w14:textId="77777777" w:rsidR="00E20666" w:rsidRPr="00934A95" w:rsidRDefault="00E20666" w:rsidP="00934A95">
      <w:pPr>
        <w:numPr>
          <w:ilvl w:val="0"/>
          <w:numId w:val="103"/>
        </w:numPr>
        <w:spacing w:after="0" w:line="360" w:lineRule="auto"/>
        <w:ind w:left="0" w:firstLine="720"/>
        <w:jc w:val="both"/>
        <w:rPr>
          <w:rFonts w:ascii="Arial" w:hAnsi="Arial" w:cs="Arial"/>
        </w:rPr>
      </w:pPr>
      <w:r w:rsidRPr="00934A95">
        <w:rPr>
          <w:rFonts w:ascii="Arial" w:hAnsi="Arial" w:cs="Arial"/>
        </w:rPr>
        <w:t>Regulatory tightening (CSRD, ESRS, EU Taxonomy)</w:t>
      </w:r>
    </w:p>
    <w:p w14:paraId="02722203" w14:textId="77777777" w:rsidR="00E20666" w:rsidRPr="00934A95" w:rsidRDefault="00E20666" w:rsidP="00934A95">
      <w:pPr>
        <w:numPr>
          <w:ilvl w:val="0"/>
          <w:numId w:val="103"/>
        </w:numPr>
        <w:spacing w:after="0" w:line="360" w:lineRule="auto"/>
        <w:ind w:left="0" w:firstLine="720"/>
        <w:jc w:val="both"/>
        <w:rPr>
          <w:rFonts w:ascii="Arial" w:hAnsi="Arial" w:cs="Arial"/>
        </w:rPr>
      </w:pPr>
      <w:r w:rsidRPr="00934A95">
        <w:rPr>
          <w:rFonts w:ascii="Arial" w:hAnsi="Arial" w:cs="Arial"/>
        </w:rPr>
        <w:t>Carbon pricing</w:t>
      </w:r>
    </w:p>
    <w:p w14:paraId="6F8F85A8" w14:textId="77777777" w:rsidR="00E20666" w:rsidRPr="00934A95" w:rsidRDefault="00E20666" w:rsidP="00934A95">
      <w:pPr>
        <w:numPr>
          <w:ilvl w:val="0"/>
          <w:numId w:val="103"/>
        </w:numPr>
        <w:spacing w:after="0" w:line="360" w:lineRule="auto"/>
        <w:ind w:left="0" w:firstLine="720"/>
        <w:jc w:val="both"/>
        <w:rPr>
          <w:rFonts w:ascii="Arial" w:hAnsi="Arial" w:cs="Arial"/>
        </w:rPr>
      </w:pPr>
      <w:r w:rsidRPr="00934A95">
        <w:rPr>
          <w:rFonts w:ascii="Arial" w:hAnsi="Arial" w:cs="Arial"/>
        </w:rPr>
        <w:t>Technology shifts</w:t>
      </w:r>
    </w:p>
    <w:p w14:paraId="7007838E" w14:textId="77777777" w:rsidR="00E20666" w:rsidRPr="00934A95" w:rsidRDefault="00E20666" w:rsidP="00934A95">
      <w:pPr>
        <w:numPr>
          <w:ilvl w:val="0"/>
          <w:numId w:val="103"/>
        </w:numPr>
        <w:spacing w:after="0" w:line="360" w:lineRule="auto"/>
        <w:ind w:left="0" w:firstLine="720"/>
        <w:jc w:val="both"/>
        <w:rPr>
          <w:rFonts w:ascii="Arial" w:hAnsi="Arial" w:cs="Arial"/>
        </w:rPr>
      </w:pPr>
      <w:r w:rsidRPr="00934A95">
        <w:rPr>
          <w:rFonts w:ascii="Arial" w:hAnsi="Arial" w:cs="Arial"/>
        </w:rPr>
        <w:t>Stakeholder expectations</w:t>
      </w:r>
    </w:p>
    <w:p w14:paraId="6B4EC35D"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C3. Company Readiness Overview</w:t>
      </w:r>
    </w:p>
    <w:tbl>
      <w:tblPr>
        <w:tblW w:w="967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5"/>
        <w:gridCol w:w="3528"/>
        <w:gridCol w:w="4161"/>
      </w:tblGrid>
      <w:tr w:rsidR="00E20666" w:rsidRPr="00934A95" w14:paraId="1D3A48A8" w14:textId="77777777" w:rsidTr="00A12552">
        <w:trPr>
          <w:tblHeader/>
          <w:tblCellSpacing w:w="15" w:type="dxa"/>
        </w:trPr>
        <w:tc>
          <w:tcPr>
            <w:tcW w:w="1940" w:type="dxa"/>
            <w:vAlign w:val="center"/>
            <w:hideMark/>
          </w:tcPr>
          <w:p w14:paraId="47A9AC76" w14:textId="77777777" w:rsidR="00E20666" w:rsidRPr="00934A95" w:rsidRDefault="00E20666" w:rsidP="00A12552">
            <w:pPr>
              <w:spacing w:after="0" w:line="360" w:lineRule="auto"/>
              <w:jc w:val="both"/>
              <w:rPr>
                <w:rFonts w:ascii="Arial" w:hAnsi="Arial" w:cs="Arial"/>
                <w:b/>
                <w:bCs/>
              </w:rPr>
            </w:pPr>
            <w:r w:rsidRPr="00934A95">
              <w:rPr>
                <w:rFonts w:ascii="Arial" w:hAnsi="Arial" w:cs="Arial"/>
                <w:b/>
                <w:bCs/>
              </w:rPr>
              <w:lastRenderedPageBreak/>
              <w:t>Company</w:t>
            </w:r>
          </w:p>
        </w:tc>
        <w:tc>
          <w:tcPr>
            <w:tcW w:w="3498" w:type="dxa"/>
            <w:vAlign w:val="center"/>
            <w:hideMark/>
          </w:tcPr>
          <w:p w14:paraId="534A1770" w14:textId="77777777" w:rsidR="00E20666" w:rsidRPr="00934A95" w:rsidRDefault="00E20666" w:rsidP="00A12552">
            <w:pPr>
              <w:spacing w:after="0" w:line="360" w:lineRule="auto"/>
              <w:jc w:val="both"/>
              <w:rPr>
                <w:rFonts w:ascii="Arial" w:hAnsi="Arial" w:cs="Arial"/>
                <w:b/>
                <w:bCs/>
              </w:rPr>
            </w:pPr>
            <w:r w:rsidRPr="00934A95">
              <w:rPr>
                <w:rFonts w:ascii="Arial" w:hAnsi="Arial" w:cs="Arial"/>
                <w:b/>
                <w:bCs/>
              </w:rPr>
              <w:t>Physical Risk Preparedness</w:t>
            </w:r>
          </w:p>
        </w:tc>
        <w:tc>
          <w:tcPr>
            <w:tcW w:w="4116" w:type="dxa"/>
            <w:vAlign w:val="center"/>
            <w:hideMark/>
          </w:tcPr>
          <w:p w14:paraId="5C720518" w14:textId="77777777" w:rsidR="00E20666" w:rsidRPr="00934A95" w:rsidRDefault="00E20666" w:rsidP="00A12552">
            <w:pPr>
              <w:spacing w:after="0" w:line="360" w:lineRule="auto"/>
              <w:jc w:val="both"/>
              <w:rPr>
                <w:rFonts w:ascii="Arial" w:hAnsi="Arial" w:cs="Arial"/>
                <w:b/>
                <w:bCs/>
              </w:rPr>
            </w:pPr>
            <w:r w:rsidRPr="00934A95">
              <w:rPr>
                <w:rFonts w:ascii="Arial" w:hAnsi="Arial" w:cs="Arial"/>
                <w:b/>
                <w:bCs/>
              </w:rPr>
              <w:t>Transition Risk Preparedness</w:t>
            </w:r>
          </w:p>
        </w:tc>
      </w:tr>
      <w:tr w:rsidR="00E20666" w:rsidRPr="00934A95" w14:paraId="522D3489" w14:textId="77777777" w:rsidTr="00A12552">
        <w:trPr>
          <w:tblCellSpacing w:w="15" w:type="dxa"/>
        </w:trPr>
        <w:tc>
          <w:tcPr>
            <w:tcW w:w="1940" w:type="dxa"/>
            <w:vAlign w:val="center"/>
            <w:hideMark/>
          </w:tcPr>
          <w:p w14:paraId="60020DD3"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Ellatzite</w:t>
            </w:r>
            <w:proofErr w:type="spellEnd"/>
          </w:p>
        </w:tc>
        <w:tc>
          <w:tcPr>
            <w:tcW w:w="3498" w:type="dxa"/>
            <w:vAlign w:val="center"/>
            <w:hideMark/>
          </w:tcPr>
          <w:p w14:paraId="49D94BB7" w14:textId="77777777" w:rsidR="00E20666" w:rsidRPr="00934A95" w:rsidRDefault="00E20666" w:rsidP="00A12552">
            <w:pPr>
              <w:spacing w:after="0" w:line="360" w:lineRule="auto"/>
              <w:jc w:val="both"/>
              <w:rPr>
                <w:rFonts w:ascii="Arial" w:hAnsi="Arial" w:cs="Arial"/>
              </w:rPr>
            </w:pPr>
            <w:r w:rsidRPr="00934A95">
              <w:rPr>
                <w:rFonts w:ascii="Arial" w:hAnsi="Arial" w:cs="Arial"/>
              </w:rPr>
              <w:t>Strong</w:t>
            </w:r>
          </w:p>
        </w:tc>
        <w:tc>
          <w:tcPr>
            <w:tcW w:w="4116" w:type="dxa"/>
            <w:vAlign w:val="center"/>
            <w:hideMark/>
          </w:tcPr>
          <w:p w14:paraId="303A932F" w14:textId="77777777" w:rsidR="00E20666" w:rsidRPr="00934A95" w:rsidRDefault="00E20666" w:rsidP="00A12552">
            <w:pPr>
              <w:spacing w:after="0" w:line="360" w:lineRule="auto"/>
              <w:jc w:val="both"/>
              <w:rPr>
                <w:rFonts w:ascii="Arial" w:hAnsi="Arial" w:cs="Arial"/>
              </w:rPr>
            </w:pPr>
            <w:r w:rsidRPr="00934A95">
              <w:rPr>
                <w:rFonts w:ascii="Arial" w:hAnsi="Arial" w:cs="Arial"/>
              </w:rPr>
              <w:t>Strong</w:t>
            </w:r>
          </w:p>
        </w:tc>
      </w:tr>
      <w:tr w:rsidR="00E20666" w:rsidRPr="00934A95" w14:paraId="3F13F39C" w14:textId="77777777" w:rsidTr="00A12552">
        <w:trPr>
          <w:tblCellSpacing w:w="15" w:type="dxa"/>
        </w:trPr>
        <w:tc>
          <w:tcPr>
            <w:tcW w:w="1940" w:type="dxa"/>
            <w:vAlign w:val="center"/>
            <w:hideMark/>
          </w:tcPr>
          <w:p w14:paraId="2B454A08" w14:textId="77777777" w:rsidR="00E20666" w:rsidRPr="00934A95" w:rsidRDefault="00E20666" w:rsidP="00A12552">
            <w:pPr>
              <w:spacing w:after="0" w:line="360" w:lineRule="auto"/>
              <w:jc w:val="both"/>
              <w:rPr>
                <w:rFonts w:ascii="Arial" w:hAnsi="Arial" w:cs="Arial"/>
              </w:rPr>
            </w:pPr>
            <w:r w:rsidRPr="00934A95">
              <w:rPr>
                <w:rFonts w:ascii="Arial" w:hAnsi="Arial" w:cs="Arial"/>
              </w:rPr>
              <w:t>Dundee</w:t>
            </w:r>
          </w:p>
        </w:tc>
        <w:tc>
          <w:tcPr>
            <w:tcW w:w="3498" w:type="dxa"/>
            <w:vAlign w:val="center"/>
            <w:hideMark/>
          </w:tcPr>
          <w:p w14:paraId="1C35DBB7" w14:textId="77777777" w:rsidR="00E20666" w:rsidRPr="00934A95" w:rsidRDefault="00E20666" w:rsidP="00A12552">
            <w:pPr>
              <w:spacing w:after="0" w:line="360" w:lineRule="auto"/>
              <w:jc w:val="both"/>
              <w:rPr>
                <w:rFonts w:ascii="Arial" w:hAnsi="Arial" w:cs="Arial"/>
              </w:rPr>
            </w:pPr>
            <w:r w:rsidRPr="00934A95">
              <w:rPr>
                <w:rFonts w:ascii="Arial" w:hAnsi="Arial" w:cs="Arial"/>
              </w:rPr>
              <w:t>Strong</w:t>
            </w:r>
          </w:p>
        </w:tc>
        <w:tc>
          <w:tcPr>
            <w:tcW w:w="4116" w:type="dxa"/>
            <w:vAlign w:val="center"/>
            <w:hideMark/>
          </w:tcPr>
          <w:p w14:paraId="593AC7E8" w14:textId="77777777" w:rsidR="00E20666" w:rsidRPr="00934A95" w:rsidRDefault="00E20666" w:rsidP="00A12552">
            <w:pPr>
              <w:spacing w:after="0" w:line="360" w:lineRule="auto"/>
              <w:jc w:val="both"/>
              <w:rPr>
                <w:rFonts w:ascii="Arial" w:hAnsi="Arial" w:cs="Arial"/>
              </w:rPr>
            </w:pPr>
            <w:r w:rsidRPr="00934A95">
              <w:rPr>
                <w:rFonts w:ascii="Arial" w:hAnsi="Arial" w:cs="Arial"/>
              </w:rPr>
              <w:t>Strong</w:t>
            </w:r>
          </w:p>
        </w:tc>
      </w:tr>
      <w:tr w:rsidR="00E20666" w:rsidRPr="00934A95" w14:paraId="5DB9C189" w14:textId="77777777" w:rsidTr="00A12552">
        <w:trPr>
          <w:tblCellSpacing w:w="15" w:type="dxa"/>
        </w:trPr>
        <w:tc>
          <w:tcPr>
            <w:tcW w:w="1940" w:type="dxa"/>
            <w:vAlign w:val="center"/>
            <w:hideMark/>
          </w:tcPr>
          <w:p w14:paraId="7B7589D3"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Assarel</w:t>
            </w:r>
            <w:proofErr w:type="spellEnd"/>
            <w:r w:rsidRPr="00934A95">
              <w:rPr>
                <w:rFonts w:ascii="Arial" w:hAnsi="Arial" w:cs="Arial"/>
              </w:rPr>
              <w:t>-Medet</w:t>
            </w:r>
          </w:p>
        </w:tc>
        <w:tc>
          <w:tcPr>
            <w:tcW w:w="3498" w:type="dxa"/>
            <w:vAlign w:val="center"/>
            <w:hideMark/>
          </w:tcPr>
          <w:p w14:paraId="673561E8" w14:textId="77777777" w:rsidR="00E20666" w:rsidRPr="00934A95" w:rsidRDefault="00E20666" w:rsidP="00A12552">
            <w:pPr>
              <w:spacing w:after="0" w:line="360" w:lineRule="auto"/>
              <w:jc w:val="both"/>
              <w:rPr>
                <w:rFonts w:ascii="Arial" w:hAnsi="Arial" w:cs="Arial"/>
              </w:rPr>
            </w:pPr>
            <w:r w:rsidRPr="00934A95">
              <w:rPr>
                <w:rFonts w:ascii="Arial" w:hAnsi="Arial" w:cs="Arial"/>
              </w:rPr>
              <w:t>Moderate</w:t>
            </w:r>
          </w:p>
        </w:tc>
        <w:tc>
          <w:tcPr>
            <w:tcW w:w="4116" w:type="dxa"/>
            <w:vAlign w:val="center"/>
            <w:hideMark/>
          </w:tcPr>
          <w:p w14:paraId="05F9DDAC" w14:textId="77777777" w:rsidR="00E20666" w:rsidRPr="00934A95" w:rsidRDefault="00E20666" w:rsidP="00A12552">
            <w:pPr>
              <w:spacing w:after="0" w:line="360" w:lineRule="auto"/>
              <w:jc w:val="both"/>
              <w:rPr>
                <w:rFonts w:ascii="Arial" w:hAnsi="Arial" w:cs="Arial"/>
              </w:rPr>
            </w:pPr>
            <w:r w:rsidRPr="00934A95">
              <w:rPr>
                <w:rFonts w:ascii="Arial" w:hAnsi="Arial" w:cs="Arial"/>
              </w:rPr>
              <w:t>Moderate</w:t>
            </w:r>
          </w:p>
        </w:tc>
      </w:tr>
      <w:tr w:rsidR="00E20666" w:rsidRPr="00934A95" w14:paraId="4E3D7786" w14:textId="77777777" w:rsidTr="00A12552">
        <w:trPr>
          <w:tblCellSpacing w:w="15" w:type="dxa"/>
        </w:trPr>
        <w:tc>
          <w:tcPr>
            <w:tcW w:w="1940" w:type="dxa"/>
            <w:vAlign w:val="center"/>
            <w:hideMark/>
          </w:tcPr>
          <w:p w14:paraId="3A428B7F" w14:textId="77777777" w:rsidR="00E20666" w:rsidRPr="00934A95" w:rsidRDefault="00E20666" w:rsidP="00A12552">
            <w:pPr>
              <w:spacing w:after="0" w:line="360" w:lineRule="auto"/>
              <w:jc w:val="both"/>
              <w:rPr>
                <w:rFonts w:ascii="Arial" w:hAnsi="Arial" w:cs="Arial"/>
              </w:rPr>
            </w:pPr>
            <w:r w:rsidRPr="00934A95">
              <w:rPr>
                <w:rFonts w:ascii="Arial" w:hAnsi="Arial" w:cs="Arial"/>
              </w:rPr>
              <w:t xml:space="preserve">Zijin </w:t>
            </w:r>
            <w:proofErr w:type="spellStart"/>
            <w:r w:rsidRPr="00934A95">
              <w:rPr>
                <w:rFonts w:ascii="Arial" w:hAnsi="Arial" w:cs="Arial"/>
              </w:rPr>
              <w:t>Bor</w:t>
            </w:r>
            <w:proofErr w:type="spellEnd"/>
          </w:p>
        </w:tc>
        <w:tc>
          <w:tcPr>
            <w:tcW w:w="3498" w:type="dxa"/>
            <w:vAlign w:val="center"/>
            <w:hideMark/>
          </w:tcPr>
          <w:p w14:paraId="25EE621A" w14:textId="77777777" w:rsidR="00E20666" w:rsidRPr="00934A95" w:rsidRDefault="00E20666" w:rsidP="00A12552">
            <w:pPr>
              <w:spacing w:after="0" w:line="360" w:lineRule="auto"/>
              <w:jc w:val="both"/>
              <w:rPr>
                <w:rFonts w:ascii="Arial" w:hAnsi="Arial" w:cs="Arial"/>
              </w:rPr>
            </w:pPr>
            <w:r w:rsidRPr="00934A95">
              <w:rPr>
                <w:rFonts w:ascii="Arial" w:hAnsi="Arial" w:cs="Arial"/>
              </w:rPr>
              <w:t>Moderate</w:t>
            </w:r>
          </w:p>
        </w:tc>
        <w:tc>
          <w:tcPr>
            <w:tcW w:w="4116" w:type="dxa"/>
            <w:vAlign w:val="center"/>
            <w:hideMark/>
          </w:tcPr>
          <w:p w14:paraId="4536468D" w14:textId="77777777" w:rsidR="00E20666" w:rsidRPr="00934A95" w:rsidRDefault="00E20666" w:rsidP="00A12552">
            <w:pPr>
              <w:spacing w:after="0" w:line="360" w:lineRule="auto"/>
              <w:jc w:val="both"/>
              <w:rPr>
                <w:rFonts w:ascii="Arial" w:hAnsi="Arial" w:cs="Arial"/>
              </w:rPr>
            </w:pPr>
            <w:r w:rsidRPr="00934A95">
              <w:rPr>
                <w:rFonts w:ascii="Arial" w:hAnsi="Arial" w:cs="Arial"/>
              </w:rPr>
              <w:t>Limited</w:t>
            </w:r>
          </w:p>
        </w:tc>
      </w:tr>
      <w:tr w:rsidR="00E20666" w:rsidRPr="00934A95" w14:paraId="5EFEE30D" w14:textId="77777777" w:rsidTr="00A12552">
        <w:trPr>
          <w:tblCellSpacing w:w="15" w:type="dxa"/>
        </w:trPr>
        <w:tc>
          <w:tcPr>
            <w:tcW w:w="1940" w:type="dxa"/>
            <w:vAlign w:val="center"/>
            <w:hideMark/>
          </w:tcPr>
          <w:p w14:paraId="271F2387"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Skouries</w:t>
            </w:r>
            <w:proofErr w:type="spellEnd"/>
          </w:p>
        </w:tc>
        <w:tc>
          <w:tcPr>
            <w:tcW w:w="3498" w:type="dxa"/>
            <w:vAlign w:val="center"/>
            <w:hideMark/>
          </w:tcPr>
          <w:p w14:paraId="70A2AF55" w14:textId="77777777" w:rsidR="00E20666" w:rsidRPr="00934A95" w:rsidRDefault="00E20666" w:rsidP="00A12552">
            <w:pPr>
              <w:spacing w:after="0" w:line="360" w:lineRule="auto"/>
              <w:jc w:val="both"/>
              <w:rPr>
                <w:rFonts w:ascii="Arial" w:hAnsi="Arial" w:cs="Arial"/>
              </w:rPr>
            </w:pPr>
            <w:r w:rsidRPr="00934A95">
              <w:rPr>
                <w:rFonts w:ascii="Arial" w:hAnsi="Arial" w:cs="Arial"/>
              </w:rPr>
              <w:t>Planned</w:t>
            </w:r>
          </w:p>
        </w:tc>
        <w:tc>
          <w:tcPr>
            <w:tcW w:w="4116" w:type="dxa"/>
            <w:vAlign w:val="center"/>
            <w:hideMark/>
          </w:tcPr>
          <w:p w14:paraId="2C2D400C" w14:textId="77777777" w:rsidR="00E20666" w:rsidRPr="00934A95" w:rsidRDefault="00E20666" w:rsidP="00A12552">
            <w:pPr>
              <w:spacing w:after="0" w:line="360" w:lineRule="auto"/>
              <w:jc w:val="both"/>
              <w:rPr>
                <w:rFonts w:ascii="Arial" w:hAnsi="Arial" w:cs="Arial"/>
              </w:rPr>
            </w:pPr>
            <w:r w:rsidRPr="00934A95">
              <w:rPr>
                <w:rFonts w:ascii="Arial" w:hAnsi="Arial" w:cs="Arial"/>
              </w:rPr>
              <w:t>Planned</w:t>
            </w:r>
          </w:p>
        </w:tc>
      </w:tr>
      <w:tr w:rsidR="00E20666" w:rsidRPr="00934A95" w14:paraId="4E8C4DB5" w14:textId="77777777" w:rsidTr="00A12552">
        <w:trPr>
          <w:tblCellSpacing w:w="15" w:type="dxa"/>
        </w:trPr>
        <w:tc>
          <w:tcPr>
            <w:tcW w:w="1940" w:type="dxa"/>
            <w:vAlign w:val="center"/>
            <w:hideMark/>
          </w:tcPr>
          <w:p w14:paraId="735949A1" w14:textId="77777777" w:rsidR="00E20666" w:rsidRPr="00934A95" w:rsidRDefault="00E20666" w:rsidP="00A12552">
            <w:pPr>
              <w:spacing w:after="0" w:line="360" w:lineRule="auto"/>
              <w:jc w:val="both"/>
              <w:rPr>
                <w:rFonts w:ascii="Arial" w:hAnsi="Arial" w:cs="Arial"/>
              </w:rPr>
            </w:pPr>
            <w:r w:rsidRPr="00934A95">
              <w:rPr>
                <w:rFonts w:ascii="Arial" w:hAnsi="Arial" w:cs="Arial"/>
              </w:rPr>
              <w:t>Rovina Valley</w:t>
            </w:r>
          </w:p>
        </w:tc>
        <w:tc>
          <w:tcPr>
            <w:tcW w:w="3498" w:type="dxa"/>
            <w:vAlign w:val="center"/>
            <w:hideMark/>
          </w:tcPr>
          <w:p w14:paraId="436A9282" w14:textId="77777777" w:rsidR="00E20666" w:rsidRPr="00934A95" w:rsidRDefault="00E20666" w:rsidP="00A12552">
            <w:pPr>
              <w:spacing w:after="0" w:line="360" w:lineRule="auto"/>
              <w:jc w:val="both"/>
              <w:rPr>
                <w:rFonts w:ascii="Arial" w:hAnsi="Arial" w:cs="Arial"/>
              </w:rPr>
            </w:pPr>
            <w:r w:rsidRPr="00934A95">
              <w:rPr>
                <w:rFonts w:ascii="Arial" w:hAnsi="Arial" w:cs="Arial"/>
              </w:rPr>
              <w:t>Planned</w:t>
            </w:r>
          </w:p>
        </w:tc>
        <w:tc>
          <w:tcPr>
            <w:tcW w:w="4116" w:type="dxa"/>
            <w:vAlign w:val="center"/>
            <w:hideMark/>
          </w:tcPr>
          <w:p w14:paraId="6A836A27" w14:textId="77777777" w:rsidR="00E20666" w:rsidRPr="00934A95" w:rsidRDefault="00E20666" w:rsidP="00A12552">
            <w:pPr>
              <w:spacing w:after="0" w:line="360" w:lineRule="auto"/>
              <w:jc w:val="both"/>
              <w:rPr>
                <w:rFonts w:ascii="Arial" w:hAnsi="Arial" w:cs="Arial"/>
              </w:rPr>
            </w:pPr>
            <w:r w:rsidRPr="00934A95">
              <w:rPr>
                <w:rFonts w:ascii="Arial" w:hAnsi="Arial" w:cs="Arial"/>
              </w:rPr>
              <w:t>Planned</w:t>
            </w:r>
          </w:p>
        </w:tc>
      </w:tr>
    </w:tbl>
    <w:p w14:paraId="778DF609" w14:textId="77777777" w:rsidR="00E20666" w:rsidRPr="00934A95" w:rsidRDefault="00E20666" w:rsidP="00934A95">
      <w:pPr>
        <w:spacing w:after="0" w:line="360" w:lineRule="auto"/>
        <w:ind w:firstLine="720"/>
        <w:jc w:val="both"/>
        <w:rPr>
          <w:rFonts w:ascii="Arial" w:hAnsi="Arial" w:cs="Arial"/>
          <w:lang w:val="bg-BG"/>
        </w:rPr>
      </w:pPr>
    </w:p>
    <w:p w14:paraId="1C24BCF2"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Appendix D: Summary of Relevant EU Regulations</w:t>
      </w:r>
    </w:p>
    <w:p w14:paraId="48714530"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D1. CSRD (Corporate Sustainability Reporting Directive)</w:t>
      </w:r>
    </w:p>
    <w:p w14:paraId="3C7821E6" w14:textId="77777777" w:rsidR="00E20666" w:rsidRPr="00934A95" w:rsidRDefault="00E20666" w:rsidP="00934A95">
      <w:pPr>
        <w:numPr>
          <w:ilvl w:val="0"/>
          <w:numId w:val="104"/>
        </w:numPr>
        <w:spacing w:after="0" w:line="360" w:lineRule="auto"/>
        <w:ind w:left="0" w:firstLine="720"/>
        <w:jc w:val="both"/>
        <w:rPr>
          <w:rFonts w:ascii="Arial" w:hAnsi="Arial" w:cs="Arial"/>
        </w:rPr>
      </w:pPr>
      <w:r w:rsidRPr="00934A95">
        <w:rPr>
          <w:rFonts w:ascii="Arial" w:hAnsi="Arial" w:cs="Arial"/>
        </w:rPr>
        <w:t>Mandatory sustainability reporting</w:t>
      </w:r>
    </w:p>
    <w:p w14:paraId="67B937C3" w14:textId="77777777" w:rsidR="00E20666" w:rsidRPr="00934A95" w:rsidRDefault="00E20666" w:rsidP="00934A95">
      <w:pPr>
        <w:numPr>
          <w:ilvl w:val="0"/>
          <w:numId w:val="104"/>
        </w:numPr>
        <w:spacing w:after="0" w:line="360" w:lineRule="auto"/>
        <w:ind w:left="0" w:firstLine="720"/>
        <w:jc w:val="both"/>
        <w:rPr>
          <w:rFonts w:ascii="Arial" w:hAnsi="Arial" w:cs="Arial"/>
        </w:rPr>
      </w:pPr>
      <w:r w:rsidRPr="00934A95">
        <w:rPr>
          <w:rFonts w:ascii="Arial" w:hAnsi="Arial" w:cs="Arial"/>
        </w:rPr>
        <w:t>Double materiality</w:t>
      </w:r>
    </w:p>
    <w:p w14:paraId="479D316B" w14:textId="77777777" w:rsidR="00E20666" w:rsidRPr="00934A95" w:rsidRDefault="00E20666" w:rsidP="00934A95">
      <w:pPr>
        <w:numPr>
          <w:ilvl w:val="0"/>
          <w:numId w:val="104"/>
        </w:numPr>
        <w:spacing w:after="0" w:line="360" w:lineRule="auto"/>
        <w:ind w:left="0" w:firstLine="720"/>
        <w:jc w:val="both"/>
        <w:rPr>
          <w:rFonts w:ascii="Arial" w:hAnsi="Arial" w:cs="Arial"/>
        </w:rPr>
      </w:pPr>
      <w:r w:rsidRPr="00934A95">
        <w:rPr>
          <w:rFonts w:ascii="Arial" w:hAnsi="Arial" w:cs="Arial"/>
        </w:rPr>
        <w:t>Digital tagging of sustainability data</w:t>
      </w:r>
    </w:p>
    <w:p w14:paraId="747DC031" w14:textId="77777777" w:rsidR="00E20666" w:rsidRPr="00934A95" w:rsidRDefault="00E20666" w:rsidP="00934A95">
      <w:pPr>
        <w:numPr>
          <w:ilvl w:val="0"/>
          <w:numId w:val="104"/>
        </w:numPr>
        <w:spacing w:after="0" w:line="360" w:lineRule="auto"/>
        <w:ind w:left="0" w:firstLine="720"/>
        <w:jc w:val="both"/>
        <w:rPr>
          <w:rFonts w:ascii="Arial" w:hAnsi="Arial" w:cs="Arial"/>
        </w:rPr>
      </w:pPr>
      <w:r w:rsidRPr="00934A95">
        <w:rPr>
          <w:rFonts w:ascii="Arial" w:hAnsi="Arial" w:cs="Arial"/>
        </w:rPr>
        <w:t>Expanded scope across Europe</w:t>
      </w:r>
    </w:p>
    <w:p w14:paraId="17430E57"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D2. ESRS (European Sustainability Reporting Standards)</w:t>
      </w:r>
    </w:p>
    <w:p w14:paraId="0289E0DF"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Key thematic areas:</w:t>
      </w:r>
    </w:p>
    <w:p w14:paraId="7E848680" w14:textId="77777777" w:rsidR="00E20666" w:rsidRPr="00934A95" w:rsidRDefault="00E20666" w:rsidP="00934A95">
      <w:pPr>
        <w:numPr>
          <w:ilvl w:val="0"/>
          <w:numId w:val="105"/>
        </w:numPr>
        <w:spacing w:after="0" w:line="360" w:lineRule="auto"/>
        <w:ind w:left="0" w:firstLine="720"/>
        <w:jc w:val="both"/>
        <w:rPr>
          <w:rFonts w:ascii="Arial" w:hAnsi="Arial" w:cs="Arial"/>
        </w:rPr>
      </w:pPr>
      <w:r w:rsidRPr="00934A95">
        <w:rPr>
          <w:rFonts w:ascii="Arial" w:hAnsi="Arial" w:cs="Arial"/>
        </w:rPr>
        <w:t>Climate</w:t>
      </w:r>
    </w:p>
    <w:p w14:paraId="3D28E53F" w14:textId="77777777" w:rsidR="00E20666" w:rsidRPr="00934A95" w:rsidRDefault="00E20666" w:rsidP="00934A95">
      <w:pPr>
        <w:numPr>
          <w:ilvl w:val="0"/>
          <w:numId w:val="105"/>
        </w:numPr>
        <w:spacing w:after="0" w:line="360" w:lineRule="auto"/>
        <w:ind w:left="0" w:firstLine="720"/>
        <w:jc w:val="both"/>
        <w:rPr>
          <w:rFonts w:ascii="Arial" w:hAnsi="Arial" w:cs="Arial"/>
        </w:rPr>
      </w:pPr>
      <w:r w:rsidRPr="00934A95">
        <w:rPr>
          <w:rFonts w:ascii="Arial" w:hAnsi="Arial" w:cs="Arial"/>
        </w:rPr>
        <w:t>Pollution</w:t>
      </w:r>
    </w:p>
    <w:p w14:paraId="64EF7F52" w14:textId="77777777" w:rsidR="00E20666" w:rsidRPr="00934A95" w:rsidRDefault="00E20666" w:rsidP="00934A95">
      <w:pPr>
        <w:numPr>
          <w:ilvl w:val="0"/>
          <w:numId w:val="105"/>
        </w:numPr>
        <w:spacing w:after="0" w:line="360" w:lineRule="auto"/>
        <w:ind w:left="0" w:firstLine="720"/>
        <w:jc w:val="both"/>
        <w:rPr>
          <w:rFonts w:ascii="Arial" w:hAnsi="Arial" w:cs="Arial"/>
        </w:rPr>
      </w:pPr>
      <w:r w:rsidRPr="00934A95">
        <w:rPr>
          <w:rFonts w:ascii="Arial" w:hAnsi="Arial" w:cs="Arial"/>
        </w:rPr>
        <w:t>Water</w:t>
      </w:r>
    </w:p>
    <w:p w14:paraId="52F45A09" w14:textId="77777777" w:rsidR="00E20666" w:rsidRPr="00934A95" w:rsidRDefault="00E20666" w:rsidP="00934A95">
      <w:pPr>
        <w:numPr>
          <w:ilvl w:val="0"/>
          <w:numId w:val="105"/>
        </w:numPr>
        <w:spacing w:after="0" w:line="360" w:lineRule="auto"/>
        <w:ind w:left="0" w:firstLine="720"/>
        <w:jc w:val="both"/>
        <w:rPr>
          <w:rFonts w:ascii="Arial" w:hAnsi="Arial" w:cs="Arial"/>
        </w:rPr>
      </w:pPr>
      <w:r w:rsidRPr="00934A95">
        <w:rPr>
          <w:rFonts w:ascii="Arial" w:hAnsi="Arial" w:cs="Arial"/>
        </w:rPr>
        <w:t>Circular economy</w:t>
      </w:r>
    </w:p>
    <w:p w14:paraId="032EDEAB" w14:textId="77777777" w:rsidR="00E20666" w:rsidRPr="00934A95" w:rsidRDefault="00E20666" w:rsidP="00934A95">
      <w:pPr>
        <w:numPr>
          <w:ilvl w:val="0"/>
          <w:numId w:val="105"/>
        </w:numPr>
        <w:spacing w:after="0" w:line="360" w:lineRule="auto"/>
        <w:ind w:left="0" w:firstLine="720"/>
        <w:jc w:val="both"/>
        <w:rPr>
          <w:rFonts w:ascii="Arial" w:hAnsi="Arial" w:cs="Arial"/>
        </w:rPr>
      </w:pPr>
      <w:r w:rsidRPr="00934A95">
        <w:rPr>
          <w:rFonts w:ascii="Arial" w:hAnsi="Arial" w:cs="Arial"/>
        </w:rPr>
        <w:t>Workforce</w:t>
      </w:r>
    </w:p>
    <w:p w14:paraId="3820FFF7" w14:textId="77777777" w:rsidR="00E20666" w:rsidRPr="00934A95" w:rsidRDefault="00E20666" w:rsidP="00934A95">
      <w:pPr>
        <w:numPr>
          <w:ilvl w:val="0"/>
          <w:numId w:val="105"/>
        </w:numPr>
        <w:spacing w:after="0" w:line="360" w:lineRule="auto"/>
        <w:ind w:left="0" w:firstLine="720"/>
        <w:jc w:val="both"/>
        <w:rPr>
          <w:rFonts w:ascii="Arial" w:hAnsi="Arial" w:cs="Arial"/>
        </w:rPr>
      </w:pPr>
      <w:r w:rsidRPr="00934A95">
        <w:rPr>
          <w:rFonts w:ascii="Arial" w:hAnsi="Arial" w:cs="Arial"/>
        </w:rPr>
        <w:t>Governance</w:t>
      </w:r>
    </w:p>
    <w:p w14:paraId="65088943"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D3. EU Taxonomy Regulation</w:t>
      </w:r>
    </w:p>
    <w:p w14:paraId="1386BAB7"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Defines environmentally sustainable economic activities under:</w:t>
      </w:r>
    </w:p>
    <w:p w14:paraId="32B5BD1F" w14:textId="77777777" w:rsidR="00E20666" w:rsidRPr="00934A95" w:rsidRDefault="00E20666" w:rsidP="00934A95">
      <w:pPr>
        <w:numPr>
          <w:ilvl w:val="0"/>
          <w:numId w:val="106"/>
        </w:numPr>
        <w:spacing w:after="0" w:line="360" w:lineRule="auto"/>
        <w:ind w:left="0" w:firstLine="720"/>
        <w:jc w:val="both"/>
        <w:rPr>
          <w:rFonts w:ascii="Arial" w:hAnsi="Arial" w:cs="Arial"/>
        </w:rPr>
      </w:pPr>
      <w:r w:rsidRPr="00934A95">
        <w:rPr>
          <w:rFonts w:ascii="Arial" w:hAnsi="Arial" w:cs="Arial"/>
        </w:rPr>
        <w:t>Climate mitigation</w:t>
      </w:r>
    </w:p>
    <w:p w14:paraId="01252269" w14:textId="77777777" w:rsidR="00E20666" w:rsidRPr="00934A95" w:rsidRDefault="00E20666" w:rsidP="00934A95">
      <w:pPr>
        <w:numPr>
          <w:ilvl w:val="0"/>
          <w:numId w:val="106"/>
        </w:numPr>
        <w:spacing w:after="0" w:line="360" w:lineRule="auto"/>
        <w:ind w:left="0" w:firstLine="720"/>
        <w:jc w:val="both"/>
        <w:rPr>
          <w:rFonts w:ascii="Arial" w:hAnsi="Arial" w:cs="Arial"/>
        </w:rPr>
      </w:pPr>
      <w:r w:rsidRPr="00934A95">
        <w:rPr>
          <w:rFonts w:ascii="Arial" w:hAnsi="Arial" w:cs="Arial"/>
        </w:rPr>
        <w:t>Climate adaptation</w:t>
      </w:r>
    </w:p>
    <w:p w14:paraId="08A5C8F3" w14:textId="77777777" w:rsidR="00E20666" w:rsidRPr="00934A95" w:rsidRDefault="00E20666" w:rsidP="00934A95">
      <w:pPr>
        <w:numPr>
          <w:ilvl w:val="0"/>
          <w:numId w:val="106"/>
        </w:numPr>
        <w:spacing w:after="0" w:line="360" w:lineRule="auto"/>
        <w:ind w:left="0" w:firstLine="720"/>
        <w:jc w:val="both"/>
        <w:rPr>
          <w:rFonts w:ascii="Arial" w:hAnsi="Arial" w:cs="Arial"/>
        </w:rPr>
      </w:pPr>
      <w:r w:rsidRPr="00934A95">
        <w:rPr>
          <w:rFonts w:ascii="Arial" w:hAnsi="Arial" w:cs="Arial"/>
        </w:rPr>
        <w:t>Water and circularity criteria</w:t>
      </w:r>
    </w:p>
    <w:p w14:paraId="5B1ACB99" w14:textId="77777777" w:rsidR="00E20666" w:rsidRPr="00934A95" w:rsidRDefault="00E20666" w:rsidP="00934A95">
      <w:pPr>
        <w:numPr>
          <w:ilvl w:val="0"/>
          <w:numId w:val="106"/>
        </w:numPr>
        <w:spacing w:after="0" w:line="360" w:lineRule="auto"/>
        <w:ind w:left="0" w:firstLine="720"/>
        <w:jc w:val="both"/>
        <w:rPr>
          <w:rFonts w:ascii="Arial" w:hAnsi="Arial" w:cs="Arial"/>
        </w:rPr>
      </w:pPr>
      <w:r w:rsidRPr="00934A95">
        <w:rPr>
          <w:rFonts w:ascii="Arial" w:hAnsi="Arial" w:cs="Arial"/>
        </w:rPr>
        <w:t>Pollution and biodiversity standards</w:t>
      </w:r>
    </w:p>
    <w:p w14:paraId="2E019033" w14:textId="77777777" w:rsidR="00E20666" w:rsidRPr="00934A95" w:rsidRDefault="00E20666" w:rsidP="00934A95">
      <w:pPr>
        <w:spacing w:after="0" w:line="360" w:lineRule="auto"/>
        <w:ind w:firstLine="720"/>
        <w:jc w:val="both"/>
        <w:rPr>
          <w:rFonts w:ascii="Arial" w:hAnsi="Arial" w:cs="Arial"/>
          <w:lang w:val="bg-BG"/>
        </w:rPr>
      </w:pPr>
    </w:p>
    <w:p w14:paraId="0D05CDFF"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 xml:space="preserve">Appendix E: Technological Systems Used by </w:t>
      </w:r>
      <w:proofErr w:type="spellStart"/>
      <w:r w:rsidRPr="00934A95">
        <w:rPr>
          <w:rFonts w:ascii="Arial" w:hAnsi="Arial" w:cs="Arial"/>
          <w:b/>
          <w:bCs/>
        </w:rPr>
        <w:t>Ellatzite</w:t>
      </w:r>
      <w:proofErr w:type="spellEnd"/>
    </w:p>
    <w:p w14:paraId="32BC5E78"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This appendix provides technical details supporting Chapter 4.</w:t>
      </w:r>
    </w:p>
    <w:p w14:paraId="7F80E939"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E1. Wastewater Treatment System</w:t>
      </w:r>
    </w:p>
    <w:p w14:paraId="0F80226D" w14:textId="77777777" w:rsidR="00E20666" w:rsidRPr="00934A95" w:rsidRDefault="00E20666" w:rsidP="00934A95">
      <w:pPr>
        <w:spacing w:after="0" w:line="360" w:lineRule="auto"/>
        <w:ind w:firstLine="720"/>
        <w:jc w:val="both"/>
        <w:rPr>
          <w:rFonts w:ascii="Arial" w:hAnsi="Arial" w:cs="Arial"/>
        </w:rPr>
      </w:pPr>
      <w:proofErr w:type="spellStart"/>
      <w:r w:rsidRPr="00934A95">
        <w:rPr>
          <w:rFonts w:ascii="Arial" w:hAnsi="Arial" w:cs="Arial"/>
        </w:rPr>
        <w:t>Ellatzite</w:t>
      </w:r>
      <w:proofErr w:type="spellEnd"/>
      <w:r w:rsidRPr="00934A95">
        <w:rPr>
          <w:rFonts w:ascii="Arial" w:hAnsi="Arial" w:cs="Arial"/>
        </w:rPr>
        <w:t xml:space="preserve"> uses:</w:t>
      </w:r>
    </w:p>
    <w:p w14:paraId="41B566AC" w14:textId="77777777" w:rsidR="00E20666" w:rsidRPr="00934A95" w:rsidRDefault="00E20666" w:rsidP="00934A95">
      <w:pPr>
        <w:numPr>
          <w:ilvl w:val="0"/>
          <w:numId w:val="107"/>
        </w:numPr>
        <w:spacing w:after="0" w:line="360" w:lineRule="auto"/>
        <w:ind w:left="0" w:firstLine="720"/>
        <w:jc w:val="both"/>
        <w:rPr>
          <w:rFonts w:ascii="Arial" w:hAnsi="Arial" w:cs="Arial"/>
        </w:rPr>
      </w:pPr>
      <w:r w:rsidRPr="00934A95">
        <w:rPr>
          <w:rFonts w:ascii="Arial" w:hAnsi="Arial" w:cs="Arial"/>
          <w:b/>
          <w:bCs/>
        </w:rPr>
        <w:t>Mitsubishi industrial wastewater system architecture</w:t>
      </w:r>
    </w:p>
    <w:p w14:paraId="67309B5D" w14:textId="77777777" w:rsidR="00E20666" w:rsidRPr="00934A95" w:rsidRDefault="00E20666" w:rsidP="00934A95">
      <w:pPr>
        <w:numPr>
          <w:ilvl w:val="0"/>
          <w:numId w:val="107"/>
        </w:numPr>
        <w:spacing w:after="0" w:line="360" w:lineRule="auto"/>
        <w:ind w:left="0" w:firstLine="720"/>
        <w:jc w:val="both"/>
        <w:rPr>
          <w:rFonts w:ascii="Arial" w:hAnsi="Arial" w:cs="Arial"/>
        </w:rPr>
      </w:pPr>
      <w:proofErr w:type="spellStart"/>
      <w:r w:rsidRPr="00934A95">
        <w:rPr>
          <w:rFonts w:ascii="Arial" w:hAnsi="Arial" w:cs="Arial"/>
          <w:b/>
          <w:bCs/>
        </w:rPr>
        <w:lastRenderedPageBreak/>
        <w:t>EnviroChemie</w:t>
      </w:r>
      <w:proofErr w:type="spellEnd"/>
      <w:r w:rsidRPr="00934A95">
        <w:rPr>
          <w:rFonts w:ascii="Arial" w:hAnsi="Arial" w:cs="Arial"/>
          <w:b/>
          <w:bCs/>
        </w:rPr>
        <w:t xml:space="preserve"> modular water treatment engineering</w:t>
      </w:r>
    </w:p>
    <w:p w14:paraId="4EC5388B" w14:textId="77777777" w:rsidR="00E20666" w:rsidRPr="00934A95" w:rsidRDefault="00E20666" w:rsidP="00934A95">
      <w:pPr>
        <w:numPr>
          <w:ilvl w:val="0"/>
          <w:numId w:val="107"/>
        </w:numPr>
        <w:spacing w:after="0" w:line="360" w:lineRule="auto"/>
        <w:ind w:left="0" w:firstLine="720"/>
        <w:jc w:val="both"/>
        <w:rPr>
          <w:rFonts w:ascii="Arial" w:hAnsi="Arial" w:cs="Arial"/>
        </w:rPr>
      </w:pPr>
      <w:r w:rsidRPr="00934A95">
        <w:rPr>
          <w:rFonts w:ascii="Arial" w:hAnsi="Arial" w:cs="Arial"/>
        </w:rPr>
        <w:t>Multi-stage purification including:</w:t>
      </w:r>
    </w:p>
    <w:p w14:paraId="7F170CB3" w14:textId="77777777" w:rsidR="00E20666" w:rsidRPr="00934A95" w:rsidRDefault="00E20666" w:rsidP="00934A95">
      <w:pPr>
        <w:numPr>
          <w:ilvl w:val="1"/>
          <w:numId w:val="107"/>
        </w:numPr>
        <w:spacing w:after="0" w:line="360" w:lineRule="auto"/>
        <w:ind w:left="0" w:firstLine="720"/>
        <w:jc w:val="both"/>
        <w:rPr>
          <w:rFonts w:ascii="Arial" w:hAnsi="Arial" w:cs="Arial"/>
        </w:rPr>
      </w:pPr>
      <w:r w:rsidRPr="00934A95">
        <w:rPr>
          <w:rFonts w:ascii="Arial" w:hAnsi="Arial" w:cs="Arial"/>
        </w:rPr>
        <w:t>membrane filtration</w:t>
      </w:r>
    </w:p>
    <w:p w14:paraId="324F37EC" w14:textId="77777777" w:rsidR="00E20666" w:rsidRPr="00934A95" w:rsidRDefault="00E20666" w:rsidP="00934A95">
      <w:pPr>
        <w:numPr>
          <w:ilvl w:val="1"/>
          <w:numId w:val="107"/>
        </w:numPr>
        <w:spacing w:after="0" w:line="360" w:lineRule="auto"/>
        <w:ind w:left="0" w:firstLine="720"/>
        <w:jc w:val="both"/>
        <w:rPr>
          <w:rFonts w:ascii="Arial" w:hAnsi="Arial" w:cs="Arial"/>
        </w:rPr>
      </w:pPr>
      <w:r w:rsidRPr="00934A95">
        <w:rPr>
          <w:rFonts w:ascii="Arial" w:hAnsi="Arial" w:cs="Arial"/>
        </w:rPr>
        <w:t>ion-exchange</w:t>
      </w:r>
    </w:p>
    <w:p w14:paraId="24212D2E" w14:textId="77777777" w:rsidR="00E20666" w:rsidRPr="00934A95" w:rsidRDefault="00E20666" w:rsidP="00934A95">
      <w:pPr>
        <w:numPr>
          <w:ilvl w:val="1"/>
          <w:numId w:val="107"/>
        </w:numPr>
        <w:spacing w:after="0" w:line="360" w:lineRule="auto"/>
        <w:ind w:left="0" w:firstLine="720"/>
        <w:jc w:val="both"/>
        <w:rPr>
          <w:rFonts w:ascii="Arial" w:hAnsi="Arial" w:cs="Arial"/>
        </w:rPr>
      </w:pPr>
      <w:proofErr w:type="spellStart"/>
      <w:r w:rsidRPr="00934A95">
        <w:rPr>
          <w:rFonts w:ascii="Arial" w:hAnsi="Arial" w:cs="Arial"/>
        </w:rPr>
        <w:t>physico</w:t>
      </w:r>
      <w:proofErr w:type="spellEnd"/>
      <w:r w:rsidRPr="00934A95">
        <w:rPr>
          <w:rFonts w:ascii="Arial" w:hAnsi="Arial" w:cs="Arial"/>
        </w:rPr>
        <w:t>-chemical treatment</w:t>
      </w:r>
    </w:p>
    <w:p w14:paraId="27CF0C63" w14:textId="77777777" w:rsidR="00E20666" w:rsidRPr="00934A95" w:rsidRDefault="00E20666" w:rsidP="00934A95">
      <w:pPr>
        <w:numPr>
          <w:ilvl w:val="1"/>
          <w:numId w:val="107"/>
        </w:numPr>
        <w:spacing w:after="0" w:line="360" w:lineRule="auto"/>
        <w:ind w:left="0" w:firstLine="720"/>
        <w:jc w:val="both"/>
        <w:rPr>
          <w:rFonts w:ascii="Arial" w:hAnsi="Arial" w:cs="Arial"/>
        </w:rPr>
      </w:pPr>
      <w:r w:rsidRPr="00934A95">
        <w:rPr>
          <w:rFonts w:ascii="Arial" w:hAnsi="Arial" w:cs="Arial"/>
        </w:rPr>
        <w:t>continuous digital monitoring sensors</w:t>
      </w:r>
    </w:p>
    <w:p w14:paraId="4D1B012A"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 xml:space="preserve">E2. </w:t>
      </w:r>
      <w:proofErr w:type="spellStart"/>
      <w:r w:rsidRPr="00934A95">
        <w:rPr>
          <w:rFonts w:ascii="Arial" w:hAnsi="Arial" w:cs="Arial"/>
          <w:b/>
          <w:bCs/>
        </w:rPr>
        <w:t>Digitalisation</w:t>
      </w:r>
      <w:proofErr w:type="spellEnd"/>
      <w:r w:rsidRPr="00934A95">
        <w:rPr>
          <w:rFonts w:ascii="Arial" w:hAnsi="Arial" w:cs="Arial"/>
          <w:b/>
          <w:bCs/>
        </w:rPr>
        <w:t xml:space="preserve"> and AI Tools</w:t>
      </w:r>
    </w:p>
    <w:p w14:paraId="200881E0" w14:textId="77777777" w:rsidR="00E20666" w:rsidRPr="00934A95" w:rsidRDefault="00E20666" w:rsidP="00934A95">
      <w:pPr>
        <w:numPr>
          <w:ilvl w:val="0"/>
          <w:numId w:val="108"/>
        </w:numPr>
        <w:spacing w:after="0" w:line="360" w:lineRule="auto"/>
        <w:ind w:left="0" w:firstLine="720"/>
        <w:jc w:val="both"/>
        <w:rPr>
          <w:rFonts w:ascii="Arial" w:hAnsi="Arial" w:cs="Arial"/>
        </w:rPr>
      </w:pPr>
      <w:r w:rsidRPr="00934A95">
        <w:rPr>
          <w:rFonts w:ascii="Arial" w:hAnsi="Arial" w:cs="Arial"/>
        </w:rPr>
        <w:t>Real-time operational dashboards</w:t>
      </w:r>
    </w:p>
    <w:p w14:paraId="016B2B25" w14:textId="77777777" w:rsidR="00E20666" w:rsidRPr="00934A95" w:rsidRDefault="00E20666" w:rsidP="00934A95">
      <w:pPr>
        <w:numPr>
          <w:ilvl w:val="0"/>
          <w:numId w:val="108"/>
        </w:numPr>
        <w:spacing w:after="0" w:line="360" w:lineRule="auto"/>
        <w:ind w:left="0" w:firstLine="720"/>
        <w:jc w:val="both"/>
        <w:rPr>
          <w:rFonts w:ascii="Arial" w:hAnsi="Arial" w:cs="Arial"/>
        </w:rPr>
      </w:pPr>
      <w:r w:rsidRPr="00934A95">
        <w:rPr>
          <w:rFonts w:ascii="Arial" w:hAnsi="Arial" w:cs="Arial"/>
        </w:rPr>
        <w:t>Automated process control</w:t>
      </w:r>
    </w:p>
    <w:p w14:paraId="0762E9D6" w14:textId="77777777" w:rsidR="00E20666" w:rsidRPr="00934A95" w:rsidRDefault="00E20666" w:rsidP="00934A95">
      <w:pPr>
        <w:numPr>
          <w:ilvl w:val="0"/>
          <w:numId w:val="108"/>
        </w:numPr>
        <w:spacing w:after="0" w:line="360" w:lineRule="auto"/>
        <w:ind w:left="0" w:firstLine="720"/>
        <w:jc w:val="both"/>
        <w:rPr>
          <w:rFonts w:ascii="Arial" w:hAnsi="Arial" w:cs="Arial"/>
        </w:rPr>
      </w:pPr>
      <w:r w:rsidRPr="00934A95">
        <w:rPr>
          <w:rFonts w:ascii="Arial" w:hAnsi="Arial" w:cs="Arial"/>
        </w:rPr>
        <w:t>AI-assisted predictive maintenance</w:t>
      </w:r>
    </w:p>
    <w:p w14:paraId="78B15D7A" w14:textId="77777777" w:rsidR="00E20666" w:rsidRPr="00934A95" w:rsidRDefault="00E20666" w:rsidP="00934A95">
      <w:pPr>
        <w:numPr>
          <w:ilvl w:val="0"/>
          <w:numId w:val="108"/>
        </w:numPr>
        <w:spacing w:after="0" w:line="360" w:lineRule="auto"/>
        <w:ind w:left="0" w:firstLine="720"/>
        <w:jc w:val="both"/>
        <w:rPr>
          <w:rFonts w:ascii="Arial" w:hAnsi="Arial" w:cs="Arial"/>
        </w:rPr>
      </w:pPr>
      <w:r w:rsidRPr="00934A95">
        <w:rPr>
          <w:rFonts w:ascii="Arial" w:hAnsi="Arial" w:cs="Arial"/>
        </w:rPr>
        <w:t>Digital tailings monitoring</w:t>
      </w:r>
    </w:p>
    <w:p w14:paraId="475C1981" w14:textId="77777777" w:rsidR="00E20666" w:rsidRPr="00934A95" w:rsidRDefault="00E20666" w:rsidP="00934A95">
      <w:pPr>
        <w:numPr>
          <w:ilvl w:val="0"/>
          <w:numId w:val="108"/>
        </w:numPr>
        <w:spacing w:after="0" w:line="360" w:lineRule="auto"/>
        <w:ind w:left="0" w:firstLine="720"/>
        <w:jc w:val="both"/>
        <w:rPr>
          <w:rFonts w:ascii="Arial" w:hAnsi="Arial" w:cs="Arial"/>
        </w:rPr>
      </w:pPr>
      <w:r w:rsidRPr="00934A95">
        <w:rPr>
          <w:rFonts w:ascii="Arial" w:hAnsi="Arial" w:cs="Arial"/>
        </w:rPr>
        <w:t xml:space="preserve">Integrated energy/water </w:t>
      </w:r>
      <w:proofErr w:type="spellStart"/>
      <w:r w:rsidRPr="00934A95">
        <w:rPr>
          <w:rFonts w:ascii="Arial" w:hAnsi="Arial" w:cs="Arial"/>
        </w:rPr>
        <w:t>optimisation</w:t>
      </w:r>
      <w:proofErr w:type="spellEnd"/>
      <w:r w:rsidRPr="00934A95">
        <w:rPr>
          <w:rFonts w:ascii="Arial" w:hAnsi="Arial" w:cs="Arial"/>
        </w:rPr>
        <w:t xml:space="preserve"> systems</w:t>
      </w:r>
    </w:p>
    <w:p w14:paraId="334B359E" w14:textId="77777777" w:rsidR="00E20666" w:rsidRPr="00934A95" w:rsidRDefault="00E20666" w:rsidP="00934A95">
      <w:pPr>
        <w:spacing w:after="0" w:line="360" w:lineRule="auto"/>
        <w:ind w:firstLine="720"/>
        <w:jc w:val="both"/>
        <w:rPr>
          <w:rFonts w:ascii="Arial" w:hAnsi="Arial" w:cs="Arial"/>
          <w:lang w:val="bg-BG"/>
        </w:rPr>
      </w:pPr>
    </w:p>
    <w:p w14:paraId="6754BA60" w14:textId="77777777" w:rsidR="00E20666" w:rsidRPr="00934A95" w:rsidRDefault="00E20666" w:rsidP="00934A95">
      <w:pPr>
        <w:spacing w:after="0" w:line="360" w:lineRule="auto"/>
        <w:ind w:firstLine="720"/>
        <w:jc w:val="both"/>
        <w:rPr>
          <w:rFonts w:ascii="Arial" w:hAnsi="Arial" w:cs="Arial"/>
          <w:b/>
          <w:bCs/>
        </w:rPr>
      </w:pPr>
      <w:r w:rsidRPr="00934A95">
        <w:rPr>
          <w:rFonts w:ascii="Arial" w:hAnsi="Arial" w:cs="Arial"/>
          <w:b/>
          <w:bCs/>
        </w:rPr>
        <w:t>Appendix F: Ethical Considerations</w:t>
      </w:r>
    </w:p>
    <w:p w14:paraId="387ED5C2"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 xml:space="preserve">Because this research relied exclusively on </w:t>
      </w:r>
      <w:r w:rsidRPr="00934A95">
        <w:rPr>
          <w:rFonts w:ascii="Arial" w:hAnsi="Arial" w:cs="Arial"/>
          <w:b/>
          <w:bCs/>
        </w:rPr>
        <w:t>secondary data</w:t>
      </w:r>
      <w:r w:rsidRPr="00934A95">
        <w:rPr>
          <w:rFonts w:ascii="Arial" w:hAnsi="Arial" w:cs="Arial"/>
        </w:rPr>
        <w:t>, no human participants were involved.</w:t>
      </w:r>
    </w:p>
    <w:p w14:paraId="74DB47FE"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Ethical compliance steps included:</w:t>
      </w:r>
    </w:p>
    <w:p w14:paraId="1B65D748" w14:textId="77777777" w:rsidR="00E20666" w:rsidRPr="00934A95" w:rsidRDefault="00E20666" w:rsidP="00934A95">
      <w:pPr>
        <w:numPr>
          <w:ilvl w:val="0"/>
          <w:numId w:val="109"/>
        </w:numPr>
        <w:spacing w:after="0" w:line="360" w:lineRule="auto"/>
        <w:ind w:left="0" w:firstLine="720"/>
        <w:jc w:val="both"/>
        <w:rPr>
          <w:rFonts w:ascii="Arial" w:hAnsi="Arial" w:cs="Arial"/>
        </w:rPr>
      </w:pPr>
      <w:r w:rsidRPr="00934A95">
        <w:rPr>
          <w:rFonts w:ascii="Arial" w:hAnsi="Arial" w:cs="Arial"/>
        </w:rPr>
        <w:t>Ensuring transparency of sources</w:t>
      </w:r>
    </w:p>
    <w:p w14:paraId="2D00B050" w14:textId="77777777" w:rsidR="00E20666" w:rsidRPr="00934A95" w:rsidRDefault="00E20666" w:rsidP="00934A95">
      <w:pPr>
        <w:numPr>
          <w:ilvl w:val="0"/>
          <w:numId w:val="109"/>
        </w:numPr>
        <w:spacing w:after="0" w:line="360" w:lineRule="auto"/>
        <w:ind w:left="0" w:firstLine="720"/>
        <w:jc w:val="both"/>
        <w:rPr>
          <w:rFonts w:ascii="Arial" w:hAnsi="Arial" w:cs="Arial"/>
        </w:rPr>
      </w:pPr>
      <w:r w:rsidRPr="00934A95">
        <w:rPr>
          <w:rFonts w:ascii="Arial" w:hAnsi="Arial" w:cs="Arial"/>
        </w:rPr>
        <w:t>Evaluating credibility of all secondary datasets</w:t>
      </w:r>
    </w:p>
    <w:p w14:paraId="0E78A7A9" w14:textId="77777777" w:rsidR="00E20666" w:rsidRPr="00934A95" w:rsidRDefault="00E20666" w:rsidP="00934A95">
      <w:pPr>
        <w:numPr>
          <w:ilvl w:val="0"/>
          <w:numId w:val="109"/>
        </w:numPr>
        <w:spacing w:after="0" w:line="360" w:lineRule="auto"/>
        <w:ind w:left="0" w:firstLine="720"/>
        <w:jc w:val="both"/>
        <w:rPr>
          <w:rFonts w:ascii="Arial" w:hAnsi="Arial" w:cs="Arial"/>
        </w:rPr>
      </w:pPr>
      <w:r w:rsidRPr="00934A95">
        <w:rPr>
          <w:rFonts w:ascii="Arial" w:hAnsi="Arial" w:cs="Arial"/>
        </w:rPr>
        <w:t>Respecting intellectual property rights</w:t>
      </w:r>
    </w:p>
    <w:p w14:paraId="45C4B385" w14:textId="77777777" w:rsidR="00E20666" w:rsidRPr="00934A95" w:rsidRDefault="00E20666" w:rsidP="00934A95">
      <w:pPr>
        <w:numPr>
          <w:ilvl w:val="0"/>
          <w:numId w:val="109"/>
        </w:numPr>
        <w:spacing w:after="0" w:line="360" w:lineRule="auto"/>
        <w:ind w:left="0" w:firstLine="720"/>
        <w:jc w:val="both"/>
        <w:rPr>
          <w:rFonts w:ascii="Arial" w:hAnsi="Arial" w:cs="Arial"/>
        </w:rPr>
      </w:pPr>
      <w:r w:rsidRPr="00934A95">
        <w:rPr>
          <w:rFonts w:ascii="Arial" w:hAnsi="Arial" w:cs="Arial"/>
        </w:rPr>
        <w:t>Avoiding misinformation by cross-verifying corporate claims with independent reporting</w:t>
      </w:r>
    </w:p>
    <w:p w14:paraId="2627C6D7" w14:textId="77777777" w:rsidR="00E20666" w:rsidRPr="00934A95" w:rsidRDefault="00E20666" w:rsidP="00934A95">
      <w:pPr>
        <w:spacing w:after="0" w:line="360" w:lineRule="auto"/>
        <w:ind w:firstLine="720"/>
        <w:jc w:val="both"/>
        <w:rPr>
          <w:rFonts w:ascii="Arial" w:hAnsi="Arial" w:cs="Arial"/>
        </w:rPr>
      </w:pPr>
      <w:r w:rsidRPr="00934A95">
        <w:rPr>
          <w:rFonts w:ascii="Arial" w:hAnsi="Arial" w:cs="Arial"/>
        </w:rPr>
        <w:t>No ethical risks were identified.</w:t>
      </w:r>
    </w:p>
    <w:p w14:paraId="5F03F18F" w14:textId="77777777" w:rsidR="00E20666" w:rsidRPr="00934A95" w:rsidRDefault="00E20666" w:rsidP="00934A95">
      <w:pPr>
        <w:spacing w:after="0" w:line="360" w:lineRule="auto"/>
        <w:ind w:firstLine="720"/>
        <w:jc w:val="both"/>
        <w:rPr>
          <w:rFonts w:ascii="Arial" w:hAnsi="Arial" w:cs="Arial"/>
          <w:lang w:val="bg-BG"/>
        </w:rPr>
      </w:pPr>
    </w:p>
    <w:p w14:paraId="3556D16B" w14:textId="77777777" w:rsidR="00E20666" w:rsidRDefault="00E20666" w:rsidP="00934A95">
      <w:pPr>
        <w:spacing w:after="0" w:line="360" w:lineRule="auto"/>
        <w:ind w:firstLine="720"/>
        <w:jc w:val="both"/>
        <w:rPr>
          <w:rFonts w:ascii="Arial" w:hAnsi="Arial" w:cs="Arial"/>
          <w:b/>
          <w:bCs/>
        </w:rPr>
      </w:pPr>
      <w:r w:rsidRPr="00934A95">
        <w:rPr>
          <w:rFonts w:ascii="Arial" w:hAnsi="Arial" w:cs="Arial"/>
          <w:b/>
          <w:bCs/>
        </w:rPr>
        <w:t>Appendix G: Research Timeline</w:t>
      </w:r>
    </w:p>
    <w:tbl>
      <w:tblPr>
        <w:tblW w:w="941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8"/>
        <w:gridCol w:w="4423"/>
        <w:gridCol w:w="2719"/>
      </w:tblGrid>
      <w:tr w:rsidR="00E20666" w:rsidRPr="00934A95" w14:paraId="5FCF7201" w14:textId="77777777" w:rsidTr="00A12552">
        <w:trPr>
          <w:tblHeader/>
          <w:tblCellSpacing w:w="15" w:type="dxa"/>
        </w:trPr>
        <w:tc>
          <w:tcPr>
            <w:tcW w:w="2223" w:type="dxa"/>
            <w:vAlign w:val="center"/>
            <w:hideMark/>
          </w:tcPr>
          <w:p w14:paraId="5EACC0DF" w14:textId="77777777" w:rsidR="00E20666" w:rsidRPr="00934A95" w:rsidRDefault="00E20666" w:rsidP="00A12552">
            <w:pPr>
              <w:spacing w:after="0" w:line="360" w:lineRule="auto"/>
              <w:jc w:val="both"/>
              <w:rPr>
                <w:rFonts w:ascii="Arial" w:hAnsi="Arial" w:cs="Arial"/>
                <w:b/>
                <w:bCs/>
              </w:rPr>
            </w:pPr>
            <w:r w:rsidRPr="00934A95">
              <w:rPr>
                <w:rFonts w:ascii="Arial" w:hAnsi="Arial" w:cs="Arial"/>
                <w:b/>
                <w:bCs/>
              </w:rPr>
              <w:t>Phase</w:t>
            </w:r>
          </w:p>
        </w:tc>
        <w:tc>
          <w:tcPr>
            <w:tcW w:w="4393" w:type="dxa"/>
            <w:vAlign w:val="center"/>
            <w:hideMark/>
          </w:tcPr>
          <w:p w14:paraId="24702466" w14:textId="77777777" w:rsidR="00E20666" w:rsidRPr="00934A95" w:rsidRDefault="00E20666" w:rsidP="00A12552">
            <w:pPr>
              <w:spacing w:after="0" w:line="360" w:lineRule="auto"/>
              <w:jc w:val="both"/>
              <w:rPr>
                <w:rFonts w:ascii="Arial" w:hAnsi="Arial" w:cs="Arial"/>
                <w:b/>
                <w:bCs/>
              </w:rPr>
            </w:pPr>
            <w:r w:rsidRPr="00934A95">
              <w:rPr>
                <w:rFonts w:ascii="Arial" w:hAnsi="Arial" w:cs="Arial"/>
                <w:b/>
                <w:bCs/>
              </w:rPr>
              <w:t>Activities</w:t>
            </w:r>
          </w:p>
        </w:tc>
        <w:tc>
          <w:tcPr>
            <w:tcW w:w="2674" w:type="dxa"/>
            <w:vAlign w:val="center"/>
            <w:hideMark/>
          </w:tcPr>
          <w:p w14:paraId="7D311A6B" w14:textId="77777777" w:rsidR="00E20666" w:rsidRPr="00934A95" w:rsidRDefault="00E20666" w:rsidP="00A12552">
            <w:pPr>
              <w:spacing w:after="0" w:line="360" w:lineRule="auto"/>
              <w:jc w:val="both"/>
              <w:rPr>
                <w:rFonts w:ascii="Arial" w:hAnsi="Arial" w:cs="Arial"/>
                <w:b/>
                <w:bCs/>
              </w:rPr>
            </w:pPr>
            <w:r w:rsidRPr="00934A95">
              <w:rPr>
                <w:rFonts w:ascii="Arial" w:hAnsi="Arial" w:cs="Arial"/>
                <w:b/>
                <w:bCs/>
              </w:rPr>
              <w:t>Period</w:t>
            </w:r>
          </w:p>
        </w:tc>
      </w:tr>
      <w:tr w:rsidR="00E20666" w:rsidRPr="00934A95" w14:paraId="6BAF42F7" w14:textId="77777777" w:rsidTr="00A12552">
        <w:trPr>
          <w:tblCellSpacing w:w="15" w:type="dxa"/>
        </w:trPr>
        <w:tc>
          <w:tcPr>
            <w:tcW w:w="2223" w:type="dxa"/>
            <w:vAlign w:val="center"/>
            <w:hideMark/>
          </w:tcPr>
          <w:p w14:paraId="34558960" w14:textId="77777777" w:rsidR="00E20666" w:rsidRPr="00934A95" w:rsidRDefault="00E20666" w:rsidP="00A12552">
            <w:pPr>
              <w:spacing w:after="0" w:line="360" w:lineRule="auto"/>
              <w:jc w:val="both"/>
              <w:rPr>
                <w:rFonts w:ascii="Arial" w:hAnsi="Arial" w:cs="Arial"/>
              </w:rPr>
            </w:pPr>
            <w:r w:rsidRPr="00934A95">
              <w:rPr>
                <w:rFonts w:ascii="Arial" w:hAnsi="Arial" w:cs="Arial"/>
              </w:rPr>
              <w:t>Topic Selection</w:t>
            </w:r>
          </w:p>
        </w:tc>
        <w:tc>
          <w:tcPr>
            <w:tcW w:w="4393" w:type="dxa"/>
            <w:vAlign w:val="center"/>
            <w:hideMark/>
          </w:tcPr>
          <w:p w14:paraId="5083E8C3" w14:textId="77777777" w:rsidR="00E20666" w:rsidRPr="00934A95" w:rsidRDefault="00E20666" w:rsidP="00A12552">
            <w:pPr>
              <w:spacing w:after="0" w:line="360" w:lineRule="auto"/>
              <w:jc w:val="both"/>
              <w:rPr>
                <w:rFonts w:ascii="Arial" w:hAnsi="Arial" w:cs="Arial"/>
              </w:rPr>
            </w:pPr>
            <w:r w:rsidRPr="00934A95">
              <w:rPr>
                <w:rFonts w:ascii="Arial" w:hAnsi="Arial" w:cs="Arial"/>
              </w:rPr>
              <w:t>Identification of research gap</w:t>
            </w:r>
          </w:p>
        </w:tc>
        <w:tc>
          <w:tcPr>
            <w:tcW w:w="2674" w:type="dxa"/>
            <w:vAlign w:val="center"/>
            <w:hideMark/>
          </w:tcPr>
          <w:p w14:paraId="6F856637" w14:textId="77777777" w:rsidR="00E20666" w:rsidRPr="00934A95" w:rsidRDefault="00E20666" w:rsidP="00A12552">
            <w:pPr>
              <w:spacing w:after="0" w:line="360" w:lineRule="auto"/>
              <w:jc w:val="both"/>
              <w:rPr>
                <w:rFonts w:ascii="Arial" w:hAnsi="Arial" w:cs="Arial"/>
              </w:rPr>
            </w:pPr>
            <w:r w:rsidRPr="00934A95">
              <w:rPr>
                <w:rFonts w:ascii="Arial" w:hAnsi="Arial" w:cs="Arial"/>
              </w:rPr>
              <w:t>June 2025</w:t>
            </w:r>
          </w:p>
        </w:tc>
      </w:tr>
      <w:tr w:rsidR="00E20666" w:rsidRPr="00934A95" w14:paraId="56775992" w14:textId="77777777" w:rsidTr="00A12552">
        <w:trPr>
          <w:tblCellSpacing w:w="15" w:type="dxa"/>
        </w:trPr>
        <w:tc>
          <w:tcPr>
            <w:tcW w:w="2223" w:type="dxa"/>
            <w:vAlign w:val="center"/>
            <w:hideMark/>
          </w:tcPr>
          <w:p w14:paraId="3DA8E8A7" w14:textId="77777777" w:rsidR="00E20666" w:rsidRPr="00934A95" w:rsidRDefault="00E20666" w:rsidP="00A12552">
            <w:pPr>
              <w:spacing w:after="0" w:line="360" w:lineRule="auto"/>
              <w:jc w:val="both"/>
              <w:rPr>
                <w:rFonts w:ascii="Arial" w:hAnsi="Arial" w:cs="Arial"/>
              </w:rPr>
            </w:pPr>
            <w:r w:rsidRPr="00934A95">
              <w:rPr>
                <w:rFonts w:ascii="Arial" w:hAnsi="Arial" w:cs="Arial"/>
              </w:rPr>
              <w:t>Literature Review</w:t>
            </w:r>
          </w:p>
        </w:tc>
        <w:tc>
          <w:tcPr>
            <w:tcW w:w="4393" w:type="dxa"/>
            <w:vAlign w:val="center"/>
            <w:hideMark/>
          </w:tcPr>
          <w:p w14:paraId="13F2304D" w14:textId="77777777" w:rsidR="00E20666" w:rsidRPr="00934A95" w:rsidRDefault="00E20666" w:rsidP="00A12552">
            <w:pPr>
              <w:spacing w:after="0" w:line="360" w:lineRule="auto"/>
              <w:jc w:val="both"/>
              <w:rPr>
                <w:rFonts w:ascii="Arial" w:hAnsi="Arial" w:cs="Arial"/>
              </w:rPr>
            </w:pPr>
            <w:r w:rsidRPr="00934A95">
              <w:rPr>
                <w:rFonts w:ascii="Arial" w:hAnsi="Arial" w:cs="Arial"/>
              </w:rPr>
              <w:t>Academic + regulatory review</w:t>
            </w:r>
          </w:p>
        </w:tc>
        <w:tc>
          <w:tcPr>
            <w:tcW w:w="2674" w:type="dxa"/>
            <w:vAlign w:val="center"/>
            <w:hideMark/>
          </w:tcPr>
          <w:p w14:paraId="4D33C773" w14:textId="77777777" w:rsidR="00E20666" w:rsidRPr="00934A95" w:rsidRDefault="00E20666" w:rsidP="00A12552">
            <w:pPr>
              <w:spacing w:after="0" w:line="360" w:lineRule="auto"/>
              <w:jc w:val="both"/>
              <w:rPr>
                <w:rFonts w:ascii="Arial" w:hAnsi="Arial" w:cs="Arial"/>
              </w:rPr>
            </w:pPr>
            <w:r w:rsidRPr="00934A95">
              <w:rPr>
                <w:rFonts w:ascii="Arial" w:hAnsi="Arial" w:cs="Arial"/>
              </w:rPr>
              <w:t>June – Sept 2025</w:t>
            </w:r>
          </w:p>
        </w:tc>
      </w:tr>
      <w:tr w:rsidR="00E20666" w:rsidRPr="00934A95" w14:paraId="035AAD02" w14:textId="77777777" w:rsidTr="00A12552">
        <w:trPr>
          <w:tblCellSpacing w:w="15" w:type="dxa"/>
        </w:trPr>
        <w:tc>
          <w:tcPr>
            <w:tcW w:w="2223" w:type="dxa"/>
            <w:vAlign w:val="center"/>
            <w:hideMark/>
          </w:tcPr>
          <w:p w14:paraId="3BB42B3A" w14:textId="77777777" w:rsidR="00E20666" w:rsidRPr="00934A95" w:rsidRDefault="00E20666" w:rsidP="00A12552">
            <w:pPr>
              <w:spacing w:after="0" w:line="360" w:lineRule="auto"/>
              <w:jc w:val="both"/>
              <w:rPr>
                <w:rFonts w:ascii="Arial" w:hAnsi="Arial" w:cs="Arial"/>
              </w:rPr>
            </w:pPr>
            <w:r w:rsidRPr="00934A95">
              <w:rPr>
                <w:rFonts w:ascii="Arial" w:hAnsi="Arial" w:cs="Arial"/>
              </w:rPr>
              <w:t>Framework Design</w:t>
            </w:r>
          </w:p>
        </w:tc>
        <w:tc>
          <w:tcPr>
            <w:tcW w:w="4393" w:type="dxa"/>
            <w:vAlign w:val="center"/>
            <w:hideMark/>
          </w:tcPr>
          <w:p w14:paraId="09EB2D36" w14:textId="77777777" w:rsidR="00E20666" w:rsidRPr="00934A95" w:rsidRDefault="00E20666" w:rsidP="00A12552">
            <w:pPr>
              <w:spacing w:after="0" w:line="360" w:lineRule="auto"/>
              <w:jc w:val="both"/>
              <w:rPr>
                <w:rFonts w:ascii="Arial" w:hAnsi="Arial" w:cs="Arial"/>
              </w:rPr>
            </w:pPr>
            <w:r w:rsidRPr="00934A95">
              <w:rPr>
                <w:rFonts w:ascii="Arial" w:hAnsi="Arial" w:cs="Arial"/>
              </w:rPr>
              <w:t>ESG + CSRD/ESRS + TCFD</w:t>
            </w:r>
          </w:p>
        </w:tc>
        <w:tc>
          <w:tcPr>
            <w:tcW w:w="2674" w:type="dxa"/>
            <w:vAlign w:val="center"/>
            <w:hideMark/>
          </w:tcPr>
          <w:p w14:paraId="1E321BA1" w14:textId="77777777" w:rsidR="00E20666" w:rsidRPr="00934A95" w:rsidRDefault="00E20666" w:rsidP="00A12552">
            <w:pPr>
              <w:spacing w:after="0" w:line="360" w:lineRule="auto"/>
              <w:jc w:val="both"/>
              <w:rPr>
                <w:rFonts w:ascii="Arial" w:hAnsi="Arial" w:cs="Arial"/>
              </w:rPr>
            </w:pPr>
            <w:r w:rsidRPr="00934A95">
              <w:rPr>
                <w:rFonts w:ascii="Arial" w:hAnsi="Arial" w:cs="Arial"/>
              </w:rPr>
              <w:t>August 2025</w:t>
            </w:r>
          </w:p>
        </w:tc>
      </w:tr>
      <w:tr w:rsidR="00E20666" w:rsidRPr="00934A95" w14:paraId="4F7576CC" w14:textId="77777777" w:rsidTr="00A12552">
        <w:trPr>
          <w:tblCellSpacing w:w="15" w:type="dxa"/>
        </w:trPr>
        <w:tc>
          <w:tcPr>
            <w:tcW w:w="2223" w:type="dxa"/>
            <w:vAlign w:val="center"/>
            <w:hideMark/>
          </w:tcPr>
          <w:p w14:paraId="48ABDE13" w14:textId="77777777" w:rsidR="00E20666" w:rsidRPr="00934A95" w:rsidRDefault="00E20666" w:rsidP="00A12552">
            <w:pPr>
              <w:spacing w:after="0" w:line="360" w:lineRule="auto"/>
              <w:jc w:val="both"/>
              <w:rPr>
                <w:rFonts w:ascii="Arial" w:hAnsi="Arial" w:cs="Arial"/>
              </w:rPr>
            </w:pPr>
            <w:r w:rsidRPr="00934A95">
              <w:rPr>
                <w:rFonts w:ascii="Arial" w:hAnsi="Arial" w:cs="Arial"/>
              </w:rPr>
              <w:t>Data Collection</w:t>
            </w:r>
          </w:p>
        </w:tc>
        <w:tc>
          <w:tcPr>
            <w:tcW w:w="4393" w:type="dxa"/>
            <w:vAlign w:val="center"/>
            <w:hideMark/>
          </w:tcPr>
          <w:p w14:paraId="04734929" w14:textId="77777777" w:rsidR="00E20666" w:rsidRPr="00934A95" w:rsidRDefault="00E20666" w:rsidP="00A12552">
            <w:pPr>
              <w:spacing w:after="0" w:line="360" w:lineRule="auto"/>
              <w:jc w:val="both"/>
              <w:rPr>
                <w:rFonts w:ascii="Arial" w:hAnsi="Arial" w:cs="Arial"/>
              </w:rPr>
            </w:pPr>
            <w:r w:rsidRPr="00934A95">
              <w:rPr>
                <w:rFonts w:ascii="Arial" w:hAnsi="Arial" w:cs="Arial"/>
              </w:rPr>
              <w:t>Secondary company datasets</w:t>
            </w:r>
          </w:p>
        </w:tc>
        <w:tc>
          <w:tcPr>
            <w:tcW w:w="2674" w:type="dxa"/>
            <w:vAlign w:val="center"/>
            <w:hideMark/>
          </w:tcPr>
          <w:p w14:paraId="55CA5D98" w14:textId="77777777" w:rsidR="00E20666" w:rsidRPr="00934A95" w:rsidRDefault="00E20666" w:rsidP="00A12552">
            <w:pPr>
              <w:spacing w:after="0" w:line="360" w:lineRule="auto"/>
              <w:jc w:val="both"/>
              <w:rPr>
                <w:rFonts w:ascii="Arial" w:hAnsi="Arial" w:cs="Arial"/>
              </w:rPr>
            </w:pPr>
            <w:r w:rsidRPr="00934A95">
              <w:rPr>
                <w:rFonts w:ascii="Arial" w:hAnsi="Arial" w:cs="Arial"/>
              </w:rPr>
              <w:t>Aug – Sept 2025</w:t>
            </w:r>
          </w:p>
        </w:tc>
      </w:tr>
      <w:tr w:rsidR="00E20666" w:rsidRPr="00934A95" w14:paraId="550AF2AC" w14:textId="77777777" w:rsidTr="00A12552">
        <w:trPr>
          <w:tblCellSpacing w:w="15" w:type="dxa"/>
        </w:trPr>
        <w:tc>
          <w:tcPr>
            <w:tcW w:w="2223" w:type="dxa"/>
            <w:vAlign w:val="center"/>
            <w:hideMark/>
          </w:tcPr>
          <w:p w14:paraId="685B3D22" w14:textId="77777777" w:rsidR="00E20666" w:rsidRPr="00934A95" w:rsidRDefault="00E20666" w:rsidP="00A12552">
            <w:pPr>
              <w:spacing w:after="0" w:line="360" w:lineRule="auto"/>
              <w:jc w:val="both"/>
              <w:rPr>
                <w:rFonts w:ascii="Arial" w:hAnsi="Arial" w:cs="Arial"/>
              </w:rPr>
            </w:pPr>
            <w:r w:rsidRPr="00934A95">
              <w:rPr>
                <w:rFonts w:ascii="Arial" w:hAnsi="Arial" w:cs="Arial"/>
              </w:rPr>
              <w:t>Analysis</w:t>
            </w:r>
          </w:p>
        </w:tc>
        <w:tc>
          <w:tcPr>
            <w:tcW w:w="4393" w:type="dxa"/>
            <w:vAlign w:val="center"/>
            <w:hideMark/>
          </w:tcPr>
          <w:p w14:paraId="0F453711" w14:textId="77777777" w:rsidR="00E20666" w:rsidRPr="00934A95" w:rsidRDefault="00E20666" w:rsidP="00A12552">
            <w:pPr>
              <w:spacing w:after="0" w:line="360" w:lineRule="auto"/>
              <w:jc w:val="both"/>
              <w:rPr>
                <w:rFonts w:ascii="Arial" w:hAnsi="Arial" w:cs="Arial"/>
              </w:rPr>
            </w:pPr>
            <w:r w:rsidRPr="00934A95">
              <w:rPr>
                <w:rFonts w:ascii="Arial" w:hAnsi="Arial" w:cs="Arial"/>
              </w:rPr>
              <w:t xml:space="preserve">Cross-case analysis, </w:t>
            </w:r>
            <w:proofErr w:type="spellStart"/>
            <w:r w:rsidRPr="00934A95">
              <w:rPr>
                <w:rFonts w:ascii="Arial" w:hAnsi="Arial" w:cs="Arial"/>
              </w:rPr>
              <w:t>Ellatzite</w:t>
            </w:r>
            <w:proofErr w:type="spellEnd"/>
            <w:r w:rsidRPr="00934A95">
              <w:rPr>
                <w:rFonts w:ascii="Arial" w:hAnsi="Arial" w:cs="Arial"/>
              </w:rPr>
              <w:t xml:space="preserve"> case study</w:t>
            </w:r>
          </w:p>
        </w:tc>
        <w:tc>
          <w:tcPr>
            <w:tcW w:w="2674" w:type="dxa"/>
            <w:vAlign w:val="center"/>
            <w:hideMark/>
          </w:tcPr>
          <w:p w14:paraId="6D5E485C" w14:textId="77777777" w:rsidR="00E20666" w:rsidRPr="00934A95" w:rsidRDefault="00E20666" w:rsidP="00A12552">
            <w:pPr>
              <w:spacing w:after="0" w:line="360" w:lineRule="auto"/>
              <w:jc w:val="both"/>
              <w:rPr>
                <w:rFonts w:ascii="Arial" w:hAnsi="Arial" w:cs="Arial"/>
              </w:rPr>
            </w:pPr>
            <w:r w:rsidRPr="00934A95">
              <w:rPr>
                <w:rFonts w:ascii="Arial" w:hAnsi="Arial" w:cs="Arial"/>
              </w:rPr>
              <w:t>Sept – Nov 2025</w:t>
            </w:r>
          </w:p>
        </w:tc>
      </w:tr>
      <w:tr w:rsidR="00E20666" w:rsidRPr="00934A95" w14:paraId="599309B1" w14:textId="77777777" w:rsidTr="00A12552">
        <w:trPr>
          <w:tblCellSpacing w:w="15" w:type="dxa"/>
        </w:trPr>
        <w:tc>
          <w:tcPr>
            <w:tcW w:w="2223" w:type="dxa"/>
            <w:vAlign w:val="center"/>
            <w:hideMark/>
          </w:tcPr>
          <w:p w14:paraId="200C9710" w14:textId="77777777" w:rsidR="00E20666" w:rsidRPr="00934A95" w:rsidRDefault="00E20666" w:rsidP="00A12552">
            <w:pPr>
              <w:spacing w:after="0" w:line="360" w:lineRule="auto"/>
              <w:jc w:val="both"/>
              <w:rPr>
                <w:rFonts w:ascii="Arial" w:hAnsi="Arial" w:cs="Arial"/>
              </w:rPr>
            </w:pPr>
            <w:r w:rsidRPr="00934A95">
              <w:rPr>
                <w:rFonts w:ascii="Arial" w:hAnsi="Arial" w:cs="Arial"/>
              </w:rPr>
              <w:t>Writing</w:t>
            </w:r>
          </w:p>
        </w:tc>
        <w:tc>
          <w:tcPr>
            <w:tcW w:w="4393" w:type="dxa"/>
            <w:vAlign w:val="center"/>
            <w:hideMark/>
          </w:tcPr>
          <w:p w14:paraId="1E0C0DD7" w14:textId="77777777" w:rsidR="00E20666" w:rsidRPr="00934A95" w:rsidRDefault="00E20666" w:rsidP="00A12552">
            <w:pPr>
              <w:spacing w:after="0" w:line="360" w:lineRule="auto"/>
              <w:jc w:val="both"/>
              <w:rPr>
                <w:rFonts w:ascii="Arial" w:hAnsi="Arial" w:cs="Arial"/>
              </w:rPr>
            </w:pPr>
            <w:r w:rsidRPr="00934A95">
              <w:rPr>
                <w:rFonts w:ascii="Arial" w:hAnsi="Arial" w:cs="Arial"/>
              </w:rPr>
              <w:t>Chapters 1–5, abstract, references</w:t>
            </w:r>
          </w:p>
        </w:tc>
        <w:tc>
          <w:tcPr>
            <w:tcW w:w="2674" w:type="dxa"/>
            <w:vAlign w:val="center"/>
            <w:hideMark/>
          </w:tcPr>
          <w:p w14:paraId="4F7BC074" w14:textId="77777777" w:rsidR="00E20666" w:rsidRPr="00934A95" w:rsidRDefault="00E20666" w:rsidP="00A12552">
            <w:pPr>
              <w:spacing w:after="0" w:line="360" w:lineRule="auto"/>
              <w:jc w:val="both"/>
              <w:rPr>
                <w:rFonts w:ascii="Arial" w:hAnsi="Arial" w:cs="Arial"/>
              </w:rPr>
            </w:pPr>
            <w:r w:rsidRPr="00934A95">
              <w:rPr>
                <w:rFonts w:ascii="Arial" w:hAnsi="Arial" w:cs="Arial"/>
              </w:rPr>
              <w:t>Sept - Oct 2025</w:t>
            </w:r>
          </w:p>
        </w:tc>
      </w:tr>
      <w:tr w:rsidR="00E20666" w:rsidRPr="00934A95" w14:paraId="268FF825" w14:textId="77777777" w:rsidTr="00A12552">
        <w:trPr>
          <w:tblCellSpacing w:w="15" w:type="dxa"/>
        </w:trPr>
        <w:tc>
          <w:tcPr>
            <w:tcW w:w="2223" w:type="dxa"/>
            <w:vAlign w:val="center"/>
            <w:hideMark/>
          </w:tcPr>
          <w:p w14:paraId="78E7A630" w14:textId="77777777" w:rsidR="00E20666" w:rsidRPr="00934A95" w:rsidRDefault="00E20666" w:rsidP="00A12552">
            <w:pPr>
              <w:spacing w:after="0" w:line="360" w:lineRule="auto"/>
              <w:jc w:val="both"/>
              <w:rPr>
                <w:rFonts w:ascii="Arial" w:hAnsi="Arial" w:cs="Arial"/>
              </w:rPr>
            </w:pPr>
            <w:proofErr w:type="spellStart"/>
            <w:r w:rsidRPr="00934A95">
              <w:rPr>
                <w:rFonts w:ascii="Arial" w:hAnsi="Arial" w:cs="Arial"/>
              </w:rPr>
              <w:t>Finalisation</w:t>
            </w:r>
            <w:proofErr w:type="spellEnd"/>
          </w:p>
        </w:tc>
        <w:tc>
          <w:tcPr>
            <w:tcW w:w="4393" w:type="dxa"/>
            <w:vAlign w:val="center"/>
            <w:hideMark/>
          </w:tcPr>
          <w:p w14:paraId="69DF65F0" w14:textId="77777777" w:rsidR="00E20666" w:rsidRPr="00934A95" w:rsidRDefault="00E20666" w:rsidP="00A12552">
            <w:pPr>
              <w:spacing w:after="0" w:line="360" w:lineRule="auto"/>
              <w:jc w:val="both"/>
              <w:rPr>
                <w:rFonts w:ascii="Arial" w:hAnsi="Arial" w:cs="Arial"/>
              </w:rPr>
            </w:pPr>
            <w:r w:rsidRPr="00934A95">
              <w:rPr>
                <w:rFonts w:ascii="Arial" w:hAnsi="Arial" w:cs="Arial"/>
              </w:rPr>
              <w:t>Editing, formatting, submission</w:t>
            </w:r>
          </w:p>
        </w:tc>
        <w:tc>
          <w:tcPr>
            <w:tcW w:w="2674" w:type="dxa"/>
            <w:vAlign w:val="center"/>
            <w:hideMark/>
          </w:tcPr>
          <w:p w14:paraId="3A56949C" w14:textId="77777777" w:rsidR="00E20666" w:rsidRPr="00934A95" w:rsidRDefault="00E20666" w:rsidP="00A12552">
            <w:pPr>
              <w:spacing w:after="0" w:line="360" w:lineRule="auto"/>
              <w:jc w:val="both"/>
              <w:rPr>
                <w:rFonts w:ascii="Arial" w:hAnsi="Arial" w:cs="Arial"/>
              </w:rPr>
            </w:pPr>
            <w:r w:rsidRPr="00934A95">
              <w:rPr>
                <w:rFonts w:ascii="Arial" w:hAnsi="Arial" w:cs="Arial"/>
              </w:rPr>
              <w:t>November 2025</w:t>
            </w:r>
          </w:p>
        </w:tc>
      </w:tr>
    </w:tbl>
    <w:p w14:paraId="15221CAC" w14:textId="77777777" w:rsidR="00715B22" w:rsidRPr="00934A95" w:rsidRDefault="00715B22" w:rsidP="00A12552">
      <w:pPr>
        <w:spacing w:after="0" w:line="360" w:lineRule="auto"/>
        <w:jc w:val="both"/>
        <w:rPr>
          <w:rFonts w:ascii="Arial" w:hAnsi="Arial" w:cs="Arial"/>
        </w:rPr>
      </w:pPr>
    </w:p>
    <w:sectPr w:rsidR="00715B22" w:rsidRPr="00934A95" w:rsidSect="006818F1">
      <w:footerReference w:type="default" r:id="rId24"/>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D3639" w14:textId="77777777" w:rsidR="00773E2F" w:rsidRDefault="00773E2F">
      <w:pPr>
        <w:spacing w:after="0" w:line="240" w:lineRule="auto"/>
      </w:pPr>
      <w:r>
        <w:separator/>
      </w:r>
    </w:p>
  </w:endnote>
  <w:endnote w:type="continuationSeparator" w:id="0">
    <w:p w14:paraId="210193FC" w14:textId="77777777" w:rsidR="00773E2F" w:rsidRDefault="00773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03B55" w14:textId="77777777" w:rsidR="00773E2F" w:rsidRDefault="00773E2F">
      <w:pPr>
        <w:spacing w:after="0" w:line="240" w:lineRule="auto"/>
      </w:pPr>
      <w:r>
        <w:separator/>
      </w:r>
    </w:p>
  </w:footnote>
  <w:footnote w:type="continuationSeparator" w:id="0">
    <w:p w14:paraId="1D91B829" w14:textId="77777777" w:rsidR="00773E2F" w:rsidRDefault="00773E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7EA6"/>
    <w:multiLevelType w:val="multilevel"/>
    <w:tmpl w:val="1428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2555B"/>
    <w:multiLevelType w:val="multilevel"/>
    <w:tmpl w:val="888E2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47BA4"/>
    <w:multiLevelType w:val="multilevel"/>
    <w:tmpl w:val="50F0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547BC"/>
    <w:multiLevelType w:val="multilevel"/>
    <w:tmpl w:val="610A1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AA2F30"/>
    <w:multiLevelType w:val="multilevel"/>
    <w:tmpl w:val="FE800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624CE6"/>
    <w:multiLevelType w:val="hybridMultilevel"/>
    <w:tmpl w:val="B6045926"/>
    <w:lvl w:ilvl="0" w:tplc="0402000D">
      <w:start w:val="1"/>
      <w:numFmt w:val="bullet"/>
      <w:lvlText w:val=""/>
      <w:lvlJc w:val="left"/>
      <w:pPr>
        <w:ind w:left="1440" w:hanging="360"/>
      </w:pPr>
      <w:rPr>
        <w:rFonts w:ascii="Wingdings" w:hAnsi="Wingdings" w:hint="default"/>
      </w:rPr>
    </w:lvl>
    <w:lvl w:ilvl="1" w:tplc="04020003">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15:restartNumberingAfterBreak="0">
    <w:nsid w:val="08682703"/>
    <w:multiLevelType w:val="multilevel"/>
    <w:tmpl w:val="D016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651E29"/>
    <w:multiLevelType w:val="multilevel"/>
    <w:tmpl w:val="8DFEC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773CC8"/>
    <w:multiLevelType w:val="multilevel"/>
    <w:tmpl w:val="4B845F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00FE7"/>
    <w:multiLevelType w:val="multilevel"/>
    <w:tmpl w:val="6E7C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0966DF"/>
    <w:multiLevelType w:val="multilevel"/>
    <w:tmpl w:val="7E367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CF1DB6"/>
    <w:multiLevelType w:val="multilevel"/>
    <w:tmpl w:val="19B46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0415CE"/>
    <w:multiLevelType w:val="multilevel"/>
    <w:tmpl w:val="579C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F761A0"/>
    <w:multiLevelType w:val="multilevel"/>
    <w:tmpl w:val="F3FC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0610C9"/>
    <w:multiLevelType w:val="multilevel"/>
    <w:tmpl w:val="4DC8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5A0802"/>
    <w:multiLevelType w:val="multilevel"/>
    <w:tmpl w:val="E6C2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A5481F"/>
    <w:multiLevelType w:val="multilevel"/>
    <w:tmpl w:val="3132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51073F"/>
    <w:multiLevelType w:val="multilevel"/>
    <w:tmpl w:val="688A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8D008A"/>
    <w:multiLevelType w:val="hybridMultilevel"/>
    <w:tmpl w:val="AD701878"/>
    <w:lvl w:ilvl="0" w:tplc="9708946E">
      <w:start w:val="1"/>
      <w:numFmt w:val="bullet"/>
      <w:lvlText w:val=""/>
      <w:lvlJc w:val="left"/>
      <w:pPr>
        <w:ind w:left="720" w:hanging="360"/>
      </w:pPr>
      <w:rPr>
        <w:rFonts w:ascii="Symbol" w:hAnsi="Symbol" w:hint="default"/>
      </w:rPr>
    </w:lvl>
    <w:lvl w:ilvl="1" w:tplc="ED0C6B46" w:tentative="1">
      <w:start w:val="1"/>
      <w:numFmt w:val="bullet"/>
      <w:lvlText w:val="o"/>
      <w:lvlJc w:val="left"/>
      <w:pPr>
        <w:ind w:left="1440" w:hanging="360"/>
      </w:pPr>
      <w:rPr>
        <w:rFonts w:ascii="Courier New" w:hAnsi="Courier New" w:cs="Courier New" w:hint="default"/>
      </w:rPr>
    </w:lvl>
    <w:lvl w:ilvl="2" w:tplc="E1D41CB4" w:tentative="1">
      <w:start w:val="1"/>
      <w:numFmt w:val="bullet"/>
      <w:lvlText w:val=""/>
      <w:lvlJc w:val="left"/>
      <w:pPr>
        <w:ind w:left="2160" w:hanging="360"/>
      </w:pPr>
      <w:rPr>
        <w:rFonts w:ascii="Wingdings" w:hAnsi="Wingdings" w:hint="default"/>
      </w:rPr>
    </w:lvl>
    <w:lvl w:ilvl="3" w:tplc="6E7C2A50" w:tentative="1">
      <w:start w:val="1"/>
      <w:numFmt w:val="bullet"/>
      <w:lvlText w:val=""/>
      <w:lvlJc w:val="left"/>
      <w:pPr>
        <w:ind w:left="2880" w:hanging="360"/>
      </w:pPr>
      <w:rPr>
        <w:rFonts w:ascii="Symbol" w:hAnsi="Symbol" w:hint="default"/>
      </w:rPr>
    </w:lvl>
    <w:lvl w:ilvl="4" w:tplc="B68E19CC" w:tentative="1">
      <w:start w:val="1"/>
      <w:numFmt w:val="bullet"/>
      <w:lvlText w:val="o"/>
      <w:lvlJc w:val="left"/>
      <w:pPr>
        <w:ind w:left="3600" w:hanging="360"/>
      </w:pPr>
      <w:rPr>
        <w:rFonts w:ascii="Courier New" w:hAnsi="Courier New" w:cs="Courier New" w:hint="default"/>
      </w:rPr>
    </w:lvl>
    <w:lvl w:ilvl="5" w:tplc="FF5AD878" w:tentative="1">
      <w:start w:val="1"/>
      <w:numFmt w:val="bullet"/>
      <w:lvlText w:val=""/>
      <w:lvlJc w:val="left"/>
      <w:pPr>
        <w:ind w:left="4320" w:hanging="360"/>
      </w:pPr>
      <w:rPr>
        <w:rFonts w:ascii="Wingdings" w:hAnsi="Wingdings" w:hint="default"/>
      </w:rPr>
    </w:lvl>
    <w:lvl w:ilvl="6" w:tplc="FC109260" w:tentative="1">
      <w:start w:val="1"/>
      <w:numFmt w:val="bullet"/>
      <w:lvlText w:val=""/>
      <w:lvlJc w:val="left"/>
      <w:pPr>
        <w:ind w:left="5040" w:hanging="360"/>
      </w:pPr>
      <w:rPr>
        <w:rFonts w:ascii="Symbol" w:hAnsi="Symbol" w:hint="default"/>
      </w:rPr>
    </w:lvl>
    <w:lvl w:ilvl="7" w:tplc="19DA33BA" w:tentative="1">
      <w:start w:val="1"/>
      <w:numFmt w:val="bullet"/>
      <w:lvlText w:val="o"/>
      <w:lvlJc w:val="left"/>
      <w:pPr>
        <w:ind w:left="5760" w:hanging="360"/>
      </w:pPr>
      <w:rPr>
        <w:rFonts w:ascii="Courier New" w:hAnsi="Courier New" w:cs="Courier New" w:hint="default"/>
      </w:rPr>
    </w:lvl>
    <w:lvl w:ilvl="8" w:tplc="E8523DA4" w:tentative="1">
      <w:start w:val="1"/>
      <w:numFmt w:val="bullet"/>
      <w:lvlText w:val=""/>
      <w:lvlJc w:val="left"/>
      <w:pPr>
        <w:ind w:left="6480" w:hanging="360"/>
      </w:pPr>
      <w:rPr>
        <w:rFonts w:ascii="Wingdings" w:hAnsi="Wingdings" w:hint="default"/>
      </w:rPr>
    </w:lvl>
  </w:abstractNum>
  <w:abstractNum w:abstractNumId="19" w15:restartNumberingAfterBreak="0">
    <w:nsid w:val="1632208A"/>
    <w:multiLevelType w:val="multilevel"/>
    <w:tmpl w:val="28A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B66C66"/>
    <w:multiLevelType w:val="multilevel"/>
    <w:tmpl w:val="89946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147595"/>
    <w:multiLevelType w:val="multilevel"/>
    <w:tmpl w:val="2B78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4F48CE"/>
    <w:multiLevelType w:val="multilevel"/>
    <w:tmpl w:val="A2C2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F87267"/>
    <w:multiLevelType w:val="multilevel"/>
    <w:tmpl w:val="778C9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4304FA"/>
    <w:multiLevelType w:val="multilevel"/>
    <w:tmpl w:val="1C3C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FC370D"/>
    <w:multiLevelType w:val="hybridMultilevel"/>
    <w:tmpl w:val="7616CF9A"/>
    <w:lvl w:ilvl="0" w:tplc="0402000F">
      <w:start w:val="1"/>
      <w:numFmt w:val="decimal"/>
      <w:lvlText w:val="%1."/>
      <w:lvlJc w:val="left"/>
      <w:pPr>
        <w:ind w:left="3762" w:hanging="360"/>
      </w:pPr>
      <w:rPr>
        <w:rFonts w:hint="default"/>
      </w:rPr>
    </w:lvl>
    <w:lvl w:ilvl="1" w:tplc="FFFFFFFF" w:tentative="1">
      <w:start w:val="1"/>
      <w:numFmt w:val="bullet"/>
      <w:lvlText w:val="o"/>
      <w:lvlJc w:val="left"/>
      <w:pPr>
        <w:ind w:left="4482" w:hanging="360"/>
      </w:pPr>
      <w:rPr>
        <w:rFonts w:ascii="Courier New" w:hAnsi="Courier New" w:cs="Courier New" w:hint="default"/>
      </w:rPr>
    </w:lvl>
    <w:lvl w:ilvl="2" w:tplc="FFFFFFFF" w:tentative="1">
      <w:start w:val="1"/>
      <w:numFmt w:val="bullet"/>
      <w:lvlText w:val=""/>
      <w:lvlJc w:val="left"/>
      <w:pPr>
        <w:ind w:left="5202" w:hanging="360"/>
      </w:pPr>
      <w:rPr>
        <w:rFonts w:ascii="Wingdings" w:hAnsi="Wingdings" w:hint="default"/>
      </w:rPr>
    </w:lvl>
    <w:lvl w:ilvl="3" w:tplc="FFFFFFFF" w:tentative="1">
      <w:start w:val="1"/>
      <w:numFmt w:val="bullet"/>
      <w:lvlText w:val=""/>
      <w:lvlJc w:val="left"/>
      <w:pPr>
        <w:ind w:left="5922" w:hanging="360"/>
      </w:pPr>
      <w:rPr>
        <w:rFonts w:ascii="Symbol" w:hAnsi="Symbol" w:hint="default"/>
      </w:rPr>
    </w:lvl>
    <w:lvl w:ilvl="4" w:tplc="FFFFFFFF" w:tentative="1">
      <w:start w:val="1"/>
      <w:numFmt w:val="bullet"/>
      <w:lvlText w:val="o"/>
      <w:lvlJc w:val="left"/>
      <w:pPr>
        <w:ind w:left="6642" w:hanging="360"/>
      </w:pPr>
      <w:rPr>
        <w:rFonts w:ascii="Courier New" w:hAnsi="Courier New" w:cs="Courier New" w:hint="default"/>
      </w:rPr>
    </w:lvl>
    <w:lvl w:ilvl="5" w:tplc="FFFFFFFF" w:tentative="1">
      <w:start w:val="1"/>
      <w:numFmt w:val="bullet"/>
      <w:lvlText w:val=""/>
      <w:lvlJc w:val="left"/>
      <w:pPr>
        <w:ind w:left="7362" w:hanging="360"/>
      </w:pPr>
      <w:rPr>
        <w:rFonts w:ascii="Wingdings" w:hAnsi="Wingdings" w:hint="default"/>
      </w:rPr>
    </w:lvl>
    <w:lvl w:ilvl="6" w:tplc="FFFFFFFF" w:tentative="1">
      <w:start w:val="1"/>
      <w:numFmt w:val="bullet"/>
      <w:lvlText w:val=""/>
      <w:lvlJc w:val="left"/>
      <w:pPr>
        <w:ind w:left="8082" w:hanging="360"/>
      </w:pPr>
      <w:rPr>
        <w:rFonts w:ascii="Symbol" w:hAnsi="Symbol" w:hint="default"/>
      </w:rPr>
    </w:lvl>
    <w:lvl w:ilvl="7" w:tplc="FFFFFFFF" w:tentative="1">
      <w:start w:val="1"/>
      <w:numFmt w:val="bullet"/>
      <w:lvlText w:val="o"/>
      <w:lvlJc w:val="left"/>
      <w:pPr>
        <w:ind w:left="8802" w:hanging="360"/>
      </w:pPr>
      <w:rPr>
        <w:rFonts w:ascii="Courier New" w:hAnsi="Courier New" w:cs="Courier New" w:hint="default"/>
      </w:rPr>
    </w:lvl>
    <w:lvl w:ilvl="8" w:tplc="FFFFFFFF" w:tentative="1">
      <w:start w:val="1"/>
      <w:numFmt w:val="bullet"/>
      <w:lvlText w:val=""/>
      <w:lvlJc w:val="left"/>
      <w:pPr>
        <w:ind w:left="9522" w:hanging="360"/>
      </w:pPr>
      <w:rPr>
        <w:rFonts w:ascii="Wingdings" w:hAnsi="Wingdings" w:hint="default"/>
      </w:rPr>
    </w:lvl>
  </w:abstractNum>
  <w:abstractNum w:abstractNumId="26" w15:restartNumberingAfterBreak="0">
    <w:nsid w:val="1C9E067F"/>
    <w:multiLevelType w:val="multilevel"/>
    <w:tmpl w:val="E184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FC353C"/>
    <w:multiLevelType w:val="multilevel"/>
    <w:tmpl w:val="06A4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42149E"/>
    <w:multiLevelType w:val="multilevel"/>
    <w:tmpl w:val="5768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4F28D7"/>
    <w:multiLevelType w:val="multilevel"/>
    <w:tmpl w:val="E50A4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FC32953"/>
    <w:multiLevelType w:val="multilevel"/>
    <w:tmpl w:val="44BA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F35509"/>
    <w:multiLevelType w:val="multilevel"/>
    <w:tmpl w:val="E200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800352"/>
    <w:multiLevelType w:val="multilevel"/>
    <w:tmpl w:val="397A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475486"/>
    <w:multiLevelType w:val="multilevel"/>
    <w:tmpl w:val="CD94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117852"/>
    <w:multiLevelType w:val="multilevel"/>
    <w:tmpl w:val="55483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257641"/>
    <w:multiLevelType w:val="multilevel"/>
    <w:tmpl w:val="E51AC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761E59"/>
    <w:multiLevelType w:val="multilevel"/>
    <w:tmpl w:val="DB3C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9A3B9C"/>
    <w:multiLevelType w:val="multilevel"/>
    <w:tmpl w:val="300C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141213"/>
    <w:multiLevelType w:val="multilevel"/>
    <w:tmpl w:val="13A4B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4D0ABD"/>
    <w:multiLevelType w:val="multilevel"/>
    <w:tmpl w:val="4A7C0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792812"/>
    <w:multiLevelType w:val="multilevel"/>
    <w:tmpl w:val="DB02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71203C"/>
    <w:multiLevelType w:val="multilevel"/>
    <w:tmpl w:val="B772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347281"/>
    <w:multiLevelType w:val="multilevel"/>
    <w:tmpl w:val="2324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7F2407"/>
    <w:multiLevelType w:val="multilevel"/>
    <w:tmpl w:val="C1FA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E830888"/>
    <w:multiLevelType w:val="multilevel"/>
    <w:tmpl w:val="EA42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F28555E"/>
    <w:multiLevelType w:val="multilevel"/>
    <w:tmpl w:val="9A12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4E7D1A"/>
    <w:multiLevelType w:val="multilevel"/>
    <w:tmpl w:val="650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2944B9"/>
    <w:multiLevelType w:val="multilevel"/>
    <w:tmpl w:val="74D6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0B5CE4"/>
    <w:multiLevelType w:val="multilevel"/>
    <w:tmpl w:val="B654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4B11A88"/>
    <w:multiLevelType w:val="multilevel"/>
    <w:tmpl w:val="285A8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DB618E"/>
    <w:multiLevelType w:val="multilevel"/>
    <w:tmpl w:val="9024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2F2B4E"/>
    <w:multiLevelType w:val="multilevel"/>
    <w:tmpl w:val="4E28B52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83D4522"/>
    <w:multiLevelType w:val="multilevel"/>
    <w:tmpl w:val="E54C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9C0D34"/>
    <w:multiLevelType w:val="multilevel"/>
    <w:tmpl w:val="808E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BD1030C"/>
    <w:multiLevelType w:val="multilevel"/>
    <w:tmpl w:val="2D30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863351"/>
    <w:multiLevelType w:val="multilevel"/>
    <w:tmpl w:val="F350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103266"/>
    <w:multiLevelType w:val="multilevel"/>
    <w:tmpl w:val="578E4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F6A7998"/>
    <w:multiLevelType w:val="multilevel"/>
    <w:tmpl w:val="FE5C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B80DD8"/>
    <w:multiLevelType w:val="hybridMultilevel"/>
    <w:tmpl w:val="B694F40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9" w15:restartNumberingAfterBreak="0">
    <w:nsid w:val="41053141"/>
    <w:multiLevelType w:val="multilevel"/>
    <w:tmpl w:val="4E28B52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22E2390"/>
    <w:multiLevelType w:val="multilevel"/>
    <w:tmpl w:val="129E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3E74A00"/>
    <w:multiLevelType w:val="multilevel"/>
    <w:tmpl w:val="6C6C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49B345B"/>
    <w:multiLevelType w:val="multilevel"/>
    <w:tmpl w:val="9AA4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5480ED8"/>
    <w:multiLevelType w:val="multilevel"/>
    <w:tmpl w:val="388E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6020317"/>
    <w:multiLevelType w:val="multilevel"/>
    <w:tmpl w:val="961E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64E647C"/>
    <w:multiLevelType w:val="multilevel"/>
    <w:tmpl w:val="5850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6CD7C49"/>
    <w:multiLevelType w:val="multilevel"/>
    <w:tmpl w:val="A98A8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791349"/>
    <w:multiLevelType w:val="multilevel"/>
    <w:tmpl w:val="0052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9E647F1"/>
    <w:multiLevelType w:val="multilevel"/>
    <w:tmpl w:val="7702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DD40E6E"/>
    <w:multiLevelType w:val="multilevel"/>
    <w:tmpl w:val="99E4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641952"/>
    <w:multiLevelType w:val="multilevel"/>
    <w:tmpl w:val="3C6C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F2B5C0F"/>
    <w:multiLevelType w:val="multilevel"/>
    <w:tmpl w:val="4E28B52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2B10EA1"/>
    <w:multiLevelType w:val="multilevel"/>
    <w:tmpl w:val="EDDE1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3C73FAB"/>
    <w:multiLevelType w:val="hybridMultilevel"/>
    <w:tmpl w:val="756E5E60"/>
    <w:lvl w:ilvl="0" w:tplc="BB44C832">
      <w:start w:val="1"/>
      <w:numFmt w:val="bullet"/>
      <w:lvlText w:val=""/>
      <w:lvlJc w:val="left"/>
      <w:pPr>
        <w:ind w:left="720" w:hanging="360"/>
      </w:pPr>
      <w:rPr>
        <w:rFonts w:ascii="Symbol" w:hAnsi="Symbol" w:hint="default"/>
      </w:rPr>
    </w:lvl>
    <w:lvl w:ilvl="1" w:tplc="BEC8A7B0" w:tentative="1">
      <w:start w:val="1"/>
      <w:numFmt w:val="bullet"/>
      <w:lvlText w:val="o"/>
      <w:lvlJc w:val="left"/>
      <w:pPr>
        <w:ind w:left="1440" w:hanging="360"/>
      </w:pPr>
      <w:rPr>
        <w:rFonts w:ascii="Courier New" w:hAnsi="Courier New" w:cs="Courier New" w:hint="default"/>
      </w:rPr>
    </w:lvl>
    <w:lvl w:ilvl="2" w:tplc="B24ECF8C" w:tentative="1">
      <w:start w:val="1"/>
      <w:numFmt w:val="bullet"/>
      <w:lvlText w:val=""/>
      <w:lvlJc w:val="left"/>
      <w:pPr>
        <w:ind w:left="2160" w:hanging="360"/>
      </w:pPr>
      <w:rPr>
        <w:rFonts w:ascii="Wingdings" w:hAnsi="Wingdings" w:hint="default"/>
      </w:rPr>
    </w:lvl>
    <w:lvl w:ilvl="3" w:tplc="E75EB904" w:tentative="1">
      <w:start w:val="1"/>
      <w:numFmt w:val="bullet"/>
      <w:lvlText w:val=""/>
      <w:lvlJc w:val="left"/>
      <w:pPr>
        <w:ind w:left="2880" w:hanging="360"/>
      </w:pPr>
      <w:rPr>
        <w:rFonts w:ascii="Symbol" w:hAnsi="Symbol" w:hint="default"/>
      </w:rPr>
    </w:lvl>
    <w:lvl w:ilvl="4" w:tplc="60CCFEF0" w:tentative="1">
      <w:start w:val="1"/>
      <w:numFmt w:val="bullet"/>
      <w:lvlText w:val="o"/>
      <w:lvlJc w:val="left"/>
      <w:pPr>
        <w:ind w:left="3600" w:hanging="360"/>
      </w:pPr>
      <w:rPr>
        <w:rFonts w:ascii="Courier New" w:hAnsi="Courier New" w:cs="Courier New" w:hint="default"/>
      </w:rPr>
    </w:lvl>
    <w:lvl w:ilvl="5" w:tplc="D9B6AA30" w:tentative="1">
      <w:start w:val="1"/>
      <w:numFmt w:val="bullet"/>
      <w:lvlText w:val=""/>
      <w:lvlJc w:val="left"/>
      <w:pPr>
        <w:ind w:left="4320" w:hanging="360"/>
      </w:pPr>
      <w:rPr>
        <w:rFonts w:ascii="Wingdings" w:hAnsi="Wingdings" w:hint="default"/>
      </w:rPr>
    </w:lvl>
    <w:lvl w:ilvl="6" w:tplc="7B18C262" w:tentative="1">
      <w:start w:val="1"/>
      <w:numFmt w:val="bullet"/>
      <w:lvlText w:val=""/>
      <w:lvlJc w:val="left"/>
      <w:pPr>
        <w:ind w:left="5040" w:hanging="360"/>
      </w:pPr>
      <w:rPr>
        <w:rFonts w:ascii="Symbol" w:hAnsi="Symbol" w:hint="default"/>
      </w:rPr>
    </w:lvl>
    <w:lvl w:ilvl="7" w:tplc="DEB09F7C" w:tentative="1">
      <w:start w:val="1"/>
      <w:numFmt w:val="bullet"/>
      <w:lvlText w:val="o"/>
      <w:lvlJc w:val="left"/>
      <w:pPr>
        <w:ind w:left="5760" w:hanging="360"/>
      </w:pPr>
      <w:rPr>
        <w:rFonts w:ascii="Courier New" w:hAnsi="Courier New" w:cs="Courier New" w:hint="default"/>
      </w:rPr>
    </w:lvl>
    <w:lvl w:ilvl="8" w:tplc="DE889C4E" w:tentative="1">
      <w:start w:val="1"/>
      <w:numFmt w:val="bullet"/>
      <w:lvlText w:val=""/>
      <w:lvlJc w:val="left"/>
      <w:pPr>
        <w:ind w:left="6480" w:hanging="360"/>
      </w:pPr>
      <w:rPr>
        <w:rFonts w:ascii="Wingdings" w:hAnsi="Wingdings" w:hint="default"/>
      </w:rPr>
    </w:lvl>
  </w:abstractNum>
  <w:abstractNum w:abstractNumId="74"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15:restartNumberingAfterBreak="0">
    <w:nsid w:val="56583C11"/>
    <w:multiLevelType w:val="multilevel"/>
    <w:tmpl w:val="178CB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7F10AB3"/>
    <w:multiLevelType w:val="multilevel"/>
    <w:tmpl w:val="468C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455CC8"/>
    <w:multiLevelType w:val="multilevel"/>
    <w:tmpl w:val="50F4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A762F21"/>
    <w:multiLevelType w:val="multilevel"/>
    <w:tmpl w:val="6144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AC03262"/>
    <w:multiLevelType w:val="hybridMultilevel"/>
    <w:tmpl w:val="281C18C4"/>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80" w15:restartNumberingAfterBreak="0">
    <w:nsid w:val="5BD00CC8"/>
    <w:multiLevelType w:val="multilevel"/>
    <w:tmpl w:val="2266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096524"/>
    <w:multiLevelType w:val="multilevel"/>
    <w:tmpl w:val="E33C0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E5F3C70"/>
    <w:multiLevelType w:val="multilevel"/>
    <w:tmpl w:val="9E68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8F4CE1"/>
    <w:multiLevelType w:val="multilevel"/>
    <w:tmpl w:val="137CC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15C4CA1"/>
    <w:multiLevelType w:val="multilevel"/>
    <w:tmpl w:val="1BF27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3381C43"/>
    <w:multiLevelType w:val="multilevel"/>
    <w:tmpl w:val="C600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864645"/>
    <w:multiLevelType w:val="hybridMultilevel"/>
    <w:tmpl w:val="8FD8B7A6"/>
    <w:lvl w:ilvl="0" w:tplc="0402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7" w15:restartNumberingAfterBreak="0">
    <w:nsid w:val="63F73DA6"/>
    <w:multiLevelType w:val="multilevel"/>
    <w:tmpl w:val="A1C47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375740"/>
    <w:multiLevelType w:val="multilevel"/>
    <w:tmpl w:val="D494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006B7F"/>
    <w:multiLevelType w:val="multilevel"/>
    <w:tmpl w:val="4594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6826564"/>
    <w:multiLevelType w:val="hybridMultilevel"/>
    <w:tmpl w:val="F5AEB1FE"/>
    <w:lvl w:ilvl="0" w:tplc="04020001">
      <w:start w:val="1"/>
      <w:numFmt w:val="bullet"/>
      <w:lvlText w:val=""/>
      <w:lvlJc w:val="left"/>
      <w:pPr>
        <w:ind w:left="3762" w:hanging="360"/>
      </w:pPr>
      <w:rPr>
        <w:rFonts w:ascii="Symbol" w:hAnsi="Symbol" w:hint="default"/>
      </w:rPr>
    </w:lvl>
    <w:lvl w:ilvl="1" w:tplc="04020003" w:tentative="1">
      <w:start w:val="1"/>
      <w:numFmt w:val="bullet"/>
      <w:lvlText w:val="o"/>
      <w:lvlJc w:val="left"/>
      <w:pPr>
        <w:ind w:left="4482" w:hanging="360"/>
      </w:pPr>
      <w:rPr>
        <w:rFonts w:ascii="Courier New" w:hAnsi="Courier New" w:cs="Courier New" w:hint="default"/>
      </w:rPr>
    </w:lvl>
    <w:lvl w:ilvl="2" w:tplc="04020005" w:tentative="1">
      <w:start w:val="1"/>
      <w:numFmt w:val="bullet"/>
      <w:lvlText w:val=""/>
      <w:lvlJc w:val="left"/>
      <w:pPr>
        <w:ind w:left="5202" w:hanging="360"/>
      </w:pPr>
      <w:rPr>
        <w:rFonts w:ascii="Wingdings" w:hAnsi="Wingdings" w:hint="default"/>
      </w:rPr>
    </w:lvl>
    <w:lvl w:ilvl="3" w:tplc="04020001" w:tentative="1">
      <w:start w:val="1"/>
      <w:numFmt w:val="bullet"/>
      <w:lvlText w:val=""/>
      <w:lvlJc w:val="left"/>
      <w:pPr>
        <w:ind w:left="5922" w:hanging="360"/>
      </w:pPr>
      <w:rPr>
        <w:rFonts w:ascii="Symbol" w:hAnsi="Symbol" w:hint="default"/>
      </w:rPr>
    </w:lvl>
    <w:lvl w:ilvl="4" w:tplc="04020003" w:tentative="1">
      <w:start w:val="1"/>
      <w:numFmt w:val="bullet"/>
      <w:lvlText w:val="o"/>
      <w:lvlJc w:val="left"/>
      <w:pPr>
        <w:ind w:left="6642" w:hanging="360"/>
      </w:pPr>
      <w:rPr>
        <w:rFonts w:ascii="Courier New" w:hAnsi="Courier New" w:cs="Courier New" w:hint="default"/>
      </w:rPr>
    </w:lvl>
    <w:lvl w:ilvl="5" w:tplc="04020005" w:tentative="1">
      <w:start w:val="1"/>
      <w:numFmt w:val="bullet"/>
      <w:lvlText w:val=""/>
      <w:lvlJc w:val="left"/>
      <w:pPr>
        <w:ind w:left="7362" w:hanging="360"/>
      </w:pPr>
      <w:rPr>
        <w:rFonts w:ascii="Wingdings" w:hAnsi="Wingdings" w:hint="default"/>
      </w:rPr>
    </w:lvl>
    <w:lvl w:ilvl="6" w:tplc="04020001" w:tentative="1">
      <w:start w:val="1"/>
      <w:numFmt w:val="bullet"/>
      <w:lvlText w:val=""/>
      <w:lvlJc w:val="left"/>
      <w:pPr>
        <w:ind w:left="8082" w:hanging="360"/>
      </w:pPr>
      <w:rPr>
        <w:rFonts w:ascii="Symbol" w:hAnsi="Symbol" w:hint="default"/>
      </w:rPr>
    </w:lvl>
    <w:lvl w:ilvl="7" w:tplc="04020003" w:tentative="1">
      <w:start w:val="1"/>
      <w:numFmt w:val="bullet"/>
      <w:lvlText w:val="o"/>
      <w:lvlJc w:val="left"/>
      <w:pPr>
        <w:ind w:left="8802" w:hanging="360"/>
      </w:pPr>
      <w:rPr>
        <w:rFonts w:ascii="Courier New" w:hAnsi="Courier New" w:cs="Courier New" w:hint="default"/>
      </w:rPr>
    </w:lvl>
    <w:lvl w:ilvl="8" w:tplc="04020005" w:tentative="1">
      <w:start w:val="1"/>
      <w:numFmt w:val="bullet"/>
      <w:lvlText w:val=""/>
      <w:lvlJc w:val="left"/>
      <w:pPr>
        <w:ind w:left="9522" w:hanging="360"/>
      </w:pPr>
      <w:rPr>
        <w:rFonts w:ascii="Wingdings" w:hAnsi="Wingdings" w:hint="default"/>
      </w:rPr>
    </w:lvl>
  </w:abstractNum>
  <w:abstractNum w:abstractNumId="91"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8A425FC"/>
    <w:multiLevelType w:val="multilevel"/>
    <w:tmpl w:val="C62AC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8AD774C"/>
    <w:multiLevelType w:val="multilevel"/>
    <w:tmpl w:val="E876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B100EA1"/>
    <w:multiLevelType w:val="multilevel"/>
    <w:tmpl w:val="E99CB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C0006B2"/>
    <w:multiLevelType w:val="hybridMultilevel"/>
    <w:tmpl w:val="3BAA7C4C"/>
    <w:lvl w:ilvl="0" w:tplc="54DAB916">
      <w:start w:val="1"/>
      <w:numFmt w:val="bullet"/>
      <w:lvlText w:val=""/>
      <w:lvlJc w:val="left"/>
      <w:pPr>
        <w:ind w:left="720" w:hanging="360"/>
      </w:pPr>
      <w:rPr>
        <w:rFonts w:ascii="Symbol" w:hAnsi="Symbol" w:hint="default"/>
      </w:rPr>
    </w:lvl>
    <w:lvl w:ilvl="1" w:tplc="14A08190" w:tentative="1">
      <w:start w:val="1"/>
      <w:numFmt w:val="bullet"/>
      <w:lvlText w:val="o"/>
      <w:lvlJc w:val="left"/>
      <w:pPr>
        <w:ind w:left="1440" w:hanging="360"/>
      </w:pPr>
      <w:rPr>
        <w:rFonts w:ascii="Courier New" w:hAnsi="Courier New" w:cs="Courier New" w:hint="default"/>
      </w:rPr>
    </w:lvl>
    <w:lvl w:ilvl="2" w:tplc="0CD24858" w:tentative="1">
      <w:start w:val="1"/>
      <w:numFmt w:val="bullet"/>
      <w:lvlText w:val=""/>
      <w:lvlJc w:val="left"/>
      <w:pPr>
        <w:ind w:left="2160" w:hanging="360"/>
      </w:pPr>
      <w:rPr>
        <w:rFonts w:ascii="Wingdings" w:hAnsi="Wingdings" w:hint="default"/>
      </w:rPr>
    </w:lvl>
    <w:lvl w:ilvl="3" w:tplc="E8349148" w:tentative="1">
      <w:start w:val="1"/>
      <w:numFmt w:val="bullet"/>
      <w:lvlText w:val=""/>
      <w:lvlJc w:val="left"/>
      <w:pPr>
        <w:ind w:left="2880" w:hanging="360"/>
      </w:pPr>
      <w:rPr>
        <w:rFonts w:ascii="Symbol" w:hAnsi="Symbol" w:hint="default"/>
      </w:rPr>
    </w:lvl>
    <w:lvl w:ilvl="4" w:tplc="1144DEE2" w:tentative="1">
      <w:start w:val="1"/>
      <w:numFmt w:val="bullet"/>
      <w:lvlText w:val="o"/>
      <w:lvlJc w:val="left"/>
      <w:pPr>
        <w:ind w:left="3600" w:hanging="360"/>
      </w:pPr>
      <w:rPr>
        <w:rFonts w:ascii="Courier New" w:hAnsi="Courier New" w:cs="Courier New" w:hint="default"/>
      </w:rPr>
    </w:lvl>
    <w:lvl w:ilvl="5" w:tplc="16DC7F86" w:tentative="1">
      <w:start w:val="1"/>
      <w:numFmt w:val="bullet"/>
      <w:lvlText w:val=""/>
      <w:lvlJc w:val="left"/>
      <w:pPr>
        <w:ind w:left="4320" w:hanging="360"/>
      </w:pPr>
      <w:rPr>
        <w:rFonts w:ascii="Wingdings" w:hAnsi="Wingdings" w:hint="default"/>
      </w:rPr>
    </w:lvl>
    <w:lvl w:ilvl="6" w:tplc="B524D496" w:tentative="1">
      <w:start w:val="1"/>
      <w:numFmt w:val="bullet"/>
      <w:lvlText w:val=""/>
      <w:lvlJc w:val="left"/>
      <w:pPr>
        <w:ind w:left="5040" w:hanging="360"/>
      </w:pPr>
      <w:rPr>
        <w:rFonts w:ascii="Symbol" w:hAnsi="Symbol" w:hint="default"/>
      </w:rPr>
    </w:lvl>
    <w:lvl w:ilvl="7" w:tplc="17682E92" w:tentative="1">
      <w:start w:val="1"/>
      <w:numFmt w:val="bullet"/>
      <w:lvlText w:val="o"/>
      <w:lvlJc w:val="left"/>
      <w:pPr>
        <w:ind w:left="5760" w:hanging="360"/>
      </w:pPr>
      <w:rPr>
        <w:rFonts w:ascii="Courier New" w:hAnsi="Courier New" w:cs="Courier New" w:hint="default"/>
      </w:rPr>
    </w:lvl>
    <w:lvl w:ilvl="8" w:tplc="EDD460B0" w:tentative="1">
      <w:start w:val="1"/>
      <w:numFmt w:val="bullet"/>
      <w:lvlText w:val=""/>
      <w:lvlJc w:val="left"/>
      <w:pPr>
        <w:ind w:left="6480" w:hanging="360"/>
      </w:pPr>
      <w:rPr>
        <w:rFonts w:ascii="Wingdings" w:hAnsi="Wingdings" w:hint="default"/>
      </w:rPr>
    </w:lvl>
  </w:abstractNum>
  <w:abstractNum w:abstractNumId="96" w15:restartNumberingAfterBreak="0">
    <w:nsid w:val="6D0D5485"/>
    <w:multiLevelType w:val="multilevel"/>
    <w:tmpl w:val="5676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E8061D1"/>
    <w:multiLevelType w:val="multilevel"/>
    <w:tmpl w:val="A574C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73B95ADD"/>
    <w:multiLevelType w:val="multilevel"/>
    <w:tmpl w:val="2B44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3E61FEE"/>
    <w:multiLevelType w:val="multilevel"/>
    <w:tmpl w:val="62BA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5DD7F5D"/>
    <w:multiLevelType w:val="multilevel"/>
    <w:tmpl w:val="DEE0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63A627B"/>
    <w:multiLevelType w:val="hybridMultilevel"/>
    <w:tmpl w:val="84E6FD68"/>
    <w:lvl w:ilvl="0" w:tplc="AC18A832">
      <w:start w:val="1"/>
      <w:numFmt w:val="bullet"/>
      <w:lvlText w:val=""/>
      <w:lvlJc w:val="left"/>
      <w:pPr>
        <w:ind w:left="720" w:hanging="360"/>
      </w:pPr>
      <w:rPr>
        <w:rFonts w:ascii="Symbol" w:hAnsi="Symbol" w:hint="default"/>
      </w:rPr>
    </w:lvl>
    <w:lvl w:ilvl="1" w:tplc="16922732" w:tentative="1">
      <w:start w:val="1"/>
      <w:numFmt w:val="bullet"/>
      <w:lvlText w:val="o"/>
      <w:lvlJc w:val="left"/>
      <w:pPr>
        <w:ind w:left="1440" w:hanging="360"/>
      </w:pPr>
      <w:rPr>
        <w:rFonts w:ascii="Courier New" w:hAnsi="Courier New" w:cs="Courier New" w:hint="default"/>
      </w:rPr>
    </w:lvl>
    <w:lvl w:ilvl="2" w:tplc="1CC65736" w:tentative="1">
      <w:start w:val="1"/>
      <w:numFmt w:val="bullet"/>
      <w:lvlText w:val=""/>
      <w:lvlJc w:val="left"/>
      <w:pPr>
        <w:ind w:left="2160" w:hanging="360"/>
      </w:pPr>
      <w:rPr>
        <w:rFonts w:ascii="Wingdings" w:hAnsi="Wingdings" w:hint="default"/>
      </w:rPr>
    </w:lvl>
    <w:lvl w:ilvl="3" w:tplc="4EC8DE6A" w:tentative="1">
      <w:start w:val="1"/>
      <w:numFmt w:val="bullet"/>
      <w:lvlText w:val=""/>
      <w:lvlJc w:val="left"/>
      <w:pPr>
        <w:ind w:left="2880" w:hanging="360"/>
      </w:pPr>
      <w:rPr>
        <w:rFonts w:ascii="Symbol" w:hAnsi="Symbol" w:hint="default"/>
      </w:rPr>
    </w:lvl>
    <w:lvl w:ilvl="4" w:tplc="108E60A6" w:tentative="1">
      <w:start w:val="1"/>
      <w:numFmt w:val="bullet"/>
      <w:lvlText w:val="o"/>
      <w:lvlJc w:val="left"/>
      <w:pPr>
        <w:ind w:left="3600" w:hanging="360"/>
      </w:pPr>
      <w:rPr>
        <w:rFonts w:ascii="Courier New" w:hAnsi="Courier New" w:cs="Courier New" w:hint="default"/>
      </w:rPr>
    </w:lvl>
    <w:lvl w:ilvl="5" w:tplc="37621360" w:tentative="1">
      <w:start w:val="1"/>
      <w:numFmt w:val="bullet"/>
      <w:lvlText w:val=""/>
      <w:lvlJc w:val="left"/>
      <w:pPr>
        <w:ind w:left="4320" w:hanging="360"/>
      </w:pPr>
      <w:rPr>
        <w:rFonts w:ascii="Wingdings" w:hAnsi="Wingdings" w:hint="default"/>
      </w:rPr>
    </w:lvl>
    <w:lvl w:ilvl="6" w:tplc="A5F07A98" w:tentative="1">
      <w:start w:val="1"/>
      <w:numFmt w:val="bullet"/>
      <w:lvlText w:val=""/>
      <w:lvlJc w:val="left"/>
      <w:pPr>
        <w:ind w:left="5040" w:hanging="360"/>
      </w:pPr>
      <w:rPr>
        <w:rFonts w:ascii="Symbol" w:hAnsi="Symbol" w:hint="default"/>
      </w:rPr>
    </w:lvl>
    <w:lvl w:ilvl="7" w:tplc="8CB43950" w:tentative="1">
      <w:start w:val="1"/>
      <w:numFmt w:val="bullet"/>
      <w:lvlText w:val="o"/>
      <w:lvlJc w:val="left"/>
      <w:pPr>
        <w:ind w:left="5760" w:hanging="360"/>
      </w:pPr>
      <w:rPr>
        <w:rFonts w:ascii="Courier New" w:hAnsi="Courier New" w:cs="Courier New" w:hint="default"/>
      </w:rPr>
    </w:lvl>
    <w:lvl w:ilvl="8" w:tplc="39A010C8" w:tentative="1">
      <w:start w:val="1"/>
      <w:numFmt w:val="bullet"/>
      <w:lvlText w:val=""/>
      <w:lvlJc w:val="left"/>
      <w:pPr>
        <w:ind w:left="6480" w:hanging="360"/>
      </w:pPr>
      <w:rPr>
        <w:rFonts w:ascii="Wingdings" w:hAnsi="Wingdings" w:hint="default"/>
      </w:rPr>
    </w:lvl>
  </w:abstractNum>
  <w:abstractNum w:abstractNumId="103" w15:restartNumberingAfterBreak="0">
    <w:nsid w:val="7684010E"/>
    <w:multiLevelType w:val="multilevel"/>
    <w:tmpl w:val="4E28B52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775600FE"/>
    <w:multiLevelType w:val="hybridMultilevel"/>
    <w:tmpl w:val="98CEA1CA"/>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05" w15:restartNumberingAfterBreak="0">
    <w:nsid w:val="779723A9"/>
    <w:multiLevelType w:val="hybridMultilevel"/>
    <w:tmpl w:val="886863EC"/>
    <w:lvl w:ilvl="0" w:tplc="0402000F">
      <w:start w:val="1"/>
      <w:numFmt w:val="decimal"/>
      <w:lvlText w:val="%1."/>
      <w:lvlJc w:val="left"/>
      <w:pPr>
        <w:ind w:left="1080" w:hanging="360"/>
      </w:p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06" w15:restartNumberingAfterBreak="0">
    <w:nsid w:val="78162462"/>
    <w:multiLevelType w:val="multilevel"/>
    <w:tmpl w:val="12A24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86F028F"/>
    <w:multiLevelType w:val="multilevel"/>
    <w:tmpl w:val="A732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8FA5D6C"/>
    <w:multiLevelType w:val="multilevel"/>
    <w:tmpl w:val="96D8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CF22A5E"/>
    <w:multiLevelType w:val="multilevel"/>
    <w:tmpl w:val="18CC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509249">
    <w:abstractNumId w:val="74"/>
  </w:num>
  <w:num w:numId="2" w16cid:durableId="1614053347">
    <w:abstractNumId w:val="98"/>
  </w:num>
  <w:num w:numId="3" w16cid:durableId="1744251537">
    <w:abstractNumId w:val="91"/>
  </w:num>
  <w:num w:numId="4" w16cid:durableId="815759076">
    <w:abstractNumId w:val="73"/>
  </w:num>
  <w:num w:numId="5" w16cid:durableId="1657882524">
    <w:abstractNumId w:val="95"/>
  </w:num>
  <w:num w:numId="6" w16cid:durableId="1125930303">
    <w:abstractNumId w:val="18"/>
  </w:num>
  <w:num w:numId="7" w16cid:durableId="2003507037">
    <w:abstractNumId w:val="102"/>
  </w:num>
  <w:num w:numId="8" w16cid:durableId="756442047">
    <w:abstractNumId w:val="71"/>
  </w:num>
  <w:num w:numId="9" w16cid:durableId="1756628212">
    <w:abstractNumId w:val="97"/>
  </w:num>
  <w:num w:numId="10" w16cid:durableId="639387276">
    <w:abstractNumId w:val="15"/>
  </w:num>
  <w:num w:numId="11" w16cid:durableId="1669946851">
    <w:abstractNumId w:val="106"/>
  </w:num>
  <w:num w:numId="12" w16cid:durableId="389118447">
    <w:abstractNumId w:val="64"/>
  </w:num>
  <w:num w:numId="13" w16cid:durableId="1721124913">
    <w:abstractNumId w:val="16"/>
  </w:num>
  <w:num w:numId="14" w16cid:durableId="1354962564">
    <w:abstractNumId w:val="56"/>
  </w:num>
  <w:num w:numId="15" w16cid:durableId="1650937330">
    <w:abstractNumId w:val="6"/>
  </w:num>
  <w:num w:numId="16" w16cid:durableId="1733501028">
    <w:abstractNumId w:val="14"/>
  </w:num>
  <w:num w:numId="17" w16cid:durableId="1842115137">
    <w:abstractNumId w:val="78"/>
  </w:num>
  <w:num w:numId="18" w16cid:durableId="2049525240">
    <w:abstractNumId w:val="43"/>
  </w:num>
  <w:num w:numId="19" w16cid:durableId="1599679600">
    <w:abstractNumId w:val="49"/>
  </w:num>
  <w:num w:numId="20" w16cid:durableId="265773467">
    <w:abstractNumId w:val="58"/>
  </w:num>
  <w:num w:numId="21" w16cid:durableId="1054817619">
    <w:abstractNumId w:val="90"/>
  </w:num>
  <w:num w:numId="22" w16cid:durableId="420834616">
    <w:abstractNumId w:val="86"/>
  </w:num>
  <w:num w:numId="23" w16cid:durableId="708527540">
    <w:abstractNumId w:val="25"/>
  </w:num>
  <w:num w:numId="24" w16cid:durableId="982079819">
    <w:abstractNumId w:val="109"/>
  </w:num>
  <w:num w:numId="25" w16cid:durableId="1770853924">
    <w:abstractNumId w:val="52"/>
  </w:num>
  <w:num w:numId="26" w16cid:durableId="235168735">
    <w:abstractNumId w:val="32"/>
  </w:num>
  <w:num w:numId="27" w16cid:durableId="580679527">
    <w:abstractNumId w:val="29"/>
  </w:num>
  <w:num w:numId="28" w16cid:durableId="457574434">
    <w:abstractNumId w:val="83"/>
  </w:num>
  <w:num w:numId="29" w16cid:durableId="1688555554">
    <w:abstractNumId w:val="105"/>
  </w:num>
  <w:num w:numId="30" w16cid:durableId="1562788344">
    <w:abstractNumId w:val="104"/>
  </w:num>
  <w:num w:numId="31" w16cid:durableId="1078593222">
    <w:abstractNumId w:val="94"/>
  </w:num>
  <w:num w:numId="32" w16cid:durableId="675963442">
    <w:abstractNumId w:val="36"/>
  </w:num>
  <w:num w:numId="33" w16cid:durableId="1536189210">
    <w:abstractNumId w:val="67"/>
  </w:num>
  <w:num w:numId="34" w16cid:durableId="1796410398">
    <w:abstractNumId w:val="75"/>
  </w:num>
  <w:num w:numId="35" w16cid:durableId="1080713593">
    <w:abstractNumId w:val="3"/>
  </w:num>
  <w:num w:numId="36" w16cid:durableId="1071663291">
    <w:abstractNumId w:val="61"/>
  </w:num>
  <w:num w:numId="37" w16cid:durableId="1403216880">
    <w:abstractNumId w:val="101"/>
  </w:num>
  <w:num w:numId="38" w16cid:durableId="1322924438">
    <w:abstractNumId w:val="62"/>
  </w:num>
  <w:num w:numId="39" w16cid:durableId="772625953">
    <w:abstractNumId w:val="33"/>
  </w:num>
  <w:num w:numId="40" w16cid:durableId="902955241">
    <w:abstractNumId w:val="108"/>
  </w:num>
  <w:num w:numId="41" w16cid:durableId="1916937024">
    <w:abstractNumId w:val="7"/>
  </w:num>
  <w:num w:numId="42" w16cid:durableId="2134008548">
    <w:abstractNumId w:val="84"/>
  </w:num>
  <w:num w:numId="43" w16cid:durableId="418066481">
    <w:abstractNumId w:val="96"/>
  </w:num>
  <w:num w:numId="44" w16cid:durableId="433331794">
    <w:abstractNumId w:val="57"/>
  </w:num>
  <w:num w:numId="45" w16cid:durableId="1078405789">
    <w:abstractNumId w:val="68"/>
  </w:num>
  <w:num w:numId="46" w16cid:durableId="1324894568">
    <w:abstractNumId w:val="92"/>
  </w:num>
  <w:num w:numId="47" w16cid:durableId="817502946">
    <w:abstractNumId w:val="0"/>
  </w:num>
  <w:num w:numId="48" w16cid:durableId="78645375">
    <w:abstractNumId w:val="21"/>
  </w:num>
  <w:num w:numId="49" w16cid:durableId="655232971">
    <w:abstractNumId w:val="20"/>
  </w:num>
  <w:num w:numId="50" w16cid:durableId="1951812266">
    <w:abstractNumId w:val="27"/>
  </w:num>
  <w:num w:numId="51" w16cid:durableId="943730186">
    <w:abstractNumId w:val="44"/>
  </w:num>
  <w:num w:numId="52" w16cid:durableId="874998922">
    <w:abstractNumId w:val="93"/>
  </w:num>
  <w:num w:numId="53" w16cid:durableId="750737192">
    <w:abstractNumId w:val="40"/>
  </w:num>
  <w:num w:numId="54" w16cid:durableId="26565867">
    <w:abstractNumId w:val="79"/>
  </w:num>
  <w:num w:numId="55" w16cid:durableId="620888296">
    <w:abstractNumId w:val="103"/>
  </w:num>
  <w:num w:numId="56" w16cid:durableId="978609196">
    <w:abstractNumId w:val="59"/>
  </w:num>
  <w:num w:numId="57" w16cid:durableId="578946676">
    <w:abstractNumId w:val="51"/>
  </w:num>
  <w:num w:numId="58" w16cid:durableId="702487924">
    <w:abstractNumId w:val="77"/>
  </w:num>
  <w:num w:numId="59" w16cid:durableId="1272785779">
    <w:abstractNumId w:val="38"/>
  </w:num>
  <w:num w:numId="60" w16cid:durableId="1138231408">
    <w:abstractNumId w:val="9"/>
  </w:num>
  <w:num w:numId="61" w16cid:durableId="1167865784">
    <w:abstractNumId w:val="2"/>
  </w:num>
  <w:num w:numId="62" w16cid:durableId="38744567">
    <w:abstractNumId w:val="55"/>
  </w:num>
  <w:num w:numId="63" w16cid:durableId="1586453456">
    <w:abstractNumId w:val="70"/>
  </w:num>
  <w:num w:numId="64" w16cid:durableId="804397099">
    <w:abstractNumId w:val="107"/>
  </w:num>
  <w:num w:numId="65" w16cid:durableId="1068529586">
    <w:abstractNumId w:val="63"/>
  </w:num>
  <w:num w:numId="66" w16cid:durableId="870536498">
    <w:abstractNumId w:val="54"/>
  </w:num>
  <w:num w:numId="67" w16cid:durableId="11156083">
    <w:abstractNumId w:val="47"/>
  </w:num>
  <w:num w:numId="68" w16cid:durableId="312410771">
    <w:abstractNumId w:val="10"/>
  </w:num>
  <w:num w:numId="69" w16cid:durableId="685059170">
    <w:abstractNumId w:val="82"/>
  </w:num>
  <w:num w:numId="70" w16cid:durableId="994139968">
    <w:abstractNumId w:val="88"/>
  </w:num>
  <w:num w:numId="71" w16cid:durableId="509219520">
    <w:abstractNumId w:val="85"/>
  </w:num>
  <w:num w:numId="72" w16cid:durableId="716393524">
    <w:abstractNumId w:val="8"/>
  </w:num>
  <w:num w:numId="73" w16cid:durableId="1498571039">
    <w:abstractNumId w:val="24"/>
  </w:num>
  <w:num w:numId="74" w16cid:durableId="1891453565">
    <w:abstractNumId w:val="34"/>
  </w:num>
  <w:num w:numId="75" w16cid:durableId="379551483">
    <w:abstractNumId w:val="80"/>
  </w:num>
  <w:num w:numId="76" w16cid:durableId="2112049381">
    <w:abstractNumId w:val="46"/>
  </w:num>
  <w:num w:numId="77" w16cid:durableId="31856047">
    <w:abstractNumId w:val="35"/>
  </w:num>
  <w:num w:numId="78" w16cid:durableId="721438939">
    <w:abstractNumId w:val="31"/>
  </w:num>
  <w:num w:numId="79" w16cid:durableId="1119687412">
    <w:abstractNumId w:val="69"/>
  </w:num>
  <w:num w:numId="80" w16cid:durableId="2074549049">
    <w:abstractNumId w:val="45"/>
  </w:num>
  <w:num w:numId="81" w16cid:durableId="123042911">
    <w:abstractNumId w:val="11"/>
  </w:num>
  <w:num w:numId="82" w16cid:durableId="1487747612">
    <w:abstractNumId w:val="23"/>
  </w:num>
  <w:num w:numId="83" w16cid:durableId="206727780">
    <w:abstractNumId w:val="99"/>
  </w:num>
  <w:num w:numId="84" w16cid:durableId="1803384507">
    <w:abstractNumId w:val="66"/>
  </w:num>
  <w:num w:numId="85" w16cid:durableId="297879466">
    <w:abstractNumId w:val="37"/>
  </w:num>
  <w:num w:numId="86" w16cid:durableId="751514444">
    <w:abstractNumId w:val="17"/>
  </w:num>
  <w:num w:numId="87" w16cid:durableId="147331660">
    <w:abstractNumId w:val="30"/>
  </w:num>
  <w:num w:numId="88" w16cid:durableId="1299922209">
    <w:abstractNumId w:val="22"/>
  </w:num>
  <w:num w:numId="89" w16cid:durableId="1764957950">
    <w:abstractNumId w:val="72"/>
  </w:num>
  <w:num w:numId="90" w16cid:durableId="1933124446">
    <w:abstractNumId w:val="12"/>
  </w:num>
  <w:num w:numId="91" w16cid:durableId="1888830525">
    <w:abstractNumId w:val="13"/>
  </w:num>
  <w:num w:numId="92" w16cid:durableId="2020042976">
    <w:abstractNumId w:val="41"/>
  </w:num>
  <w:num w:numId="93" w16cid:durableId="1083843711">
    <w:abstractNumId w:val="42"/>
  </w:num>
  <w:num w:numId="94" w16cid:durableId="941953068">
    <w:abstractNumId w:val="89"/>
  </w:num>
  <w:num w:numId="95" w16cid:durableId="1505898673">
    <w:abstractNumId w:val="28"/>
  </w:num>
  <w:num w:numId="96" w16cid:durableId="192235101">
    <w:abstractNumId w:val="53"/>
  </w:num>
  <w:num w:numId="97" w16cid:durableId="777994626">
    <w:abstractNumId w:val="39"/>
  </w:num>
  <w:num w:numId="98" w16cid:durableId="1354189770">
    <w:abstractNumId w:val="81"/>
  </w:num>
  <w:num w:numId="99" w16cid:durableId="149978542">
    <w:abstractNumId w:val="65"/>
  </w:num>
  <w:num w:numId="100" w16cid:durableId="1823307416">
    <w:abstractNumId w:val="50"/>
  </w:num>
  <w:num w:numId="101" w16cid:durableId="364327041">
    <w:abstractNumId w:val="1"/>
  </w:num>
  <w:num w:numId="102" w16cid:durableId="1862040721">
    <w:abstractNumId w:val="100"/>
  </w:num>
  <w:num w:numId="103" w16cid:durableId="1208764251">
    <w:abstractNumId w:val="19"/>
  </w:num>
  <w:num w:numId="104" w16cid:durableId="961423449">
    <w:abstractNumId w:val="4"/>
  </w:num>
  <w:num w:numId="105" w16cid:durableId="404189483">
    <w:abstractNumId w:val="26"/>
  </w:num>
  <w:num w:numId="106" w16cid:durableId="1562448776">
    <w:abstractNumId w:val="60"/>
  </w:num>
  <w:num w:numId="107" w16cid:durableId="272908233">
    <w:abstractNumId w:val="87"/>
  </w:num>
  <w:num w:numId="108" w16cid:durableId="1675182452">
    <w:abstractNumId w:val="48"/>
  </w:num>
  <w:num w:numId="109" w16cid:durableId="5136063">
    <w:abstractNumId w:val="76"/>
  </w:num>
  <w:num w:numId="110" w16cid:durableId="17635982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11D37"/>
    <w:rsid w:val="000221DF"/>
    <w:rsid w:val="0002643A"/>
    <w:rsid w:val="000609FA"/>
    <w:rsid w:val="00061971"/>
    <w:rsid w:val="00071D32"/>
    <w:rsid w:val="00082318"/>
    <w:rsid w:val="000A172E"/>
    <w:rsid w:val="000A2847"/>
    <w:rsid w:val="000A7C61"/>
    <w:rsid w:val="000B0558"/>
    <w:rsid w:val="000C021E"/>
    <w:rsid w:val="000C10CE"/>
    <w:rsid w:val="000E01E1"/>
    <w:rsid w:val="000E0A89"/>
    <w:rsid w:val="000E36BE"/>
    <w:rsid w:val="000E7D76"/>
    <w:rsid w:val="00117B6F"/>
    <w:rsid w:val="00133D0E"/>
    <w:rsid w:val="00133EF9"/>
    <w:rsid w:val="00136F8A"/>
    <w:rsid w:val="00162700"/>
    <w:rsid w:val="0016666C"/>
    <w:rsid w:val="00170536"/>
    <w:rsid w:val="00171F93"/>
    <w:rsid w:val="00174127"/>
    <w:rsid w:val="001761CE"/>
    <w:rsid w:val="00176D04"/>
    <w:rsid w:val="0018429D"/>
    <w:rsid w:val="00192426"/>
    <w:rsid w:val="0019320C"/>
    <w:rsid w:val="001B117F"/>
    <w:rsid w:val="001C08F7"/>
    <w:rsid w:val="001E015B"/>
    <w:rsid w:val="002020D8"/>
    <w:rsid w:val="00213F2E"/>
    <w:rsid w:val="00220792"/>
    <w:rsid w:val="0022624A"/>
    <w:rsid w:val="002407C8"/>
    <w:rsid w:val="002431CD"/>
    <w:rsid w:val="00266D6C"/>
    <w:rsid w:val="00281E0E"/>
    <w:rsid w:val="00285DAF"/>
    <w:rsid w:val="002D08FC"/>
    <w:rsid w:val="00310624"/>
    <w:rsid w:val="00324FB3"/>
    <w:rsid w:val="0032602D"/>
    <w:rsid w:val="00332472"/>
    <w:rsid w:val="00334D76"/>
    <w:rsid w:val="0034427D"/>
    <w:rsid w:val="00353A97"/>
    <w:rsid w:val="003826E4"/>
    <w:rsid w:val="00386155"/>
    <w:rsid w:val="00387C5B"/>
    <w:rsid w:val="00391826"/>
    <w:rsid w:val="00392F63"/>
    <w:rsid w:val="003C17C2"/>
    <w:rsid w:val="003F092A"/>
    <w:rsid w:val="003F0DCA"/>
    <w:rsid w:val="00414E60"/>
    <w:rsid w:val="00430734"/>
    <w:rsid w:val="00435350"/>
    <w:rsid w:val="00437386"/>
    <w:rsid w:val="00440854"/>
    <w:rsid w:val="004529FC"/>
    <w:rsid w:val="004728E1"/>
    <w:rsid w:val="00475B56"/>
    <w:rsid w:val="00485009"/>
    <w:rsid w:val="004968C7"/>
    <w:rsid w:val="004A60A1"/>
    <w:rsid w:val="004C32F4"/>
    <w:rsid w:val="004C3C9D"/>
    <w:rsid w:val="004C7355"/>
    <w:rsid w:val="004D3201"/>
    <w:rsid w:val="00505433"/>
    <w:rsid w:val="00507638"/>
    <w:rsid w:val="00515299"/>
    <w:rsid w:val="005156E3"/>
    <w:rsid w:val="005444EF"/>
    <w:rsid w:val="00554B5C"/>
    <w:rsid w:val="005570FC"/>
    <w:rsid w:val="00567206"/>
    <w:rsid w:val="00573018"/>
    <w:rsid w:val="00581A53"/>
    <w:rsid w:val="005837BE"/>
    <w:rsid w:val="005A0089"/>
    <w:rsid w:val="005A3198"/>
    <w:rsid w:val="005A41CB"/>
    <w:rsid w:val="005A6860"/>
    <w:rsid w:val="005B5417"/>
    <w:rsid w:val="005D286F"/>
    <w:rsid w:val="005D4FF9"/>
    <w:rsid w:val="005F418D"/>
    <w:rsid w:val="006020E3"/>
    <w:rsid w:val="006027DC"/>
    <w:rsid w:val="00604DEE"/>
    <w:rsid w:val="00637608"/>
    <w:rsid w:val="0065001F"/>
    <w:rsid w:val="00654BC0"/>
    <w:rsid w:val="00666B7D"/>
    <w:rsid w:val="0066706C"/>
    <w:rsid w:val="00673893"/>
    <w:rsid w:val="006750FA"/>
    <w:rsid w:val="0067618A"/>
    <w:rsid w:val="006818F1"/>
    <w:rsid w:val="006B4DEB"/>
    <w:rsid w:val="006E1AC1"/>
    <w:rsid w:val="006E1B19"/>
    <w:rsid w:val="006F29F4"/>
    <w:rsid w:val="006F46D4"/>
    <w:rsid w:val="007056A1"/>
    <w:rsid w:val="007121DE"/>
    <w:rsid w:val="00715B22"/>
    <w:rsid w:val="00716444"/>
    <w:rsid w:val="00721D9A"/>
    <w:rsid w:val="00724875"/>
    <w:rsid w:val="00724D1C"/>
    <w:rsid w:val="00724E81"/>
    <w:rsid w:val="00744540"/>
    <w:rsid w:val="00747450"/>
    <w:rsid w:val="00773E2F"/>
    <w:rsid w:val="00777A05"/>
    <w:rsid w:val="0078435C"/>
    <w:rsid w:val="007935B0"/>
    <w:rsid w:val="0079567D"/>
    <w:rsid w:val="007A4C52"/>
    <w:rsid w:val="007B1DCE"/>
    <w:rsid w:val="007C0159"/>
    <w:rsid w:val="007C15B1"/>
    <w:rsid w:val="007D0C7D"/>
    <w:rsid w:val="007E3E14"/>
    <w:rsid w:val="007E5212"/>
    <w:rsid w:val="0080562D"/>
    <w:rsid w:val="00805A26"/>
    <w:rsid w:val="00820D3F"/>
    <w:rsid w:val="00826CEC"/>
    <w:rsid w:val="008448B7"/>
    <w:rsid w:val="00856308"/>
    <w:rsid w:val="008672A0"/>
    <w:rsid w:val="00893581"/>
    <w:rsid w:val="00897E74"/>
    <w:rsid w:val="008A30A6"/>
    <w:rsid w:val="008B22AC"/>
    <w:rsid w:val="008C2F48"/>
    <w:rsid w:val="008F066B"/>
    <w:rsid w:val="008F7CD3"/>
    <w:rsid w:val="00904673"/>
    <w:rsid w:val="0090795F"/>
    <w:rsid w:val="00913D35"/>
    <w:rsid w:val="0093386B"/>
    <w:rsid w:val="00934A95"/>
    <w:rsid w:val="009430A6"/>
    <w:rsid w:val="00944408"/>
    <w:rsid w:val="00966B33"/>
    <w:rsid w:val="00977FA7"/>
    <w:rsid w:val="009810CE"/>
    <w:rsid w:val="00991677"/>
    <w:rsid w:val="00992BCE"/>
    <w:rsid w:val="00995012"/>
    <w:rsid w:val="009B1C74"/>
    <w:rsid w:val="009B292A"/>
    <w:rsid w:val="009B2A72"/>
    <w:rsid w:val="009C0F06"/>
    <w:rsid w:val="009C5C05"/>
    <w:rsid w:val="009F2987"/>
    <w:rsid w:val="009F5BB8"/>
    <w:rsid w:val="009F6403"/>
    <w:rsid w:val="00A12552"/>
    <w:rsid w:val="00A1437A"/>
    <w:rsid w:val="00A20B8A"/>
    <w:rsid w:val="00A302A9"/>
    <w:rsid w:val="00A367FE"/>
    <w:rsid w:val="00A47998"/>
    <w:rsid w:val="00A52D23"/>
    <w:rsid w:val="00A544BD"/>
    <w:rsid w:val="00A60950"/>
    <w:rsid w:val="00A97C56"/>
    <w:rsid w:val="00AB0EED"/>
    <w:rsid w:val="00AB2828"/>
    <w:rsid w:val="00AC5129"/>
    <w:rsid w:val="00AF3BC9"/>
    <w:rsid w:val="00AF5EA3"/>
    <w:rsid w:val="00B03A82"/>
    <w:rsid w:val="00B17038"/>
    <w:rsid w:val="00B40150"/>
    <w:rsid w:val="00B435FA"/>
    <w:rsid w:val="00B459E2"/>
    <w:rsid w:val="00B53220"/>
    <w:rsid w:val="00B53DA3"/>
    <w:rsid w:val="00B72072"/>
    <w:rsid w:val="00B72C99"/>
    <w:rsid w:val="00B76C4C"/>
    <w:rsid w:val="00B925AF"/>
    <w:rsid w:val="00B976F9"/>
    <w:rsid w:val="00BB3FA5"/>
    <w:rsid w:val="00BC4BC6"/>
    <w:rsid w:val="00BC7258"/>
    <w:rsid w:val="00BC7654"/>
    <w:rsid w:val="00BD2CB9"/>
    <w:rsid w:val="00BD4991"/>
    <w:rsid w:val="00BE71AD"/>
    <w:rsid w:val="00C01FCD"/>
    <w:rsid w:val="00C04508"/>
    <w:rsid w:val="00C11BCB"/>
    <w:rsid w:val="00C32F4B"/>
    <w:rsid w:val="00C360C7"/>
    <w:rsid w:val="00C419F6"/>
    <w:rsid w:val="00C41CBA"/>
    <w:rsid w:val="00C62008"/>
    <w:rsid w:val="00C73207"/>
    <w:rsid w:val="00C82898"/>
    <w:rsid w:val="00C84F0F"/>
    <w:rsid w:val="00CA46B4"/>
    <w:rsid w:val="00CA66F2"/>
    <w:rsid w:val="00CD36B7"/>
    <w:rsid w:val="00CD71D3"/>
    <w:rsid w:val="00CE3274"/>
    <w:rsid w:val="00CF5BA3"/>
    <w:rsid w:val="00D05069"/>
    <w:rsid w:val="00D05FB2"/>
    <w:rsid w:val="00D1279A"/>
    <w:rsid w:val="00D1405E"/>
    <w:rsid w:val="00D1740F"/>
    <w:rsid w:val="00D20B79"/>
    <w:rsid w:val="00D27931"/>
    <w:rsid w:val="00D5306E"/>
    <w:rsid w:val="00D54AE0"/>
    <w:rsid w:val="00D55D12"/>
    <w:rsid w:val="00D67435"/>
    <w:rsid w:val="00D70EEF"/>
    <w:rsid w:val="00D83FE5"/>
    <w:rsid w:val="00DA3AE8"/>
    <w:rsid w:val="00DB5F39"/>
    <w:rsid w:val="00DC0427"/>
    <w:rsid w:val="00DD0E06"/>
    <w:rsid w:val="00DF1306"/>
    <w:rsid w:val="00DF53EF"/>
    <w:rsid w:val="00DF5917"/>
    <w:rsid w:val="00E20666"/>
    <w:rsid w:val="00E24823"/>
    <w:rsid w:val="00E3673C"/>
    <w:rsid w:val="00E43A5B"/>
    <w:rsid w:val="00E63034"/>
    <w:rsid w:val="00E76C3F"/>
    <w:rsid w:val="00E809FB"/>
    <w:rsid w:val="00E91CD4"/>
    <w:rsid w:val="00E94E39"/>
    <w:rsid w:val="00EB6643"/>
    <w:rsid w:val="00F044CE"/>
    <w:rsid w:val="00F0505E"/>
    <w:rsid w:val="00F13016"/>
    <w:rsid w:val="00F2163C"/>
    <w:rsid w:val="00F21B18"/>
    <w:rsid w:val="00F2338F"/>
    <w:rsid w:val="00F26256"/>
    <w:rsid w:val="00F262B3"/>
    <w:rsid w:val="00F34FC5"/>
    <w:rsid w:val="00F41F4F"/>
    <w:rsid w:val="00F445E2"/>
    <w:rsid w:val="00F47081"/>
    <w:rsid w:val="00F540B6"/>
    <w:rsid w:val="00F66D65"/>
    <w:rsid w:val="00F75E83"/>
    <w:rsid w:val="00F85C11"/>
    <w:rsid w:val="00FA2DB6"/>
    <w:rsid w:val="00FD0B0D"/>
    <w:rsid w:val="00FD7999"/>
    <w:rsid w:val="00FE0FAA"/>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15:docId w15:val="{E3AE3BE7-FC36-4B0D-8A24-93D04768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Heading3">
    <w:name w:val="heading 3"/>
    <w:basedOn w:val="Normal"/>
    <w:next w:val="Normal"/>
    <w:link w:val="Heading3Char"/>
    <w:uiPriority w:val="9"/>
    <w:unhideWhenUsed/>
    <w:qFormat/>
    <w:rsid w:val="00B435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20666"/>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20666"/>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20666"/>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20666"/>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20666"/>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20666"/>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A367FE"/>
    <w:pPr>
      <w:spacing w:after="100" w:line="259"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 w:type="paragraph" w:styleId="TOC3">
    <w:name w:val="toc 3"/>
    <w:basedOn w:val="Normal"/>
    <w:next w:val="Normal"/>
    <w:autoRedefine/>
    <w:uiPriority w:val="39"/>
    <w:unhideWhenUsed/>
    <w:rsid w:val="00430734"/>
    <w:pPr>
      <w:spacing w:after="100" w:line="259" w:lineRule="auto"/>
      <w:ind w:left="440"/>
    </w:pPr>
    <w:rPr>
      <w:rFonts w:eastAsiaTheme="minorEastAsia" w:cs="Times New Roman"/>
    </w:rPr>
  </w:style>
  <w:style w:type="table" w:styleId="TableGrid">
    <w:name w:val="Table Grid"/>
    <w:basedOn w:val="TableNormal"/>
    <w:uiPriority w:val="39"/>
    <w:rsid w:val="00F13016"/>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6270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62700"/>
    <w:rPr>
      <w:i/>
      <w:iCs/>
    </w:rPr>
  </w:style>
  <w:style w:type="character" w:customStyle="1" w:styleId="Heading3Char">
    <w:name w:val="Heading 3 Char"/>
    <w:basedOn w:val="DefaultParagraphFont"/>
    <w:link w:val="Heading3"/>
    <w:uiPriority w:val="9"/>
    <w:rsid w:val="00B435FA"/>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unhideWhenUsed/>
    <w:rsid w:val="00E809FB"/>
    <w:pPr>
      <w:spacing w:after="100" w:line="278" w:lineRule="auto"/>
      <w:ind w:left="720"/>
    </w:pPr>
    <w:rPr>
      <w:rFonts w:eastAsiaTheme="minorEastAsia"/>
      <w:kern w:val="2"/>
      <w:sz w:val="24"/>
      <w:szCs w:val="24"/>
      <w:lang w:val="bg-BG" w:eastAsia="bg-BG"/>
      <w14:ligatures w14:val="standardContextual"/>
    </w:rPr>
  </w:style>
  <w:style w:type="paragraph" w:styleId="TOC5">
    <w:name w:val="toc 5"/>
    <w:basedOn w:val="Normal"/>
    <w:next w:val="Normal"/>
    <w:autoRedefine/>
    <w:uiPriority w:val="39"/>
    <w:unhideWhenUsed/>
    <w:rsid w:val="00E809FB"/>
    <w:pPr>
      <w:spacing w:after="100" w:line="278" w:lineRule="auto"/>
      <w:ind w:left="960"/>
    </w:pPr>
    <w:rPr>
      <w:rFonts w:eastAsiaTheme="minorEastAsia"/>
      <w:kern w:val="2"/>
      <w:sz w:val="24"/>
      <w:szCs w:val="24"/>
      <w:lang w:val="bg-BG" w:eastAsia="bg-BG"/>
      <w14:ligatures w14:val="standardContextual"/>
    </w:rPr>
  </w:style>
  <w:style w:type="paragraph" w:styleId="TOC6">
    <w:name w:val="toc 6"/>
    <w:basedOn w:val="Normal"/>
    <w:next w:val="Normal"/>
    <w:autoRedefine/>
    <w:uiPriority w:val="39"/>
    <w:unhideWhenUsed/>
    <w:rsid w:val="00E809FB"/>
    <w:pPr>
      <w:spacing w:after="100" w:line="278" w:lineRule="auto"/>
      <w:ind w:left="1200"/>
    </w:pPr>
    <w:rPr>
      <w:rFonts w:eastAsiaTheme="minorEastAsia"/>
      <w:kern w:val="2"/>
      <w:sz w:val="24"/>
      <w:szCs w:val="24"/>
      <w:lang w:val="bg-BG" w:eastAsia="bg-BG"/>
      <w14:ligatures w14:val="standardContextual"/>
    </w:rPr>
  </w:style>
  <w:style w:type="paragraph" w:styleId="TOC7">
    <w:name w:val="toc 7"/>
    <w:basedOn w:val="Normal"/>
    <w:next w:val="Normal"/>
    <w:autoRedefine/>
    <w:uiPriority w:val="39"/>
    <w:unhideWhenUsed/>
    <w:rsid w:val="00E809FB"/>
    <w:pPr>
      <w:spacing w:after="100" w:line="278" w:lineRule="auto"/>
      <w:ind w:left="1440"/>
    </w:pPr>
    <w:rPr>
      <w:rFonts w:eastAsiaTheme="minorEastAsia"/>
      <w:kern w:val="2"/>
      <w:sz w:val="24"/>
      <w:szCs w:val="24"/>
      <w:lang w:val="bg-BG" w:eastAsia="bg-BG"/>
      <w14:ligatures w14:val="standardContextual"/>
    </w:rPr>
  </w:style>
  <w:style w:type="paragraph" w:styleId="TOC8">
    <w:name w:val="toc 8"/>
    <w:basedOn w:val="Normal"/>
    <w:next w:val="Normal"/>
    <w:autoRedefine/>
    <w:uiPriority w:val="39"/>
    <w:unhideWhenUsed/>
    <w:rsid w:val="00E809FB"/>
    <w:pPr>
      <w:spacing w:after="100" w:line="278" w:lineRule="auto"/>
      <w:ind w:left="1680"/>
    </w:pPr>
    <w:rPr>
      <w:rFonts w:eastAsiaTheme="minorEastAsia"/>
      <w:kern w:val="2"/>
      <w:sz w:val="24"/>
      <w:szCs w:val="24"/>
      <w:lang w:val="bg-BG" w:eastAsia="bg-BG"/>
      <w14:ligatures w14:val="standardContextual"/>
    </w:rPr>
  </w:style>
  <w:style w:type="paragraph" w:styleId="TOC9">
    <w:name w:val="toc 9"/>
    <w:basedOn w:val="Normal"/>
    <w:next w:val="Normal"/>
    <w:autoRedefine/>
    <w:uiPriority w:val="39"/>
    <w:unhideWhenUsed/>
    <w:rsid w:val="00E809FB"/>
    <w:pPr>
      <w:spacing w:after="100" w:line="278" w:lineRule="auto"/>
      <w:ind w:left="1920"/>
    </w:pPr>
    <w:rPr>
      <w:rFonts w:eastAsiaTheme="minorEastAsia"/>
      <w:kern w:val="2"/>
      <w:sz w:val="24"/>
      <w:szCs w:val="24"/>
      <w:lang w:val="bg-BG" w:eastAsia="bg-BG"/>
      <w14:ligatures w14:val="standardContextual"/>
    </w:rPr>
  </w:style>
  <w:style w:type="character" w:customStyle="1" w:styleId="Heading4Char">
    <w:name w:val="Heading 4 Char"/>
    <w:basedOn w:val="DefaultParagraphFont"/>
    <w:link w:val="Heading4"/>
    <w:uiPriority w:val="9"/>
    <w:semiHidden/>
    <w:rsid w:val="00E20666"/>
    <w:rPr>
      <w:rFonts w:eastAsiaTheme="majorEastAsia" w:cstheme="majorBidi"/>
      <w:i/>
      <w:iCs/>
      <w:color w:val="2F5496" w:themeColor="accent1" w:themeShade="BF"/>
      <w:kern w:val="2"/>
      <w:sz w:val="24"/>
      <w:szCs w:val="24"/>
      <w14:ligatures w14:val="standardContextual"/>
    </w:rPr>
  </w:style>
  <w:style w:type="character" w:customStyle="1" w:styleId="Heading5Char">
    <w:name w:val="Heading 5 Char"/>
    <w:basedOn w:val="DefaultParagraphFont"/>
    <w:link w:val="Heading5"/>
    <w:uiPriority w:val="9"/>
    <w:semiHidden/>
    <w:rsid w:val="00E20666"/>
    <w:rPr>
      <w:rFonts w:eastAsiaTheme="majorEastAsia" w:cstheme="majorBidi"/>
      <w:color w:val="2F5496" w:themeColor="accent1" w:themeShade="BF"/>
      <w:kern w:val="2"/>
      <w:sz w:val="24"/>
      <w:szCs w:val="24"/>
      <w14:ligatures w14:val="standardContextual"/>
    </w:rPr>
  </w:style>
  <w:style w:type="character" w:customStyle="1" w:styleId="Heading6Char">
    <w:name w:val="Heading 6 Char"/>
    <w:basedOn w:val="DefaultParagraphFont"/>
    <w:link w:val="Heading6"/>
    <w:uiPriority w:val="9"/>
    <w:semiHidden/>
    <w:rsid w:val="00E20666"/>
    <w:rPr>
      <w:rFonts w:eastAsiaTheme="majorEastAsia" w:cstheme="majorBidi"/>
      <w:i/>
      <w:iCs/>
      <w:color w:val="595959" w:themeColor="text1" w:themeTint="A6"/>
      <w:kern w:val="2"/>
      <w:sz w:val="24"/>
      <w:szCs w:val="24"/>
      <w14:ligatures w14:val="standardContextual"/>
    </w:rPr>
  </w:style>
  <w:style w:type="character" w:customStyle="1" w:styleId="Heading7Char">
    <w:name w:val="Heading 7 Char"/>
    <w:basedOn w:val="DefaultParagraphFont"/>
    <w:link w:val="Heading7"/>
    <w:uiPriority w:val="9"/>
    <w:semiHidden/>
    <w:rsid w:val="00E20666"/>
    <w:rPr>
      <w:rFonts w:eastAsiaTheme="majorEastAsia" w:cstheme="majorBidi"/>
      <w:color w:val="595959" w:themeColor="text1" w:themeTint="A6"/>
      <w:kern w:val="2"/>
      <w:sz w:val="24"/>
      <w:szCs w:val="24"/>
      <w14:ligatures w14:val="standardContextual"/>
    </w:rPr>
  </w:style>
  <w:style w:type="character" w:customStyle="1" w:styleId="Heading8Char">
    <w:name w:val="Heading 8 Char"/>
    <w:basedOn w:val="DefaultParagraphFont"/>
    <w:link w:val="Heading8"/>
    <w:uiPriority w:val="9"/>
    <w:semiHidden/>
    <w:rsid w:val="00E20666"/>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E20666"/>
    <w:rPr>
      <w:rFonts w:eastAsiaTheme="majorEastAsia" w:cstheme="majorBidi"/>
      <w:color w:val="272727" w:themeColor="text1" w:themeTint="D8"/>
      <w:kern w:val="2"/>
      <w:sz w:val="24"/>
      <w:szCs w:val="24"/>
      <w14:ligatures w14:val="standardContextual"/>
    </w:rPr>
  </w:style>
  <w:style w:type="paragraph" w:styleId="Title">
    <w:name w:val="Title"/>
    <w:basedOn w:val="Normal"/>
    <w:next w:val="Normal"/>
    <w:link w:val="TitleChar"/>
    <w:uiPriority w:val="10"/>
    <w:qFormat/>
    <w:rsid w:val="00E20666"/>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20666"/>
    <w:rPr>
      <w:rFonts w:asciiTheme="majorHAnsi" w:eastAsiaTheme="majorEastAsia" w:hAnsiTheme="majorHAnsi" w:cstheme="majorBidi"/>
      <w:spacing w:val="-10"/>
      <w:kern w:val="28"/>
      <w:sz w:val="56"/>
      <w:szCs w:val="56"/>
      <w14:ligatures w14:val="standardContextual"/>
    </w:rPr>
  </w:style>
  <w:style w:type="paragraph" w:styleId="Subtitle">
    <w:name w:val="Subtitle"/>
    <w:basedOn w:val="Normal"/>
    <w:next w:val="Normal"/>
    <w:link w:val="SubtitleChar"/>
    <w:uiPriority w:val="11"/>
    <w:qFormat/>
    <w:rsid w:val="00E20666"/>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20666"/>
    <w:rPr>
      <w:rFonts w:eastAsiaTheme="majorEastAsia" w:cstheme="majorBidi"/>
      <w:color w:val="595959" w:themeColor="text1" w:themeTint="A6"/>
      <w:spacing w:val="15"/>
      <w:kern w:val="2"/>
      <w:sz w:val="28"/>
      <w:szCs w:val="28"/>
      <w14:ligatures w14:val="standardContextual"/>
    </w:rPr>
  </w:style>
  <w:style w:type="paragraph" w:styleId="Quote">
    <w:name w:val="Quote"/>
    <w:basedOn w:val="Normal"/>
    <w:next w:val="Normal"/>
    <w:link w:val="QuoteChar"/>
    <w:uiPriority w:val="29"/>
    <w:qFormat/>
    <w:rsid w:val="00E20666"/>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20666"/>
    <w:rPr>
      <w:i/>
      <w:iCs/>
      <w:color w:val="404040" w:themeColor="text1" w:themeTint="BF"/>
      <w:kern w:val="2"/>
      <w:sz w:val="24"/>
      <w:szCs w:val="24"/>
      <w14:ligatures w14:val="standardContextual"/>
    </w:rPr>
  </w:style>
  <w:style w:type="character" w:styleId="IntenseEmphasis">
    <w:name w:val="Intense Emphasis"/>
    <w:basedOn w:val="DefaultParagraphFont"/>
    <w:uiPriority w:val="21"/>
    <w:qFormat/>
    <w:rsid w:val="00E20666"/>
    <w:rPr>
      <w:i/>
      <w:iCs/>
      <w:color w:val="2F5496" w:themeColor="accent1" w:themeShade="BF"/>
    </w:rPr>
  </w:style>
  <w:style w:type="paragraph" w:styleId="IntenseQuote">
    <w:name w:val="Intense Quote"/>
    <w:basedOn w:val="Normal"/>
    <w:next w:val="Normal"/>
    <w:link w:val="IntenseQuoteChar"/>
    <w:uiPriority w:val="30"/>
    <w:qFormat/>
    <w:rsid w:val="00E20666"/>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20666"/>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E2066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24chasa.bg/biznes/article/15013476?utm_source=chatgpt.com" TargetMode="External"/><Relationship Id="rId18" Type="http://schemas.openxmlformats.org/officeDocument/2006/relationships/hyperlink" Target="https://www.eldoradogold.com"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eurosunmining.com/news" TargetMode="External"/><Relationship Id="rId7" Type="http://schemas.openxmlformats.org/officeDocument/2006/relationships/footnotes" Target="footnotes.xml"/><Relationship Id="rId12" Type="http://schemas.openxmlformats.org/officeDocument/2006/relationships/hyperlink" Target="https://asarel.com/en/actual/news/" TargetMode="External"/><Relationship Id="rId17" Type="http://schemas.openxmlformats.org/officeDocument/2006/relationships/hyperlink" Target="https://www.zijinmining.com/new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zijinmining.com" TargetMode="External"/><Relationship Id="rId20" Type="http://schemas.openxmlformats.org/officeDocument/2006/relationships/hyperlink" Target="https://www.eurosunmining.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arel.com/en/about/history/"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dundeeprecious.com/sustainability/our-approach-to-climate-change/?utm_source=chatgpt.com" TargetMode="External"/><Relationship Id="rId23" Type="http://schemas.openxmlformats.org/officeDocument/2006/relationships/hyperlink" Target="https://www.mhi.com/products/" TargetMode="External"/><Relationship Id="rId10" Type="http://schemas.openxmlformats.org/officeDocument/2006/relationships/hyperlink" Target="https://www.geotechmin.com/en/actual/news/" TargetMode="External"/><Relationship Id="rId19" Type="http://schemas.openxmlformats.org/officeDocument/2006/relationships/hyperlink" Target="https://www.eldoradogold.com/operations/skouries/default.aspx" TargetMode="External"/><Relationship Id="rId4" Type="http://schemas.openxmlformats.org/officeDocument/2006/relationships/styles" Target="styles.xml"/><Relationship Id="rId9" Type="http://schemas.openxmlformats.org/officeDocument/2006/relationships/hyperlink" Target="https://www.geotechmin.com/en/about-group/ellatzite-med-ad/?utm_source=chatgpt.com" TargetMode="External"/><Relationship Id="rId14" Type="http://schemas.openxmlformats.org/officeDocument/2006/relationships/hyperlink" Target="https://dundeeprecious.com/site/assets/files/14816/2022-sustainability-report.pdf?utm_source=chatgpt.com" TargetMode="External"/><Relationship Id="rId22" Type="http://schemas.openxmlformats.org/officeDocument/2006/relationships/hyperlink" Target="https://www.envirochemie.com/en/sectors/mining-ore-process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32</Pages>
  <Words>8919</Words>
  <Characters>50840</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Dissertation:                     THE ROLE OF COPPER MINING COMPANIES IN THE BALKANS IN SUPPORTING THE EU GREEN DEAL: ESG PERFORMANCE, CLIMATE RISK AND DECARBONIZATION CHALLENGES</vt:lpstr>
    </vt:vector>
  </TitlesOfParts>
  <Company/>
  <LinksUpToDate>false</LinksUpToDate>
  <CharactersWithSpaces>59640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COPPER MINING COMPANIES IN THE BALKANS IN SUPPORTING THE EU GREEN DEAL: ESG PERFORMANCE, CLIMATE RISK AND DECARBONIZATION CHALLENGES</dc:title>
  <dc:subject/>
  <dc:creator>Dissertation supervisor:                       Dr Ibrahim Rufai</dc:creator>
  <cp:lastModifiedBy>Administrator</cp:lastModifiedBy>
  <cp:revision>12</cp:revision>
  <cp:lastPrinted>2025-11-15T19:12:00Z</cp:lastPrinted>
  <dcterms:created xsi:type="dcterms:W3CDTF">2025-11-15T18:54:00Z</dcterms:created>
  <dcterms:modified xsi:type="dcterms:W3CDTF">2025-11-21T11:10:00Z</dcterms:modified>
  <cp:category>Student:              Georgi Dimitrov                    Student number 2230344</cp:category>
</cp:coreProperties>
</file>