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1EA005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E553C">
              <w:rPr>
                <w:rFonts w:ascii="Times New Roman" w:hAnsi="Times New Roman" w:cs="Times New Roman"/>
                <w:b/>
                <w:color w:val="auto"/>
                <w:sz w:val="48"/>
              </w:rPr>
              <w:t>Iola Rowlands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76BD5C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E553C">
              <w:t xml:space="preserve"> </w:t>
            </w:r>
            <w:r w:rsidR="001E553C" w:rsidRPr="001E553C">
              <w:rPr>
                <w:rFonts w:ascii="Times New Roman" w:hAnsi="Times New Roman" w:cs="Times New Roman"/>
                <w:b/>
                <w:color w:val="auto"/>
                <w:sz w:val="48"/>
              </w:rPr>
              <w:t>2321222@student.uwtsd.ac.uk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9F36219" w14:textId="77777777" w:rsidR="00F26EB0" w:rsidRDefault="0085230E" w:rsidP="005D3F07">
            <w:pPr>
              <w:overflowPunct/>
              <w:autoSpaceDE/>
              <w:autoSpaceDN/>
              <w:adjustRightInd/>
              <w:ind w:right="-957"/>
              <w:textAlignment w:val="auto"/>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26EB0">
              <w:t xml:space="preserve"> </w:t>
            </w:r>
          </w:p>
          <w:p w14:paraId="0DE696B2" w14:textId="74DC13E0" w:rsidR="00F927A1" w:rsidRPr="005D3F07" w:rsidRDefault="00F26EB0" w:rsidP="005D3F07">
            <w:pPr>
              <w:overflowPunct/>
              <w:autoSpaceDE/>
              <w:autoSpaceDN/>
              <w:adjustRightInd/>
              <w:ind w:right="-957"/>
              <w:textAlignment w:val="auto"/>
              <w:rPr>
                <w:rFonts w:ascii="Times New Roman" w:hAnsi="Times New Roman" w:cs="Times New Roman"/>
                <w:b/>
                <w:color w:val="auto"/>
                <w:sz w:val="48"/>
              </w:rPr>
            </w:pPr>
            <w:r w:rsidRPr="00F26EB0">
              <w:rPr>
                <w:rFonts w:ascii="Times New Roman" w:hAnsi="Times New Roman" w:cs="Times New Roman"/>
                <w:b/>
                <w:color w:val="auto"/>
                <w:sz w:val="48"/>
              </w:rPr>
              <w:t>2321222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293CB655" w:rsidR="00151DA6" w:rsidRDefault="00151DA6" w:rsidP="002A1A44">
      <w:pPr>
        <w:keepNext/>
        <w:spacing w:before="240" w:after="60"/>
        <w:jc w:val="both"/>
        <w:rPr>
          <w:b/>
          <w:sz w:val="28"/>
          <w:szCs w:val="28"/>
        </w:rPr>
      </w:pPr>
      <w:r>
        <w:rPr>
          <w:b/>
          <w:sz w:val="28"/>
          <w:szCs w:val="28"/>
        </w:rPr>
        <w:lastRenderedPageBreak/>
        <w:t>Reference List</w:t>
      </w:r>
      <w:r w:rsidR="001600C3">
        <w:rPr>
          <w:b/>
          <w:sz w:val="28"/>
          <w:szCs w:val="28"/>
        </w:rPr>
        <w:t xml:space="preserve">   </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22F1E088" w14:textId="2A0E2C7F" w:rsidR="00F55593" w:rsidRPr="00BB0F9F" w:rsidRDefault="00F55593"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Adams, R., </w:t>
      </w:r>
      <w:proofErr w:type="spellStart"/>
      <w:r w:rsidRPr="00BB0F9F">
        <w:rPr>
          <w:rFonts w:eastAsia="Calibri"/>
          <w:color w:val="auto"/>
          <w:kern w:val="2"/>
          <w:sz w:val="24"/>
          <w:szCs w:val="24"/>
          <w:lang w:eastAsia="en-US"/>
          <w14:ligatures w14:val="standardContextual"/>
        </w:rPr>
        <w:t>Dominelli</w:t>
      </w:r>
      <w:proofErr w:type="spellEnd"/>
      <w:r w:rsidRPr="00BB0F9F">
        <w:rPr>
          <w:rFonts w:eastAsia="Calibri"/>
          <w:color w:val="auto"/>
          <w:kern w:val="2"/>
          <w:sz w:val="24"/>
          <w:szCs w:val="24"/>
          <w:lang w:eastAsia="en-US"/>
          <w14:ligatures w14:val="standardContextual"/>
        </w:rPr>
        <w:t>, L. and Payne, M. (2017)</w:t>
      </w:r>
      <w:r w:rsidR="00795E40"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Social Work: Themes, Issues, and Critical Debates</w:t>
      </w:r>
      <w:r w:rsidR="00795E40"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4</w:t>
      </w:r>
      <w:r w:rsidRPr="00BB0F9F">
        <w:rPr>
          <w:rFonts w:eastAsia="Calibri"/>
          <w:color w:val="auto"/>
          <w:kern w:val="2"/>
          <w:sz w:val="24"/>
          <w:szCs w:val="24"/>
          <w:vertAlign w:val="superscript"/>
          <w:lang w:eastAsia="en-US"/>
          <w14:ligatures w14:val="standardContextual"/>
        </w:rPr>
        <w:t>th</w:t>
      </w:r>
      <w:r w:rsidRPr="00BB0F9F">
        <w:rPr>
          <w:rFonts w:eastAsia="Calibri"/>
          <w:color w:val="auto"/>
          <w:kern w:val="2"/>
          <w:sz w:val="24"/>
          <w:szCs w:val="24"/>
          <w:lang w:eastAsia="en-US"/>
          <w14:ligatures w14:val="standardContextual"/>
        </w:rPr>
        <w:t xml:space="preserve"> ed</w:t>
      </w:r>
      <w:r w:rsidR="00795E40" w:rsidRPr="00BB0F9F">
        <w:rPr>
          <w:rFonts w:eastAsia="Calibri"/>
          <w:color w:val="auto"/>
          <w:kern w:val="2"/>
          <w:sz w:val="24"/>
          <w:szCs w:val="24"/>
          <w:lang w:eastAsia="en-US"/>
          <w14:ligatures w14:val="standardContextual"/>
        </w:rPr>
        <w:t>ition</w:t>
      </w:r>
      <w:r w:rsidRPr="00BB0F9F">
        <w:rPr>
          <w:rFonts w:eastAsia="Calibri"/>
          <w:color w:val="auto"/>
          <w:kern w:val="2"/>
          <w:sz w:val="24"/>
          <w:szCs w:val="24"/>
          <w:lang w:eastAsia="en-US"/>
          <w14:ligatures w14:val="standardContextual"/>
        </w:rPr>
        <w:t>. Palgrave Macmillan.</w:t>
      </w:r>
    </w:p>
    <w:p w14:paraId="7852A4C7" w14:textId="3C2B1068" w:rsidR="002632F5" w:rsidRPr="00BB0F9F" w:rsidRDefault="00CE71D7"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All Wales Child Protection Procedures Review Group. (2019)</w:t>
      </w:r>
      <w:r w:rsidR="00795E40"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 xml:space="preserve">All Wales Child Protection Procedures. </w:t>
      </w:r>
      <w:r w:rsidR="00795E40" w:rsidRPr="00BB0F9F">
        <w:rPr>
          <w:rFonts w:eastAsia="Calibri"/>
          <w:color w:val="auto"/>
          <w:kern w:val="2"/>
          <w:sz w:val="24"/>
          <w:szCs w:val="24"/>
          <w:lang w:eastAsia="en-US"/>
          <w14:ligatures w14:val="standardContextual"/>
        </w:rPr>
        <w:t>Available f</w:t>
      </w:r>
      <w:r w:rsidRPr="00BB0F9F">
        <w:rPr>
          <w:rFonts w:eastAsia="Calibri"/>
          <w:color w:val="auto"/>
          <w:kern w:val="2"/>
          <w:sz w:val="24"/>
          <w:szCs w:val="24"/>
          <w:lang w:eastAsia="en-US"/>
          <w14:ligatures w14:val="standardContextual"/>
        </w:rPr>
        <w:t xml:space="preserve">rom </w:t>
      </w:r>
      <w:hyperlink r:id="rId11" w:history="1">
        <w:r w:rsidRPr="00BB0F9F">
          <w:rPr>
            <w:rStyle w:val="Hyperlink"/>
            <w:rFonts w:eastAsia="Calibri"/>
            <w:color w:val="auto"/>
            <w:kern w:val="2"/>
            <w:sz w:val="24"/>
            <w:szCs w:val="24"/>
            <w:lang w:eastAsia="en-US"/>
            <w14:ligatures w14:val="standardContextual"/>
          </w:rPr>
          <w:t>https://www.awcpp.org.uk</w:t>
        </w:r>
      </w:hyperlink>
      <w:r w:rsidRPr="00BB0F9F">
        <w:rPr>
          <w:rFonts w:eastAsia="Calibri"/>
          <w:color w:val="auto"/>
          <w:kern w:val="2"/>
          <w:sz w:val="24"/>
          <w:szCs w:val="24"/>
          <w:lang w:eastAsia="en-US"/>
          <w14:ligatures w14:val="standardContextual"/>
        </w:rPr>
        <w:t xml:space="preserve"> </w:t>
      </w:r>
      <w:r w:rsidR="00795E40" w:rsidRPr="00BB0F9F">
        <w:rPr>
          <w:rFonts w:eastAsia="Calibri"/>
          <w:color w:val="auto"/>
          <w:kern w:val="2"/>
          <w:sz w:val="24"/>
          <w:szCs w:val="24"/>
          <w:lang w:eastAsia="en-US"/>
          <w14:ligatures w14:val="standardContextual"/>
        </w:rPr>
        <w:t xml:space="preserve">[Accessed 30th </w:t>
      </w:r>
      <w:proofErr w:type="gramStart"/>
      <w:r w:rsidR="00795E40" w:rsidRPr="00BB0F9F">
        <w:rPr>
          <w:rFonts w:eastAsia="Calibri"/>
          <w:color w:val="auto"/>
          <w:kern w:val="2"/>
          <w:sz w:val="24"/>
          <w:szCs w:val="24"/>
          <w:lang w:eastAsia="en-US"/>
          <w14:ligatures w14:val="standardContextual"/>
        </w:rPr>
        <w:t>August,</w:t>
      </w:r>
      <w:proofErr w:type="gramEnd"/>
      <w:r w:rsidR="00795E40" w:rsidRPr="00BB0F9F">
        <w:rPr>
          <w:rFonts w:eastAsia="Calibri"/>
          <w:color w:val="auto"/>
          <w:kern w:val="2"/>
          <w:sz w:val="24"/>
          <w:szCs w:val="24"/>
          <w:lang w:eastAsia="en-US"/>
          <w14:ligatures w14:val="standardContextual"/>
        </w:rPr>
        <w:t xml:space="preserve"> 2024.]</w:t>
      </w:r>
    </w:p>
    <w:p w14:paraId="2C09F168" w14:textId="6B676320"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Anthony, W. A. (1993), ‘Recovery from Mental Illness: The Guiding Vision of the Mental Health System in the 1990s’, </w:t>
      </w:r>
      <w:r w:rsidRPr="00BB0F9F">
        <w:rPr>
          <w:rFonts w:eastAsia="Calibri"/>
          <w:i/>
          <w:iCs/>
          <w:color w:val="auto"/>
          <w:kern w:val="2"/>
          <w:sz w:val="24"/>
          <w:szCs w:val="24"/>
          <w:lang w:eastAsia="en-US"/>
          <w14:ligatures w14:val="standardContextual"/>
        </w:rPr>
        <w:t>Psychosocial Rehabilitation Journal</w:t>
      </w:r>
      <w:r w:rsidRPr="00BB0F9F">
        <w:rPr>
          <w:rFonts w:eastAsia="Calibri"/>
          <w:color w:val="auto"/>
          <w:kern w:val="2"/>
          <w:sz w:val="24"/>
          <w:szCs w:val="24"/>
          <w:lang w:eastAsia="en-US"/>
          <w14:ligatures w14:val="standardContextual"/>
        </w:rPr>
        <w:t>, Vol. 16, No. 4, pp. 731-42.</w:t>
      </w:r>
    </w:p>
    <w:p w14:paraId="147EE40C" w14:textId="035338B9"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Barnes</w:t>
      </w:r>
      <w:r w:rsidR="00E25080"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M</w:t>
      </w:r>
      <w:r w:rsidR="00E25080"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proofErr w:type="spellStart"/>
      <w:r w:rsidRPr="00BB0F9F">
        <w:rPr>
          <w:rFonts w:eastAsia="Calibri"/>
          <w:color w:val="auto"/>
          <w:kern w:val="2"/>
          <w:sz w:val="24"/>
          <w:szCs w:val="24"/>
          <w:lang w:eastAsia="en-US"/>
          <w14:ligatures w14:val="standardContextual"/>
        </w:rPr>
        <w:t>Branneley</w:t>
      </w:r>
      <w:proofErr w:type="spellEnd"/>
      <w:r w:rsidR="00E25080"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T</w:t>
      </w:r>
      <w:r w:rsidR="00E25080" w:rsidRPr="00BB0F9F">
        <w:rPr>
          <w:rFonts w:eastAsia="Calibri"/>
          <w:color w:val="auto"/>
          <w:kern w:val="2"/>
          <w:sz w:val="24"/>
          <w:szCs w:val="24"/>
          <w:lang w:eastAsia="en-US"/>
          <w14:ligatures w14:val="standardContextual"/>
        </w:rPr>
        <w:t>. and</w:t>
      </w:r>
      <w:r w:rsidRPr="00BB0F9F">
        <w:rPr>
          <w:rFonts w:eastAsia="Calibri"/>
          <w:color w:val="auto"/>
          <w:kern w:val="2"/>
          <w:sz w:val="24"/>
          <w:szCs w:val="24"/>
          <w:lang w:eastAsia="en-US"/>
          <w14:ligatures w14:val="standardContextual"/>
        </w:rPr>
        <w:t xml:space="preserve"> Ward</w:t>
      </w:r>
      <w:r w:rsidR="00E25080"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L</w:t>
      </w:r>
      <w:r w:rsidR="00E25080"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(2015)</w:t>
      </w:r>
      <w:r w:rsidR="00E25080"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00E25080"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Introduction: the critical significance of care</w:t>
      </w:r>
      <w:r w:rsidR="00E25080"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w:t>
      </w:r>
      <w:r w:rsidR="00E25080" w:rsidRPr="00BB0F9F">
        <w:rPr>
          <w:rFonts w:eastAsia="Calibri"/>
          <w:color w:val="auto"/>
          <w:kern w:val="2"/>
          <w:sz w:val="24"/>
          <w:szCs w:val="24"/>
          <w:lang w:eastAsia="en-US"/>
          <w14:ligatures w14:val="standardContextual"/>
        </w:rPr>
        <w:t xml:space="preserve"> (eds</w:t>
      </w:r>
      <w:r w:rsidR="00E25080" w:rsidRPr="00BB0F9F">
        <w:rPr>
          <w:rFonts w:eastAsia="Calibri"/>
          <w:i/>
          <w:iCs/>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Ethics of care: critical advances in international perspective</w:t>
      </w:r>
      <w:r w:rsidRPr="00BB0F9F">
        <w:rPr>
          <w:rFonts w:eastAsia="Calibri"/>
          <w:color w:val="auto"/>
          <w:kern w:val="2"/>
          <w:sz w:val="24"/>
          <w:szCs w:val="24"/>
          <w:lang w:eastAsia="en-US"/>
          <w14:ligatures w14:val="standardContextual"/>
        </w:rPr>
        <w:t>. Bristol: Policy Press.</w:t>
      </w:r>
    </w:p>
    <w:p w14:paraId="62FF5BDA" w14:textId="2BF3312E"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BASW (2022)</w:t>
      </w:r>
      <w:r w:rsidR="00F87F35"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Social worker2 – Values and Ethics: Apply Social Work Ethical Principles and Value to Guide Professional Practices</w:t>
      </w:r>
      <w:r w:rsidRPr="00BB0F9F">
        <w:rPr>
          <w:rFonts w:eastAsia="Calibri"/>
          <w:color w:val="auto"/>
          <w:kern w:val="2"/>
          <w:sz w:val="24"/>
          <w:szCs w:val="24"/>
          <w:lang w:eastAsia="en-US"/>
          <w14:ligatures w14:val="standardContextual"/>
        </w:rPr>
        <w:t xml:space="preserve">. Available from: </w:t>
      </w:r>
      <w:hyperlink r:id="rId12" w:history="1">
        <w:r w:rsidR="002632F5" w:rsidRPr="00BB0F9F">
          <w:rPr>
            <w:rStyle w:val="Hyperlink"/>
            <w:rFonts w:eastAsia="Calibri"/>
            <w:color w:val="auto"/>
            <w:kern w:val="2"/>
            <w:sz w:val="24"/>
            <w:szCs w:val="24"/>
            <w:lang w:eastAsia="en-US"/>
            <w14:ligatures w14:val="standardContextual"/>
          </w:rPr>
          <w:t>https://www.basw.co.uk/professional-development/professional-capabilities-framework-pcf/the-pcf/social-worker/values-and-ethics</w:t>
        </w:r>
      </w:hyperlink>
      <w:r w:rsidR="002632F5"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 xml:space="preserve">  </w:t>
      </w:r>
      <w:bookmarkStart w:id="0" w:name="_Hlk178680776"/>
      <w:r w:rsidRPr="00BB0F9F">
        <w:rPr>
          <w:rFonts w:eastAsia="Calibri"/>
          <w:color w:val="auto"/>
          <w:kern w:val="2"/>
          <w:sz w:val="24"/>
          <w:szCs w:val="24"/>
          <w:lang w:eastAsia="en-US"/>
          <w14:ligatures w14:val="standardContextual"/>
        </w:rPr>
        <w:t>[</w:t>
      </w:r>
      <w:r w:rsidR="004C3DE7" w:rsidRPr="00BB0F9F">
        <w:rPr>
          <w:rFonts w:eastAsia="Calibri"/>
          <w:color w:val="auto"/>
          <w:kern w:val="2"/>
          <w:sz w:val="24"/>
          <w:szCs w:val="24"/>
          <w:lang w:eastAsia="en-US"/>
          <w14:ligatures w14:val="standardContextual"/>
        </w:rPr>
        <w:t>A</w:t>
      </w:r>
      <w:r w:rsidRPr="00BB0F9F">
        <w:rPr>
          <w:rFonts w:eastAsia="Calibri"/>
          <w:color w:val="auto"/>
          <w:kern w:val="2"/>
          <w:sz w:val="24"/>
          <w:szCs w:val="24"/>
          <w:lang w:eastAsia="en-US"/>
          <w14:ligatures w14:val="standardContextual"/>
        </w:rPr>
        <w:t>ccessed 30th June, 2022</w:t>
      </w:r>
      <w:r w:rsidR="004C3DE7"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w:t>
      </w:r>
    </w:p>
    <w:bookmarkEnd w:id="0"/>
    <w:p w14:paraId="79739C93" w14:textId="2BB27CCA"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Beauchamp, T. L. and Childress, J. F. (2019). </w:t>
      </w:r>
      <w:r w:rsidRPr="00BB0F9F">
        <w:rPr>
          <w:rFonts w:eastAsia="Calibri"/>
          <w:i/>
          <w:iCs/>
          <w:color w:val="auto"/>
          <w:kern w:val="2"/>
          <w:sz w:val="24"/>
          <w:szCs w:val="24"/>
          <w:lang w:eastAsia="en-US"/>
          <w14:ligatures w14:val="standardContextual"/>
        </w:rPr>
        <w:t>Principles of Biomedical Ethics.</w:t>
      </w:r>
      <w:r w:rsidRPr="00BB0F9F">
        <w:rPr>
          <w:rFonts w:eastAsia="Calibri"/>
          <w:color w:val="auto"/>
          <w:kern w:val="2"/>
          <w:sz w:val="24"/>
          <w:szCs w:val="24"/>
          <w:lang w:eastAsia="en-US"/>
          <w14:ligatures w14:val="standardContextual"/>
        </w:rPr>
        <w:t xml:space="preserve"> 8th ed. Oxford University Press.</w:t>
      </w:r>
    </w:p>
    <w:p w14:paraId="634AA032" w14:textId="2D125D56"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Bernard, N. S., Dollinger, S. J., &amp; </w:t>
      </w:r>
      <w:proofErr w:type="spellStart"/>
      <w:r w:rsidRPr="00BB0F9F">
        <w:rPr>
          <w:rFonts w:eastAsia="Calibri"/>
          <w:color w:val="auto"/>
          <w:kern w:val="2"/>
          <w:sz w:val="24"/>
          <w:szCs w:val="24"/>
          <w:lang w:eastAsia="en-US"/>
          <w14:ligatures w14:val="standardContextual"/>
        </w:rPr>
        <w:t>Ramaniah</w:t>
      </w:r>
      <w:proofErr w:type="spellEnd"/>
      <w:r w:rsidRPr="00BB0F9F">
        <w:rPr>
          <w:rFonts w:eastAsia="Calibri"/>
          <w:color w:val="auto"/>
          <w:kern w:val="2"/>
          <w:sz w:val="24"/>
          <w:szCs w:val="24"/>
          <w:lang w:eastAsia="en-US"/>
          <w14:ligatures w14:val="standardContextual"/>
        </w:rPr>
        <w:t xml:space="preserve">, N. V. (2002). Applying the Big Five Personality Factors to The Imposter Phenomenon. </w:t>
      </w:r>
      <w:r w:rsidRPr="00BB0F9F">
        <w:rPr>
          <w:rFonts w:eastAsia="Calibri"/>
          <w:i/>
          <w:iCs/>
          <w:color w:val="auto"/>
          <w:kern w:val="2"/>
          <w:sz w:val="24"/>
          <w:szCs w:val="24"/>
          <w:lang w:eastAsia="en-US"/>
          <w14:ligatures w14:val="standardContextual"/>
        </w:rPr>
        <w:t>Journal of Personality Assessment</w:t>
      </w:r>
      <w:r w:rsidRPr="00BB0F9F">
        <w:rPr>
          <w:rFonts w:eastAsia="Calibri"/>
          <w:color w:val="auto"/>
          <w:kern w:val="2"/>
          <w:sz w:val="24"/>
          <w:szCs w:val="24"/>
          <w:lang w:eastAsia="en-US"/>
          <w14:ligatures w14:val="standardContextual"/>
        </w:rPr>
        <w:t xml:space="preserve">, </w:t>
      </w:r>
      <w:r w:rsidR="00F87F35" w:rsidRPr="00BB0F9F">
        <w:rPr>
          <w:rFonts w:eastAsia="Calibri"/>
          <w:color w:val="auto"/>
          <w:kern w:val="2"/>
          <w:sz w:val="24"/>
          <w:szCs w:val="24"/>
          <w:lang w:eastAsia="en-US"/>
          <w14:ligatures w14:val="standardContextual"/>
        </w:rPr>
        <w:t>Vol.</w:t>
      </w:r>
      <w:r w:rsidRPr="00BB0F9F">
        <w:rPr>
          <w:rFonts w:eastAsia="Calibri"/>
          <w:color w:val="auto"/>
          <w:kern w:val="2"/>
          <w:sz w:val="24"/>
          <w:szCs w:val="24"/>
          <w:lang w:eastAsia="en-US"/>
          <w14:ligatures w14:val="standardContextual"/>
        </w:rPr>
        <w:t>78</w:t>
      </w:r>
      <w:r w:rsidR="00F87F35" w:rsidRPr="00BB0F9F">
        <w:rPr>
          <w:rFonts w:eastAsia="Calibri"/>
          <w:color w:val="auto"/>
          <w:kern w:val="2"/>
          <w:sz w:val="24"/>
          <w:szCs w:val="24"/>
          <w:lang w:eastAsia="en-US"/>
          <w14:ligatures w14:val="standardContextual"/>
        </w:rPr>
        <w:t>, No.</w:t>
      </w:r>
      <w:r w:rsidRPr="00BB0F9F">
        <w:rPr>
          <w:rFonts w:eastAsia="Calibri"/>
          <w:color w:val="auto"/>
          <w:kern w:val="2"/>
          <w:sz w:val="24"/>
          <w:szCs w:val="24"/>
          <w:lang w:eastAsia="en-US"/>
          <w14:ligatures w14:val="standardContextual"/>
        </w:rPr>
        <w:t>2, pp 321-333.</w:t>
      </w:r>
    </w:p>
    <w:p w14:paraId="40F0947A" w14:textId="1BEC67FA"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Betancourt, J. R., Green, A. R., </w:t>
      </w:r>
      <w:proofErr w:type="spellStart"/>
      <w:r w:rsidRPr="00BB0F9F">
        <w:rPr>
          <w:rFonts w:eastAsia="Calibri"/>
          <w:color w:val="auto"/>
          <w:kern w:val="2"/>
          <w:sz w:val="24"/>
          <w:szCs w:val="24"/>
          <w:lang w:eastAsia="en-US"/>
          <w14:ligatures w14:val="standardContextual"/>
        </w:rPr>
        <w:t>Carillo</w:t>
      </w:r>
      <w:proofErr w:type="spellEnd"/>
      <w:r w:rsidRPr="00BB0F9F">
        <w:rPr>
          <w:rFonts w:eastAsia="Calibri"/>
          <w:color w:val="auto"/>
          <w:kern w:val="2"/>
          <w:sz w:val="24"/>
          <w:szCs w:val="24"/>
          <w:lang w:eastAsia="en-US"/>
          <w14:ligatures w14:val="standardContextual"/>
        </w:rPr>
        <w:t>, J. E.</w:t>
      </w:r>
      <w:r w:rsidR="00E15A5C" w:rsidRPr="00BB0F9F">
        <w:rPr>
          <w:rFonts w:eastAsia="Calibri"/>
          <w:color w:val="auto"/>
          <w:kern w:val="2"/>
          <w:sz w:val="24"/>
          <w:szCs w:val="24"/>
          <w:lang w:eastAsia="en-US"/>
          <w14:ligatures w14:val="standardContextual"/>
        </w:rPr>
        <w:t xml:space="preserve"> and</w:t>
      </w:r>
      <w:r w:rsidRPr="00BB0F9F">
        <w:rPr>
          <w:rFonts w:eastAsia="Calibri"/>
          <w:color w:val="auto"/>
          <w:kern w:val="2"/>
          <w:sz w:val="24"/>
          <w:szCs w:val="24"/>
          <w:lang w:eastAsia="en-US"/>
          <w14:ligatures w14:val="standardContextual"/>
        </w:rPr>
        <w:t xml:space="preserve"> </w:t>
      </w:r>
      <w:proofErr w:type="spellStart"/>
      <w:r w:rsidRPr="00BB0F9F">
        <w:rPr>
          <w:rFonts w:eastAsia="Calibri"/>
          <w:color w:val="auto"/>
          <w:kern w:val="2"/>
          <w:sz w:val="24"/>
          <w:szCs w:val="24"/>
          <w:lang w:eastAsia="en-US"/>
          <w14:ligatures w14:val="standardContextual"/>
        </w:rPr>
        <w:t>Ananeh</w:t>
      </w:r>
      <w:proofErr w:type="spellEnd"/>
      <w:r w:rsidRPr="00BB0F9F">
        <w:rPr>
          <w:rFonts w:eastAsia="Calibri"/>
          <w:color w:val="auto"/>
          <w:kern w:val="2"/>
          <w:sz w:val="24"/>
          <w:szCs w:val="24"/>
          <w:lang w:eastAsia="en-US"/>
          <w14:ligatures w14:val="standardContextual"/>
        </w:rPr>
        <w:t xml:space="preserve">- </w:t>
      </w:r>
      <w:proofErr w:type="spellStart"/>
      <w:r w:rsidRPr="00BB0F9F">
        <w:rPr>
          <w:rFonts w:eastAsia="Calibri"/>
          <w:color w:val="auto"/>
          <w:kern w:val="2"/>
          <w:sz w:val="24"/>
          <w:szCs w:val="24"/>
          <w:lang w:eastAsia="en-US"/>
          <w14:ligatures w14:val="standardContextual"/>
        </w:rPr>
        <w:t>Firempong</w:t>
      </w:r>
      <w:proofErr w:type="spellEnd"/>
      <w:r w:rsidRPr="00BB0F9F">
        <w:rPr>
          <w:rFonts w:eastAsia="Calibri"/>
          <w:color w:val="auto"/>
          <w:kern w:val="2"/>
          <w:sz w:val="24"/>
          <w:szCs w:val="24"/>
          <w:lang w:eastAsia="en-US"/>
          <w14:ligatures w14:val="standardContextual"/>
        </w:rPr>
        <w:t xml:space="preserve">, O. (2003). </w:t>
      </w:r>
      <w:r w:rsidR="00E15A5C"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Defining Cultural Competence: A Practical Framework for Addressing Racial/Ethnic Disparities in Health and Health Care. </w:t>
      </w:r>
      <w:r w:rsidRPr="007E1C68">
        <w:rPr>
          <w:rFonts w:eastAsia="Calibri"/>
          <w:i/>
          <w:iCs/>
          <w:color w:val="auto"/>
          <w:kern w:val="2"/>
          <w:sz w:val="24"/>
          <w:szCs w:val="24"/>
          <w:lang w:eastAsia="en-US"/>
          <w14:ligatures w14:val="standardContextual"/>
        </w:rPr>
        <w:t>Public Health Reports</w:t>
      </w:r>
      <w:r w:rsidRPr="00BB0F9F">
        <w:rPr>
          <w:rFonts w:eastAsia="Calibri"/>
          <w:color w:val="auto"/>
          <w:kern w:val="2"/>
          <w:sz w:val="24"/>
          <w:szCs w:val="24"/>
          <w:lang w:eastAsia="en-US"/>
          <w14:ligatures w14:val="standardContextual"/>
        </w:rPr>
        <w:t xml:space="preserve">, </w:t>
      </w:r>
      <w:r w:rsidR="00F26EB0" w:rsidRPr="00BB0F9F">
        <w:rPr>
          <w:rFonts w:eastAsia="Calibri"/>
          <w:color w:val="auto"/>
          <w:kern w:val="2"/>
          <w:sz w:val="24"/>
          <w:szCs w:val="24"/>
          <w:lang w:eastAsia="en-US"/>
          <w14:ligatures w14:val="standardContextual"/>
        </w:rPr>
        <w:t xml:space="preserve">Vol. </w:t>
      </w:r>
      <w:r w:rsidRPr="00BB0F9F">
        <w:rPr>
          <w:rFonts w:eastAsia="Calibri"/>
          <w:color w:val="auto"/>
          <w:kern w:val="2"/>
          <w:sz w:val="24"/>
          <w:szCs w:val="24"/>
          <w:lang w:eastAsia="en-US"/>
          <w14:ligatures w14:val="standardContextual"/>
        </w:rPr>
        <w:t>118</w:t>
      </w:r>
      <w:r w:rsidR="00F26EB0" w:rsidRPr="00BB0F9F">
        <w:rPr>
          <w:rFonts w:eastAsia="Calibri"/>
          <w:color w:val="auto"/>
          <w:kern w:val="2"/>
          <w:sz w:val="24"/>
          <w:szCs w:val="24"/>
          <w:lang w:eastAsia="en-US"/>
          <w14:ligatures w14:val="standardContextual"/>
        </w:rPr>
        <w:t xml:space="preserve">, No. </w:t>
      </w:r>
      <w:r w:rsidRPr="00BB0F9F">
        <w:rPr>
          <w:rFonts w:eastAsia="Calibri"/>
          <w:color w:val="auto"/>
          <w:kern w:val="2"/>
          <w:sz w:val="24"/>
          <w:szCs w:val="24"/>
          <w:lang w:eastAsia="en-US"/>
          <w14:ligatures w14:val="standardContextual"/>
        </w:rPr>
        <w:t xml:space="preserve">4, </w:t>
      </w:r>
      <w:r w:rsidR="00F26EB0" w:rsidRPr="00BB0F9F">
        <w:rPr>
          <w:rFonts w:eastAsia="Calibri"/>
          <w:color w:val="auto"/>
          <w:kern w:val="2"/>
          <w:sz w:val="24"/>
          <w:szCs w:val="24"/>
          <w:lang w:eastAsia="en-US"/>
          <w14:ligatures w14:val="standardContextual"/>
        </w:rPr>
        <w:t xml:space="preserve">pp. </w:t>
      </w:r>
      <w:r w:rsidRPr="00BB0F9F">
        <w:rPr>
          <w:rFonts w:eastAsia="Calibri"/>
          <w:color w:val="auto"/>
          <w:kern w:val="2"/>
          <w:sz w:val="24"/>
          <w:szCs w:val="24"/>
          <w:lang w:eastAsia="en-US"/>
          <w14:ligatures w14:val="standardContextual"/>
        </w:rPr>
        <w:t xml:space="preserve">293-302. </w:t>
      </w:r>
      <w:r w:rsidR="00F26EB0" w:rsidRPr="00BB0F9F">
        <w:rPr>
          <w:rFonts w:eastAsia="Calibri"/>
          <w:color w:val="auto"/>
          <w:kern w:val="2"/>
          <w:sz w:val="24"/>
          <w:szCs w:val="24"/>
          <w:lang w:eastAsia="en-US"/>
          <w14:ligatures w14:val="standardContextual"/>
        </w:rPr>
        <w:t xml:space="preserve">Available from: </w:t>
      </w:r>
      <w:hyperlink r:id="rId13" w:history="1">
        <w:r w:rsidR="00E15A5C" w:rsidRPr="00BB0F9F">
          <w:rPr>
            <w:rStyle w:val="Hyperlink"/>
            <w:rFonts w:eastAsia="Calibri"/>
            <w:color w:val="auto"/>
            <w:kern w:val="2"/>
            <w:sz w:val="24"/>
            <w:szCs w:val="24"/>
            <w:lang w:eastAsia="en-US"/>
            <w14:ligatures w14:val="standardContextual"/>
          </w:rPr>
          <w:t>https://www.ncbi.nlm.nih.gov</w:t>
        </w:r>
      </w:hyperlink>
      <w:r w:rsidR="00E15A5C" w:rsidRPr="00BB0F9F">
        <w:rPr>
          <w:rFonts w:eastAsia="Calibri"/>
          <w:color w:val="auto"/>
          <w:kern w:val="2"/>
          <w:sz w:val="24"/>
          <w:szCs w:val="24"/>
          <w:lang w:eastAsia="en-US"/>
          <w14:ligatures w14:val="standardContextual"/>
        </w:rPr>
        <w:t xml:space="preserve"> </w:t>
      </w:r>
      <w:r w:rsidR="00F26EB0" w:rsidRPr="00BB0F9F">
        <w:rPr>
          <w:color w:val="auto"/>
        </w:rPr>
        <w:t xml:space="preserve"> </w:t>
      </w:r>
      <w:bookmarkStart w:id="1" w:name="_Hlk178764113"/>
      <w:r w:rsidR="00F26EB0" w:rsidRPr="00BB0F9F">
        <w:rPr>
          <w:rFonts w:eastAsia="Calibri"/>
          <w:color w:val="auto"/>
          <w:kern w:val="2"/>
          <w:sz w:val="24"/>
          <w:szCs w:val="24"/>
          <w:lang w:eastAsia="en-US"/>
          <w14:ligatures w14:val="standardContextual"/>
        </w:rPr>
        <w:t xml:space="preserve">[Accessed 30th </w:t>
      </w:r>
      <w:proofErr w:type="gramStart"/>
      <w:r w:rsidR="00F26EB0" w:rsidRPr="00BB0F9F">
        <w:rPr>
          <w:rFonts w:eastAsia="Calibri"/>
          <w:color w:val="auto"/>
          <w:kern w:val="2"/>
          <w:sz w:val="24"/>
          <w:szCs w:val="24"/>
          <w:lang w:eastAsia="en-US"/>
          <w14:ligatures w14:val="standardContextual"/>
        </w:rPr>
        <w:t>August,</w:t>
      </w:r>
      <w:proofErr w:type="gramEnd"/>
      <w:r w:rsidR="00F26EB0" w:rsidRPr="00BB0F9F">
        <w:rPr>
          <w:rFonts w:eastAsia="Calibri"/>
          <w:color w:val="auto"/>
          <w:kern w:val="2"/>
          <w:sz w:val="24"/>
          <w:szCs w:val="24"/>
          <w:lang w:eastAsia="en-US"/>
          <w14:ligatures w14:val="standardContextual"/>
        </w:rPr>
        <w:t xml:space="preserve"> 2024.]</w:t>
      </w:r>
    </w:p>
    <w:bookmarkEnd w:id="1"/>
    <w:p w14:paraId="687CDEE4" w14:textId="0E603BC4" w:rsidR="00DD36F1" w:rsidRPr="007E1C68"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7E1C68">
        <w:rPr>
          <w:rFonts w:eastAsia="Calibri"/>
          <w:color w:val="auto"/>
          <w:kern w:val="2"/>
          <w:sz w:val="24"/>
          <w:szCs w:val="24"/>
          <w:lang w:eastAsia="en-US"/>
          <w14:ligatures w14:val="standardContextual"/>
        </w:rPr>
        <w:t>Bowlby</w:t>
      </w:r>
      <w:r w:rsidR="007E1C68">
        <w:rPr>
          <w:rFonts w:eastAsia="Calibri"/>
          <w:color w:val="auto"/>
          <w:kern w:val="2"/>
          <w:sz w:val="24"/>
          <w:szCs w:val="24"/>
          <w:lang w:eastAsia="en-US"/>
          <w14:ligatures w14:val="standardContextual"/>
        </w:rPr>
        <w:t>, J</w:t>
      </w:r>
      <w:r w:rsidRPr="007E1C68">
        <w:rPr>
          <w:rFonts w:eastAsia="Calibri"/>
          <w:color w:val="auto"/>
          <w:kern w:val="2"/>
          <w:sz w:val="24"/>
          <w:szCs w:val="24"/>
          <w:lang w:eastAsia="en-US"/>
          <w14:ligatures w14:val="standardContextual"/>
        </w:rPr>
        <w:t xml:space="preserve"> (1980) </w:t>
      </w:r>
      <w:r w:rsidR="007E1C68" w:rsidRPr="007E1C68">
        <w:rPr>
          <w:rFonts w:eastAsia="Calibri"/>
          <w:i/>
          <w:iCs/>
          <w:color w:val="auto"/>
          <w:kern w:val="2"/>
          <w:sz w:val="24"/>
          <w:szCs w:val="24"/>
          <w:lang w:eastAsia="en-US"/>
          <w14:ligatures w14:val="standardContextual"/>
        </w:rPr>
        <w:t>Attachment and Loss, Volume 3: Sadness and Depression</w:t>
      </w:r>
      <w:r w:rsidR="007E1C68">
        <w:rPr>
          <w:rFonts w:eastAsia="Calibri"/>
          <w:color w:val="auto"/>
          <w:kern w:val="2"/>
          <w:sz w:val="24"/>
          <w:szCs w:val="24"/>
          <w:lang w:eastAsia="en-US"/>
          <w14:ligatures w14:val="standardContextual"/>
        </w:rPr>
        <w:t xml:space="preserve">. New </w:t>
      </w:r>
      <w:proofErr w:type="spellStart"/>
      <w:proofErr w:type="gramStart"/>
      <w:r w:rsidR="007E1C68">
        <w:rPr>
          <w:rFonts w:eastAsia="Calibri"/>
          <w:color w:val="auto"/>
          <w:kern w:val="2"/>
          <w:sz w:val="24"/>
          <w:szCs w:val="24"/>
          <w:lang w:eastAsia="en-US"/>
          <w14:ligatures w14:val="standardContextual"/>
        </w:rPr>
        <w:t>York:basic</w:t>
      </w:r>
      <w:proofErr w:type="spellEnd"/>
      <w:proofErr w:type="gramEnd"/>
      <w:r w:rsidR="007E1C68">
        <w:rPr>
          <w:rFonts w:eastAsia="Calibri"/>
          <w:color w:val="auto"/>
          <w:kern w:val="2"/>
          <w:sz w:val="24"/>
          <w:szCs w:val="24"/>
          <w:lang w:eastAsia="en-US"/>
          <w14:ligatures w14:val="standardContextual"/>
        </w:rPr>
        <w:t xml:space="preserve"> Books.</w:t>
      </w:r>
    </w:p>
    <w:p w14:paraId="65024BAC" w14:textId="0225E13A" w:rsidR="009B3E24" w:rsidRPr="00BB0F9F" w:rsidRDefault="009B3E24"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proofErr w:type="spellStart"/>
      <w:r w:rsidRPr="007E1C68">
        <w:rPr>
          <w:rFonts w:eastAsia="Calibri"/>
          <w:color w:val="auto"/>
          <w:kern w:val="2"/>
          <w:sz w:val="24"/>
          <w:szCs w:val="24"/>
          <w:lang w:eastAsia="en-US"/>
          <w14:ligatures w14:val="standardContextual"/>
        </w:rPr>
        <w:t>Borton</w:t>
      </w:r>
      <w:proofErr w:type="spellEnd"/>
      <w:r w:rsidR="007E1C68" w:rsidRPr="007E1C68">
        <w:rPr>
          <w:rFonts w:eastAsia="Calibri"/>
          <w:color w:val="auto"/>
          <w:kern w:val="2"/>
          <w:sz w:val="24"/>
          <w:szCs w:val="24"/>
          <w:lang w:eastAsia="en-US"/>
          <w14:ligatures w14:val="standardContextual"/>
        </w:rPr>
        <w:t xml:space="preserve">, T. </w:t>
      </w:r>
      <w:r w:rsidRPr="007E1C68">
        <w:rPr>
          <w:rFonts w:eastAsia="Calibri"/>
          <w:color w:val="auto"/>
          <w:kern w:val="2"/>
          <w:sz w:val="24"/>
          <w:szCs w:val="24"/>
          <w:lang w:eastAsia="en-US"/>
          <w14:ligatures w14:val="standardContextual"/>
        </w:rPr>
        <w:t>(1970)</w:t>
      </w:r>
      <w:r w:rsidR="007E1C68">
        <w:rPr>
          <w:rFonts w:eastAsia="Calibri"/>
          <w:color w:val="auto"/>
          <w:kern w:val="2"/>
          <w:sz w:val="24"/>
          <w:szCs w:val="24"/>
          <w:lang w:eastAsia="en-US"/>
          <w14:ligatures w14:val="standardContextual"/>
        </w:rPr>
        <w:t xml:space="preserve">, </w:t>
      </w:r>
      <w:r w:rsidR="007E1C68" w:rsidRPr="007E1C68">
        <w:rPr>
          <w:rFonts w:eastAsia="Calibri"/>
          <w:i/>
          <w:iCs/>
          <w:color w:val="auto"/>
          <w:kern w:val="2"/>
          <w:sz w:val="24"/>
          <w:szCs w:val="24"/>
          <w:lang w:eastAsia="en-US"/>
          <w14:ligatures w14:val="standardContextual"/>
        </w:rPr>
        <w:t>Reach, Teach and Touch</w:t>
      </w:r>
      <w:r w:rsidR="007E1C68">
        <w:rPr>
          <w:rFonts w:eastAsia="Calibri"/>
          <w:color w:val="auto"/>
          <w:kern w:val="2"/>
          <w:sz w:val="24"/>
          <w:szCs w:val="24"/>
          <w:lang w:eastAsia="en-US"/>
          <w14:ligatures w14:val="standardContextual"/>
        </w:rPr>
        <w:t>. London: McGraw Hill.</w:t>
      </w:r>
    </w:p>
    <w:p w14:paraId="197FB11D" w14:textId="6A610AF2"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Bronstein, L. R. (2003)</w:t>
      </w:r>
      <w:r w:rsidR="00F81478"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A Model for Interdisciplinary Collaboration. </w:t>
      </w:r>
      <w:r w:rsidRPr="00BB0F9F">
        <w:rPr>
          <w:rFonts w:eastAsia="Calibri"/>
          <w:i/>
          <w:iCs/>
          <w:color w:val="auto"/>
          <w:kern w:val="2"/>
          <w:sz w:val="24"/>
          <w:szCs w:val="24"/>
          <w:lang w:eastAsia="en-US"/>
          <w14:ligatures w14:val="standardContextual"/>
        </w:rPr>
        <w:t>Social Work</w:t>
      </w:r>
      <w:r w:rsidRPr="00BB0F9F">
        <w:rPr>
          <w:rFonts w:eastAsia="Calibri"/>
          <w:color w:val="auto"/>
          <w:kern w:val="2"/>
          <w:sz w:val="24"/>
          <w:szCs w:val="24"/>
          <w:lang w:eastAsia="en-US"/>
          <w14:ligatures w14:val="standardContextual"/>
        </w:rPr>
        <w:t xml:space="preserve">. </w:t>
      </w:r>
      <w:r w:rsidR="00F81478" w:rsidRPr="00BB0F9F">
        <w:rPr>
          <w:rFonts w:eastAsia="Calibri"/>
          <w:color w:val="auto"/>
          <w:kern w:val="2"/>
          <w:sz w:val="24"/>
          <w:szCs w:val="24"/>
          <w:lang w:eastAsia="en-US"/>
          <w14:ligatures w14:val="standardContextual"/>
        </w:rPr>
        <w:t xml:space="preserve">Vol. </w:t>
      </w:r>
      <w:r w:rsidRPr="00BB0F9F">
        <w:rPr>
          <w:rFonts w:eastAsia="Calibri"/>
          <w:color w:val="auto"/>
          <w:kern w:val="2"/>
          <w:sz w:val="24"/>
          <w:szCs w:val="24"/>
          <w:lang w:eastAsia="en-US"/>
          <w14:ligatures w14:val="standardContextual"/>
        </w:rPr>
        <w:t>48</w:t>
      </w:r>
      <w:r w:rsidR="00F81478" w:rsidRPr="00BB0F9F">
        <w:rPr>
          <w:rFonts w:eastAsia="Calibri"/>
          <w:color w:val="auto"/>
          <w:kern w:val="2"/>
          <w:sz w:val="24"/>
          <w:szCs w:val="24"/>
          <w:lang w:eastAsia="en-US"/>
          <w14:ligatures w14:val="standardContextual"/>
        </w:rPr>
        <w:t xml:space="preserve">, No. </w:t>
      </w:r>
      <w:r w:rsidRPr="00BB0F9F">
        <w:rPr>
          <w:rFonts w:eastAsia="Calibri"/>
          <w:color w:val="auto"/>
          <w:kern w:val="2"/>
          <w:sz w:val="24"/>
          <w:szCs w:val="24"/>
          <w:lang w:eastAsia="en-US"/>
          <w14:ligatures w14:val="standardContextual"/>
        </w:rPr>
        <w:t>3, pp</w:t>
      </w:r>
      <w:r w:rsidR="00F81478"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297-306.</w:t>
      </w:r>
    </w:p>
    <w:p w14:paraId="52BA68AC" w14:textId="58D32691"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Brown, K. W.</w:t>
      </w:r>
      <w:r w:rsidR="00F26EB0" w:rsidRPr="00BB0F9F">
        <w:rPr>
          <w:rFonts w:eastAsia="Calibri"/>
          <w:color w:val="auto"/>
          <w:kern w:val="2"/>
          <w:sz w:val="24"/>
          <w:szCs w:val="24"/>
          <w:lang w:eastAsia="en-US"/>
          <w14:ligatures w14:val="standardContextual"/>
        </w:rPr>
        <w:t xml:space="preserve"> and </w:t>
      </w:r>
      <w:r w:rsidRPr="00BB0F9F">
        <w:rPr>
          <w:rFonts w:eastAsia="Calibri"/>
          <w:color w:val="auto"/>
          <w:kern w:val="2"/>
          <w:sz w:val="24"/>
          <w:szCs w:val="24"/>
          <w:lang w:eastAsia="en-US"/>
          <w14:ligatures w14:val="standardContextual"/>
        </w:rPr>
        <w:t>Harris, J.R. (2019)</w:t>
      </w:r>
      <w:r w:rsidR="00A5691B"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Breaking the Cycle: Interventions for Children Exposed to Domestic Violence.</w:t>
      </w:r>
      <w:r w:rsidRPr="00BB0F9F">
        <w:rPr>
          <w:rFonts w:eastAsia="Calibri"/>
          <w:color w:val="auto"/>
          <w:kern w:val="2"/>
          <w:sz w:val="24"/>
          <w:szCs w:val="24"/>
          <w:lang w:eastAsia="en-US"/>
          <w14:ligatures w14:val="standardContextual"/>
        </w:rPr>
        <w:t xml:space="preserve"> Child Welfare Review.</w:t>
      </w:r>
    </w:p>
    <w:p w14:paraId="544E5EBB" w14:textId="079AD1AA"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Care Council for Wales (2016). </w:t>
      </w:r>
      <w:r w:rsidRPr="00BB0F9F">
        <w:rPr>
          <w:rFonts w:eastAsia="Calibri"/>
          <w:i/>
          <w:iCs/>
          <w:color w:val="auto"/>
          <w:kern w:val="2"/>
          <w:sz w:val="24"/>
          <w:szCs w:val="24"/>
          <w:lang w:eastAsia="en-US"/>
          <w14:ligatures w14:val="standardContextual"/>
        </w:rPr>
        <w:t>The Role of The Social Worker in Adult Safeguarding</w:t>
      </w:r>
      <w:r w:rsidR="00F26EB0" w:rsidRPr="00BB0F9F">
        <w:rPr>
          <w:rFonts w:eastAsia="Calibri"/>
          <w:i/>
          <w:iCs/>
          <w:color w:val="auto"/>
          <w:kern w:val="2"/>
          <w:sz w:val="24"/>
          <w:szCs w:val="24"/>
          <w:lang w:eastAsia="en-US"/>
          <w14:ligatures w14:val="standardContextual"/>
        </w:rPr>
        <w:t>.</w:t>
      </w:r>
      <w:r w:rsidR="00F26EB0" w:rsidRPr="00BB0F9F">
        <w:rPr>
          <w:color w:val="auto"/>
        </w:rPr>
        <w:t xml:space="preserve"> </w:t>
      </w:r>
      <w:r w:rsidR="00F26EB0" w:rsidRPr="00BB0F9F">
        <w:rPr>
          <w:rFonts w:eastAsia="Calibri"/>
          <w:color w:val="auto"/>
          <w:kern w:val="2"/>
          <w:sz w:val="24"/>
          <w:szCs w:val="24"/>
          <w:lang w:eastAsia="en-US"/>
          <w14:ligatures w14:val="standardContextual"/>
        </w:rPr>
        <w:t>Available from:</w:t>
      </w:r>
      <w:r w:rsidR="00F26EB0" w:rsidRPr="00BB0F9F">
        <w:rPr>
          <w:color w:val="auto"/>
        </w:rPr>
        <w:t xml:space="preserve"> </w:t>
      </w:r>
      <w:r w:rsidRPr="00BB0F9F">
        <w:rPr>
          <w:rFonts w:eastAsia="Calibri"/>
          <w:color w:val="auto"/>
          <w:kern w:val="2"/>
          <w:sz w:val="24"/>
          <w:szCs w:val="24"/>
          <w:lang w:eastAsia="en-US"/>
          <w14:ligatures w14:val="standardContextual"/>
        </w:rPr>
        <w:t>Social care Wales.</w:t>
      </w:r>
    </w:p>
    <w:p w14:paraId="5D951A60" w14:textId="77777777"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Care Inspectorate Wales. </w:t>
      </w:r>
      <w:r w:rsidRPr="00BB0F9F">
        <w:rPr>
          <w:rFonts w:eastAsia="Calibri"/>
          <w:i/>
          <w:iCs/>
          <w:color w:val="auto"/>
          <w:kern w:val="2"/>
          <w:sz w:val="24"/>
          <w:szCs w:val="24"/>
          <w:lang w:eastAsia="en-US"/>
          <w14:ligatures w14:val="standardContextual"/>
        </w:rPr>
        <w:t>“More Than Just Words: Practice Guide”</w:t>
      </w:r>
      <w:r w:rsidRPr="00BB0F9F">
        <w:rPr>
          <w:rFonts w:eastAsia="Calibri"/>
          <w:color w:val="auto"/>
          <w:kern w:val="2"/>
          <w:sz w:val="24"/>
          <w:szCs w:val="24"/>
          <w:lang w:eastAsia="en-US"/>
          <w14:ligatures w14:val="standardContextual"/>
        </w:rPr>
        <w:t>. Social Care Wales.</w:t>
      </w:r>
    </w:p>
    <w:p w14:paraId="3C21CB0A" w14:textId="2D09B0AC"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Carpenter, J., Schneider, J., Brandon, T., and Woof, D. (2012). Working in Multidisciplinary Community Mental Health Teams: The Impact on Social Workers and Health Professionals of Integrated Mental Health Care. British Journal of Social Work, </w:t>
      </w:r>
      <w:r w:rsidR="00F26EB0" w:rsidRPr="00BB0F9F">
        <w:rPr>
          <w:rFonts w:eastAsia="Calibri"/>
          <w:color w:val="auto"/>
          <w:kern w:val="2"/>
          <w:sz w:val="24"/>
          <w:szCs w:val="24"/>
          <w:lang w:eastAsia="en-US"/>
          <w14:ligatures w14:val="standardContextual"/>
        </w:rPr>
        <w:t xml:space="preserve">Vol. </w:t>
      </w:r>
      <w:r w:rsidRPr="00BB0F9F">
        <w:rPr>
          <w:rFonts w:eastAsia="Calibri"/>
          <w:color w:val="auto"/>
          <w:kern w:val="2"/>
          <w:sz w:val="24"/>
          <w:szCs w:val="24"/>
          <w:lang w:eastAsia="en-US"/>
          <w14:ligatures w14:val="standardContextual"/>
        </w:rPr>
        <w:t>33</w:t>
      </w:r>
      <w:r w:rsidR="00F26EB0" w:rsidRPr="00BB0F9F">
        <w:rPr>
          <w:rFonts w:eastAsia="Calibri"/>
          <w:color w:val="auto"/>
          <w:kern w:val="2"/>
          <w:sz w:val="24"/>
          <w:szCs w:val="24"/>
          <w:lang w:eastAsia="en-US"/>
          <w14:ligatures w14:val="standardContextual"/>
        </w:rPr>
        <w:t>, No.</w:t>
      </w:r>
      <w:r w:rsidRPr="00BB0F9F">
        <w:rPr>
          <w:rFonts w:eastAsia="Calibri"/>
          <w:color w:val="auto"/>
          <w:kern w:val="2"/>
          <w:sz w:val="24"/>
          <w:szCs w:val="24"/>
          <w:lang w:eastAsia="en-US"/>
          <w14:ligatures w14:val="standardContextual"/>
        </w:rPr>
        <w:t xml:space="preserve"> </w:t>
      </w:r>
      <w:r w:rsidR="00F26EB0" w:rsidRPr="00BB0F9F">
        <w:rPr>
          <w:rFonts w:eastAsia="Calibri"/>
          <w:color w:val="auto"/>
          <w:kern w:val="2"/>
          <w:sz w:val="24"/>
          <w:szCs w:val="24"/>
          <w:lang w:eastAsia="en-US"/>
          <w14:ligatures w14:val="standardContextual"/>
        </w:rPr>
        <w:t>4</w:t>
      </w:r>
      <w:r w:rsidRPr="00BB0F9F">
        <w:rPr>
          <w:rFonts w:eastAsia="Calibri"/>
          <w:color w:val="auto"/>
          <w:kern w:val="2"/>
          <w:sz w:val="24"/>
          <w:szCs w:val="24"/>
          <w:lang w:eastAsia="en-US"/>
          <w14:ligatures w14:val="standardContextual"/>
        </w:rPr>
        <w:t xml:space="preserve">, </w:t>
      </w:r>
      <w:r w:rsidR="00F26EB0" w:rsidRPr="00BB0F9F">
        <w:rPr>
          <w:rFonts w:eastAsia="Calibri"/>
          <w:color w:val="auto"/>
          <w:kern w:val="2"/>
          <w:sz w:val="24"/>
          <w:szCs w:val="24"/>
          <w:lang w:eastAsia="en-US"/>
          <w14:ligatures w14:val="standardContextual"/>
        </w:rPr>
        <w:t>pp.</w:t>
      </w:r>
      <w:r w:rsidRPr="00BB0F9F">
        <w:rPr>
          <w:rFonts w:eastAsia="Calibri"/>
          <w:color w:val="auto"/>
          <w:kern w:val="2"/>
          <w:sz w:val="24"/>
          <w:szCs w:val="24"/>
          <w:lang w:eastAsia="en-US"/>
          <w14:ligatures w14:val="standardContextual"/>
        </w:rPr>
        <w:t>1081 -1103.</w:t>
      </w:r>
    </w:p>
    <w:p w14:paraId="77770344" w14:textId="67CB889B"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Children Act 1989</w:t>
      </w:r>
      <w:r w:rsidR="00F26EB0"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Available from: </w:t>
      </w:r>
      <w:hyperlink r:id="rId14" w:history="1">
        <w:r w:rsidR="002632F5" w:rsidRPr="00BB0F9F">
          <w:rPr>
            <w:rStyle w:val="Hyperlink"/>
            <w:rFonts w:eastAsia="Calibri"/>
            <w:color w:val="auto"/>
            <w:kern w:val="2"/>
            <w:sz w:val="24"/>
            <w:szCs w:val="24"/>
            <w:lang w:eastAsia="en-US"/>
            <w14:ligatures w14:val="standardContextual"/>
          </w:rPr>
          <w:t>https://www.legislation.gov.uk/ukpga/1989/41/contents</w:t>
        </w:r>
      </w:hyperlink>
      <w:r w:rsidR="002632F5"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 xml:space="preserve"> [Accessed 23rd </w:t>
      </w:r>
      <w:proofErr w:type="gramStart"/>
      <w:r w:rsidRPr="00BB0F9F">
        <w:rPr>
          <w:rFonts w:eastAsia="Calibri"/>
          <w:color w:val="auto"/>
          <w:kern w:val="2"/>
          <w:sz w:val="24"/>
          <w:szCs w:val="24"/>
          <w:lang w:eastAsia="en-US"/>
          <w14:ligatures w14:val="standardContextual"/>
        </w:rPr>
        <w:t>May,</w:t>
      </w:r>
      <w:proofErr w:type="gramEnd"/>
      <w:r w:rsidRPr="00BB0F9F">
        <w:rPr>
          <w:rFonts w:eastAsia="Calibri"/>
          <w:color w:val="auto"/>
          <w:kern w:val="2"/>
          <w:sz w:val="24"/>
          <w:szCs w:val="24"/>
          <w:lang w:eastAsia="en-US"/>
          <w14:ligatures w14:val="standardContextual"/>
        </w:rPr>
        <w:t xml:space="preserve"> 2024.]</w:t>
      </w:r>
    </w:p>
    <w:p w14:paraId="2BC5303B" w14:textId="7A91F90F"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proofErr w:type="spellStart"/>
      <w:r w:rsidRPr="00BB0F9F">
        <w:rPr>
          <w:rFonts w:eastAsia="Calibri"/>
          <w:color w:val="auto"/>
          <w:kern w:val="2"/>
          <w:sz w:val="24"/>
          <w:szCs w:val="24"/>
          <w:lang w:eastAsia="en-US"/>
          <w14:ligatures w14:val="standardContextual"/>
        </w:rPr>
        <w:t>Cuncin</w:t>
      </w:r>
      <w:proofErr w:type="spellEnd"/>
      <w:r w:rsidRPr="00BB0F9F">
        <w:rPr>
          <w:rFonts w:eastAsia="Calibri"/>
          <w:color w:val="auto"/>
          <w:kern w:val="2"/>
          <w:sz w:val="24"/>
          <w:szCs w:val="24"/>
          <w:lang w:eastAsia="en-US"/>
          <w14:ligatures w14:val="standardContextual"/>
        </w:rPr>
        <w:t xml:space="preserve">, A. (2019), </w:t>
      </w:r>
      <w:r w:rsidRPr="00BB0F9F">
        <w:rPr>
          <w:rFonts w:eastAsia="Calibri"/>
          <w:i/>
          <w:iCs/>
          <w:color w:val="auto"/>
          <w:kern w:val="2"/>
          <w:sz w:val="24"/>
          <w:szCs w:val="24"/>
          <w:lang w:eastAsia="en-US"/>
          <w14:ligatures w14:val="standardContextual"/>
        </w:rPr>
        <w:t>How to Practice Active Listening</w:t>
      </w:r>
      <w:r w:rsidRPr="00BB0F9F">
        <w:rPr>
          <w:rFonts w:eastAsia="Calibri"/>
          <w:color w:val="auto"/>
          <w:kern w:val="2"/>
          <w:sz w:val="24"/>
          <w:szCs w:val="24"/>
          <w:lang w:eastAsia="en-US"/>
          <w14:ligatures w14:val="standardContextual"/>
        </w:rPr>
        <w:t xml:space="preserve">. Available from: </w:t>
      </w:r>
      <w:hyperlink r:id="rId15" w:history="1">
        <w:r w:rsidR="002632F5" w:rsidRPr="00BB0F9F">
          <w:rPr>
            <w:rStyle w:val="Hyperlink"/>
            <w:rFonts w:eastAsia="Calibri"/>
            <w:color w:val="auto"/>
            <w:kern w:val="2"/>
            <w:sz w:val="24"/>
            <w:szCs w:val="24"/>
            <w:lang w:eastAsia="en-US"/>
            <w14:ligatures w14:val="standardContextual"/>
          </w:rPr>
          <w:t>https://www.verywellmind.com</w:t>
        </w:r>
      </w:hyperlink>
      <w:r w:rsidR="00585BC0" w:rsidRPr="00BB0F9F">
        <w:rPr>
          <w:rFonts w:eastAsia="Calibri"/>
          <w:color w:val="auto"/>
          <w:kern w:val="2"/>
          <w:sz w:val="24"/>
          <w:szCs w:val="24"/>
          <w:lang w:eastAsia="en-US"/>
          <w14:ligatures w14:val="standardContextual"/>
        </w:rPr>
        <w:t xml:space="preserve">  [</w:t>
      </w:r>
      <w:r w:rsidR="00A5691B" w:rsidRPr="00BB0F9F">
        <w:rPr>
          <w:rFonts w:eastAsia="Calibri"/>
          <w:color w:val="auto"/>
          <w:kern w:val="2"/>
          <w:sz w:val="24"/>
          <w:szCs w:val="24"/>
          <w:lang w:eastAsia="en-US"/>
          <w14:ligatures w14:val="standardContextual"/>
        </w:rPr>
        <w:t>A</w:t>
      </w:r>
      <w:r w:rsidRPr="00BB0F9F">
        <w:rPr>
          <w:rFonts w:eastAsia="Calibri"/>
          <w:color w:val="auto"/>
          <w:kern w:val="2"/>
          <w:sz w:val="24"/>
          <w:szCs w:val="24"/>
          <w:lang w:eastAsia="en-US"/>
          <w14:ligatures w14:val="standardContextual"/>
        </w:rPr>
        <w:t xml:space="preserve">ccessed 12th </w:t>
      </w:r>
      <w:proofErr w:type="gramStart"/>
      <w:r w:rsidRPr="00BB0F9F">
        <w:rPr>
          <w:rFonts w:eastAsia="Calibri"/>
          <w:color w:val="auto"/>
          <w:kern w:val="2"/>
          <w:sz w:val="24"/>
          <w:szCs w:val="24"/>
          <w:lang w:eastAsia="en-US"/>
          <w14:ligatures w14:val="standardContextual"/>
        </w:rPr>
        <w:t>November,</w:t>
      </w:r>
      <w:proofErr w:type="gramEnd"/>
      <w:r w:rsidRPr="00BB0F9F">
        <w:rPr>
          <w:rFonts w:eastAsia="Calibri"/>
          <w:color w:val="auto"/>
          <w:kern w:val="2"/>
          <w:sz w:val="24"/>
          <w:szCs w:val="24"/>
          <w:lang w:eastAsia="en-US"/>
          <w14:ligatures w14:val="standardContextual"/>
        </w:rPr>
        <w:t xml:space="preserve"> 2019.]</w:t>
      </w:r>
    </w:p>
    <w:p w14:paraId="46D809E5" w14:textId="28ED8D9B"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Davies, M. (2019)</w:t>
      </w:r>
      <w:r w:rsidR="00A5691B"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Reflective Practice in Social Work</w:t>
      </w:r>
      <w:r w:rsidRPr="00BB0F9F">
        <w:rPr>
          <w:rFonts w:eastAsia="Calibri"/>
          <w:color w:val="auto"/>
          <w:kern w:val="2"/>
          <w:sz w:val="24"/>
          <w:szCs w:val="24"/>
          <w:lang w:eastAsia="en-US"/>
          <w14:ligatures w14:val="standardContextual"/>
        </w:rPr>
        <w:t>. Journal of Social Work Practice.</w:t>
      </w:r>
    </w:p>
    <w:p w14:paraId="69007473" w14:textId="1E269EBD"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Davys, A. and </w:t>
      </w:r>
      <w:proofErr w:type="spellStart"/>
      <w:r w:rsidRPr="00BB0F9F">
        <w:rPr>
          <w:rFonts w:eastAsia="Calibri"/>
          <w:color w:val="auto"/>
          <w:kern w:val="2"/>
          <w:sz w:val="24"/>
          <w:szCs w:val="24"/>
          <w:lang w:eastAsia="en-US"/>
          <w14:ligatures w14:val="standardContextual"/>
        </w:rPr>
        <w:t>Beddoe</w:t>
      </w:r>
      <w:proofErr w:type="spellEnd"/>
      <w:r w:rsidRPr="00BB0F9F">
        <w:rPr>
          <w:rFonts w:eastAsia="Calibri"/>
          <w:color w:val="auto"/>
          <w:kern w:val="2"/>
          <w:sz w:val="24"/>
          <w:szCs w:val="24"/>
          <w:lang w:eastAsia="en-US"/>
          <w14:ligatures w14:val="standardContextual"/>
        </w:rPr>
        <w:t>, L. (2020)</w:t>
      </w:r>
      <w:r w:rsidR="001B0F61"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Best Practice in Professional Supervision: A Guide for The Helping Professions.</w:t>
      </w:r>
      <w:r w:rsidR="001B0F61" w:rsidRPr="00BB0F9F">
        <w:rPr>
          <w:rFonts w:eastAsia="Calibri"/>
          <w:i/>
          <w:iCs/>
          <w:color w:val="auto"/>
          <w:kern w:val="2"/>
          <w:sz w:val="24"/>
          <w:szCs w:val="24"/>
          <w:lang w:eastAsia="en-US"/>
          <w14:ligatures w14:val="standardContextual"/>
        </w:rPr>
        <w:t xml:space="preserve"> </w:t>
      </w:r>
      <w:r w:rsidR="001B0F61" w:rsidRPr="00BB0F9F">
        <w:rPr>
          <w:rFonts w:eastAsia="Calibri"/>
          <w:color w:val="auto"/>
          <w:kern w:val="2"/>
          <w:sz w:val="24"/>
          <w:szCs w:val="24"/>
          <w:lang w:eastAsia="en-US"/>
          <w14:ligatures w14:val="standardContextual"/>
        </w:rPr>
        <w:t>2</w:t>
      </w:r>
      <w:r w:rsidR="001B0F61" w:rsidRPr="00BB0F9F">
        <w:rPr>
          <w:rFonts w:eastAsia="Calibri"/>
          <w:color w:val="auto"/>
          <w:kern w:val="2"/>
          <w:sz w:val="24"/>
          <w:szCs w:val="24"/>
          <w:vertAlign w:val="superscript"/>
          <w:lang w:eastAsia="en-US"/>
          <w14:ligatures w14:val="standardContextual"/>
        </w:rPr>
        <w:t>nd</w:t>
      </w:r>
      <w:r w:rsidR="001B0F61" w:rsidRPr="00BB0F9F">
        <w:rPr>
          <w:rFonts w:eastAsia="Calibri"/>
          <w:color w:val="auto"/>
          <w:kern w:val="2"/>
          <w:sz w:val="24"/>
          <w:szCs w:val="24"/>
          <w:lang w:eastAsia="en-US"/>
          <w14:ligatures w14:val="standardContextual"/>
        </w:rPr>
        <w:t xml:space="preserve"> edition</w:t>
      </w:r>
      <w:r w:rsidR="001B0F61" w:rsidRPr="00BB0F9F">
        <w:rPr>
          <w:rFonts w:eastAsia="Calibri"/>
          <w:i/>
          <w:iCs/>
          <w:color w:val="auto"/>
          <w:kern w:val="2"/>
          <w:sz w:val="24"/>
          <w:szCs w:val="24"/>
          <w:lang w:eastAsia="en-US"/>
          <w14:ligatures w14:val="standardContextual"/>
        </w:rPr>
        <w:t xml:space="preserve">. </w:t>
      </w:r>
      <w:r w:rsidR="001B0F61" w:rsidRPr="00BB0F9F">
        <w:rPr>
          <w:rFonts w:eastAsia="Calibri"/>
          <w:color w:val="auto"/>
          <w:kern w:val="2"/>
          <w:sz w:val="24"/>
          <w:szCs w:val="24"/>
          <w:lang w:eastAsia="en-US"/>
          <w14:ligatures w14:val="standardContextual"/>
        </w:rPr>
        <w:t>Jessica Kingsley.</w:t>
      </w:r>
    </w:p>
    <w:p w14:paraId="51804CF2" w14:textId="0B90AA48"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Department of Education (2018). </w:t>
      </w:r>
      <w:r w:rsidRPr="00BB0F9F">
        <w:rPr>
          <w:rFonts w:eastAsia="Calibri"/>
          <w:i/>
          <w:iCs/>
          <w:color w:val="auto"/>
          <w:kern w:val="2"/>
          <w:sz w:val="24"/>
          <w:szCs w:val="24"/>
          <w:lang w:eastAsia="en-US"/>
          <w14:ligatures w14:val="standardContextual"/>
        </w:rPr>
        <w:t>Working Together to Safeguard Children.</w:t>
      </w:r>
      <w:r w:rsidRPr="00BB0F9F">
        <w:rPr>
          <w:rFonts w:eastAsia="Calibri"/>
          <w:color w:val="auto"/>
          <w:kern w:val="2"/>
          <w:sz w:val="24"/>
          <w:szCs w:val="24"/>
          <w:lang w:eastAsia="en-US"/>
          <w14:ligatures w14:val="standardContextual"/>
        </w:rPr>
        <w:t xml:space="preserve"> </w:t>
      </w:r>
      <w:r w:rsidR="00A5691B" w:rsidRPr="00BB0F9F">
        <w:rPr>
          <w:rFonts w:eastAsia="Calibri"/>
          <w:color w:val="auto"/>
          <w:kern w:val="2"/>
          <w:sz w:val="24"/>
          <w:szCs w:val="24"/>
          <w:lang w:eastAsia="en-US"/>
          <w14:ligatures w14:val="standardContextual"/>
        </w:rPr>
        <w:t xml:space="preserve">Available from: </w:t>
      </w:r>
      <w:hyperlink r:id="rId16" w:history="1">
        <w:r w:rsidR="00A5691B" w:rsidRPr="00BB0F9F">
          <w:rPr>
            <w:rStyle w:val="Hyperlink"/>
            <w:rFonts w:eastAsia="Calibri"/>
            <w:color w:val="auto"/>
            <w:kern w:val="2"/>
            <w:sz w:val="24"/>
            <w:szCs w:val="24"/>
            <w:lang w:eastAsia="en-US"/>
            <w14:ligatures w14:val="standardContextual"/>
          </w:rPr>
          <w:t>https://www.gov.uk</w:t>
        </w:r>
      </w:hyperlink>
      <w:r w:rsidR="00A5691B" w:rsidRPr="00BB0F9F">
        <w:rPr>
          <w:rFonts w:eastAsia="Calibri"/>
          <w:color w:val="auto"/>
          <w:kern w:val="2"/>
          <w:sz w:val="24"/>
          <w:szCs w:val="24"/>
          <w:lang w:eastAsia="en-US"/>
          <w14:ligatures w14:val="standardContextual"/>
        </w:rPr>
        <w:t xml:space="preserve">  [Accessed 23rd </w:t>
      </w:r>
      <w:proofErr w:type="gramStart"/>
      <w:r w:rsidR="00A5691B" w:rsidRPr="00BB0F9F">
        <w:rPr>
          <w:rFonts w:eastAsia="Calibri"/>
          <w:color w:val="auto"/>
          <w:kern w:val="2"/>
          <w:sz w:val="24"/>
          <w:szCs w:val="24"/>
          <w:lang w:eastAsia="en-US"/>
          <w14:ligatures w14:val="standardContextual"/>
        </w:rPr>
        <w:t>May,</w:t>
      </w:r>
      <w:proofErr w:type="gramEnd"/>
      <w:r w:rsidR="00A5691B" w:rsidRPr="00BB0F9F">
        <w:rPr>
          <w:rFonts w:eastAsia="Calibri"/>
          <w:color w:val="auto"/>
          <w:kern w:val="2"/>
          <w:sz w:val="24"/>
          <w:szCs w:val="24"/>
          <w:lang w:eastAsia="en-US"/>
          <w14:ligatures w14:val="standardContextual"/>
        </w:rPr>
        <w:t xml:space="preserve"> 2024.]</w:t>
      </w:r>
    </w:p>
    <w:p w14:paraId="4214D2B4" w14:textId="4813502B" w:rsidR="00DD36F1" w:rsidRPr="00BB0F9F" w:rsidRDefault="00DD36F1" w:rsidP="00DD36F1">
      <w:pPr>
        <w:overflowPunct/>
        <w:autoSpaceDE/>
        <w:autoSpaceDN/>
        <w:adjustRightInd/>
        <w:spacing w:after="160" w:line="259" w:lineRule="auto"/>
        <w:textAlignment w:val="auto"/>
        <w:rPr>
          <w:rFonts w:eastAsia="Calibri"/>
          <w:i/>
          <w:iCs/>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Department of Health and Social Care (2016). </w:t>
      </w:r>
      <w:r w:rsidRPr="00BB0F9F">
        <w:rPr>
          <w:rFonts w:eastAsia="Calibri"/>
          <w:i/>
          <w:iCs/>
          <w:color w:val="auto"/>
          <w:kern w:val="2"/>
          <w:sz w:val="24"/>
          <w:szCs w:val="24"/>
          <w:lang w:eastAsia="en-US"/>
          <w14:ligatures w14:val="standardContextual"/>
        </w:rPr>
        <w:t>Care Act 2014: Statutory Guidance for Implementation.</w:t>
      </w:r>
      <w:r w:rsidR="00A5691B" w:rsidRPr="00BB0F9F">
        <w:rPr>
          <w:color w:val="auto"/>
        </w:rPr>
        <w:t xml:space="preserve"> </w:t>
      </w:r>
      <w:r w:rsidR="00A5691B" w:rsidRPr="00BB0F9F">
        <w:rPr>
          <w:rFonts w:eastAsia="Calibri"/>
          <w:color w:val="auto"/>
          <w:kern w:val="2"/>
          <w:sz w:val="24"/>
          <w:szCs w:val="24"/>
          <w:lang w:eastAsia="en-US"/>
          <w14:ligatures w14:val="standardContextual"/>
        </w:rPr>
        <w:t xml:space="preserve">Available from: </w:t>
      </w:r>
      <w:hyperlink r:id="rId17" w:history="1">
        <w:r w:rsidR="00A5691B" w:rsidRPr="00BB0F9F">
          <w:rPr>
            <w:rStyle w:val="Hyperlink"/>
            <w:rFonts w:eastAsia="Calibri"/>
            <w:color w:val="auto"/>
            <w:kern w:val="2"/>
            <w:sz w:val="24"/>
            <w:szCs w:val="24"/>
            <w:lang w:eastAsia="en-US"/>
            <w14:ligatures w14:val="standardContextual"/>
          </w:rPr>
          <w:t>https://www.gov.uk</w:t>
        </w:r>
      </w:hyperlink>
      <w:r w:rsidR="00A5691B" w:rsidRPr="00BB0F9F">
        <w:rPr>
          <w:rFonts w:eastAsia="Calibri"/>
          <w:color w:val="auto"/>
          <w:kern w:val="2"/>
          <w:sz w:val="24"/>
          <w:szCs w:val="24"/>
          <w:lang w:eastAsia="en-US"/>
          <w14:ligatures w14:val="standardContextual"/>
        </w:rPr>
        <w:t xml:space="preserve"> [Accessed 23rd </w:t>
      </w:r>
      <w:proofErr w:type="gramStart"/>
      <w:r w:rsidR="00A5691B" w:rsidRPr="00BB0F9F">
        <w:rPr>
          <w:rFonts w:eastAsia="Calibri"/>
          <w:color w:val="auto"/>
          <w:kern w:val="2"/>
          <w:sz w:val="24"/>
          <w:szCs w:val="24"/>
          <w:lang w:eastAsia="en-US"/>
          <w14:ligatures w14:val="standardContextual"/>
        </w:rPr>
        <w:t>May,</w:t>
      </w:r>
      <w:proofErr w:type="gramEnd"/>
      <w:r w:rsidR="00A5691B" w:rsidRPr="00BB0F9F">
        <w:rPr>
          <w:rFonts w:eastAsia="Calibri"/>
          <w:color w:val="auto"/>
          <w:kern w:val="2"/>
          <w:sz w:val="24"/>
          <w:szCs w:val="24"/>
          <w:lang w:eastAsia="en-US"/>
          <w14:ligatures w14:val="standardContextual"/>
        </w:rPr>
        <w:t xml:space="preserve"> 2024.]</w:t>
      </w:r>
    </w:p>
    <w:p w14:paraId="33E427B8" w14:textId="325AC70C"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Doel, M. (2016), </w:t>
      </w:r>
      <w:r w:rsidRPr="00BB0F9F">
        <w:rPr>
          <w:rFonts w:eastAsia="Calibri"/>
          <w:i/>
          <w:iCs/>
          <w:color w:val="auto"/>
          <w:kern w:val="2"/>
          <w:sz w:val="24"/>
          <w:szCs w:val="24"/>
          <w:lang w:eastAsia="en-US"/>
          <w14:ligatures w14:val="standardContextual"/>
        </w:rPr>
        <w:t>Right and wrongs in Social Work</w:t>
      </w:r>
      <w:r w:rsidRPr="00BB0F9F">
        <w:rPr>
          <w:rFonts w:eastAsia="Calibri"/>
          <w:color w:val="auto"/>
          <w:kern w:val="2"/>
          <w:sz w:val="24"/>
          <w:szCs w:val="24"/>
          <w:lang w:eastAsia="en-US"/>
          <w14:ligatures w14:val="standardContextual"/>
        </w:rPr>
        <w:t>. London: Palgrave Macmillan.</w:t>
      </w:r>
    </w:p>
    <w:p w14:paraId="35D41763" w14:textId="6A226232" w:rsidR="00CD303B" w:rsidRPr="00BB0F9F" w:rsidRDefault="00CD303B"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Douglas, H</w:t>
      </w:r>
      <w:r w:rsidR="00F55593"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(2017),</w:t>
      </w:r>
      <w:r w:rsidR="00F55593" w:rsidRPr="00BB0F9F">
        <w:rPr>
          <w:rFonts w:eastAsia="Calibri"/>
          <w:color w:val="auto"/>
          <w:kern w:val="2"/>
          <w:sz w:val="24"/>
          <w:szCs w:val="24"/>
          <w:lang w:eastAsia="en-US"/>
          <w14:ligatures w14:val="standardContextual"/>
        </w:rPr>
        <w:t xml:space="preserve"> </w:t>
      </w:r>
      <w:r w:rsidR="00F55593" w:rsidRPr="00BB0F9F">
        <w:rPr>
          <w:rFonts w:eastAsia="Calibri"/>
          <w:i/>
          <w:iCs/>
          <w:color w:val="auto"/>
          <w:kern w:val="2"/>
          <w:sz w:val="24"/>
          <w:szCs w:val="24"/>
          <w:lang w:eastAsia="en-US"/>
          <w14:ligatures w14:val="standardContextual"/>
        </w:rPr>
        <w:t>Risk and Blame: Essays in Cultural Theory</w:t>
      </w:r>
      <w:r w:rsidR="00F55593" w:rsidRPr="00BB0F9F">
        <w:rPr>
          <w:rFonts w:eastAsia="Calibri"/>
          <w:color w:val="auto"/>
          <w:kern w:val="2"/>
          <w:sz w:val="24"/>
          <w:szCs w:val="24"/>
          <w:lang w:eastAsia="en-US"/>
          <w14:ligatures w14:val="standardContextual"/>
        </w:rPr>
        <w:t>. Routledge.</w:t>
      </w:r>
    </w:p>
    <w:p w14:paraId="52D4A000" w14:textId="77777777"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proofErr w:type="spellStart"/>
      <w:r w:rsidRPr="00BB0F9F">
        <w:rPr>
          <w:rFonts w:eastAsia="Calibri"/>
          <w:color w:val="auto"/>
          <w:kern w:val="2"/>
          <w:sz w:val="24"/>
          <w:szCs w:val="24"/>
          <w:lang w:eastAsia="en-US"/>
          <w14:ligatures w14:val="standardContextual"/>
        </w:rPr>
        <w:t>Eurofound</w:t>
      </w:r>
      <w:proofErr w:type="spellEnd"/>
      <w:r w:rsidRPr="00BB0F9F">
        <w:rPr>
          <w:rFonts w:eastAsia="Calibri"/>
          <w:color w:val="auto"/>
          <w:kern w:val="2"/>
          <w:sz w:val="24"/>
          <w:szCs w:val="24"/>
          <w:lang w:eastAsia="en-US"/>
          <w14:ligatures w14:val="standardContextual"/>
        </w:rPr>
        <w:t xml:space="preserve">. (2017). </w:t>
      </w:r>
      <w:r w:rsidRPr="00BB0F9F">
        <w:rPr>
          <w:rFonts w:eastAsia="Calibri"/>
          <w:i/>
          <w:iCs/>
          <w:color w:val="auto"/>
          <w:kern w:val="2"/>
          <w:sz w:val="24"/>
          <w:szCs w:val="24"/>
          <w:lang w:eastAsia="en-US"/>
          <w14:ligatures w14:val="standardContextual"/>
        </w:rPr>
        <w:t>Social Services in Europe</w:t>
      </w:r>
      <w:r w:rsidRPr="00BB0F9F">
        <w:rPr>
          <w:rFonts w:eastAsia="Calibri"/>
          <w:color w:val="auto"/>
          <w:kern w:val="2"/>
          <w:sz w:val="24"/>
          <w:szCs w:val="24"/>
          <w:lang w:eastAsia="en-US"/>
          <w14:ligatures w14:val="standardContextual"/>
        </w:rPr>
        <w:t xml:space="preserve">. </w:t>
      </w:r>
      <w:proofErr w:type="spellStart"/>
      <w:r w:rsidRPr="00BB0F9F">
        <w:rPr>
          <w:rFonts w:eastAsia="Calibri"/>
          <w:color w:val="auto"/>
          <w:kern w:val="2"/>
          <w:sz w:val="24"/>
          <w:szCs w:val="24"/>
          <w:lang w:eastAsia="en-US"/>
          <w14:ligatures w14:val="standardContextual"/>
        </w:rPr>
        <w:t>Eurofound</w:t>
      </w:r>
      <w:proofErr w:type="spellEnd"/>
      <w:r w:rsidRPr="00BB0F9F">
        <w:rPr>
          <w:rFonts w:eastAsia="Calibri"/>
          <w:color w:val="auto"/>
          <w:kern w:val="2"/>
          <w:sz w:val="24"/>
          <w:szCs w:val="24"/>
          <w:lang w:eastAsia="en-US"/>
          <w14:ligatures w14:val="standardContextual"/>
        </w:rPr>
        <w:t>.</w:t>
      </w:r>
    </w:p>
    <w:p w14:paraId="420AF7E4" w14:textId="69B9852E"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European Commission. (2018)</w:t>
      </w:r>
      <w:r w:rsidR="00E15A5C"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 xml:space="preserve">Social Protection Systems in the EU: Financing Arrangements and the Role of EU Support. </w:t>
      </w:r>
      <w:r w:rsidRPr="00BB0F9F">
        <w:rPr>
          <w:rFonts w:eastAsia="Calibri"/>
          <w:color w:val="auto"/>
          <w:kern w:val="2"/>
          <w:sz w:val="24"/>
          <w:szCs w:val="24"/>
          <w:lang w:eastAsia="en-US"/>
          <w14:ligatures w14:val="standardContextual"/>
        </w:rPr>
        <w:t>European Commission.</w:t>
      </w:r>
    </w:p>
    <w:p w14:paraId="4D4525C5" w14:textId="6185FB16" w:rsidR="00D41E8A" w:rsidRPr="00BB0F9F" w:rsidRDefault="00D41E8A"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proofErr w:type="spellStart"/>
      <w:r w:rsidRPr="00BB0F9F">
        <w:rPr>
          <w:rFonts w:eastAsia="Calibri"/>
          <w:color w:val="auto"/>
          <w:kern w:val="2"/>
          <w:sz w:val="24"/>
          <w:szCs w:val="24"/>
          <w:lang w:eastAsia="en-US"/>
          <w14:ligatures w14:val="standardContextual"/>
        </w:rPr>
        <w:t>Feurgson</w:t>
      </w:r>
      <w:proofErr w:type="spellEnd"/>
      <w:r w:rsidRPr="00BB0F9F">
        <w:rPr>
          <w:rFonts w:eastAsia="Calibri"/>
          <w:color w:val="auto"/>
          <w:kern w:val="2"/>
          <w:sz w:val="24"/>
          <w:szCs w:val="24"/>
          <w:lang w:eastAsia="en-US"/>
          <w14:ligatures w14:val="standardContextual"/>
        </w:rPr>
        <w:t xml:space="preserve">, H. (2016), </w:t>
      </w:r>
      <w:r w:rsidRPr="00BB0F9F">
        <w:rPr>
          <w:rFonts w:eastAsia="Calibri"/>
          <w:i/>
          <w:iCs/>
          <w:color w:val="auto"/>
          <w:kern w:val="2"/>
          <w:sz w:val="24"/>
          <w:szCs w:val="24"/>
          <w:lang w:eastAsia="en-US"/>
          <w14:ligatures w14:val="standardContextual"/>
        </w:rPr>
        <w:t>Child Protection Practice</w:t>
      </w:r>
      <w:r w:rsidRPr="00BB0F9F">
        <w:rPr>
          <w:rFonts w:eastAsia="Calibri"/>
          <w:color w:val="auto"/>
          <w:kern w:val="2"/>
          <w:sz w:val="24"/>
          <w:szCs w:val="24"/>
          <w:lang w:eastAsia="en-US"/>
          <w14:ligatures w14:val="standardContextual"/>
        </w:rPr>
        <w:t>. Palgrave Macmillan.</w:t>
      </w:r>
    </w:p>
    <w:p w14:paraId="39D4C224" w14:textId="18EB7164"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Ferguson, H. (2017)</w:t>
      </w:r>
      <w:r w:rsidR="00E15A5C"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How Social Workers Engage with Children and Famili</w:t>
      </w:r>
      <w:r w:rsidR="00A32E8A" w:rsidRPr="00BB0F9F">
        <w:rPr>
          <w:rFonts w:eastAsia="Calibri"/>
          <w:color w:val="auto"/>
          <w:kern w:val="2"/>
          <w:sz w:val="24"/>
          <w:szCs w:val="24"/>
          <w:lang w:eastAsia="en-US"/>
          <w14:ligatures w14:val="standardContextual"/>
        </w:rPr>
        <w:t>e</w:t>
      </w:r>
      <w:r w:rsidRPr="00BB0F9F">
        <w:rPr>
          <w:rFonts w:eastAsia="Calibri"/>
          <w:color w:val="auto"/>
          <w:kern w:val="2"/>
          <w:sz w:val="24"/>
          <w:szCs w:val="24"/>
          <w:lang w:eastAsia="en-US"/>
          <w14:ligatures w14:val="standardContextual"/>
        </w:rPr>
        <w:t>s in Child Protectio</w:t>
      </w:r>
      <w:r w:rsidR="00A32E8A" w:rsidRPr="00BB0F9F">
        <w:rPr>
          <w:rFonts w:eastAsia="Calibri"/>
          <w:color w:val="auto"/>
          <w:kern w:val="2"/>
          <w:sz w:val="24"/>
          <w:szCs w:val="24"/>
          <w:lang w:eastAsia="en-US"/>
          <w14:ligatures w14:val="standardContextual"/>
        </w:rPr>
        <w:t>n</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British Journal of Social Work</w:t>
      </w:r>
      <w:r w:rsidRPr="00BB0F9F">
        <w:rPr>
          <w:rFonts w:eastAsia="Calibri"/>
          <w:color w:val="auto"/>
          <w:kern w:val="2"/>
          <w:sz w:val="24"/>
          <w:szCs w:val="24"/>
          <w:lang w:eastAsia="en-US"/>
          <w14:ligatures w14:val="standardContextual"/>
        </w:rPr>
        <w:t xml:space="preserve">, </w:t>
      </w:r>
      <w:r w:rsidR="00A32E8A" w:rsidRPr="00BB0F9F">
        <w:rPr>
          <w:rFonts w:eastAsia="Calibri"/>
          <w:color w:val="auto"/>
          <w:kern w:val="2"/>
          <w:sz w:val="24"/>
          <w:szCs w:val="24"/>
          <w:lang w:eastAsia="en-US"/>
          <w14:ligatures w14:val="standardContextual"/>
        </w:rPr>
        <w:t>Vol.</w:t>
      </w:r>
      <w:r w:rsidRPr="00BB0F9F">
        <w:rPr>
          <w:rFonts w:eastAsia="Calibri"/>
          <w:color w:val="auto"/>
          <w:kern w:val="2"/>
          <w:sz w:val="24"/>
          <w:szCs w:val="24"/>
          <w:lang w:eastAsia="en-US"/>
          <w14:ligatures w14:val="standardContextual"/>
        </w:rPr>
        <w:t>47</w:t>
      </w:r>
      <w:r w:rsidR="00A32E8A" w:rsidRPr="00BB0F9F">
        <w:rPr>
          <w:rFonts w:eastAsia="Calibri"/>
          <w:color w:val="auto"/>
          <w:kern w:val="2"/>
          <w:sz w:val="24"/>
          <w:szCs w:val="24"/>
          <w:lang w:eastAsia="en-US"/>
          <w14:ligatures w14:val="standardContextual"/>
        </w:rPr>
        <w:t>, No.</w:t>
      </w:r>
      <w:r w:rsidRPr="00BB0F9F">
        <w:rPr>
          <w:rFonts w:eastAsia="Calibri"/>
          <w:color w:val="auto"/>
          <w:kern w:val="2"/>
          <w:sz w:val="24"/>
          <w:szCs w:val="24"/>
          <w:lang w:eastAsia="en-US"/>
          <w14:ligatures w14:val="standardContextual"/>
        </w:rPr>
        <w:t>10, p</w:t>
      </w:r>
      <w:r w:rsidR="00A32E8A" w:rsidRPr="00BB0F9F">
        <w:rPr>
          <w:rFonts w:eastAsia="Calibri"/>
          <w:color w:val="auto"/>
          <w:kern w:val="2"/>
          <w:sz w:val="24"/>
          <w:szCs w:val="24"/>
          <w:lang w:eastAsia="en-US"/>
          <w14:ligatures w14:val="standardContextual"/>
        </w:rPr>
        <w:t>p</w:t>
      </w:r>
      <w:r w:rsidRPr="00BB0F9F">
        <w:rPr>
          <w:rFonts w:eastAsia="Calibri"/>
          <w:color w:val="auto"/>
          <w:kern w:val="2"/>
          <w:sz w:val="24"/>
          <w:szCs w:val="24"/>
          <w:lang w:eastAsia="en-US"/>
          <w14:ligatures w14:val="standardContextual"/>
        </w:rPr>
        <w:t xml:space="preserve"> 153 – 170.</w:t>
      </w:r>
    </w:p>
    <w:p w14:paraId="3228B087" w14:textId="07388FEB"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Fook, J. (2012)</w:t>
      </w:r>
      <w:r w:rsidR="001B0F61"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Social Work: A Critical Approach to Practice.</w:t>
      </w:r>
      <w:r w:rsidRPr="00BB0F9F">
        <w:rPr>
          <w:rFonts w:eastAsia="Calibri"/>
          <w:color w:val="auto"/>
          <w:kern w:val="2"/>
          <w:sz w:val="24"/>
          <w:szCs w:val="24"/>
          <w:lang w:eastAsia="en-US"/>
          <w14:ligatures w14:val="standardContextual"/>
        </w:rPr>
        <w:t xml:space="preserve"> SAGE Publications.</w:t>
      </w:r>
    </w:p>
    <w:p w14:paraId="5E08EF87" w14:textId="0AAC322E"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Fook, J.</w:t>
      </w:r>
      <w:r w:rsidR="00BD01BE" w:rsidRPr="00BB0F9F">
        <w:rPr>
          <w:rFonts w:eastAsia="Calibri"/>
          <w:color w:val="auto"/>
          <w:kern w:val="2"/>
          <w:sz w:val="24"/>
          <w:szCs w:val="24"/>
          <w:lang w:eastAsia="en-US"/>
          <w14:ligatures w14:val="standardContextual"/>
        </w:rPr>
        <w:t xml:space="preserve"> </w:t>
      </w:r>
      <w:r w:rsidR="001B0F61" w:rsidRPr="00BB0F9F">
        <w:rPr>
          <w:rFonts w:eastAsia="Calibri"/>
          <w:color w:val="auto"/>
          <w:kern w:val="2"/>
          <w:sz w:val="24"/>
          <w:szCs w:val="24"/>
          <w:lang w:eastAsia="en-US"/>
          <w14:ligatures w14:val="standardContextual"/>
        </w:rPr>
        <w:t>and</w:t>
      </w:r>
      <w:r w:rsidRPr="00BB0F9F">
        <w:rPr>
          <w:rFonts w:eastAsia="Calibri"/>
          <w:color w:val="auto"/>
          <w:kern w:val="2"/>
          <w:sz w:val="24"/>
          <w:szCs w:val="24"/>
          <w:lang w:eastAsia="en-US"/>
          <w14:ligatures w14:val="standardContextual"/>
        </w:rPr>
        <w:t xml:space="preserve"> Gardner, F. (2007)</w:t>
      </w:r>
      <w:r w:rsidR="001B0F61"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Practising Critical Reflection: A Resource Handbook</w:t>
      </w:r>
      <w:r w:rsidRPr="00BB0F9F">
        <w:rPr>
          <w:rFonts w:eastAsia="Calibri"/>
          <w:color w:val="auto"/>
          <w:kern w:val="2"/>
          <w:sz w:val="24"/>
          <w:szCs w:val="24"/>
          <w:lang w:eastAsia="en-US"/>
          <w14:ligatures w14:val="standardContextual"/>
        </w:rPr>
        <w:t>. Open University Press.</w:t>
      </w:r>
    </w:p>
    <w:p w14:paraId="17D9E8A2" w14:textId="27B7ACEF"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Frost, N. (2017)</w:t>
      </w:r>
      <w:r w:rsidR="00BD01BE"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Safeguarding Children and Young People: An Integrated Approach</w:t>
      </w:r>
      <w:r w:rsidRPr="00BB0F9F">
        <w:rPr>
          <w:rFonts w:eastAsia="Calibri"/>
          <w:color w:val="auto"/>
          <w:kern w:val="2"/>
          <w:sz w:val="24"/>
          <w:szCs w:val="24"/>
          <w:lang w:eastAsia="en-US"/>
          <w14:ligatures w14:val="standardContextual"/>
        </w:rPr>
        <w:t>. Cambridge University Press.</w:t>
      </w:r>
    </w:p>
    <w:p w14:paraId="1DBE597C" w14:textId="0A4F2B3F"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Galvani, S. (2012), </w:t>
      </w:r>
      <w:r w:rsidRPr="00BB0F9F">
        <w:rPr>
          <w:rFonts w:eastAsia="Calibri"/>
          <w:i/>
          <w:iCs/>
          <w:color w:val="auto"/>
          <w:kern w:val="2"/>
          <w:sz w:val="24"/>
          <w:szCs w:val="24"/>
          <w:lang w:eastAsia="en-US"/>
          <w14:ligatures w14:val="standardContextual"/>
        </w:rPr>
        <w:t>Supporting People with Alcohol and Drug Problems: Making a Difference. Bristol</w:t>
      </w:r>
      <w:r w:rsidR="00A32E8A"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Policy Press.</w:t>
      </w:r>
    </w:p>
    <w:p w14:paraId="2A7B9A3A" w14:textId="52238ED0"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proofErr w:type="spellStart"/>
      <w:r w:rsidRPr="00BB0F9F">
        <w:rPr>
          <w:rFonts w:eastAsia="Calibri"/>
          <w:color w:val="auto"/>
          <w:kern w:val="2"/>
          <w:sz w:val="24"/>
          <w:szCs w:val="24"/>
          <w:lang w:eastAsia="en-US"/>
          <w14:ligatures w14:val="standardContextual"/>
        </w:rPr>
        <w:t>Gambrill</w:t>
      </w:r>
      <w:proofErr w:type="spellEnd"/>
      <w:r w:rsidRPr="00BB0F9F">
        <w:rPr>
          <w:rFonts w:eastAsia="Calibri"/>
          <w:color w:val="auto"/>
          <w:kern w:val="2"/>
          <w:sz w:val="24"/>
          <w:szCs w:val="24"/>
          <w:lang w:eastAsia="en-US"/>
          <w14:ligatures w14:val="standardContextual"/>
        </w:rPr>
        <w:t>, E. (2006)</w:t>
      </w:r>
      <w:r w:rsidR="00BD01BE"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Social Work Practice: A Critical Thinker’s Guide</w:t>
      </w:r>
      <w:r w:rsidRPr="00BB0F9F">
        <w:rPr>
          <w:rFonts w:eastAsia="Calibri"/>
          <w:color w:val="auto"/>
          <w:kern w:val="2"/>
          <w:sz w:val="24"/>
          <w:szCs w:val="24"/>
          <w:lang w:eastAsia="en-US"/>
          <w14:ligatures w14:val="standardContextual"/>
        </w:rPr>
        <w:t>. Oxford University Press.</w:t>
      </w:r>
    </w:p>
    <w:p w14:paraId="62D8750A" w14:textId="3E22AB2A"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Gerdes, K.E., Segal, E., Jackson, K.F. and Mullins, J. L. (2011)</w:t>
      </w:r>
      <w:r w:rsidR="00FF539C"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Teaching Empathy: A Framework Rooted in Social Cognitive Neuroscience and Social Justice. J</w:t>
      </w:r>
      <w:r w:rsidRPr="00BB0F9F">
        <w:rPr>
          <w:rFonts w:eastAsia="Calibri"/>
          <w:i/>
          <w:iCs/>
          <w:color w:val="auto"/>
          <w:kern w:val="2"/>
          <w:sz w:val="24"/>
          <w:szCs w:val="24"/>
          <w:lang w:eastAsia="en-US"/>
          <w14:ligatures w14:val="standardContextual"/>
        </w:rPr>
        <w:t>ournal of Social Work Education</w:t>
      </w:r>
      <w:r w:rsidRPr="00BB0F9F">
        <w:rPr>
          <w:rFonts w:eastAsia="Calibri"/>
          <w:color w:val="auto"/>
          <w:kern w:val="2"/>
          <w:sz w:val="24"/>
          <w:szCs w:val="24"/>
          <w:lang w:eastAsia="en-US"/>
          <w14:ligatures w14:val="standardContextual"/>
        </w:rPr>
        <w:t xml:space="preserve">, </w:t>
      </w:r>
      <w:r w:rsidR="00A32E8A" w:rsidRPr="00BB0F9F">
        <w:rPr>
          <w:rFonts w:eastAsia="Calibri"/>
          <w:color w:val="auto"/>
          <w:kern w:val="2"/>
          <w:sz w:val="24"/>
          <w:szCs w:val="24"/>
          <w:lang w:eastAsia="en-US"/>
          <w14:ligatures w14:val="standardContextual"/>
        </w:rPr>
        <w:t>Vol.</w:t>
      </w:r>
      <w:r w:rsidRPr="00BB0F9F">
        <w:rPr>
          <w:rFonts w:eastAsia="Calibri"/>
          <w:color w:val="auto"/>
          <w:kern w:val="2"/>
          <w:sz w:val="24"/>
          <w:szCs w:val="24"/>
          <w:lang w:eastAsia="en-US"/>
          <w14:ligatures w14:val="standardContextual"/>
        </w:rPr>
        <w:t>47</w:t>
      </w:r>
      <w:r w:rsidR="00A32E8A" w:rsidRPr="00BB0F9F">
        <w:rPr>
          <w:rFonts w:eastAsia="Calibri"/>
          <w:color w:val="auto"/>
          <w:kern w:val="2"/>
          <w:sz w:val="24"/>
          <w:szCs w:val="24"/>
          <w:lang w:eastAsia="en-US"/>
          <w14:ligatures w14:val="standardContextual"/>
        </w:rPr>
        <w:t>, No.1, pp.</w:t>
      </w:r>
      <w:r w:rsidRPr="00BB0F9F">
        <w:rPr>
          <w:rFonts w:eastAsia="Calibri"/>
          <w:color w:val="auto"/>
          <w:kern w:val="2"/>
          <w:sz w:val="24"/>
          <w:szCs w:val="24"/>
          <w:lang w:eastAsia="en-US"/>
          <w14:ligatures w14:val="standardContextual"/>
        </w:rPr>
        <w:t xml:space="preserve"> 109-131.</w:t>
      </w:r>
    </w:p>
    <w:p w14:paraId="250EF5E6" w14:textId="3378C601"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Glasby, J. (2017)</w:t>
      </w:r>
      <w:r w:rsidR="00BD01BE"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Understanding Health and Social Care</w:t>
      </w:r>
      <w:r w:rsidRPr="00BB0F9F">
        <w:rPr>
          <w:rFonts w:eastAsia="Calibri"/>
          <w:color w:val="auto"/>
          <w:kern w:val="2"/>
          <w:sz w:val="24"/>
          <w:szCs w:val="24"/>
          <w:lang w:eastAsia="en-US"/>
          <w14:ligatures w14:val="standardContextual"/>
        </w:rPr>
        <w:t>. Policy Press.</w:t>
      </w:r>
    </w:p>
    <w:p w14:paraId="49FC364C" w14:textId="3E053D92"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Hawkins, P. and Shohet, R. (2012)</w:t>
      </w:r>
      <w:r w:rsidR="00BD01BE"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Supervision in The Helping Professions</w:t>
      </w:r>
      <w:r w:rsidRPr="00BB0F9F">
        <w:rPr>
          <w:rFonts w:eastAsia="Calibri"/>
          <w:color w:val="auto"/>
          <w:kern w:val="2"/>
          <w:sz w:val="24"/>
          <w:szCs w:val="24"/>
          <w:lang w:eastAsia="en-US"/>
          <w14:ligatures w14:val="standardContextual"/>
        </w:rPr>
        <w:t>. Open University Press.</w:t>
      </w:r>
    </w:p>
    <w:p w14:paraId="6BBBCEDC" w14:textId="41126C6F"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Healy, K. (2014)</w:t>
      </w:r>
      <w:r w:rsidR="00BD01BE"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Social Work Theories in Context: Creating Frameworks for Practice</w:t>
      </w:r>
      <w:r w:rsidRPr="00BB0F9F">
        <w:rPr>
          <w:rFonts w:eastAsia="Calibri"/>
          <w:color w:val="auto"/>
          <w:kern w:val="2"/>
          <w:sz w:val="24"/>
          <w:szCs w:val="24"/>
          <w:lang w:eastAsia="en-US"/>
          <w14:ligatures w14:val="standardContextual"/>
        </w:rPr>
        <w:t>. Palgrave Macmillan.</w:t>
      </w:r>
    </w:p>
    <w:p w14:paraId="1EFBB22E" w14:textId="186CEB90"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Healy, K. (2018)</w:t>
      </w:r>
      <w:r w:rsidR="00BD01BE"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The skilled communicator in social work: The art and science of communication in practice</w:t>
      </w:r>
      <w:r w:rsidRPr="00BB0F9F">
        <w:rPr>
          <w:rFonts w:eastAsia="Calibri"/>
          <w:color w:val="auto"/>
          <w:kern w:val="2"/>
          <w:sz w:val="24"/>
          <w:szCs w:val="24"/>
          <w:lang w:eastAsia="en-US"/>
          <w14:ligatures w14:val="standardContextual"/>
        </w:rPr>
        <w:t>. Palgrave.</w:t>
      </w:r>
    </w:p>
    <w:p w14:paraId="38EF43B0" w14:textId="0FAB3D3C"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Hepworth, D.H., Rooney, R.H., Rooney, G.D., Strom-Gottfried, K.</w:t>
      </w:r>
      <w:r w:rsidR="00FF539C" w:rsidRPr="00BB0F9F">
        <w:rPr>
          <w:rFonts w:eastAsia="Calibri"/>
          <w:color w:val="auto"/>
          <w:kern w:val="2"/>
          <w:sz w:val="24"/>
          <w:szCs w:val="24"/>
          <w:lang w:eastAsia="en-US"/>
          <w14:ligatures w14:val="standardContextual"/>
        </w:rPr>
        <w:t xml:space="preserve"> and</w:t>
      </w:r>
      <w:r w:rsidRPr="00BB0F9F">
        <w:rPr>
          <w:rFonts w:eastAsia="Calibri"/>
          <w:color w:val="auto"/>
          <w:kern w:val="2"/>
          <w:sz w:val="24"/>
          <w:szCs w:val="24"/>
          <w:lang w:eastAsia="en-US"/>
          <w14:ligatures w14:val="standardContextual"/>
        </w:rPr>
        <w:t xml:space="preserve"> Larsen, J.A. (2017)</w:t>
      </w:r>
      <w:r w:rsidR="00FF539C"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Direct Social Work Practice: Theory and Skills.</w:t>
      </w:r>
      <w:r w:rsidRPr="00BB0F9F">
        <w:rPr>
          <w:rFonts w:eastAsia="Calibri"/>
          <w:color w:val="auto"/>
          <w:kern w:val="2"/>
          <w:sz w:val="24"/>
          <w:szCs w:val="24"/>
          <w:lang w:eastAsia="en-US"/>
          <w14:ligatures w14:val="standardContextual"/>
        </w:rPr>
        <w:t xml:space="preserve"> Cengage Learning. </w:t>
      </w:r>
    </w:p>
    <w:p w14:paraId="4E047A86" w14:textId="417CD042"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Human Rights Act 1998, Available from:  </w:t>
      </w:r>
      <w:hyperlink r:id="rId18" w:history="1">
        <w:r w:rsidR="002632F5" w:rsidRPr="00BB0F9F">
          <w:rPr>
            <w:rStyle w:val="Hyperlink"/>
            <w:rFonts w:eastAsia="Calibri"/>
            <w:color w:val="auto"/>
            <w:kern w:val="2"/>
            <w:sz w:val="24"/>
            <w:szCs w:val="24"/>
            <w:lang w:eastAsia="en-US"/>
            <w14:ligatures w14:val="standardContextual"/>
          </w:rPr>
          <w:t>https://www.legislation.gov.uk/ukpga/1998/42</w:t>
        </w:r>
      </w:hyperlink>
      <w:r w:rsidR="002632F5"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 xml:space="preserve"> [Accessed 23rd </w:t>
      </w:r>
      <w:proofErr w:type="gramStart"/>
      <w:r w:rsidRPr="00BB0F9F">
        <w:rPr>
          <w:rFonts w:eastAsia="Calibri"/>
          <w:color w:val="auto"/>
          <w:kern w:val="2"/>
          <w:sz w:val="24"/>
          <w:szCs w:val="24"/>
          <w:lang w:eastAsia="en-US"/>
          <w14:ligatures w14:val="standardContextual"/>
        </w:rPr>
        <w:t>May,</w:t>
      </w:r>
      <w:proofErr w:type="gramEnd"/>
      <w:r w:rsidRPr="00BB0F9F">
        <w:rPr>
          <w:rFonts w:eastAsia="Calibri"/>
          <w:color w:val="auto"/>
          <w:kern w:val="2"/>
          <w:sz w:val="24"/>
          <w:szCs w:val="24"/>
          <w:lang w:eastAsia="en-US"/>
          <w14:ligatures w14:val="standardContextual"/>
        </w:rPr>
        <w:t xml:space="preserve"> 2024.]</w:t>
      </w:r>
    </w:p>
    <w:p w14:paraId="1CDD3A61" w14:textId="2498EA05"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Hunter, S. and Ritchie, P. (eds.) (2007), </w:t>
      </w:r>
      <w:r w:rsidRPr="00BB0F9F">
        <w:rPr>
          <w:rFonts w:eastAsia="Calibri"/>
          <w:i/>
          <w:iCs/>
          <w:color w:val="auto"/>
          <w:kern w:val="2"/>
          <w:sz w:val="24"/>
          <w:szCs w:val="24"/>
          <w:lang w:eastAsia="en-US"/>
          <w14:ligatures w14:val="standardContextual"/>
        </w:rPr>
        <w:t>Co-production and Personalisation in Social Care. Londo</w:t>
      </w:r>
      <w:r w:rsidR="00A32E8A" w:rsidRPr="00BB0F9F">
        <w:rPr>
          <w:rFonts w:eastAsia="Calibri"/>
          <w:i/>
          <w:iCs/>
          <w:color w:val="auto"/>
          <w:kern w:val="2"/>
          <w:sz w:val="24"/>
          <w:szCs w:val="24"/>
          <w:lang w:eastAsia="en-US"/>
          <w14:ligatures w14:val="standardContextual"/>
        </w:rPr>
        <w:t>n.</w:t>
      </w:r>
      <w:r w:rsidRPr="00BB0F9F">
        <w:rPr>
          <w:rFonts w:eastAsia="Calibri"/>
          <w:color w:val="auto"/>
          <w:kern w:val="2"/>
          <w:sz w:val="24"/>
          <w:szCs w:val="24"/>
          <w:lang w:eastAsia="en-US"/>
          <w14:ligatures w14:val="standardContextual"/>
        </w:rPr>
        <w:t xml:space="preserve"> Jessica Kingsley. Available from:                        </w:t>
      </w:r>
      <w:hyperlink r:id="rId19" w:history="1">
        <w:r w:rsidR="002632F5" w:rsidRPr="00BB0F9F">
          <w:rPr>
            <w:rStyle w:val="Hyperlink"/>
            <w:rFonts w:eastAsia="Calibri"/>
            <w:color w:val="auto"/>
            <w:kern w:val="2"/>
            <w:sz w:val="24"/>
            <w:szCs w:val="24"/>
            <w:lang w:eastAsia="en-US"/>
            <w14:ligatures w14:val="standardContextual"/>
          </w:rPr>
          <w:t>https://www.researchgate.net</w:t>
        </w:r>
      </w:hyperlink>
      <w:r w:rsidR="002632F5" w:rsidRPr="00BB0F9F">
        <w:rPr>
          <w:rFonts w:eastAsia="Calibri"/>
          <w:color w:val="auto"/>
          <w:kern w:val="2"/>
          <w:sz w:val="24"/>
          <w:szCs w:val="24"/>
          <w:lang w:eastAsia="en-US"/>
          <w14:ligatures w14:val="standardContextual"/>
        </w:rPr>
        <w:t xml:space="preserve"> </w:t>
      </w:r>
      <w:proofErr w:type="gramStart"/>
      <w:r w:rsidRPr="00BB0F9F">
        <w:rPr>
          <w:rFonts w:eastAsia="Calibri"/>
          <w:color w:val="auto"/>
          <w:kern w:val="2"/>
          <w:sz w:val="24"/>
          <w:szCs w:val="24"/>
          <w:lang w:eastAsia="en-US"/>
          <w14:ligatures w14:val="standardContextual"/>
        </w:rPr>
        <w:t xml:space="preserve">   [</w:t>
      </w:r>
      <w:proofErr w:type="gramEnd"/>
      <w:r w:rsidR="00A5691B" w:rsidRPr="00BB0F9F">
        <w:rPr>
          <w:rFonts w:eastAsia="Calibri"/>
          <w:color w:val="auto"/>
          <w:kern w:val="2"/>
          <w:sz w:val="24"/>
          <w:szCs w:val="24"/>
          <w:lang w:eastAsia="en-US"/>
          <w14:ligatures w14:val="standardContextual"/>
        </w:rPr>
        <w:t>A</w:t>
      </w:r>
      <w:r w:rsidRPr="00BB0F9F">
        <w:rPr>
          <w:rFonts w:eastAsia="Calibri"/>
          <w:color w:val="auto"/>
          <w:kern w:val="2"/>
          <w:sz w:val="24"/>
          <w:szCs w:val="24"/>
          <w:lang w:eastAsia="en-US"/>
          <w14:ligatures w14:val="standardContextual"/>
        </w:rPr>
        <w:t>ccessed 30th November, 2020.]</w:t>
      </w:r>
    </w:p>
    <w:p w14:paraId="6E154A97" w14:textId="77777777"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Information Commissioner’s Office. (2021) </w:t>
      </w:r>
      <w:r w:rsidRPr="00BB0F9F">
        <w:rPr>
          <w:rFonts w:eastAsia="Calibri"/>
          <w:i/>
          <w:iCs/>
          <w:color w:val="auto"/>
          <w:kern w:val="2"/>
          <w:sz w:val="24"/>
          <w:szCs w:val="24"/>
          <w:lang w:eastAsia="en-US"/>
          <w14:ligatures w14:val="standardContextual"/>
        </w:rPr>
        <w:t xml:space="preserve">Guide to the UK General Data Protection Regulation </w:t>
      </w:r>
      <w:r w:rsidRPr="00BB0F9F">
        <w:rPr>
          <w:rFonts w:eastAsia="Calibri"/>
          <w:color w:val="auto"/>
          <w:kern w:val="2"/>
          <w:sz w:val="24"/>
          <w:szCs w:val="24"/>
          <w:lang w:eastAsia="en-US"/>
          <w14:ligatures w14:val="standardContextual"/>
        </w:rPr>
        <w:t>(UK GDPR). ICO.</w:t>
      </w:r>
    </w:p>
    <w:p w14:paraId="41DB7B44" w14:textId="7C3BB67E"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Jacobs, N, (2021)</w:t>
      </w:r>
      <w:r w:rsidR="00585BC0"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What new domestic abuse legislation means for social workers</w:t>
      </w:r>
      <w:r w:rsidR="00A32E8A" w:rsidRPr="00BB0F9F">
        <w:rPr>
          <w:rFonts w:eastAsia="Calibri"/>
          <w:color w:val="auto"/>
          <w:kern w:val="2"/>
          <w:sz w:val="24"/>
          <w:szCs w:val="24"/>
          <w:lang w:eastAsia="en-US"/>
          <w14:ligatures w14:val="standardContextual"/>
        </w:rPr>
        <w:t xml:space="preserve">. </w:t>
      </w:r>
      <w:bookmarkStart w:id="2" w:name="_Hlk178857679"/>
      <w:r w:rsidRPr="00BB0F9F">
        <w:rPr>
          <w:rFonts w:eastAsia="Calibri"/>
          <w:color w:val="auto"/>
          <w:kern w:val="2"/>
          <w:sz w:val="24"/>
          <w:szCs w:val="24"/>
          <w:lang w:eastAsia="en-US"/>
          <w14:ligatures w14:val="standardContextual"/>
        </w:rPr>
        <w:t xml:space="preserve">Available from; </w:t>
      </w:r>
      <w:bookmarkEnd w:id="2"/>
      <w:r w:rsidRPr="00BB0F9F">
        <w:fldChar w:fldCharType="begin"/>
      </w:r>
      <w:r w:rsidRPr="00BB0F9F">
        <w:rPr>
          <w:color w:val="auto"/>
        </w:rPr>
        <w:instrText>HYPERLINK "https://www.communitycare.co.uk/2021/05/13/new-domestic-abuse-legislation-means-social-workers/"</w:instrText>
      </w:r>
      <w:r w:rsidRPr="00BB0F9F">
        <w:fldChar w:fldCharType="separate"/>
      </w:r>
      <w:r w:rsidR="00AE5FF1" w:rsidRPr="00BB0F9F">
        <w:rPr>
          <w:rStyle w:val="Hyperlink"/>
          <w:rFonts w:eastAsia="Calibri"/>
          <w:color w:val="auto"/>
          <w:kern w:val="2"/>
          <w:sz w:val="24"/>
          <w:szCs w:val="24"/>
          <w:lang w:eastAsia="en-US"/>
          <w14:ligatures w14:val="standardContextual"/>
        </w:rPr>
        <w:t>https://www.communitycare.co.uk/2021/05/13/new-domestic-abuse-legislation-means-social-workers/</w:t>
      </w:r>
      <w:r w:rsidRPr="00BB0F9F">
        <w:rPr>
          <w:rStyle w:val="Hyperlink"/>
          <w:rFonts w:eastAsia="Calibri"/>
          <w:color w:val="auto"/>
          <w:kern w:val="2"/>
          <w:sz w:val="24"/>
          <w:szCs w:val="24"/>
          <w:lang w:eastAsia="en-US"/>
          <w14:ligatures w14:val="standardContextual"/>
        </w:rPr>
        <w:fldChar w:fldCharType="end"/>
      </w:r>
      <w:r w:rsidR="00AE5FF1"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 xml:space="preserve"> [Accessed 23rd May, 2024.]</w:t>
      </w:r>
    </w:p>
    <w:p w14:paraId="1C14B5A6" w14:textId="68610E17"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proofErr w:type="spellStart"/>
      <w:r w:rsidRPr="00BB0F9F">
        <w:rPr>
          <w:rFonts w:eastAsia="Calibri"/>
          <w:color w:val="auto"/>
          <w:kern w:val="2"/>
          <w:sz w:val="24"/>
          <w:szCs w:val="24"/>
          <w:lang w:eastAsia="en-US"/>
          <w14:ligatures w14:val="standardContextual"/>
        </w:rPr>
        <w:t>Koprowska</w:t>
      </w:r>
      <w:proofErr w:type="spellEnd"/>
      <w:r w:rsidRPr="00BB0F9F">
        <w:rPr>
          <w:rFonts w:eastAsia="Calibri"/>
          <w:color w:val="auto"/>
          <w:kern w:val="2"/>
          <w:sz w:val="24"/>
          <w:szCs w:val="24"/>
          <w:lang w:eastAsia="en-US"/>
          <w14:ligatures w14:val="standardContextual"/>
        </w:rPr>
        <w:t xml:space="preserve"> J. (2010)</w:t>
      </w:r>
      <w:r w:rsidR="00FF539C"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Are student social workers’ communication skills improved by university-based learning? In H. Burgess, J. Carpenter (Eds.), The outcomes of social work education: Developing evaluation methods (pp. 73-87). Higher Education Academy, SWAP.</w:t>
      </w:r>
    </w:p>
    <w:p w14:paraId="618961E4" w14:textId="65C9F56B"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proofErr w:type="spellStart"/>
      <w:r w:rsidRPr="00BB0F9F">
        <w:rPr>
          <w:rFonts w:eastAsia="Calibri"/>
          <w:color w:val="auto"/>
          <w:kern w:val="2"/>
          <w:sz w:val="24"/>
          <w:szCs w:val="24"/>
          <w:lang w:eastAsia="en-US"/>
          <w14:ligatures w14:val="standardContextual"/>
        </w:rPr>
        <w:t>Koprowska</w:t>
      </w:r>
      <w:proofErr w:type="spellEnd"/>
      <w:r w:rsidRPr="00BB0F9F">
        <w:rPr>
          <w:rFonts w:eastAsia="Calibri"/>
          <w:color w:val="auto"/>
          <w:kern w:val="2"/>
          <w:sz w:val="24"/>
          <w:szCs w:val="24"/>
          <w:lang w:eastAsia="en-US"/>
          <w14:ligatures w14:val="standardContextual"/>
        </w:rPr>
        <w:t>, J. (2020)</w:t>
      </w:r>
      <w:r w:rsidR="00BD01BE"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Communication and interpersonal skills in social work</w:t>
      </w:r>
      <w:r w:rsidR="00BD01BE"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5th ed</w:t>
      </w:r>
      <w:r w:rsidR="00BD01BE" w:rsidRPr="00BB0F9F">
        <w:rPr>
          <w:rFonts w:eastAsia="Calibri"/>
          <w:color w:val="auto"/>
          <w:kern w:val="2"/>
          <w:sz w:val="24"/>
          <w:szCs w:val="24"/>
          <w:lang w:eastAsia="en-US"/>
          <w14:ligatures w14:val="standardContextual"/>
        </w:rPr>
        <w:t>ition</w:t>
      </w:r>
      <w:r w:rsidRPr="00BB0F9F">
        <w:rPr>
          <w:rFonts w:eastAsia="Calibri"/>
          <w:color w:val="auto"/>
          <w:kern w:val="2"/>
          <w:sz w:val="24"/>
          <w:szCs w:val="24"/>
          <w:lang w:eastAsia="en-US"/>
          <w14:ligatures w14:val="standardContextual"/>
        </w:rPr>
        <w:t>. Sage.</w:t>
      </w:r>
    </w:p>
    <w:p w14:paraId="6E7D57B2" w14:textId="14FAED47"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Devine</w:t>
      </w:r>
      <w:r w:rsidR="00DA508B" w:rsidRPr="00BB0F9F">
        <w:rPr>
          <w:rFonts w:eastAsia="Calibri"/>
          <w:color w:val="auto"/>
          <w:kern w:val="2"/>
          <w:sz w:val="24"/>
          <w:szCs w:val="24"/>
          <w:lang w:eastAsia="en-US"/>
          <w14:ligatures w14:val="standardContextual"/>
        </w:rPr>
        <w:t>, L.</w:t>
      </w:r>
      <w:r w:rsidRPr="00BB0F9F">
        <w:rPr>
          <w:rFonts w:eastAsia="Calibri"/>
          <w:color w:val="auto"/>
          <w:kern w:val="2"/>
          <w:sz w:val="24"/>
          <w:szCs w:val="24"/>
          <w:lang w:eastAsia="en-US"/>
          <w14:ligatures w14:val="standardContextual"/>
        </w:rPr>
        <w:t xml:space="preserve"> (2015)</w:t>
      </w:r>
      <w:r w:rsidR="00FF539C"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Considering social work assessment of families</w:t>
      </w:r>
      <w:r w:rsidR="00FF539C"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Journal of Social Welfare and Family Law</w:t>
      </w:r>
      <w:r w:rsidR="00A32E8A" w:rsidRPr="00BB0F9F">
        <w:rPr>
          <w:rFonts w:eastAsia="Calibri"/>
          <w:color w:val="auto"/>
          <w:kern w:val="2"/>
          <w:sz w:val="24"/>
          <w:szCs w:val="24"/>
          <w:lang w:eastAsia="en-US"/>
          <w14:ligatures w14:val="standardContextual"/>
        </w:rPr>
        <w:t>. Vol.</w:t>
      </w:r>
      <w:r w:rsidRPr="00BB0F9F">
        <w:rPr>
          <w:rFonts w:eastAsia="Calibri"/>
          <w:color w:val="auto"/>
          <w:kern w:val="2"/>
          <w:sz w:val="24"/>
          <w:szCs w:val="24"/>
          <w:lang w:eastAsia="en-US"/>
          <w14:ligatures w14:val="standardContextual"/>
        </w:rPr>
        <w:t xml:space="preserve"> 37</w:t>
      </w:r>
      <w:r w:rsidR="00A32E8A" w:rsidRPr="00BB0F9F">
        <w:rPr>
          <w:rFonts w:eastAsia="Calibri"/>
          <w:color w:val="auto"/>
          <w:kern w:val="2"/>
          <w:sz w:val="24"/>
          <w:szCs w:val="24"/>
          <w:lang w:eastAsia="en-US"/>
          <w14:ligatures w14:val="standardContextual"/>
        </w:rPr>
        <w:t>, No.</w:t>
      </w:r>
      <w:r w:rsidRPr="00BB0F9F">
        <w:rPr>
          <w:rFonts w:eastAsia="Calibri"/>
          <w:color w:val="auto"/>
          <w:kern w:val="2"/>
          <w:sz w:val="24"/>
          <w:szCs w:val="24"/>
          <w:lang w:eastAsia="en-US"/>
          <w14:ligatures w14:val="standardContextual"/>
        </w:rPr>
        <w:t xml:space="preserve">1, </w:t>
      </w:r>
      <w:r w:rsidR="00A32E8A" w:rsidRPr="00BB0F9F">
        <w:rPr>
          <w:rFonts w:eastAsia="Calibri"/>
          <w:color w:val="auto"/>
          <w:kern w:val="2"/>
          <w:sz w:val="24"/>
          <w:szCs w:val="24"/>
          <w:lang w:eastAsia="en-US"/>
          <w14:ligatures w14:val="standardContextual"/>
        </w:rPr>
        <w:t xml:space="preserve">pp. </w:t>
      </w:r>
      <w:r w:rsidRPr="00BB0F9F">
        <w:rPr>
          <w:rFonts w:eastAsia="Calibri"/>
          <w:color w:val="auto"/>
          <w:kern w:val="2"/>
          <w:sz w:val="24"/>
          <w:szCs w:val="24"/>
          <w:lang w:eastAsia="en-US"/>
          <w14:ligatures w14:val="standardContextual"/>
        </w:rPr>
        <w:t xml:space="preserve">70-83, </w:t>
      </w:r>
      <w:r w:rsidR="00DA508B" w:rsidRPr="00BB0F9F">
        <w:rPr>
          <w:rFonts w:eastAsia="Calibri"/>
          <w:color w:val="auto"/>
          <w:kern w:val="2"/>
          <w:sz w:val="24"/>
          <w:szCs w:val="24"/>
          <w:lang w:eastAsia="en-US"/>
          <w14:ligatures w14:val="standardContextual"/>
        </w:rPr>
        <w:t xml:space="preserve">Available from: </w:t>
      </w:r>
      <w:hyperlink r:id="rId20" w:history="1">
        <w:r w:rsidR="00DA508B" w:rsidRPr="00BB0F9F">
          <w:rPr>
            <w:rStyle w:val="Hyperlink"/>
            <w:rFonts w:eastAsia="Calibri"/>
            <w:color w:val="auto"/>
            <w:kern w:val="2"/>
            <w:sz w:val="24"/>
            <w:szCs w:val="24"/>
            <w:lang w:eastAsia="en-US"/>
            <w14:ligatures w14:val="standardContextual"/>
          </w:rPr>
          <w:t>https://www.tandfonline.com/doi/full/10.1080/09649069.2015.998005</w:t>
        </w:r>
      </w:hyperlink>
      <w:r w:rsidR="00DA508B" w:rsidRPr="00BB0F9F">
        <w:rPr>
          <w:rFonts w:eastAsia="Calibri"/>
          <w:color w:val="auto"/>
          <w:kern w:val="2"/>
          <w:sz w:val="24"/>
          <w:szCs w:val="24"/>
          <w:lang w:eastAsia="en-US"/>
          <w14:ligatures w14:val="standardContextual"/>
        </w:rPr>
        <w:t xml:space="preserve"> </w:t>
      </w:r>
      <w:r w:rsidR="00FF539C" w:rsidRPr="00BB0F9F">
        <w:rPr>
          <w:rFonts w:eastAsia="Calibri"/>
          <w:color w:val="auto"/>
          <w:kern w:val="2"/>
          <w:sz w:val="24"/>
          <w:szCs w:val="24"/>
          <w:lang w:eastAsia="en-US"/>
          <w14:ligatures w14:val="standardContextual"/>
        </w:rPr>
        <w:t xml:space="preserve"> </w:t>
      </w:r>
      <w:r w:rsidR="00DA508B" w:rsidRPr="00BB0F9F">
        <w:rPr>
          <w:rFonts w:eastAsia="Calibri"/>
          <w:color w:val="auto"/>
          <w:kern w:val="2"/>
          <w:sz w:val="24"/>
          <w:szCs w:val="24"/>
          <w:lang w:eastAsia="en-US"/>
          <w14:ligatures w14:val="standardContextual"/>
        </w:rPr>
        <w:t xml:space="preserve">[Accessed 23rd </w:t>
      </w:r>
      <w:proofErr w:type="gramStart"/>
      <w:r w:rsidR="00DA508B" w:rsidRPr="00BB0F9F">
        <w:rPr>
          <w:rFonts w:eastAsia="Calibri"/>
          <w:color w:val="auto"/>
          <w:kern w:val="2"/>
          <w:sz w:val="24"/>
          <w:szCs w:val="24"/>
          <w:lang w:eastAsia="en-US"/>
          <w14:ligatures w14:val="standardContextual"/>
        </w:rPr>
        <w:t>May,</w:t>
      </w:r>
      <w:proofErr w:type="gramEnd"/>
      <w:r w:rsidR="00DA508B" w:rsidRPr="00BB0F9F">
        <w:rPr>
          <w:rFonts w:eastAsia="Calibri"/>
          <w:color w:val="auto"/>
          <w:kern w:val="2"/>
          <w:sz w:val="24"/>
          <w:szCs w:val="24"/>
          <w:lang w:eastAsia="en-US"/>
          <w14:ligatures w14:val="standardContextual"/>
        </w:rPr>
        <w:t xml:space="preserve"> 2024.]</w:t>
      </w:r>
    </w:p>
    <w:p w14:paraId="599A28C5" w14:textId="00A25890"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Legislation.Gov.uk (2005). </w:t>
      </w:r>
      <w:r w:rsidRPr="00BB0F9F">
        <w:rPr>
          <w:rFonts w:eastAsia="Calibri"/>
          <w:i/>
          <w:iCs/>
          <w:color w:val="auto"/>
          <w:kern w:val="2"/>
          <w:sz w:val="24"/>
          <w:szCs w:val="24"/>
          <w:lang w:eastAsia="en-US"/>
          <w14:ligatures w14:val="standardContextual"/>
        </w:rPr>
        <w:t>Mental Capacity Act 2005</w:t>
      </w:r>
      <w:r w:rsidRPr="00BB0F9F">
        <w:rPr>
          <w:rFonts w:eastAsia="Calibri"/>
          <w:color w:val="auto"/>
          <w:kern w:val="2"/>
          <w:sz w:val="24"/>
          <w:szCs w:val="24"/>
          <w:lang w:eastAsia="en-US"/>
          <w14:ligatures w14:val="standardContextual"/>
        </w:rPr>
        <w:t xml:space="preserve">. [online] Available at: </w:t>
      </w:r>
      <w:hyperlink r:id="rId21" w:history="1">
        <w:r w:rsidR="00AE5FF1" w:rsidRPr="00BB0F9F">
          <w:rPr>
            <w:rStyle w:val="Hyperlink"/>
            <w:rFonts w:eastAsia="Calibri"/>
            <w:color w:val="auto"/>
            <w:kern w:val="2"/>
            <w:sz w:val="24"/>
            <w:szCs w:val="24"/>
            <w:lang w:eastAsia="en-US"/>
            <w14:ligatures w14:val="standardContextual"/>
          </w:rPr>
          <w:t>https://www.legislation.gov.uk/ukpga/2005/9/contents</w:t>
        </w:r>
      </w:hyperlink>
      <w:r w:rsidR="00AE5FF1"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 xml:space="preserve"> [Accessed 13 Sept. 2024].</w:t>
      </w:r>
    </w:p>
    <w:p w14:paraId="0A1AF6FE" w14:textId="502243D8"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Lishman, J. (2009), </w:t>
      </w:r>
      <w:r w:rsidRPr="00BB0F9F">
        <w:rPr>
          <w:rFonts w:eastAsia="Calibri"/>
          <w:i/>
          <w:iCs/>
          <w:color w:val="auto"/>
          <w:kern w:val="2"/>
          <w:sz w:val="24"/>
          <w:szCs w:val="24"/>
          <w:lang w:eastAsia="en-US"/>
          <w14:ligatures w14:val="standardContextual"/>
        </w:rPr>
        <w:t>Communication and Social Work</w:t>
      </w:r>
      <w:r w:rsidRPr="00BB0F9F">
        <w:rPr>
          <w:rFonts w:eastAsia="Calibri"/>
          <w:color w:val="auto"/>
          <w:kern w:val="2"/>
          <w:sz w:val="24"/>
          <w:szCs w:val="24"/>
          <w:lang w:eastAsia="en-US"/>
          <w14:ligatures w14:val="standardContextual"/>
        </w:rPr>
        <w:t>. 2</w:t>
      </w:r>
      <w:r w:rsidR="00BD01BE" w:rsidRPr="00BB0F9F">
        <w:rPr>
          <w:rFonts w:eastAsia="Calibri"/>
          <w:color w:val="auto"/>
          <w:kern w:val="2"/>
          <w:sz w:val="24"/>
          <w:szCs w:val="24"/>
          <w:vertAlign w:val="superscript"/>
          <w:lang w:eastAsia="en-US"/>
          <w14:ligatures w14:val="standardContextual"/>
        </w:rPr>
        <w:t>nd</w:t>
      </w:r>
      <w:r w:rsidR="00BD01BE" w:rsidRPr="00BB0F9F">
        <w:rPr>
          <w:rFonts w:eastAsia="Calibri"/>
          <w:color w:val="auto"/>
          <w:kern w:val="2"/>
          <w:sz w:val="24"/>
          <w:szCs w:val="24"/>
          <w:lang w:eastAsia="en-US"/>
          <w14:ligatures w14:val="standardContextual"/>
        </w:rPr>
        <w:t xml:space="preserve"> edition</w:t>
      </w:r>
      <w:r w:rsidRPr="00BB0F9F">
        <w:rPr>
          <w:rFonts w:eastAsia="Calibri"/>
          <w:color w:val="auto"/>
          <w:kern w:val="2"/>
          <w:sz w:val="24"/>
          <w:szCs w:val="24"/>
          <w:lang w:eastAsia="en-US"/>
          <w14:ligatures w14:val="standardContextual"/>
        </w:rPr>
        <w:t>. Basingstoke: Palgrave Macmillan.</w:t>
      </w:r>
    </w:p>
    <w:p w14:paraId="4782378E" w14:textId="64DD33BD"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proofErr w:type="spellStart"/>
      <w:r w:rsidRPr="00BB0F9F">
        <w:rPr>
          <w:rFonts w:eastAsia="Calibri"/>
          <w:color w:val="auto"/>
          <w:kern w:val="2"/>
          <w:sz w:val="24"/>
          <w:szCs w:val="24"/>
          <w:lang w:eastAsia="en-US"/>
          <w14:ligatures w14:val="standardContextual"/>
        </w:rPr>
        <w:t>Luban</w:t>
      </w:r>
      <w:proofErr w:type="spellEnd"/>
      <w:r w:rsidRPr="00BB0F9F">
        <w:rPr>
          <w:rFonts w:eastAsia="Calibri"/>
          <w:color w:val="auto"/>
          <w:kern w:val="2"/>
          <w:sz w:val="24"/>
          <w:szCs w:val="24"/>
          <w:lang w:eastAsia="en-US"/>
          <w14:ligatures w14:val="standardContextual"/>
        </w:rPr>
        <w:t>, D. (2007)</w:t>
      </w:r>
      <w:r w:rsidR="00BD01BE"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Legal Ethics and Human Dignity</w:t>
      </w:r>
      <w:r w:rsidRPr="00BB0F9F">
        <w:rPr>
          <w:rFonts w:eastAsia="Calibri"/>
          <w:color w:val="auto"/>
          <w:kern w:val="2"/>
          <w:sz w:val="24"/>
          <w:szCs w:val="24"/>
          <w:lang w:eastAsia="en-US"/>
          <w14:ligatures w14:val="standardContextual"/>
        </w:rPr>
        <w:t>. Cambridge University Press.</w:t>
      </w:r>
    </w:p>
    <w:p w14:paraId="699A0EC9" w14:textId="26AE3C1C"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Lum, D. (2010)</w:t>
      </w:r>
      <w:r w:rsidR="00BD01BE"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Culturally Competent Practice: Framework for Understanding Diverse Groups and Justice Issues.</w:t>
      </w:r>
      <w:r w:rsidRPr="00BB0F9F">
        <w:rPr>
          <w:rFonts w:eastAsia="Calibri"/>
          <w:color w:val="auto"/>
          <w:kern w:val="2"/>
          <w:sz w:val="24"/>
          <w:szCs w:val="24"/>
          <w:lang w:eastAsia="en-US"/>
          <w14:ligatures w14:val="standardContextual"/>
        </w:rPr>
        <w:t xml:space="preserve"> Cengage Learning.</w:t>
      </w:r>
    </w:p>
    <w:p w14:paraId="56362ACE" w14:textId="3D372A5A"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McDonald, A</w:t>
      </w:r>
      <w:r w:rsidR="00BD01BE"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(2016)</w:t>
      </w:r>
      <w:r w:rsidR="00BD01BE"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 xml:space="preserve">The Professional’s Guide to Risk Assessment </w:t>
      </w:r>
      <w:r w:rsidR="007A393F" w:rsidRPr="00BB0F9F">
        <w:rPr>
          <w:rFonts w:eastAsia="Calibri"/>
          <w:i/>
          <w:iCs/>
          <w:color w:val="auto"/>
          <w:kern w:val="2"/>
          <w:sz w:val="24"/>
          <w:szCs w:val="24"/>
          <w:lang w:eastAsia="en-US"/>
          <w14:ligatures w14:val="standardContextual"/>
        </w:rPr>
        <w:t>in</w:t>
      </w:r>
      <w:r w:rsidRPr="00BB0F9F">
        <w:rPr>
          <w:rFonts w:eastAsia="Calibri"/>
          <w:i/>
          <w:iCs/>
          <w:color w:val="auto"/>
          <w:kern w:val="2"/>
          <w:sz w:val="24"/>
          <w:szCs w:val="24"/>
          <w:lang w:eastAsia="en-US"/>
          <w14:ligatures w14:val="standardContextual"/>
        </w:rPr>
        <w:t xml:space="preserve"> Social Work</w:t>
      </w:r>
      <w:r w:rsidRPr="00BB0F9F">
        <w:rPr>
          <w:rFonts w:eastAsia="Calibri"/>
          <w:color w:val="auto"/>
          <w:kern w:val="2"/>
          <w:sz w:val="24"/>
          <w:szCs w:val="24"/>
          <w:lang w:eastAsia="en-US"/>
          <w14:ligatures w14:val="standardContextual"/>
        </w:rPr>
        <w:t>. Jessica Kingsley Publishers.</w:t>
      </w:r>
    </w:p>
    <w:p w14:paraId="77150F5A" w14:textId="7030F47C"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McGregor, K. (2017)</w:t>
      </w:r>
      <w:r w:rsidR="00BD01BE"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Managing Imposter Syndrome Among Newly Qualified Social Workers.</w:t>
      </w:r>
      <w:r w:rsidRPr="00BB0F9F">
        <w:rPr>
          <w:rFonts w:eastAsia="Calibri"/>
          <w:color w:val="auto"/>
          <w:kern w:val="2"/>
          <w:sz w:val="24"/>
          <w:szCs w:val="24"/>
          <w:lang w:eastAsia="en-US"/>
          <w14:ligatures w14:val="standardContextual"/>
        </w:rPr>
        <w:t xml:space="preserve"> Community Care.</w:t>
      </w:r>
    </w:p>
    <w:p w14:paraId="7DFAECD2" w14:textId="18B9EBDB"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Mental Health Act 200</w:t>
      </w:r>
      <w:r w:rsidR="009B3E24" w:rsidRPr="00BB0F9F">
        <w:rPr>
          <w:rFonts w:eastAsia="Calibri"/>
          <w:color w:val="auto"/>
          <w:kern w:val="2"/>
          <w:sz w:val="24"/>
          <w:szCs w:val="24"/>
          <w:lang w:eastAsia="en-US"/>
          <w14:ligatures w14:val="standardContextual"/>
        </w:rPr>
        <w:t>5</w:t>
      </w:r>
      <w:r w:rsidRPr="00BB0F9F">
        <w:rPr>
          <w:rFonts w:eastAsia="Calibri"/>
          <w:color w:val="auto"/>
          <w:kern w:val="2"/>
          <w:sz w:val="24"/>
          <w:szCs w:val="24"/>
          <w:lang w:eastAsia="en-US"/>
          <w14:ligatures w14:val="standardContextual"/>
        </w:rPr>
        <w:t xml:space="preserve">. Available from: </w:t>
      </w:r>
      <w:hyperlink r:id="rId22" w:history="1">
        <w:r w:rsidR="00AE5FF1" w:rsidRPr="00BB0F9F">
          <w:rPr>
            <w:rStyle w:val="Hyperlink"/>
            <w:rFonts w:eastAsia="Calibri"/>
            <w:color w:val="auto"/>
            <w:kern w:val="2"/>
            <w:sz w:val="24"/>
            <w:szCs w:val="24"/>
            <w:lang w:eastAsia="en-US"/>
            <w14:ligatures w14:val="standardContextual"/>
          </w:rPr>
          <w:t>https://www.legislation.gov.uk/ukpga/2007/12/contents</w:t>
        </w:r>
      </w:hyperlink>
      <w:r w:rsidR="00AE5FF1"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 xml:space="preserve"> [</w:t>
      </w:r>
      <w:r w:rsidR="00C924C9" w:rsidRPr="00BB0F9F">
        <w:rPr>
          <w:rFonts w:eastAsia="Calibri"/>
          <w:color w:val="auto"/>
          <w:kern w:val="2"/>
          <w:sz w:val="24"/>
          <w:szCs w:val="24"/>
          <w:lang w:eastAsia="en-US"/>
          <w14:ligatures w14:val="standardContextual"/>
        </w:rPr>
        <w:t>Ac</w:t>
      </w:r>
      <w:r w:rsidRPr="00BB0F9F">
        <w:rPr>
          <w:rFonts w:eastAsia="Calibri"/>
          <w:color w:val="auto"/>
          <w:kern w:val="2"/>
          <w:sz w:val="24"/>
          <w:szCs w:val="24"/>
          <w:lang w:eastAsia="en-US"/>
          <w14:ligatures w14:val="standardContextual"/>
        </w:rPr>
        <w:t xml:space="preserve">cessed 4th </w:t>
      </w:r>
      <w:proofErr w:type="gramStart"/>
      <w:r w:rsidRPr="00BB0F9F">
        <w:rPr>
          <w:rFonts w:eastAsia="Calibri"/>
          <w:color w:val="auto"/>
          <w:kern w:val="2"/>
          <w:sz w:val="24"/>
          <w:szCs w:val="24"/>
          <w:lang w:eastAsia="en-US"/>
          <w14:ligatures w14:val="standardContextual"/>
        </w:rPr>
        <w:t>July,</w:t>
      </w:r>
      <w:proofErr w:type="gramEnd"/>
      <w:r w:rsidRPr="00BB0F9F">
        <w:rPr>
          <w:rFonts w:eastAsia="Calibri"/>
          <w:color w:val="auto"/>
          <w:kern w:val="2"/>
          <w:sz w:val="24"/>
          <w:szCs w:val="24"/>
          <w:lang w:eastAsia="en-US"/>
          <w14:ligatures w14:val="standardContextual"/>
        </w:rPr>
        <w:t xml:space="preserve"> 2024.]</w:t>
      </w:r>
    </w:p>
    <w:p w14:paraId="1E5C41AE" w14:textId="768FD7B3"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Mercer, R. T. (2004)</w:t>
      </w:r>
      <w:r w:rsidR="00DA508B"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Becoming a Mother </w:t>
      </w:r>
      <w:r w:rsidR="007A393F" w:rsidRPr="00BB0F9F">
        <w:rPr>
          <w:rFonts w:eastAsia="Calibri"/>
          <w:color w:val="auto"/>
          <w:kern w:val="2"/>
          <w:sz w:val="24"/>
          <w:szCs w:val="24"/>
          <w:lang w:eastAsia="en-US"/>
          <w14:ligatures w14:val="standardContextual"/>
        </w:rPr>
        <w:t>V</w:t>
      </w:r>
      <w:r w:rsidRPr="00BB0F9F">
        <w:rPr>
          <w:rFonts w:eastAsia="Calibri"/>
          <w:color w:val="auto"/>
          <w:kern w:val="2"/>
          <w:sz w:val="24"/>
          <w:szCs w:val="24"/>
          <w:lang w:eastAsia="en-US"/>
          <w14:ligatures w14:val="standardContextual"/>
        </w:rPr>
        <w:t xml:space="preserve">ersus Maternal Role Attainment. </w:t>
      </w:r>
      <w:r w:rsidRPr="00BB0F9F">
        <w:rPr>
          <w:rFonts w:eastAsia="Calibri"/>
          <w:i/>
          <w:iCs/>
          <w:color w:val="auto"/>
          <w:kern w:val="2"/>
          <w:sz w:val="24"/>
          <w:szCs w:val="24"/>
          <w:lang w:eastAsia="en-US"/>
          <w14:ligatures w14:val="standardContextual"/>
        </w:rPr>
        <w:t>Journal of Nursing Scholarship</w:t>
      </w:r>
      <w:r w:rsidRPr="00BB0F9F">
        <w:rPr>
          <w:rFonts w:eastAsia="Calibri"/>
          <w:color w:val="auto"/>
          <w:kern w:val="2"/>
          <w:sz w:val="24"/>
          <w:szCs w:val="24"/>
          <w:lang w:eastAsia="en-US"/>
          <w14:ligatures w14:val="standardContextual"/>
        </w:rPr>
        <w:t xml:space="preserve">, </w:t>
      </w:r>
      <w:r w:rsidR="007A393F" w:rsidRPr="00BB0F9F">
        <w:rPr>
          <w:rFonts w:eastAsia="Calibri"/>
          <w:color w:val="auto"/>
          <w:kern w:val="2"/>
          <w:sz w:val="24"/>
          <w:szCs w:val="24"/>
          <w:lang w:eastAsia="en-US"/>
          <w14:ligatures w14:val="standardContextual"/>
        </w:rPr>
        <w:t xml:space="preserve">Vol. </w:t>
      </w:r>
      <w:r w:rsidRPr="00BB0F9F">
        <w:rPr>
          <w:rFonts w:eastAsia="Calibri"/>
          <w:color w:val="auto"/>
          <w:kern w:val="2"/>
          <w:sz w:val="24"/>
          <w:szCs w:val="24"/>
          <w:lang w:eastAsia="en-US"/>
          <w14:ligatures w14:val="standardContextual"/>
        </w:rPr>
        <w:t>36</w:t>
      </w:r>
      <w:r w:rsidR="007A393F" w:rsidRPr="00BB0F9F">
        <w:rPr>
          <w:rFonts w:eastAsia="Calibri"/>
          <w:color w:val="auto"/>
          <w:kern w:val="2"/>
          <w:sz w:val="24"/>
          <w:szCs w:val="24"/>
          <w:lang w:eastAsia="en-US"/>
          <w14:ligatures w14:val="standardContextual"/>
        </w:rPr>
        <w:t>, No.</w:t>
      </w:r>
      <w:r w:rsidRPr="00BB0F9F">
        <w:rPr>
          <w:rFonts w:eastAsia="Calibri"/>
          <w:color w:val="auto"/>
          <w:kern w:val="2"/>
          <w:sz w:val="24"/>
          <w:szCs w:val="24"/>
          <w:lang w:eastAsia="en-US"/>
          <w14:ligatures w14:val="standardContextual"/>
        </w:rPr>
        <w:t xml:space="preserve"> 3</w:t>
      </w:r>
      <w:r w:rsidR="007A393F" w:rsidRPr="00BB0F9F">
        <w:rPr>
          <w:rFonts w:eastAsia="Calibri"/>
          <w:color w:val="auto"/>
          <w:kern w:val="2"/>
          <w:sz w:val="24"/>
          <w:szCs w:val="24"/>
          <w:lang w:eastAsia="en-US"/>
          <w14:ligatures w14:val="standardContextual"/>
        </w:rPr>
        <w:t>, pp.</w:t>
      </w:r>
      <w:r w:rsidRPr="00BB0F9F">
        <w:rPr>
          <w:rFonts w:eastAsia="Calibri"/>
          <w:color w:val="auto"/>
          <w:kern w:val="2"/>
          <w:sz w:val="24"/>
          <w:szCs w:val="24"/>
          <w:lang w:eastAsia="en-US"/>
          <w14:ligatures w14:val="standardContextual"/>
        </w:rPr>
        <w:t xml:space="preserve"> 226-232.</w:t>
      </w:r>
    </w:p>
    <w:p w14:paraId="545080C2" w14:textId="722B6960"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Miller, W. </w:t>
      </w:r>
      <w:r w:rsidR="006D39F6" w:rsidRPr="00BB0F9F">
        <w:rPr>
          <w:rFonts w:eastAsia="Calibri"/>
          <w:color w:val="auto"/>
          <w:kern w:val="2"/>
          <w:sz w:val="24"/>
          <w:szCs w:val="24"/>
          <w:lang w:eastAsia="en-US"/>
          <w14:ligatures w14:val="standardContextual"/>
        </w:rPr>
        <w:t>R</w:t>
      </w:r>
      <w:r w:rsidRPr="00BB0F9F">
        <w:rPr>
          <w:rFonts w:eastAsia="Calibri"/>
          <w:color w:val="auto"/>
          <w:kern w:val="2"/>
          <w:sz w:val="24"/>
          <w:szCs w:val="24"/>
          <w:lang w:eastAsia="en-US"/>
          <w14:ligatures w14:val="standardContextual"/>
        </w:rPr>
        <w:t>.</w:t>
      </w:r>
      <w:r w:rsidR="006D39F6" w:rsidRPr="00BB0F9F">
        <w:rPr>
          <w:rFonts w:eastAsia="Calibri"/>
          <w:color w:val="auto"/>
          <w:kern w:val="2"/>
          <w:sz w:val="24"/>
          <w:szCs w:val="24"/>
          <w:lang w:eastAsia="en-US"/>
          <w14:ligatures w14:val="standardContextual"/>
        </w:rPr>
        <w:t xml:space="preserve"> and</w:t>
      </w:r>
      <w:r w:rsidRPr="00BB0F9F">
        <w:rPr>
          <w:rFonts w:eastAsia="Calibri"/>
          <w:color w:val="auto"/>
          <w:kern w:val="2"/>
          <w:sz w:val="24"/>
          <w:szCs w:val="24"/>
          <w:lang w:eastAsia="en-US"/>
          <w14:ligatures w14:val="standardContextual"/>
        </w:rPr>
        <w:t xml:space="preserve"> Rollnick, S. (2013)</w:t>
      </w:r>
      <w:r w:rsidR="006D39F6"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Motivational Interviewing: Helping People Change</w:t>
      </w:r>
      <w:r w:rsidRPr="00BB0F9F">
        <w:rPr>
          <w:rFonts w:eastAsia="Calibri"/>
          <w:color w:val="auto"/>
          <w:kern w:val="2"/>
          <w:sz w:val="24"/>
          <w:szCs w:val="24"/>
          <w:lang w:eastAsia="en-US"/>
          <w14:ligatures w14:val="standardContextual"/>
        </w:rPr>
        <w:t>. Guilford Press.</w:t>
      </w:r>
    </w:p>
    <w:p w14:paraId="2F68766F" w14:textId="77777777"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National Association of Social Workers. (2015). Cultural and linguistic competence in the social work profession. In Social Work Speaks: National Association of Social Workers policy statements, 2015–2017 (10th ed., pp. 62–67). Washington, DC: NASW Press.</w:t>
      </w:r>
    </w:p>
    <w:p w14:paraId="55943FA3" w14:textId="77777777"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NICE. (2018). </w:t>
      </w:r>
      <w:r w:rsidRPr="00BB0F9F">
        <w:rPr>
          <w:rFonts w:eastAsia="Calibri"/>
          <w:i/>
          <w:iCs/>
          <w:color w:val="auto"/>
          <w:kern w:val="2"/>
          <w:sz w:val="24"/>
          <w:szCs w:val="24"/>
          <w:lang w:eastAsia="en-US"/>
          <w14:ligatures w14:val="standardContextual"/>
        </w:rPr>
        <w:t>Decision-Making and Mental Capacity: Guideline [NG108]</w:t>
      </w:r>
      <w:r w:rsidRPr="00BB0F9F">
        <w:rPr>
          <w:rFonts w:eastAsia="Calibri"/>
          <w:color w:val="auto"/>
          <w:kern w:val="2"/>
          <w:sz w:val="24"/>
          <w:szCs w:val="24"/>
          <w:lang w:eastAsia="en-US"/>
          <w14:ligatures w14:val="standardContextual"/>
        </w:rPr>
        <w:t>. National Institute for Health and Care Excellence.</w:t>
      </w:r>
    </w:p>
    <w:p w14:paraId="592986D1" w14:textId="1B32E077" w:rsidR="004C2867" w:rsidRPr="00BB0F9F" w:rsidRDefault="004C2867"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Radford, L., Corral, S., Bradley, C., Fisher, H., Bassett, C., Howat, N. and Collishaw, S. (2011), </w:t>
      </w:r>
      <w:r w:rsidRPr="00BB0F9F">
        <w:rPr>
          <w:rFonts w:eastAsia="Calibri"/>
          <w:i/>
          <w:iCs/>
          <w:color w:val="auto"/>
          <w:kern w:val="2"/>
          <w:sz w:val="24"/>
          <w:szCs w:val="24"/>
          <w:lang w:eastAsia="en-US"/>
          <w14:ligatures w14:val="standardContextual"/>
        </w:rPr>
        <w:t>Child Abuse and Neglect in The UK Today</w:t>
      </w:r>
      <w:r w:rsidRPr="00BB0F9F">
        <w:rPr>
          <w:rFonts w:eastAsia="Calibri"/>
          <w:color w:val="auto"/>
          <w:kern w:val="2"/>
          <w:sz w:val="24"/>
          <w:szCs w:val="24"/>
          <w:lang w:eastAsia="en-US"/>
          <w14:ligatures w14:val="standardContextual"/>
        </w:rPr>
        <w:t>. London: NSPCC.</w:t>
      </w:r>
    </w:p>
    <w:p w14:paraId="27D7EC8F" w14:textId="4711184D"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Royal College of Psychiatrists. (2018)</w:t>
      </w:r>
      <w:r w:rsidR="0033366C"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Perinatal Mental Health Services: Recommendations for the Provision of Services for Childbearing Women</w:t>
      </w:r>
      <w:r w:rsidRPr="00BB0F9F">
        <w:rPr>
          <w:rFonts w:eastAsia="Calibri"/>
          <w:color w:val="auto"/>
          <w:kern w:val="2"/>
          <w:sz w:val="24"/>
          <w:szCs w:val="24"/>
          <w:lang w:eastAsia="en-US"/>
          <w14:ligatures w14:val="standardContextual"/>
        </w:rPr>
        <w:t xml:space="preserve">. Available from: </w:t>
      </w:r>
      <w:hyperlink r:id="rId23" w:history="1">
        <w:r w:rsidR="00AE5FF1" w:rsidRPr="00BB0F9F">
          <w:rPr>
            <w:rStyle w:val="Hyperlink"/>
            <w:rFonts w:eastAsia="Calibri"/>
            <w:color w:val="auto"/>
            <w:kern w:val="2"/>
            <w:sz w:val="24"/>
            <w:szCs w:val="24"/>
            <w:lang w:eastAsia="en-US"/>
            <w14:ligatures w14:val="standardContextual"/>
          </w:rPr>
          <w:t>https://www.rcpsych.ac.uk/docs/default-source/imporving-care/better-mh-policy/college-reports/college-report-cr232.pdf?sfvrsn=476f0fbc_2</w:t>
        </w:r>
      </w:hyperlink>
      <w:r w:rsidR="00AE5FF1"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 xml:space="preserve"> [</w:t>
      </w:r>
      <w:r w:rsidR="00C924C9" w:rsidRPr="00BB0F9F">
        <w:rPr>
          <w:rFonts w:eastAsia="Calibri"/>
          <w:color w:val="auto"/>
          <w:kern w:val="2"/>
          <w:sz w:val="24"/>
          <w:szCs w:val="24"/>
          <w:lang w:eastAsia="en-US"/>
          <w14:ligatures w14:val="standardContextual"/>
        </w:rPr>
        <w:t>A</w:t>
      </w:r>
      <w:r w:rsidRPr="00BB0F9F">
        <w:rPr>
          <w:rFonts w:eastAsia="Calibri"/>
          <w:color w:val="auto"/>
          <w:kern w:val="2"/>
          <w:sz w:val="24"/>
          <w:szCs w:val="24"/>
          <w:lang w:eastAsia="en-US"/>
          <w14:ligatures w14:val="standardContextual"/>
        </w:rPr>
        <w:t>c</w:t>
      </w:r>
      <w:r w:rsidR="00585BC0" w:rsidRPr="00BB0F9F">
        <w:rPr>
          <w:rFonts w:eastAsia="Calibri"/>
          <w:color w:val="auto"/>
          <w:kern w:val="2"/>
          <w:sz w:val="24"/>
          <w:szCs w:val="24"/>
          <w:lang w:eastAsia="en-US"/>
          <w14:ligatures w14:val="standardContextual"/>
        </w:rPr>
        <w:t>c</w:t>
      </w:r>
      <w:r w:rsidRPr="00BB0F9F">
        <w:rPr>
          <w:rFonts w:eastAsia="Calibri"/>
          <w:color w:val="auto"/>
          <w:kern w:val="2"/>
          <w:sz w:val="24"/>
          <w:szCs w:val="24"/>
          <w:lang w:eastAsia="en-US"/>
          <w14:ligatures w14:val="standardContextual"/>
        </w:rPr>
        <w:t>essed 4th July, 2024.]</w:t>
      </w:r>
    </w:p>
    <w:p w14:paraId="219AE6A5" w14:textId="3B0C1E26"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Rubin, A. and Babbie, E. R. (2017)</w:t>
      </w:r>
      <w:r w:rsidR="006D39F6"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Research Methods for Social Work</w:t>
      </w:r>
      <w:r w:rsidRPr="00BB0F9F">
        <w:rPr>
          <w:rFonts w:eastAsia="Calibri"/>
          <w:color w:val="auto"/>
          <w:kern w:val="2"/>
          <w:sz w:val="24"/>
          <w:szCs w:val="24"/>
          <w:lang w:eastAsia="en-US"/>
          <w14:ligatures w14:val="standardContextual"/>
        </w:rPr>
        <w:t>. Cengage Learning.</w:t>
      </w:r>
    </w:p>
    <w:p w14:paraId="4E8F005D" w14:textId="77777777"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proofErr w:type="spellStart"/>
      <w:r w:rsidRPr="00BB0F9F">
        <w:rPr>
          <w:rFonts w:eastAsia="Calibri"/>
          <w:color w:val="auto"/>
          <w:kern w:val="2"/>
          <w:sz w:val="24"/>
          <w:szCs w:val="24"/>
          <w:lang w:eastAsia="en-US"/>
          <w14:ligatures w14:val="standardContextual"/>
        </w:rPr>
        <w:t>Saleeby</w:t>
      </w:r>
      <w:proofErr w:type="spellEnd"/>
      <w:r w:rsidRPr="00BB0F9F">
        <w:rPr>
          <w:rFonts w:eastAsia="Calibri"/>
          <w:color w:val="auto"/>
          <w:kern w:val="2"/>
          <w:sz w:val="24"/>
          <w:szCs w:val="24"/>
          <w:lang w:eastAsia="en-US"/>
          <w14:ligatures w14:val="standardContextual"/>
        </w:rPr>
        <w:t xml:space="preserve">, D. (2012). </w:t>
      </w:r>
      <w:r w:rsidRPr="00BB0F9F">
        <w:rPr>
          <w:rFonts w:eastAsia="Calibri"/>
          <w:i/>
          <w:iCs/>
          <w:color w:val="auto"/>
          <w:kern w:val="2"/>
          <w:sz w:val="24"/>
          <w:szCs w:val="24"/>
          <w:lang w:eastAsia="en-US"/>
          <w14:ligatures w14:val="standardContextual"/>
        </w:rPr>
        <w:t>The Strengths Perspective in Social Work Practice</w:t>
      </w:r>
      <w:r w:rsidRPr="00BB0F9F">
        <w:rPr>
          <w:rFonts w:eastAsia="Calibri"/>
          <w:color w:val="auto"/>
          <w:kern w:val="2"/>
          <w:sz w:val="24"/>
          <w:szCs w:val="24"/>
          <w:lang w:eastAsia="en-US"/>
          <w14:ligatures w14:val="standardContextual"/>
        </w:rPr>
        <w:t>. Pearson.</w:t>
      </w:r>
    </w:p>
    <w:p w14:paraId="5F0DC101" w14:textId="7BE5EB8F"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Segal, E. A. (2016)</w:t>
      </w:r>
      <w:r w:rsidR="006D39F6"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Social Welfare Policy and Social Programs: A Values Perspective.</w:t>
      </w:r>
      <w:r w:rsidRPr="00BB0F9F">
        <w:rPr>
          <w:rFonts w:eastAsia="Calibri"/>
          <w:color w:val="auto"/>
          <w:kern w:val="2"/>
          <w:sz w:val="24"/>
          <w:szCs w:val="24"/>
          <w:lang w:eastAsia="en-US"/>
          <w14:ligatures w14:val="standardContextual"/>
        </w:rPr>
        <w:t xml:space="preserve"> Cengage Learning.</w:t>
      </w:r>
    </w:p>
    <w:p w14:paraId="2DB23FAC" w14:textId="3A0673CC"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proofErr w:type="spellStart"/>
      <w:r w:rsidRPr="00BB0F9F">
        <w:rPr>
          <w:rFonts w:eastAsia="Calibri"/>
          <w:color w:val="auto"/>
          <w:kern w:val="2"/>
          <w:sz w:val="24"/>
          <w:szCs w:val="24"/>
          <w:lang w:eastAsia="en-US"/>
          <w14:ligatures w14:val="standardContextual"/>
        </w:rPr>
        <w:t>Sheafor</w:t>
      </w:r>
      <w:proofErr w:type="spellEnd"/>
      <w:r w:rsidRPr="00BB0F9F">
        <w:rPr>
          <w:rFonts w:eastAsia="Calibri"/>
          <w:color w:val="auto"/>
          <w:kern w:val="2"/>
          <w:sz w:val="24"/>
          <w:szCs w:val="24"/>
          <w:lang w:eastAsia="en-US"/>
          <w14:ligatures w14:val="standardContextual"/>
        </w:rPr>
        <w:t>, B. W.</w:t>
      </w:r>
      <w:r w:rsidR="006D39F6" w:rsidRPr="00BB0F9F">
        <w:rPr>
          <w:rFonts w:eastAsia="Calibri"/>
          <w:color w:val="auto"/>
          <w:kern w:val="2"/>
          <w:sz w:val="24"/>
          <w:szCs w:val="24"/>
          <w:lang w:eastAsia="en-US"/>
          <w14:ligatures w14:val="standardContextual"/>
        </w:rPr>
        <w:t xml:space="preserve"> and</w:t>
      </w:r>
      <w:r w:rsidRPr="00BB0F9F">
        <w:rPr>
          <w:rFonts w:eastAsia="Calibri"/>
          <w:color w:val="auto"/>
          <w:kern w:val="2"/>
          <w:sz w:val="24"/>
          <w:szCs w:val="24"/>
          <w:lang w:eastAsia="en-US"/>
          <w14:ligatures w14:val="standardContextual"/>
        </w:rPr>
        <w:t xml:space="preserve"> </w:t>
      </w:r>
      <w:proofErr w:type="spellStart"/>
      <w:r w:rsidRPr="00BB0F9F">
        <w:rPr>
          <w:rFonts w:eastAsia="Calibri"/>
          <w:color w:val="auto"/>
          <w:kern w:val="2"/>
          <w:sz w:val="24"/>
          <w:szCs w:val="24"/>
          <w:lang w:eastAsia="en-US"/>
          <w14:ligatures w14:val="standardContextual"/>
        </w:rPr>
        <w:t>Horejsi</w:t>
      </w:r>
      <w:proofErr w:type="spellEnd"/>
      <w:r w:rsidRPr="00BB0F9F">
        <w:rPr>
          <w:rFonts w:eastAsia="Calibri"/>
          <w:color w:val="auto"/>
          <w:kern w:val="2"/>
          <w:sz w:val="24"/>
          <w:szCs w:val="24"/>
          <w:lang w:eastAsia="en-US"/>
          <w14:ligatures w14:val="standardContextual"/>
        </w:rPr>
        <w:t>, C. R. (2015)</w:t>
      </w:r>
      <w:r w:rsidR="006D39F6"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Techniques and Guidelines for Social Work Practice.</w:t>
      </w:r>
      <w:r w:rsidRPr="00BB0F9F">
        <w:rPr>
          <w:rFonts w:eastAsia="Calibri"/>
          <w:color w:val="auto"/>
          <w:kern w:val="2"/>
          <w:sz w:val="24"/>
          <w:szCs w:val="24"/>
          <w:lang w:eastAsia="en-US"/>
          <w14:ligatures w14:val="standardContextual"/>
        </w:rPr>
        <w:t xml:space="preserve"> Pearson.</w:t>
      </w:r>
    </w:p>
    <w:p w14:paraId="2A416A13" w14:textId="0997140D"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Smith, M. E. (2018)</w:t>
      </w:r>
      <w:r w:rsidR="006D39F6"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The Impact of Domestic Violence on Children</w:t>
      </w:r>
      <w:r w:rsidRPr="00BB0F9F">
        <w:rPr>
          <w:rFonts w:eastAsia="Calibri"/>
          <w:color w:val="auto"/>
          <w:kern w:val="2"/>
          <w:sz w:val="24"/>
          <w:szCs w:val="24"/>
          <w:lang w:eastAsia="en-US"/>
          <w14:ligatures w14:val="standardContextual"/>
        </w:rPr>
        <w:t>. Journal of Child Psychology.</w:t>
      </w:r>
    </w:p>
    <w:p w14:paraId="2A8F2469" w14:textId="7A36E336"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Social Care Wales (2020). </w:t>
      </w:r>
      <w:r w:rsidRPr="00BB0F9F">
        <w:rPr>
          <w:rFonts w:eastAsia="Calibri"/>
          <w:i/>
          <w:iCs/>
          <w:color w:val="auto"/>
          <w:kern w:val="2"/>
          <w:sz w:val="24"/>
          <w:szCs w:val="24"/>
          <w:lang w:eastAsia="en-US"/>
          <w14:ligatures w14:val="standardContextual"/>
        </w:rPr>
        <w:t xml:space="preserve">Social Services and Well-being (Wales) Act 2014: The Essentials. </w:t>
      </w:r>
      <w:r w:rsidRPr="00BB0F9F">
        <w:rPr>
          <w:rFonts w:eastAsia="Calibri"/>
          <w:color w:val="auto"/>
          <w:kern w:val="2"/>
          <w:sz w:val="24"/>
          <w:szCs w:val="24"/>
          <w:lang w:eastAsia="en-US"/>
          <w14:ligatures w14:val="standardContextual"/>
        </w:rPr>
        <w:t>Social Care Wales.</w:t>
      </w:r>
    </w:p>
    <w:p w14:paraId="50748AE3" w14:textId="3FCC40AD"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Social Care Wales</w:t>
      </w:r>
      <w:r w:rsidR="00053AD5"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(2017</w:t>
      </w:r>
      <w:r w:rsidR="00053AD5" w:rsidRPr="00BB0F9F">
        <w:rPr>
          <w:rFonts w:eastAsia="Calibri"/>
          <w:color w:val="auto"/>
          <w:kern w:val="2"/>
          <w:sz w:val="24"/>
          <w:szCs w:val="24"/>
          <w:lang w:eastAsia="en-US"/>
          <w14:ligatures w14:val="standardContextual"/>
        </w:rPr>
        <w:t>a</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Code of Professional Practice for Social Care</w:t>
      </w:r>
      <w:r w:rsidRPr="00BB0F9F">
        <w:rPr>
          <w:rFonts w:eastAsia="Calibri"/>
          <w:color w:val="auto"/>
          <w:kern w:val="2"/>
          <w:sz w:val="24"/>
          <w:szCs w:val="24"/>
          <w:lang w:eastAsia="en-US"/>
          <w14:ligatures w14:val="standardContextual"/>
        </w:rPr>
        <w:t>. Social Care Wales.</w:t>
      </w:r>
    </w:p>
    <w:p w14:paraId="22010FE4" w14:textId="37D6D0B2"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Social Care Wales (2017</w:t>
      </w:r>
      <w:r w:rsidR="00053AD5" w:rsidRPr="00BB0F9F">
        <w:rPr>
          <w:rFonts w:eastAsia="Calibri"/>
          <w:color w:val="auto"/>
          <w:kern w:val="2"/>
          <w:sz w:val="24"/>
          <w:szCs w:val="24"/>
          <w:lang w:eastAsia="en-US"/>
          <w14:ligatures w14:val="standardContextual"/>
        </w:rPr>
        <w:t>b</w:t>
      </w:r>
      <w:r w:rsidRPr="00BB0F9F">
        <w:rPr>
          <w:rFonts w:eastAsia="Calibri"/>
          <w:i/>
          <w:iCs/>
          <w:color w:val="auto"/>
          <w:kern w:val="2"/>
          <w:sz w:val="24"/>
          <w:szCs w:val="24"/>
          <w:lang w:eastAsia="en-US"/>
          <w14:ligatures w14:val="standardContextual"/>
        </w:rPr>
        <w:t>). Social Services and Well-being (Wales) Act 2014: Working Together to Safeguard People</w:t>
      </w:r>
      <w:r w:rsidRPr="00BB0F9F">
        <w:rPr>
          <w:rFonts w:eastAsia="Calibri"/>
          <w:color w:val="auto"/>
          <w:kern w:val="2"/>
          <w:sz w:val="24"/>
          <w:szCs w:val="24"/>
          <w:lang w:eastAsia="en-US"/>
          <w14:ligatures w14:val="standardContextual"/>
        </w:rPr>
        <w:t xml:space="preserve">. Available from: </w:t>
      </w:r>
      <w:hyperlink r:id="rId24" w:history="1">
        <w:r w:rsidR="00AE5FF1" w:rsidRPr="00BB0F9F">
          <w:rPr>
            <w:rStyle w:val="Hyperlink"/>
            <w:rFonts w:eastAsia="Calibri"/>
            <w:color w:val="auto"/>
            <w:kern w:val="2"/>
            <w:sz w:val="24"/>
            <w:szCs w:val="24"/>
            <w:lang w:eastAsia="en-US"/>
            <w14:ligatures w14:val="standardContextual"/>
          </w:rPr>
          <w:t>https://socialcare.wales/service-improvement/social-services-and-wellbeing-wales-act</w:t>
        </w:r>
      </w:hyperlink>
      <w:r w:rsidR="00AE5FF1"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 xml:space="preserve">    [</w:t>
      </w:r>
      <w:r w:rsidR="00585BC0" w:rsidRPr="00BB0F9F">
        <w:rPr>
          <w:rFonts w:eastAsia="Calibri"/>
          <w:color w:val="auto"/>
          <w:kern w:val="2"/>
          <w:sz w:val="24"/>
          <w:szCs w:val="24"/>
          <w:lang w:eastAsia="en-US"/>
          <w14:ligatures w14:val="standardContextual"/>
        </w:rPr>
        <w:t>A</w:t>
      </w:r>
      <w:r w:rsidRPr="00BB0F9F">
        <w:rPr>
          <w:rFonts w:eastAsia="Calibri"/>
          <w:color w:val="auto"/>
          <w:kern w:val="2"/>
          <w:sz w:val="24"/>
          <w:szCs w:val="24"/>
          <w:lang w:eastAsia="en-US"/>
          <w14:ligatures w14:val="standardContextual"/>
        </w:rPr>
        <w:t>ccessed 4th July, 2024.]</w:t>
      </w:r>
    </w:p>
    <w:p w14:paraId="1DCB671C" w14:textId="4CBCC36F"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Social Care Wales (2020). The Social Services and Well-being (Wales) Act-Part 7 Safeguarding. Available at: </w:t>
      </w:r>
      <w:hyperlink r:id="rId25" w:history="1">
        <w:r w:rsidR="00053AD5" w:rsidRPr="00BB0F9F">
          <w:rPr>
            <w:rStyle w:val="Hyperlink"/>
            <w:rFonts w:eastAsia="Calibri"/>
            <w:color w:val="auto"/>
            <w:kern w:val="2"/>
            <w:sz w:val="24"/>
            <w:szCs w:val="24"/>
            <w:lang w:eastAsia="en-US"/>
            <w14:ligatures w14:val="standardContextual"/>
          </w:rPr>
          <w:t>https://socialcare.wales</w:t>
        </w:r>
      </w:hyperlink>
      <w:r w:rsidR="00053AD5" w:rsidRPr="00BB0F9F">
        <w:rPr>
          <w:rFonts w:eastAsia="Calibri"/>
          <w:color w:val="auto"/>
          <w:kern w:val="2"/>
          <w:sz w:val="24"/>
          <w:szCs w:val="24"/>
          <w:lang w:eastAsia="en-US"/>
          <w14:ligatures w14:val="standardContextual"/>
        </w:rPr>
        <w:t xml:space="preserve"> [Accessed 16th </w:t>
      </w:r>
      <w:proofErr w:type="gramStart"/>
      <w:r w:rsidR="00053AD5" w:rsidRPr="00BB0F9F">
        <w:rPr>
          <w:rFonts w:eastAsia="Calibri"/>
          <w:color w:val="auto"/>
          <w:kern w:val="2"/>
          <w:sz w:val="24"/>
          <w:szCs w:val="24"/>
          <w:lang w:eastAsia="en-US"/>
          <w14:ligatures w14:val="standardContextual"/>
        </w:rPr>
        <w:t>September,</w:t>
      </w:r>
      <w:proofErr w:type="gramEnd"/>
      <w:r w:rsidR="00053AD5" w:rsidRPr="00BB0F9F">
        <w:rPr>
          <w:rFonts w:eastAsia="Calibri"/>
          <w:color w:val="auto"/>
          <w:kern w:val="2"/>
          <w:sz w:val="24"/>
          <w:szCs w:val="24"/>
          <w:lang w:eastAsia="en-US"/>
          <w14:ligatures w14:val="standardContextual"/>
        </w:rPr>
        <w:t xml:space="preserve"> 2024.]</w:t>
      </w:r>
    </w:p>
    <w:p w14:paraId="1F3F6960" w14:textId="18B53174"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Social Care Wales (2022). Wales Safeguarding Procedures (Version 2.0.9) [Mobile app]. Google Play Store. </w:t>
      </w:r>
      <w:hyperlink r:id="rId26" w:history="1">
        <w:r w:rsidR="00AE5FF1" w:rsidRPr="00BB0F9F">
          <w:rPr>
            <w:rStyle w:val="Hyperlink"/>
            <w:rFonts w:eastAsia="Calibri"/>
            <w:color w:val="auto"/>
            <w:kern w:val="2"/>
            <w:sz w:val="24"/>
            <w:szCs w:val="24"/>
            <w:lang w:eastAsia="en-US"/>
            <w14:ligatures w14:val="standardContextual"/>
          </w:rPr>
          <w:t>https://play.google.com/store/apps/details?id=com.socialcarewales.safeguarding</w:t>
        </w:r>
      </w:hyperlink>
      <w:r w:rsidR="00AE5FF1" w:rsidRPr="00BB0F9F">
        <w:rPr>
          <w:rFonts w:eastAsia="Calibri"/>
          <w:color w:val="auto"/>
          <w:kern w:val="2"/>
          <w:sz w:val="24"/>
          <w:szCs w:val="24"/>
          <w:lang w:eastAsia="en-US"/>
          <w14:ligatures w14:val="standardContextual"/>
        </w:rPr>
        <w:t xml:space="preserve"> </w:t>
      </w:r>
      <w:r w:rsidR="00053AD5" w:rsidRPr="00BB0F9F">
        <w:rPr>
          <w:rFonts w:eastAsia="Calibri"/>
          <w:color w:val="auto"/>
          <w:kern w:val="2"/>
          <w:sz w:val="24"/>
          <w:szCs w:val="24"/>
          <w:lang w:eastAsia="en-US"/>
          <w14:ligatures w14:val="standardContextual"/>
        </w:rPr>
        <w:t xml:space="preserve">[Accessed 16th </w:t>
      </w:r>
      <w:proofErr w:type="gramStart"/>
      <w:r w:rsidR="00053AD5" w:rsidRPr="00BB0F9F">
        <w:rPr>
          <w:rFonts w:eastAsia="Calibri"/>
          <w:color w:val="auto"/>
          <w:kern w:val="2"/>
          <w:sz w:val="24"/>
          <w:szCs w:val="24"/>
          <w:lang w:eastAsia="en-US"/>
          <w14:ligatures w14:val="standardContextual"/>
        </w:rPr>
        <w:t>September,</w:t>
      </w:r>
      <w:proofErr w:type="gramEnd"/>
      <w:r w:rsidR="00053AD5" w:rsidRPr="00BB0F9F">
        <w:rPr>
          <w:rFonts w:eastAsia="Calibri"/>
          <w:color w:val="auto"/>
          <w:kern w:val="2"/>
          <w:sz w:val="24"/>
          <w:szCs w:val="24"/>
          <w:lang w:eastAsia="en-US"/>
          <w14:ligatures w14:val="standardContextual"/>
        </w:rPr>
        <w:t xml:space="preserve"> 2024.]</w:t>
      </w:r>
    </w:p>
    <w:p w14:paraId="24DBC2D5" w14:textId="2861D9EA" w:rsidR="00C26815" w:rsidRPr="00BB0F9F" w:rsidRDefault="00C26815"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Welsh Government. (2024), S47 Enquiries Determinations. Wales safeguarding Procedures.</w:t>
      </w:r>
    </w:p>
    <w:p w14:paraId="2DB3ED21" w14:textId="17AFEC3F"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Sue, D. W. (2006)</w:t>
      </w:r>
      <w:r w:rsidR="006D39F6"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Multicultural Social Work Practice. Wiley.</w:t>
      </w:r>
    </w:p>
    <w:p w14:paraId="6A9CE1C1" w14:textId="4712FC34"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Thompson, N</w:t>
      </w:r>
      <w:r w:rsidR="00053AD5"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(2016), </w:t>
      </w:r>
      <w:r w:rsidRPr="00BB0F9F">
        <w:rPr>
          <w:rFonts w:eastAsia="Calibri"/>
          <w:i/>
          <w:iCs/>
          <w:color w:val="auto"/>
          <w:kern w:val="2"/>
          <w:sz w:val="24"/>
          <w:szCs w:val="24"/>
          <w:lang w:eastAsia="en-US"/>
          <w14:ligatures w14:val="standardContextual"/>
        </w:rPr>
        <w:t>Dealing with Conflict with Colleagues, Partners and in the Organisation</w:t>
      </w:r>
      <w:r w:rsidRPr="00BB0F9F">
        <w:rPr>
          <w:rFonts w:eastAsia="Calibri"/>
          <w:color w:val="auto"/>
          <w:kern w:val="2"/>
          <w:sz w:val="24"/>
          <w:szCs w:val="24"/>
          <w:lang w:eastAsia="en-US"/>
          <w14:ligatures w14:val="standardContextual"/>
        </w:rPr>
        <w:t xml:space="preserve">. Available from: </w:t>
      </w:r>
      <w:hyperlink r:id="rId27" w:history="1">
        <w:r w:rsidR="00AE5FF1" w:rsidRPr="00BB0F9F">
          <w:rPr>
            <w:rStyle w:val="Hyperlink"/>
            <w:rFonts w:eastAsia="Calibri"/>
            <w:color w:val="auto"/>
            <w:kern w:val="2"/>
            <w:sz w:val="24"/>
            <w:szCs w:val="24"/>
            <w:lang w:eastAsia="en-US"/>
            <w14:ligatures w14:val="standardContextual"/>
          </w:rPr>
          <w:t>https://www.communitycare.co.uk</w:t>
        </w:r>
      </w:hyperlink>
      <w:r w:rsidR="00AE5FF1"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 xml:space="preserve"> [</w:t>
      </w:r>
      <w:bookmarkStart w:id="3" w:name="_Hlk178763513"/>
      <w:r w:rsidR="00053AD5" w:rsidRPr="00BB0F9F">
        <w:rPr>
          <w:rFonts w:eastAsia="Calibri"/>
          <w:color w:val="auto"/>
          <w:kern w:val="2"/>
          <w:sz w:val="24"/>
          <w:szCs w:val="24"/>
          <w:lang w:eastAsia="en-US"/>
          <w14:ligatures w14:val="standardContextual"/>
        </w:rPr>
        <w:t>A</w:t>
      </w:r>
      <w:r w:rsidRPr="00BB0F9F">
        <w:rPr>
          <w:rFonts w:eastAsia="Calibri"/>
          <w:color w:val="auto"/>
          <w:kern w:val="2"/>
          <w:sz w:val="24"/>
          <w:szCs w:val="24"/>
          <w:lang w:eastAsia="en-US"/>
          <w14:ligatures w14:val="standardContextual"/>
        </w:rPr>
        <w:t>ccessed 16</w:t>
      </w:r>
      <w:r w:rsidR="00585BC0" w:rsidRPr="00BB0F9F">
        <w:rPr>
          <w:rFonts w:eastAsia="Calibri"/>
          <w:color w:val="auto"/>
          <w:kern w:val="2"/>
          <w:sz w:val="24"/>
          <w:szCs w:val="24"/>
          <w:lang w:eastAsia="en-US"/>
          <w14:ligatures w14:val="standardContextual"/>
        </w:rPr>
        <w:t xml:space="preserve">th </w:t>
      </w:r>
      <w:proofErr w:type="gramStart"/>
      <w:r w:rsidR="00585BC0" w:rsidRPr="00BB0F9F">
        <w:rPr>
          <w:rFonts w:eastAsia="Calibri"/>
          <w:color w:val="auto"/>
          <w:kern w:val="2"/>
          <w:sz w:val="24"/>
          <w:szCs w:val="24"/>
          <w:lang w:eastAsia="en-US"/>
          <w14:ligatures w14:val="standardContextual"/>
        </w:rPr>
        <w:t>October</w:t>
      </w:r>
      <w:r w:rsidRPr="00BB0F9F">
        <w:rPr>
          <w:rFonts w:eastAsia="Calibri"/>
          <w:color w:val="auto"/>
          <w:kern w:val="2"/>
          <w:sz w:val="24"/>
          <w:szCs w:val="24"/>
          <w:lang w:eastAsia="en-US"/>
          <w14:ligatures w14:val="standardContextual"/>
        </w:rPr>
        <w:t>,</w:t>
      </w:r>
      <w:proofErr w:type="gramEnd"/>
      <w:r w:rsidRPr="00BB0F9F">
        <w:rPr>
          <w:rFonts w:eastAsia="Calibri"/>
          <w:color w:val="auto"/>
          <w:kern w:val="2"/>
          <w:sz w:val="24"/>
          <w:szCs w:val="24"/>
          <w:lang w:eastAsia="en-US"/>
          <w14:ligatures w14:val="standardContextual"/>
        </w:rPr>
        <w:t xml:space="preserve"> 2020.]</w:t>
      </w:r>
    </w:p>
    <w:bookmarkEnd w:id="3"/>
    <w:p w14:paraId="1F8D8FFE" w14:textId="16C9FF4A"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Thompson, N. (2012), </w:t>
      </w:r>
      <w:r w:rsidRPr="00BB0F9F">
        <w:rPr>
          <w:rFonts w:eastAsia="Calibri"/>
          <w:i/>
          <w:iCs/>
          <w:color w:val="auto"/>
          <w:kern w:val="2"/>
          <w:sz w:val="24"/>
          <w:szCs w:val="24"/>
          <w:lang w:eastAsia="en-US"/>
          <w14:ligatures w14:val="standardContextual"/>
        </w:rPr>
        <w:t>Anti-Discriminatory Practice</w:t>
      </w:r>
      <w:r w:rsidRPr="00BB0F9F">
        <w:rPr>
          <w:rFonts w:eastAsia="Calibri"/>
          <w:color w:val="auto"/>
          <w:kern w:val="2"/>
          <w:sz w:val="24"/>
          <w:szCs w:val="24"/>
          <w:lang w:eastAsia="en-US"/>
          <w14:ligatures w14:val="standardContextual"/>
        </w:rPr>
        <w:t>. 5th ed</w:t>
      </w:r>
      <w:r w:rsidR="006D39F6" w:rsidRPr="00BB0F9F">
        <w:rPr>
          <w:rFonts w:eastAsia="Calibri"/>
          <w:color w:val="auto"/>
          <w:kern w:val="2"/>
          <w:sz w:val="24"/>
          <w:szCs w:val="24"/>
          <w:lang w:eastAsia="en-US"/>
          <w14:ligatures w14:val="standardContextual"/>
        </w:rPr>
        <w:t>ition</w:t>
      </w:r>
      <w:r w:rsidRPr="00BB0F9F">
        <w:rPr>
          <w:rFonts w:eastAsia="Calibri"/>
          <w:color w:val="auto"/>
          <w:kern w:val="2"/>
          <w:sz w:val="24"/>
          <w:szCs w:val="24"/>
          <w:lang w:eastAsia="en-US"/>
          <w14:ligatures w14:val="standardContextual"/>
        </w:rPr>
        <w:t>. Basingstoke: Palgrave Macmillan.</w:t>
      </w:r>
    </w:p>
    <w:p w14:paraId="14D9C5D0" w14:textId="419CF3D6"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Thompson, N. (2015)</w:t>
      </w:r>
      <w:r w:rsidR="006D39F6"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Understanding Social Work; Preparing for Practice</w:t>
      </w:r>
      <w:r w:rsidRPr="00BB0F9F">
        <w:rPr>
          <w:rFonts w:eastAsia="Calibri"/>
          <w:color w:val="auto"/>
          <w:kern w:val="2"/>
          <w:sz w:val="24"/>
          <w:szCs w:val="24"/>
          <w:lang w:eastAsia="en-US"/>
          <w14:ligatures w14:val="standardContextual"/>
        </w:rPr>
        <w:t>. Macmillan International Higher Education.</w:t>
      </w:r>
    </w:p>
    <w:p w14:paraId="01867B6E" w14:textId="3EB02B95"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Thompson, N.</w:t>
      </w:r>
      <w:r w:rsidR="006D39F6" w:rsidRPr="00BB0F9F">
        <w:rPr>
          <w:rFonts w:eastAsia="Calibri"/>
          <w:color w:val="auto"/>
          <w:kern w:val="2"/>
          <w:sz w:val="24"/>
          <w:szCs w:val="24"/>
          <w:lang w:eastAsia="en-US"/>
          <w14:ligatures w14:val="standardContextual"/>
        </w:rPr>
        <w:t xml:space="preserve"> and</w:t>
      </w:r>
      <w:r w:rsidRPr="00BB0F9F">
        <w:rPr>
          <w:rFonts w:eastAsia="Calibri"/>
          <w:color w:val="auto"/>
          <w:kern w:val="2"/>
          <w:sz w:val="24"/>
          <w:szCs w:val="24"/>
          <w:lang w:eastAsia="en-US"/>
          <w14:ligatures w14:val="standardContextual"/>
        </w:rPr>
        <w:t xml:space="preserve"> Thompson, S. (2018)</w:t>
      </w:r>
      <w:r w:rsidR="006D39F6"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The Social Work Companion</w:t>
      </w:r>
      <w:r w:rsidRPr="00BB0F9F">
        <w:rPr>
          <w:rFonts w:eastAsia="Calibri"/>
          <w:color w:val="auto"/>
          <w:kern w:val="2"/>
          <w:sz w:val="24"/>
          <w:szCs w:val="24"/>
          <w:lang w:eastAsia="en-US"/>
          <w14:ligatures w14:val="standardContextual"/>
        </w:rPr>
        <w:t>. Palgrave.</w:t>
      </w:r>
    </w:p>
    <w:p w14:paraId="1F39EDA6" w14:textId="18FD0916"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Thompson, S. and Thompson, N. (2008)</w:t>
      </w:r>
      <w:r w:rsidR="006D39F6"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The Critically Reflective Practitioner</w:t>
      </w:r>
      <w:r w:rsidRPr="00BB0F9F">
        <w:rPr>
          <w:rFonts w:eastAsia="Calibri"/>
          <w:color w:val="auto"/>
          <w:kern w:val="2"/>
          <w:sz w:val="24"/>
          <w:szCs w:val="24"/>
          <w:lang w:eastAsia="en-US"/>
          <w14:ligatures w14:val="standardContextual"/>
        </w:rPr>
        <w:t>. Palgrave Macmillan.</w:t>
      </w:r>
    </w:p>
    <w:p w14:paraId="0FD4F0B2" w14:textId="06D036E4" w:rsidR="002A5EC8" w:rsidRPr="00BB0F9F" w:rsidRDefault="002A5EC8"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Trevithick, P. (2018). </w:t>
      </w:r>
      <w:r w:rsidRPr="00BB0F9F">
        <w:rPr>
          <w:rFonts w:eastAsia="Calibri"/>
          <w:i/>
          <w:iCs/>
          <w:color w:val="auto"/>
          <w:kern w:val="2"/>
          <w:sz w:val="24"/>
          <w:szCs w:val="24"/>
          <w:lang w:eastAsia="en-US"/>
          <w14:ligatures w14:val="standardContextual"/>
        </w:rPr>
        <w:t>Social Work Skills and Knowledge: A Practice Handbook</w:t>
      </w:r>
      <w:r w:rsidRPr="00BB0F9F">
        <w:rPr>
          <w:rFonts w:eastAsia="Calibri"/>
          <w:color w:val="auto"/>
          <w:kern w:val="2"/>
          <w:sz w:val="24"/>
          <w:szCs w:val="24"/>
          <w:lang w:eastAsia="en-US"/>
          <w14:ligatures w14:val="standardContextual"/>
        </w:rPr>
        <w:t xml:space="preserve"> (4</w:t>
      </w:r>
      <w:r w:rsidRPr="00BB0F9F">
        <w:rPr>
          <w:rFonts w:eastAsia="Calibri"/>
          <w:color w:val="auto"/>
          <w:kern w:val="2"/>
          <w:sz w:val="24"/>
          <w:szCs w:val="24"/>
          <w:vertAlign w:val="superscript"/>
          <w:lang w:eastAsia="en-US"/>
          <w14:ligatures w14:val="standardContextual"/>
        </w:rPr>
        <w:t>th</w:t>
      </w:r>
      <w:r w:rsidRPr="00BB0F9F">
        <w:rPr>
          <w:rFonts w:eastAsia="Calibri"/>
          <w:color w:val="auto"/>
          <w:kern w:val="2"/>
          <w:sz w:val="24"/>
          <w:szCs w:val="24"/>
          <w:lang w:eastAsia="en-US"/>
          <w14:ligatures w14:val="standardContextual"/>
        </w:rPr>
        <w:t xml:space="preserve"> ed.). Open University Press.</w:t>
      </w:r>
    </w:p>
    <w:p w14:paraId="0C5EC61C" w14:textId="77777777"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Walker, S. and Beckett, C. (2011), </w:t>
      </w:r>
      <w:r w:rsidRPr="00BB0F9F">
        <w:rPr>
          <w:rFonts w:eastAsia="Calibri"/>
          <w:i/>
          <w:iCs/>
          <w:color w:val="auto"/>
          <w:kern w:val="2"/>
          <w:sz w:val="24"/>
          <w:szCs w:val="24"/>
          <w:lang w:eastAsia="en-US"/>
          <w14:ligatures w14:val="standardContextual"/>
        </w:rPr>
        <w:t>Social Work Assessment and Intervention</w:t>
      </w:r>
      <w:r w:rsidRPr="00BB0F9F">
        <w:rPr>
          <w:rFonts w:eastAsia="Calibri"/>
          <w:color w:val="auto"/>
          <w:kern w:val="2"/>
          <w:sz w:val="24"/>
          <w:szCs w:val="24"/>
          <w:lang w:eastAsia="en-US"/>
          <w14:ligatures w14:val="standardContextual"/>
        </w:rPr>
        <w:t>. London: Russell House Publishing.</w:t>
      </w:r>
    </w:p>
    <w:p w14:paraId="2AE2E61E" w14:textId="73F4EF7F"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Welsh Government (2014), </w:t>
      </w:r>
      <w:r w:rsidRPr="00BB0F9F">
        <w:rPr>
          <w:rFonts w:eastAsia="Calibri"/>
          <w:i/>
          <w:iCs/>
          <w:color w:val="auto"/>
          <w:kern w:val="2"/>
          <w:sz w:val="24"/>
          <w:szCs w:val="24"/>
          <w:lang w:eastAsia="en-US"/>
          <w14:ligatures w14:val="standardContextual"/>
        </w:rPr>
        <w:t>The Social Service and Wellbeing (Wales) Act 2014</w:t>
      </w:r>
      <w:r w:rsidRPr="00BB0F9F">
        <w:rPr>
          <w:rFonts w:eastAsia="Calibri"/>
          <w:color w:val="auto"/>
          <w:kern w:val="2"/>
          <w:sz w:val="24"/>
          <w:szCs w:val="24"/>
          <w:lang w:eastAsia="en-US"/>
          <w14:ligatures w14:val="standardContextual"/>
        </w:rPr>
        <w:t>. (C3), Cardiff.</w:t>
      </w:r>
    </w:p>
    <w:p w14:paraId="5DA2E919" w14:textId="1694D92B"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Welsh Government (2015</w:t>
      </w:r>
      <w:r w:rsidR="008D1830" w:rsidRPr="00BB0F9F">
        <w:rPr>
          <w:rFonts w:eastAsia="Calibri"/>
          <w:color w:val="auto"/>
          <w:kern w:val="2"/>
          <w:sz w:val="24"/>
          <w:szCs w:val="24"/>
          <w:lang w:eastAsia="en-US"/>
          <w14:ligatures w14:val="standardContextual"/>
        </w:rPr>
        <w:t>a</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More Than Just Words: Delivering the ‘Active Offer’</w:t>
      </w:r>
      <w:r w:rsidRPr="00BB0F9F">
        <w:rPr>
          <w:rFonts w:eastAsia="Calibri"/>
          <w:color w:val="auto"/>
          <w:kern w:val="2"/>
          <w:sz w:val="24"/>
          <w:szCs w:val="24"/>
          <w:lang w:eastAsia="en-US"/>
          <w14:ligatures w14:val="standardContextual"/>
        </w:rPr>
        <w:t>. Cardiff.</w:t>
      </w:r>
    </w:p>
    <w:p w14:paraId="4DD53E42" w14:textId="675C0E2D"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Welsh Government (2015</w:t>
      </w:r>
      <w:r w:rsidR="008D1830" w:rsidRPr="00BB0F9F">
        <w:rPr>
          <w:rFonts w:eastAsia="Calibri"/>
          <w:color w:val="auto"/>
          <w:kern w:val="2"/>
          <w:sz w:val="24"/>
          <w:szCs w:val="24"/>
          <w:lang w:eastAsia="en-US"/>
          <w14:ligatures w14:val="standardContextual"/>
        </w:rPr>
        <w:t>b</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Violence against Women, Domestic Abuse and Sexual Violence</w:t>
      </w:r>
      <w:r w:rsidRPr="00BB0F9F">
        <w:rPr>
          <w:rFonts w:eastAsia="Calibri"/>
          <w:color w:val="auto"/>
          <w:kern w:val="2"/>
          <w:sz w:val="24"/>
          <w:szCs w:val="24"/>
          <w:lang w:eastAsia="en-US"/>
          <w14:ligatures w14:val="standardContextual"/>
        </w:rPr>
        <w:t xml:space="preserve"> (Wales) Act 2015, Cardiff.</w:t>
      </w:r>
    </w:p>
    <w:p w14:paraId="08C247CA" w14:textId="00497B1F"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Welsh Government (2020), </w:t>
      </w:r>
      <w:r w:rsidRPr="00BB0F9F">
        <w:rPr>
          <w:rFonts w:eastAsia="Calibri"/>
          <w:i/>
          <w:iCs/>
          <w:color w:val="auto"/>
          <w:kern w:val="2"/>
          <w:sz w:val="24"/>
          <w:szCs w:val="24"/>
          <w:lang w:eastAsia="en-US"/>
          <w14:ligatures w14:val="standardContextual"/>
        </w:rPr>
        <w:t>Wales Safeguarding Procedures</w:t>
      </w:r>
      <w:r w:rsidRPr="00BB0F9F">
        <w:rPr>
          <w:rFonts w:eastAsia="Calibri"/>
          <w:color w:val="auto"/>
          <w:kern w:val="2"/>
          <w:sz w:val="24"/>
          <w:szCs w:val="24"/>
          <w:lang w:eastAsia="en-US"/>
          <w14:ligatures w14:val="standardContextual"/>
        </w:rPr>
        <w:t>. Cardiff.</w:t>
      </w:r>
    </w:p>
    <w:p w14:paraId="2048D3BF" w14:textId="10C7CD21"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Welsh Government (2014) </w:t>
      </w:r>
      <w:r w:rsidRPr="00BB0F9F">
        <w:rPr>
          <w:rFonts w:eastAsia="Calibri"/>
          <w:i/>
          <w:iCs/>
          <w:color w:val="auto"/>
          <w:kern w:val="2"/>
          <w:sz w:val="24"/>
          <w:szCs w:val="24"/>
          <w:lang w:eastAsia="en-US"/>
          <w14:ligatures w14:val="standardContextual"/>
        </w:rPr>
        <w:t>Social Services and Well-being (Wales) Act, Part 3 Code of Practice</w:t>
      </w:r>
      <w:r w:rsidRPr="00BB0F9F">
        <w:rPr>
          <w:rFonts w:eastAsia="Calibri"/>
          <w:color w:val="auto"/>
          <w:kern w:val="2"/>
          <w:sz w:val="24"/>
          <w:szCs w:val="24"/>
          <w:lang w:eastAsia="en-US"/>
          <w14:ligatures w14:val="standardContextual"/>
        </w:rPr>
        <w:t xml:space="preserve">. Available from: </w:t>
      </w:r>
      <w:hyperlink r:id="rId28" w:history="1">
        <w:r w:rsidR="00AE5FF1" w:rsidRPr="00BB0F9F">
          <w:rPr>
            <w:rStyle w:val="Hyperlink"/>
            <w:rFonts w:eastAsia="Calibri"/>
            <w:color w:val="auto"/>
            <w:kern w:val="2"/>
            <w:sz w:val="24"/>
            <w:szCs w:val="24"/>
            <w:lang w:eastAsia="en-US"/>
            <w14:ligatures w14:val="standardContextual"/>
          </w:rPr>
          <w:t>https://www.gov.wales/sites/default/files/publications/2019-05/part-6-code-of-practice-assessing-the-needs-of-individuals.pdf</w:t>
        </w:r>
      </w:hyperlink>
      <w:r w:rsidR="00AE5FF1"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 xml:space="preserve">   [Accessed 23rd May, 2024.]</w:t>
      </w:r>
    </w:p>
    <w:p w14:paraId="24F0052E" w14:textId="61157F76"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Welsh Government (2014). </w:t>
      </w:r>
      <w:r w:rsidRPr="00BB0F9F">
        <w:rPr>
          <w:rFonts w:eastAsia="Calibri"/>
          <w:i/>
          <w:iCs/>
          <w:color w:val="auto"/>
          <w:kern w:val="2"/>
          <w:sz w:val="24"/>
          <w:szCs w:val="24"/>
          <w:lang w:eastAsia="en-US"/>
          <w14:ligatures w14:val="standardContextual"/>
        </w:rPr>
        <w:t>Social Services and Well-being (Wales) Act 2014</w:t>
      </w:r>
      <w:r w:rsidRPr="00BB0F9F">
        <w:rPr>
          <w:rFonts w:eastAsia="Calibri"/>
          <w:color w:val="auto"/>
          <w:kern w:val="2"/>
          <w:sz w:val="24"/>
          <w:szCs w:val="24"/>
          <w:lang w:eastAsia="en-US"/>
          <w14:ligatures w14:val="standardContextual"/>
        </w:rPr>
        <w:t xml:space="preserve">. [online]. Available at: </w:t>
      </w:r>
      <w:hyperlink r:id="rId29" w:history="1">
        <w:r w:rsidR="00AE5FF1" w:rsidRPr="00BB0F9F">
          <w:rPr>
            <w:rStyle w:val="Hyperlink"/>
            <w:rFonts w:eastAsia="Calibri"/>
            <w:color w:val="auto"/>
            <w:kern w:val="2"/>
            <w:sz w:val="24"/>
            <w:szCs w:val="24"/>
            <w:lang w:eastAsia="en-US"/>
            <w14:ligatures w14:val="standardContextual"/>
          </w:rPr>
          <w:t>https://www.legislation.gov.uk/anaw/2014/4contents/enacted</w:t>
        </w:r>
      </w:hyperlink>
      <w:r w:rsidR="00AE5FF1" w:rsidRPr="00BB0F9F">
        <w:rPr>
          <w:rFonts w:eastAsia="Calibri"/>
          <w:color w:val="auto"/>
          <w:kern w:val="2"/>
          <w:sz w:val="24"/>
          <w:szCs w:val="24"/>
          <w:lang w:eastAsia="en-US"/>
          <w14:ligatures w14:val="standardContextual"/>
        </w:rPr>
        <w:t xml:space="preserve"> </w:t>
      </w:r>
      <w:r w:rsidR="008D1830"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[Accessed 13 Sept. 2024].</w:t>
      </w:r>
    </w:p>
    <w:p w14:paraId="04211160" w14:textId="34C8CD83" w:rsidR="005505A8"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bookmarkStart w:id="4" w:name="_Hlk178338091"/>
      <w:r w:rsidRPr="00BB0F9F">
        <w:rPr>
          <w:rFonts w:eastAsia="Calibri"/>
          <w:color w:val="auto"/>
          <w:kern w:val="2"/>
          <w:sz w:val="24"/>
          <w:szCs w:val="24"/>
          <w:lang w:eastAsia="en-US"/>
          <w14:ligatures w14:val="standardContextual"/>
        </w:rPr>
        <w:t>Welsh Government (2016</w:t>
      </w:r>
      <w:r w:rsidR="005505A8" w:rsidRPr="00BB0F9F">
        <w:rPr>
          <w:rFonts w:eastAsia="Calibri"/>
          <w:color w:val="auto"/>
          <w:kern w:val="2"/>
          <w:sz w:val="24"/>
          <w:szCs w:val="24"/>
          <w:lang w:eastAsia="en-US"/>
          <w14:ligatures w14:val="standardContextual"/>
        </w:rPr>
        <w:t>a</w:t>
      </w:r>
      <w:r w:rsidRPr="00BB0F9F">
        <w:rPr>
          <w:rFonts w:eastAsia="Calibri"/>
          <w:color w:val="auto"/>
          <w:kern w:val="2"/>
          <w:sz w:val="24"/>
          <w:szCs w:val="24"/>
          <w:lang w:eastAsia="en-US"/>
          <w14:ligatures w14:val="standardContextual"/>
        </w:rPr>
        <w:t xml:space="preserve">). </w:t>
      </w:r>
      <w:bookmarkEnd w:id="4"/>
      <w:r w:rsidRPr="00BB0F9F">
        <w:rPr>
          <w:rFonts w:eastAsia="Calibri"/>
          <w:i/>
          <w:iCs/>
          <w:color w:val="auto"/>
          <w:kern w:val="2"/>
          <w:sz w:val="24"/>
          <w:szCs w:val="24"/>
          <w:lang w:eastAsia="en-US"/>
          <w14:ligatures w14:val="standardContextual"/>
        </w:rPr>
        <w:t>Regulation and Inspection of Social Care (Wales) Act 2016</w:t>
      </w:r>
      <w:r w:rsidRPr="00BB0F9F">
        <w:rPr>
          <w:rFonts w:eastAsia="Calibri"/>
          <w:color w:val="auto"/>
          <w:kern w:val="2"/>
          <w:sz w:val="24"/>
          <w:szCs w:val="24"/>
          <w:lang w:eastAsia="en-US"/>
          <w14:ligatures w14:val="standardContextual"/>
        </w:rPr>
        <w:t xml:space="preserve">. </w:t>
      </w:r>
      <w:r w:rsidR="008D1830" w:rsidRPr="00BB0F9F">
        <w:rPr>
          <w:rFonts w:eastAsia="Calibri"/>
          <w:color w:val="auto"/>
          <w:kern w:val="2"/>
          <w:sz w:val="24"/>
          <w:szCs w:val="24"/>
          <w:lang w:eastAsia="en-US"/>
          <w14:ligatures w14:val="standardContextual"/>
        </w:rPr>
        <w:t xml:space="preserve">Available at: </w:t>
      </w:r>
      <w:hyperlink r:id="rId30" w:history="1">
        <w:r w:rsidR="005505A8" w:rsidRPr="00BB0F9F">
          <w:rPr>
            <w:rStyle w:val="Hyperlink"/>
            <w:rFonts w:eastAsia="Calibri"/>
            <w:color w:val="auto"/>
            <w:kern w:val="2"/>
            <w:sz w:val="24"/>
            <w:szCs w:val="24"/>
            <w:lang w:eastAsia="en-US"/>
            <w14:ligatures w14:val="standardContextual"/>
          </w:rPr>
          <w:t>https://socialcare.wales</w:t>
        </w:r>
      </w:hyperlink>
      <w:r w:rsidR="005505A8" w:rsidRPr="00BB0F9F">
        <w:rPr>
          <w:rFonts w:eastAsia="Calibri"/>
          <w:color w:val="auto"/>
          <w:kern w:val="2"/>
          <w:sz w:val="24"/>
          <w:szCs w:val="24"/>
          <w:lang w:eastAsia="en-US"/>
          <w14:ligatures w14:val="standardContextual"/>
        </w:rPr>
        <w:t xml:space="preserve"> [Accessed 13 Sept. 2024].</w:t>
      </w:r>
    </w:p>
    <w:p w14:paraId="7AE1F9CA" w14:textId="4AB1E3C0" w:rsidR="00926A8D" w:rsidRPr="00BB0F9F" w:rsidRDefault="00926A8D"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Welsh Government</w:t>
      </w:r>
      <w:r w:rsidR="005505A8"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(2016</w:t>
      </w:r>
      <w:r w:rsidR="005505A8" w:rsidRPr="00BB0F9F">
        <w:rPr>
          <w:rFonts w:eastAsia="Calibri"/>
          <w:color w:val="auto"/>
          <w:kern w:val="2"/>
          <w:sz w:val="24"/>
          <w:szCs w:val="24"/>
          <w:lang w:eastAsia="en-US"/>
          <w14:ligatures w14:val="standardContextual"/>
        </w:rPr>
        <w:t>b</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Social Services and Well-being (Wales) Act 2014</w:t>
      </w:r>
      <w:r w:rsidRPr="00BB0F9F">
        <w:rPr>
          <w:rFonts w:eastAsia="Calibri"/>
          <w:color w:val="auto"/>
          <w:kern w:val="2"/>
          <w:sz w:val="24"/>
          <w:szCs w:val="24"/>
          <w:lang w:eastAsia="en-US"/>
          <w14:ligatures w14:val="standardContextual"/>
        </w:rPr>
        <w:t>: Part 6 Code of Practice (Looked After and Accommodated children).</w:t>
      </w:r>
      <w:r w:rsidR="005505A8" w:rsidRPr="00BB0F9F">
        <w:rPr>
          <w:color w:val="auto"/>
        </w:rPr>
        <w:t xml:space="preserve"> </w:t>
      </w:r>
      <w:r w:rsidR="005505A8" w:rsidRPr="00BB0F9F">
        <w:rPr>
          <w:rFonts w:eastAsia="Calibri"/>
          <w:color w:val="auto"/>
          <w:kern w:val="2"/>
          <w:sz w:val="24"/>
          <w:szCs w:val="24"/>
          <w:lang w:eastAsia="en-US"/>
          <w14:ligatures w14:val="standardContextual"/>
        </w:rPr>
        <w:t xml:space="preserve">Available at: </w:t>
      </w:r>
      <w:hyperlink r:id="rId31" w:history="1">
        <w:r w:rsidR="005505A8" w:rsidRPr="00BB0F9F">
          <w:rPr>
            <w:rStyle w:val="Hyperlink"/>
            <w:rFonts w:eastAsia="Calibri"/>
            <w:color w:val="auto"/>
            <w:kern w:val="2"/>
            <w:sz w:val="24"/>
            <w:szCs w:val="24"/>
            <w:lang w:eastAsia="en-US"/>
            <w14:ligatures w14:val="standardContextual"/>
          </w:rPr>
          <w:t>https://socialcare.wales</w:t>
        </w:r>
      </w:hyperlink>
      <w:r w:rsidR="005505A8" w:rsidRPr="00BB0F9F">
        <w:rPr>
          <w:rFonts w:eastAsia="Calibri"/>
          <w:color w:val="auto"/>
          <w:kern w:val="2"/>
          <w:sz w:val="24"/>
          <w:szCs w:val="24"/>
          <w:lang w:eastAsia="en-US"/>
          <w14:ligatures w14:val="standardContextual"/>
        </w:rPr>
        <w:t xml:space="preserve">  [Accessed 13 Sept. 2024].</w:t>
      </w:r>
    </w:p>
    <w:p w14:paraId="493C1389" w14:textId="49588228"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Welsh Government</w:t>
      </w:r>
      <w:r w:rsidR="005505A8"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(2019</w:t>
      </w:r>
      <w:r w:rsidR="005505A8" w:rsidRPr="00BB0F9F">
        <w:rPr>
          <w:rFonts w:eastAsia="Calibri"/>
          <w:color w:val="auto"/>
          <w:kern w:val="2"/>
          <w:sz w:val="24"/>
          <w:szCs w:val="24"/>
          <w:lang w:eastAsia="en-US"/>
          <w14:ligatures w14:val="standardContextual"/>
        </w:rPr>
        <w:t>a</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All Wales Child Protection Procedures</w:t>
      </w:r>
      <w:r w:rsidRPr="00BB0F9F">
        <w:rPr>
          <w:rFonts w:eastAsia="Calibri"/>
          <w:color w:val="auto"/>
          <w:kern w:val="2"/>
          <w:sz w:val="24"/>
          <w:szCs w:val="24"/>
          <w:lang w:eastAsia="en-US"/>
          <w14:ligatures w14:val="standardContextual"/>
        </w:rPr>
        <w:t xml:space="preserve">. </w:t>
      </w:r>
      <w:bookmarkStart w:id="5" w:name="_Hlk178762965"/>
      <w:r w:rsidR="005505A8" w:rsidRPr="00BB0F9F">
        <w:rPr>
          <w:rFonts w:eastAsia="Calibri"/>
          <w:color w:val="auto"/>
          <w:kern w:val="2"/>
          <w:sz w:val="24"/>
          <w:szCs w:val="24"/>
          <w:lang w:eastAsia="en-US"/>
          <w14:ligatures w14:val="standardContextual"/>
        </w:rPr>
        <w:t xml:space="preserve">Available at: </w:t>
      </w:r>
      <w:hyperlink r:id="rId32" w:history="1">
        <w:r w:rsidR="005505A8" w:rsidRPr="00BB0F9F">
          <w:rPr>
            <w:rStyle w:val="Hyperlink"/>
            <w:rFonts w:eastAsia="Calibri"/>
            <w:color w:val="auto"/>
            <w:kern w:val="2"/>
            <w:sz w:val="24"/>
            <w:szCs w:val="24"/>
            <w:lang w:eastAsia="en-US"/>
            <w14:ligatures w14:val="standardContextual"/>
          </w:rPr>
          <w:t>https://safeguarding.wales</w:t>
        </w:r>
      </w:hyperlink>
      <w:r w:rsidR="005505A8" w:rsidRPr="00BB0F9F">
        <w:rPr>
          <w:rFonts w:eastAsia="Calibri"/>
          <w:color w:val="auto"/>
          <w:kern w:val="2"/>
          <w:sz w:val="24"/>
          <w:szCs w:val="24"/>
          <w:lang w:eastAsia="en-US"/>
          <w14:ligatures w14:val="standardContextual"/>
        </w:rPr>
        <w:t xml:space="preserve">  [Accessed 13 Sept. 2024].</w:t>
      </w:r>
    </w:p>
    <w:bookmarkEnd w:id="5"/>
    <w:p w14:paraId="1D463C62" w14:textId="10055ABA" w:rsidR="00B813BD" w:rsidRPr="00BB0F9F" w:rsidRDefault="00B813BD"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Welsh Government</w:t>
      </w:r>
      <w:r w:rsidR="005505A8"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(2019</w:t>
      </w:r>
      <w:r w:rsidR="005505A8" w:rsidRPr="00BB0F9F">
        <w:rPr>
          <w:rFonts w:eastAsia="Calibri"/>
          <w:color w:val="auto"/>
          <w:kern w:val="2"/>
          <w:sz w:val="24"/>
          <w:szCs w:val="24"/>
          <w:lang w:eastAsia="en-US"/>
          <w14:ligatures w14:val="standardContextual"/>
        </w:rPr>
        <w:t>b</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Working Together to safeguard People: Volume 5- Handling Individual Cases to protect Children at Risk.</w:t>
      </w:r>
      <w:r w:rsidRPr="00BB0F9F">
        <w:rPr>
          <w:rFonts w:eastAsia="Calibri"/>
          <w:color w:val="auto"/>
          <w:kern w:val="2"/>
          <w:sz w:val="24"/>
          <w:szCs w:val="24"/>
          <w:lang w:eastAsia="en-US"/>
          <w14:ligatures w14:val="standardContextual"/>
        </w:rPr>
        <w:t xml:space="preserve"> </w:t>
      </w:r>
      <w:r w:rsidR="005505A8" w:rsidRPr="00BB0F9F">
        <w:rPr>
          <w:rFonts w:eastAsia="Calibri"/>
          <w:color w:val="auto"/>
          <w:kern w:val="2"/>
          <w:sz w:val="24"/>
          <w:szCs w:val="24"/>
          <w:lang w:eastAsia="en-US"/>
          <w14:ligatures w14:val="standardContextual"/>
        </w:rPr>
        <w:t xml:space="preserve">Available at: </w:t>
      </w:r>
      <w:hyperlink r:id="rId33" w:history="1">
        <w:r w:rsidR="005505A8" w:rsidRPr="00BB0F9F">
          <w:rPr>
            <w:rStyle w:val="Hyperlink"/>
            <w:rFonts w:eastAsia="Calibri"/>
            <w:color w:val="auto"/>
            <w:kern w:val="2"/>
            <w:sz w:val="24"/>
            <w:szCs w:val="24"/>
            <w:lang w:eastAsia="en-US"/>
            <w14:ligatures w14:val="standardContextual"/>
          </w:rPr>
          <w:t>https://safeguarding.wales</w:t>
        </w:r>
      </w:hyperlink>
      <w:r w:rsidR="005505A8" w:rsidRPr="00BB0F9F">
        <w:rPr>
          <w:rFonts w:eastAsia="Calibri"/>
          <w:color w:val="auto"/>
          <w:kern w:val="2"/>
          <w:sz w:val="24"/>
          <w:szCs w:val="24"/>
          <w:lang w:eastAsia="en-US"/>
          <w14:ligatures w14:val="standardContextual"/>
        </w:rPr>
        <w:t xml:space="preserve"> </w:t>
      </w:r>
      <w:proofErr w:type="gramStart"/>
      <w:r w:rsidR="005505A8" w:rsidRPr="00BB0F9F">
        <w:rPr>
          <w:rFonts w:eastAsia="Calibri"/>
          <w:color w:val="auto"/>
          <w:kern w:val="2"/>
          <w:sz w:val="24"/>
          <w:szCs w:val="24"/>
          <w:lang w:eastAsia="en-US"/>
          <w14:ligatures w14:val="standardContextual"/>
        </w:rPr>
        <w:t xml:space="preserve">   [</w:t>
      </w:r>
      <w:proofErr w:type="gramEnd"/>
      <w:r w:rsidR="005505A8" w:rsidRPr="00BB0F9F">
        <w:rPr>
          <w:rFonts w:eastAsia="Calibri"/>
          <w:color w:val="auto"/>
          <w:kern w:val="2"/>
          <w:sz w:val="24"/>
          <w:szCs w:val="24"/>
          <w:lang w:eastAsia="en-US"/>
          <w14:ligatures w14:val="standardContextual"/>
        </w:rPr>
        <w:t>Accessed 13 Sept. 2024].</w:t>
      </w:r>
    </w:p>
    <w:p w14:paraId="20C63FD8" w14:textId="11109BFA" w:rsidR="00DD36F1"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Welsh Government (2019). </w:t>
      </w:r>
      <w:r w:rsidRPr="00BB0F9F">
        <w:rPr>
          <w:rFonts w:eastAsia="Calibri"/>
          <w:i/>
          <w:iCs/>
          <w:color w:val="auto"/>
          <w:kern w:val="2"/>
          <w:sz w:val="24"/>
          <w:szCs w:val="24"/>
          <w:lang w:eastAsia="en-US"/>
          <w14:ligatures w14:val="standardContextual"/>
        </w:rPr>
        <w:t>Working Together to Safeguard People</w:t>
      </w:r>
      <w:r w:rsidRPr="00BB0F9F">
        <w:rPr>
          <w:rFonts w:eastAsia="Calibri"/>
          <w:color w:val="auto"/>
          <w:kern w:val="2"/>
          <w:sz w:val="24"/>
          <w:szCs w:val="24"/>
          <w:lang w:eastAsia="en-US"/>
          <w14:ligatures w14:val="standardContextual"/>
        </w:rPr>
        <w:t>. Welsh Government.</w:t>
      </w:r>
    </w:p>
    <w:p w14:paraId="423F1863" w14:textId="47CD41EC" w:rsidR="00C64D21" w:rsidRPr="00BB0F9F" w:rsidRDefault="00C64D2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Pr>
          <w:rFonts w:eastAsia="Calibri"/>
          <w:color w:val="auto"/>
          <w:kern w:val="2"/>
          <w:sz w:val="24"/>
          <w:szCs w:val="24"/>
          <w:lang w:eastAsia="en-US"/>
          <w14:ligatures w14:val="standardContextual"/>
        </w:rPr>
        <w:t>Welsh Government (2019</w:t>
      </w:r>
      <w:r w:rsidR="002E48FA">
        <w:rPr>
          <w:rFonts w:eastAsia="Calibri"/>
          <w:color w:val="auto"/>
          <w:kern w:val="2"/>
          <w:sz w:val="24"/>
          <w:szCs w:val="24"/>
          <w:lang w:eastAsia="en-US"/>
          <w14:ligatures w14:val="standardContextual"/>
        </w:rPr>
        <w:t>c</w:t>
      </w:r>
      <w:r>
        <w:rPr>
          <w:rFonts w:eastAsia="Calibri"/>
          <w:color w:val="auto"/>
          <w:kern w:val="2"/>
          <w:sz w:val="24"/>
          <w:szCs w:val="24"/>
          <w:lang w:eastAsia="en-US"/>
          <w14:ligatures w14:val="standardContextual"/>
        </w:rPr>
        <w:t xml:space="preserve">). </w:t>
      </w:r>
      <w:r w:rsidRPr="002E48FA">
        <w:rPr>
          <w:rFonts w:eastAsia="Calibri"/>
          <w:i/>
          <w:iCs/>
          <w:color w:val="auto"/>
          <w:kern w:val="2"/>
          <w:sz w:val="24"/>
          <w:szCs w:val="24"/>
          <w:lang w:eastAsia="en-US"/>
          <w14:ligatures w14:val="standardContextual"/>
        </w:rPr>
        <w:t>The Social Services</w:t>
      </w:r>
      <w:r w:rsidR="002E48FA" w:rsidRPr="002E48FA">
        <w:rPr>
          <w:rFonts w:eastAsia="Calibri"/>
          <w:i/>
          <w:iCs/>
          <w:color w:val="auto"/>
          <w:kern w:val="2"/>
          <w:sz w:val="24"/>
          <w:szCs w:val="24"/>
          <w:lang w:eastAsia="en-US"/>
          <w14:ligatures w14:val="standardContextual"/>
        </w:rPr>
        <w:t xml:space="preserve"> and Well-</w:t>
      </w:r>
      <w:proofErr w:type="gramStart"/>
      <w:r w:rsidR="002E48FA" w:rsidRPr="002E48FA">
        <w:rPr>
          <w:rFonts w:eastAsia="Calibri"/>
          <w:i/>
          <w:iCs/>
          <w:color w:val="auto"/>
          <w:kern w:val="2"/>
          <w:sz w:val="24"/>
          <w:szCs w:val="24"/>
          <w:lang w:eastAsia="en-US"/>
          <w14:ligatures w14:val="standardContextual"/>
        </w:rPr>
        <w:t>bein</w:t>
      </w:r>
      <w:r w:rsidR="002E48FA">
        <w:rPr>
          <w:rFonts w:eastAsia="Calibri"/>
          <w:i/>
          <w:iCs/>
          <w:color w:val="auto"/>
          <w:kern w:val="2"/>
          <w:sz w:val="24"/>
          <w:szCs w:val="24"/>
          <w:lang w:eastAsia="en-US"/>
          <w14:ligatures w14:val="standardContextual"/>
        </w:rPr>
        <w:t>g</w:t>
      </w:r>
      <w:r w:rsidR="002E48FA" w:rsidRPr="002E48FA">
        <w:rPr>
          <w:rFonts w:eastAsia="Calibri"/>
          <w:i/>
          <w:iCs/>
          <w:color w:val="auto"/>
          <w:kern w:val="2"/>
          <w:sz w:val="24"/>
          <w:szCs w:val="24"/>
          <w:lang w:eastAsia="en-US"/>
          <w14:ligatures w14:val="standardContextual"/>
        </w:rPr>
        <w:t>(</w:t>
      </w:r>
      <w:proofErr w:type="gramEnd"/>
      <w:r w:rsidR="002E48FA" w:rsidRPr="002E48FA">
        <w:rPr>
          <w:rFonts w:eastAsia="Calibri"/>
          <w:i/>
          <w:iCs/>
          <w:color w:val="auto"/>
          <w:kern w:val="2"/>
          <w:sz w:val="24"/>
          <w:szCs w:val="24"/>
          <w:lang w:eastAsia="en-US"/>
          <w14:ligatures w14:val="standardContextual"/>
        </w:rPr>
        <w:t>Wales) Act 2014: Statutory</w:t>
      </w:r>
      <w:r w:rsidR="002E48FA">
        <w:rPr>
          <w:rFonts w:eastAsia="Calibri"/>
          <w:color w:val="auto"/>
          <w:kern w:val="2"/>
          <w:sz w:val="24"/>
          <w:szCs w:val="24"/>
          <w:lang w:eastAsia="en-US"/>
          <w14:ligatures w14:val="standardContextual"/>
        </w:rPr>
        <w:t xml:space="preserve"> </w:t>
      </w:r>
      <w:r w:rsidR="002E48FA" w:rsidRPr="002E48FA">
        <w:rPr>
          <w:rFonts w:eastAsia="Calibri"/>
          <w:i/>
          <w:iCs/>
          <w:color w:val="auto"/>
          <w:kern w:val="2"/>
          <w:sz w:val="24"/>
          <w:szCs w:val="24"/>
          <w:lang w:eastAsia="en-US"/>
          <w14:ligatures w14:val="standardContextual"/>
        </w:rPr>
        <w:t>Guidance.</w:t>
      </w:r>
      <w:r w:rsidR="002E48FA">
        <w:rPr>
          <w:rFonts w:eastAsia="Calibri"/>
          <w:color w:val="auto"/>
          <w:kern w:val="2"/>
          <w:sz w:val="24"/>
          <w:szCs w:val="24"/>
          <w:lang w:eastAsia="en-US"/>
          <w14:ligatures w14:val="standardContextual"/>
        </w:rPr>
        <w:t xml:space="preserve"> </w:t>
      </w:r>
      <w:r w:rsidR="002E48FA" w:rsidRPr="002E48FA">
        <w:rPr>
          <w:rFonts w:eastAsia="Calibri"/>
          <w:color w:val="auto"/>
          <w:kern w:val="2"/>
          <w:sz w:val="24"/>
          <w:szCs w:val="24"/>
          <w:lang w:eastAsia="en-US"/>
          <w14:ligatures w14:val="standardContextual"/>
        </w:rPr>
        <w:t>Welsh Government.</w:t>
      </w:r>
    </w:p>
    <w:p w14:paraId="708C0979" w14:textId="74E5057E"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Welsh Government</w:t>
      </w:r>
      <w:r w:rsidR="003D6E5B" w:rsidRPr="00BB0F9F">
        <w:rPr>
          <w:rFonts w:eastAsia="Calibri"/>
          <w:color w:val="auto"/>
          <w:kern w:val="2"/>
          <w:sz w:val="24"/>
          <w:szCs w:val="24"/>
          <w:lang w:eastAsia="en-US"/>
          <w14:ligatures w14:val="standardContextual"/>
        </w:rPr>
        <w:t xml:space="preserve"> </w:t>
      </w:r>
      <w:r w:rsidRPr="00BB0F9F">
        <w:rPr>
          <w:rFonts w:eastAsia="Calibri"/>
          <w:color w:val="auto"/>
          <w:kern w:val="2"/>
          <w:sz w:val="24"/>
          <w:szCs w:val="24"/>
          <w:lang w:eastAsia="en-US"/>
          <w14:ligatures w14:val="standardContextual"/>
        </w:rPr>
        <w:t xml:space="preserve">(2020). </w:t>
      </w:r>
      <w:r w:rsidRPr="00BB0F9F">
        <w:rPr>
          <w:rFonts w:eastAsia="Calibri"/>
          <w:i/>
          <w:iCs/>
          <w:color w:val="auto"/>
          <w:kern w:val="2"/>
          <w:sz w:val="24"/>
          <w:szCs w:val="24"/>
          <w:lang w:eastAsia="en-US"/>
          <w14:ligatures w14:val="standardContextual"/>
        </w:rPr>
        <w:t>Safeguarding Children in Wales. Statutory Guidance</w:t>
      </w:r>
      <w:r w:rsidRPr="00BB0F9F">
        <w:rPr>
          <w:rFonts w:eastAsia="Calibri"/>
          <w:color w:val="auto"/>
          <w:kern w:val="2"/>
          <w:sz w:val="24"/>
          <w:szCs w:val="24"/>
          <w:lang w:eastAsia="en-US"/>
          <w14:ligatures w14:val="standardContextual"/>
        </w:rPr>
        <w:t xml:space="preserve">. </w:t>
      </w:r>
      <w:bookmarkStart w:id="6" w:name="_Hlk178937074"/>
      <w:r w:rsidRPr="00BB0F9F">
        <w:rPr>
          <w:rFonts w:eastAsia="Calibri"/>
          <w:color w:val="auto"/>
          <w:kern w:val="2"/>
          <w:sz w:val="24"/>
          <w:szCs w:val="24"/>
          <w:lang w:eastAsia="en-US"/>
          <w14:ligatures w14:val="standardContextual"/>
        </w:rPr>
        <w:t>Welsh Government.</w:t>
      </w:r>
    </w:p>
    <w:bookmarkEnd w:id="6"/>
    <w:p w14:paraId="47545627" w14:textId="5533B723"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Welsh Government (2021). </w:t>
      </w:r>
      <w:r w:rsidRPr="00BB0F9F">
        <w:rPr>
          <w:rFonts w:eastAsia="Calibri"/>
          <w:i/>
          <w:iCs/>
          <w:color w:val="auto"/>
          <w:kern w:val="2"/>
          <w:sz w:val="24"/>
          <w:szCs w:val="24"/>
          <w:lang w:eastAsia="en-US"/>
          <w14:ligatures w14:val="standardContextual"/>
        </w:rPr>
        <w:t>Program for Government: 2021 to 2026</w:t>
      </w:r>
      <w:r w:rsidRPr="00BB0F9F">
        <w:rPr>
          <w:rFonts w:eastAsia="Calibri"/>
          <w:color w:val="auto"/>
          <w:kern w:val="2"/>
          <w:sz w:val="24"/>
          <w:szCs w:val="24"/>
          <w:lang w:eastAsia="en-US"/>
          <w14:ligatures w14:val="standardContextual"/>
        </w:rPr>
        <w:t>. Welsh Government.</w:t>
      </w:r>
    </w:p>
    <w:p w14:paraId="0979DEED" w14:textId="2056BC85"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 xml:space="preserve">White, M. </w:t>
      </w:r>
      <w:r w:rsidR="003D6E5B" w:rsidRPr="00BB0F9F">
        <w:rPr>
          <w:rFonts w:eastAsia="Calibri"/>
          <w:color w:val="auto"/>
          <w:kern w:val="2"/>
          <w:sz w:val="24"/>
          <w:szCs w:val="24"/>
          <w:lang w:eastAsia="en-US"/>
          <w14:ligatures w14:val="standardContextual"/>
        </w:rPr>
        <w:t>and</w:t>
      </w:r>
      <w:r w:rsidRPr="00BB0F9F">
        <w:rPr>
          <w:rFonts w:eastAsia="Calibri"/>
          <w:color w:val="auto"/>
          <w:kern w:val="2"/>
          <w:sz w:val="24"/>
          <w:szCs w:val="24"/>
          <w:lang w:eastAsia="en-US"/>
          <w14:ligatures w14:val="standardContextual"/>
        </w:rPr>
        <w:t xml:space="preserve"> </w:t>
      </w:r>
      <w:proofErr w:type="spellStart"/>
      <w:r w:rsidRPr="00BB0F9F">
        <w:rPr>
          <w:rFonts w:eastAsia="Calibri"/>
          <w:color w:val="auto"/>
          <w:kern w:val="2"/>
          <w:sz w:val="24"/>
          <w:szCs w:val="24"/>
          <w:lang w:eastAsia="en-US"/>
          <w14:ligatures w14:val="standardContextual"/>
        </w:rPr>
        <w:t>Epston</w:t>
      </w:r>
      <w:proofErr w:type="spellEnd"/>
      <w:r w:rsidRPr="00BB0F9F">
        <w:rPr>
          <w:rFonts w:eastAsia="Calibri"/>
          <w:color w:val="auto"/>
          <w:kern w:val="2"/>
          <w:sz w:val="24"/>
          <w:szCs w:val="24"/>
          <w:lang w:eastAsia="en-US"/>
          <w14:ligatures w14:val="standardContextual"/>
        </w:rPr>
        <w:t xml:space="preserve">, D. (1990) </w:t>
      </w:r>
      <w:r w:rsidRPr="00BB0F9F">
        <w:rPr>
          <w:rFonts w:eastAsia="Calibri"/>
          <w:i/>
          <w:iCs/>
          <w:color w:val="auto"/>
          <w:kern w:val="2"/>
          <w:sz w:val="24"/>
          <w:szCs w:val="24"/>
          <w:lang w:eastAsia="en-US"/>
          <w14:ligatures w14:val="standardContextual"/>
        </w:rPr>
        <w:t>Narrative Means to Therapeutic Ends</w:t>
      </w:r>
      <w:r w:rsidRPr="00BB0F9F">
        <w:rPr>
          <w:rFonts w:eastAsia="Calibri"/>
          <w:color w:val="auto"/>
          <w:kern w:val="2"/>
          <w:sz w:val="24"/>
          <w:szCs w:val="24"/>
          <w:lang w:eastAsia="en-US"/>
          <w14:ligatures w14:val="standardContextual"/>
        </w:rPr>
        <w:t>. New York: Norton.</w:t>
      </w:r>
    </w:p>
    <w:p w14:paraId="2369EBE3" w14:textId="01DF333F" w:rsidR="00DD36F1" w:rsidRPr="00BB0F9F" w:rsidRDefault="00DD36F1" w:rsidP="00DD36F1">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BB0F9F">
        <w:rPr>
          <w:rFonts w:eastAsia="Calibri"/>
          <w:color w:val="auto"/>
          <w:kern w:val="2"/>
          <w:sz w:val="24"/>
          <w:szCs w:val="24"/>
          <w:lang w:eastAsia="en-US"/>
          <w14:ligatures w14:val="standardContextual"/>
        </w:rPr>
        <w:t>White, M. (2007)</w:t>
      </w:r>
      <w:r w:rsidR="003D6E5B" w:rsidRPr="00BB0F9F">
        <w:rPr>
          <w:rFonts w:eastAsia="Calibri"/>
          <w:color w:val="auto"/>
          <w:kern w:val="2"/>
          <w:sz w:val="24"/>
          <w:szCs w:val="24"/>
          <w:lang w:eastAsia="en-US"/>
          <w14:ligatures w14:val="standardContextual"/>
        </w:rPr>
        <w:t>,</w:t>
      </w:r>
      <w:r w:rsidRPr="00BB0F9F">
        <w:rPr>
          <w:rFonts w:eastAsia="Calibri"/>
          <w:color w:val="auto"/>
          <w:kern w:val="2"/>
          <w:sz w:val="24"/>
          <w:szCs w:val="24"/>
          <w:lang w:eastAsia="en-US"/>
          <w14:ligatures w14:val="standardContextual"/>
        </w:rPr>
        <w:t xml:space="preserve"> </w:t>
      </w:r>
      <w:r w:rsidRPr="00BB0F9F">
        <w:rPr>
          <w:rFonts w:eastAsia="Calibri"/>
          <w:i/>
          <w:iCs/>
          <w:color w:val="auto"/>
          <w:kern w:val="2"/>
          <w:sz w:val="24"/>
          <w:szCs w:val="24"/>
          <w:lang w:eastAsia="en-US"/>
          <w14:ligatures w14:val="standardContextual"/>
        </w:rPr>
        <w:t>Maps of Narrative Practice</w:t>
      </w:r>
      <w:r w:rsidRPr="00BB0F9F">
        <w:rPr>
          <w:rFonts w:eastAsia="Calibri"/>
          <w:color w:val="auto"/>
          <w:kern w:val="2"/>
          <w:sz w:val="24"/>
          <w:szCs w:val="24"/>
          <w:lang w:eastAsia="en-US"/>
          <w14:ligatures w14:val="standardContextual"/>
        </w:rPr>
        <w:t>. Norton and Company.</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F102ECA" w:rsidR="00E559CE" w:rsidRPr="00B17FA0" w:rsidRDefault="001E553C" w:rsidP="00B94443">
            <w:pPr>
              <w:jc w:val="both"/>
              <w:rPr>
                <w:sz w:val="24"/>
                <w:szCs w:val="24"/>
              </w:rPr>
            </w:pPr>
            <w:r>
              <w:rPr>
                <w:sz w:val="24"/>
                <w:szCs w:val="24"/>
              </w:rPr>
              <w:t>15/11/2023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7E87600" w:rsidR="00E559CE" w:rsidRPr="00B17FA0" w:rsidRDefault="001E553C" w:rsidP="00B94443">
            <w:pPr>
              <w:jc w:val="both"/>
              <w:rPr>
                <w:sz w:val="24"/>
                <w:szCs w:val="24"/>
              </w:rPr>
            </w:pPr>
            <w:r>
              <w:rPr>
                <w:sz w:val="24"/>
                <w:szCs w:val="24"/>
              </w:rPr>
              <w:t>25/03/2024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8F631FC" w:rsidR="00E559CE" w:rsidRPr="00B17FA0" w:rsidRDefault="001E553C" w:rsidP="00B94443">
            <w:pPr>
              <w:jc w:val="both"/>
              <w:rPr>
                <w:sz w:val="24"/>
                <w:szCs w:val="24"/>
              </w:rPr>
            </w:pPr>
            <w:r>
              <w:rPr>
                <w:sz w:val="24"/>
                <w:szCs w:val="24"/>
              </w:rPr>
              <w:t>02/05/2024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4DCA7E5" w:rsidR="00E559CE" w:rsidRPr="00B17FA0" w:rsidRDefault="001E553C" w:rsidP="00B94443">
            <w:pPr>
              <w:jc w:val="both"/>
              <w:rPr>
                <w:sz w:val="24"/>
                <w:szCs w:val="24"/>
              </w:rPr>
            </w:pPr>
            <w:r>
              <w:rPr>
                <w:sz w:val="24"/>
                <w:szCs w:val="24"/>
              </w:rPr>
              <w:t>30/07/2024</w:t>
            </w:r>
          </w:p>
        </w:tc>
      </w:tr>
    </w:tbl>
    <w:p w14:paraId="3338AF4A" w14:textId="77777777" w:rsidR="00E559CE" w:rsidRPr="008B28E7" w:rsidRDefault="00E559CE" w:rsidP="00E559CE">
      <w:pPr>
        <w:jc w:val="both"/>
        <w:rPr>
          <w:sz w:val="24"/>
          <w:szCs w:val="24"/>
        </w:rPr>
      </w:pPr>
    </w:p>
    <w:p w14:paraId="20A980F4" w14:textId="212364CB"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7"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1169A0EB" w14:textId="77777777" w:rsidR="005D3D06" w:rsidRPr="005D3D06" w:rsidRDefault="005D3D06" w:rsidP="005D3D06">
            <w:pPr>
              <w:jc w:val="both"/>
              <w:rPr>
                <w:color w:val="auto"/>
                <w:sz w:val="24"/>
                <w:szCs w:val="24"/>
              </w:rPr>
            </w:pPr>
            <w:r w:rsidRPr="005D3D06">
              <w:rPr>
                <w:color w:val="auto"/>
                <w:sz w:val="24"/>
                <w:szCs w:val="24"/>
              </w:rPr>
              <w:t xml:space="preserve">The learner has used appropriate theories to her practice demonstrating her understanding of how theories/models and approaches can support social work practice which can also result in encouraging individuals to engage and participate in assessment process’s. The learner is aware of the relevant Legislation &amp; Guidelines that underpin her practice. As the learner has highlighted herself, she is now aware of the skills needed to conduct robust assessments ensuring the relevant information is gathered to provide a full picture of a family’s situation to ascertain the appropriate intervention and to have the confidence to ask further questions to delve deeper enabling her to challenge certain responses that do not satisfy her. </w:t>
            </w:r>
          </w:p>
          <w:p w14:paraId="1C4F2154" w14:textId="77777777" w:rsidR="005D3D06" w:rsidRPr="005D3D06" w:rsidRDefault="005D3D06" w:rsidP="005D3D06">
            <w:pPr>
              <w:jc w:val="both"/>
              <w:rPr>
                <w:color w:val="auto"/>
                <w:sz w:val="24"/>
                <w:szCs w:val="24"/>
              </w:rPr>
            </w:pPr>
          </w:p>
          <w:p w14:paraId="22BE51B5" w14:textId="77777777" w:rsidR="005D3D06" w:rsidRPr="005D3D06" w:rsidRDefault="005D3D06" w:rsidP="005D3D06">
            <w:pPr>
              <w:jc w:val="both"/>
              <w:rPr>
                <w:color w:val="auto"/>
                <w:sz w:val="24"/>
                <w:szCs w:val="24"/>
              </w:rPr>
            </w:pPr>
            <w:r w:rsidRPr="005D3D06">
              <w:rPr>
                <w:color w:val="auto"/>
                <w:sz w:val="24"/>
                <w:szCs w:val="24"/>
              </w:rPr>
              <w:t xml:space="preserve">The learner has identified she was able to work well with the mother of (child 1) by using listening skills, appropriate body language to reassure her that she was being listened to and </w:t>
            </w:r>
            <w:proofErr w:type="gramStart"/>
            <w:r w:rsidRPr="005D3D06">
              <w:rPr>
                <w:color w:val="auto"/>
                <w:sz w:val="24"/>
                <w:szCs w:val="24"/>
              </w:rPr>
              <w:t>gave consideration to</w:t>
            </w:r>
            <w:proofErr w:type="gramEnd"/>
            <w:r w:rsidRPr="005D3D06">
              <w:rPr>
                <w:color w:val="auto"/>
                <w:sz w:val="24"/>
                <w:szCs w:val="24"/>
              </w:rPr>
              <w:t xml:space="preserve"> the mother’s preferred language. The learner also demonstrated to the mother that she had prepared well for the visit by looking at the historical information recorded on the department’s Database which must have meant a lot to the mother as she had mentioned this in her feedback to the observer.  As mentioned above the learner is also aware of her learning needs </w:t>
            </w:r>
            <w:proofErr w:type="gramStart"/>
            <w:r w:rsidRPr="005D3D06">
              <w:rPr>
                <w:color w:val="auto"/>
                <w:sz w:val="24"/>
                <w:szCs w:val="24"/>
              </w:rPr>
              <w:t>in regard to</w:t>
            </w:r>
            <w:proofErr w:type="gramEnd"/>
            <w:r w:rsidRPr="005D3D06">
              <w:rPr>
                <w:color w:val="auto"/>
                <w:sz w:val="24"/>
                <w:szCs w:val="24"/>
              </w:rPr>
              <w:t xml:space="preserve"> using questions to challenge individual’s actions in certain situations. </w:t>
            </w:r>
          </w:p>
          <w:p w14:paraId="7A515D73" w14:textId="77777777" w:rsidR="005D3D06" w:rsidRPr="005D3D06" w:rsidRDefault="005D3D06" w:rsidP="005D3D06">
            <w:pPr>
              <w:jc w:val="both"/>
              <w:rPr>
                <w:color w:val="auto"/>
                <w:sz w:val="24"/>
                <w:szCs w:val="24"/>
              </w:rPr>
            </w:pPr>
            <w:r w:rsidRPr="005D3D06">
              <w:rPr>
                <w:color w:val="auto"/>
                <w:sz w:val="24"/>
                <w:szCs w:val="24"/>
              </w:rPr>
              <w:t xml:space="preserve">The learner utilised supervision and reflected well on her experience and now has an awareness of the importance and advantages of working collaboratively with other professionals i.e. information sharing resulting in a holistic approach for families as well </w:t>
            </w:r>
            <w:proofErr w:type="gramStart"/>
            <w:r w:rsidRPr="005D3D06">
              <w:rPr>
                <w:color w:val="auto"/>
                <w:sz w:val="24"/>
                <w:szCs w:val="24"/>
              </w:rPr>
              <w:t>as  having</w:t>
            </w:r>
            <w:proofErr w:type="gramEnd"/>
            <w:r w:rsidRPr="005D3D06">
              <w:rPr>
                <w:color w:val="auto"/>
                <w:sz w:val="24"/>
                <w:szCs w:val="24"/>
              </w:rPr>
              <w:t xml:space="preserve"> the opportunity to learn from other professionals.  The learner reflected that at </w:t>
            </w:r>
            <w:proofErr w:type="gramStart"/>
            <w:r w:rsidRPr="005D3D06">
              <w:rPr>
                <w:color w:val="auto"/>
                <w:sz w:val="24"/>
                <w:szCs w:val="24"/>
              </w:rPr>
              <w:t>first</w:t>
            </w:r>
            <w:proofErr w:type="gramEnd"/>
            <w:r w:rsidRPr="005D3D06">
              <w:rPr>
                <w:color w:val="auto"/>
                <w:sz w:val="24"/>
                <w:szCs w:val="24"/>
              </w:rPr>
              <w:t xml:space="preserve"> she had not agreed with the midwife’s opinion that (child 1) should go on to the Child Protection register because she may “…see too much good in people” in regards to the mother and grandmother. However, before the assessment process came to an end the learner learnt that mother and grandmother had not been totally honest with her and identified the risks open to (child 1) if not put on the Child Protection Register. The learner has identified her learning need around more risk/Safeguarding work and had proactively requested a move to another Team that could provide her with this experience as well as put her name down for training in these areas. </w:t>
            </w:r>
          </w:p>
          <w:p w14:paraId="1E7AF6AC" w14:textId="77777777" w:rsidR="005D3D06" w:rsidRPr="005D3D06" w:rsidRDefault="005D3D06" w:rsidP="005D3D06">
            <w:pPr>
              <w:jc w:val="both"/>
              <w:rPr>
                <w:color w:val="auto"/>
                <w:sz w:val="24"/>
                <w:szCs w:val="24"/>
              </w:rPr>
            </w:pPr>
          </w:p>
          <w:p w14:paraId="6E55DB8E" w14:textId="77777777" w:rsidR="005D3D06" w:rsidRPr="005D3D06" w:rsidRDefault="005D3D06" w:rsidP="005D3D06">
            <w:pPr>
              <w:jc w:val="both"/>
              <w:rPr>
                <w:color w:val="auto"/>
                <w:sz w:val="24"/>
                <w:szCs w:val="24"/>
              </w:rPr>
            </w:pPr>
            <w:r w:rsidRPr="005D3D06">
              <w:rPr>
                <w:color w:val="auto"/>
                <w:sz w:val="24"/>
                <w:szCs w:val="24"/>
              </w:rPr>
              <w:t xml:space="preserve">In Task1 part A the learner shares that she has held back from asking questions around difficult/sensitive situations making a reference to Article 8 of the Human Rights Act (1998) whereby a person has a Right to a private life. Despite the lack of confidence in the latter, the learner demonstrated she is accountable for her practice by reflecting on each visit considering whether she could have done anything differently and has used supervision to discuss this further highlighting her learning needs. The learner acknowledges risk and child protection are the areas she requires training on. She also used the Assessment Framework for guidance to ensure that she was following the correct process to gather the relevant information to inform her decision when she doubted her own professional judgement following a discussion with Education. </w:t>
            </w:r>
          </w:p>
          <w:p w14:paraId="6ED4C3D4" w14:textId="77777777" w:rsidR="005D3D06" w:rsidRPr="005D3D06" w:rsidRDefault="005D3D06" w:rsidP="005D3D06">
            <w:pPr>
              <w:jc w:val="both"/>
              <w:rPr>
                <w:color w:val="auto"/>
                <w:sz w:val="24"/>
                <w:szCs w:val="24"/>
              </w:rPr>
            </w:pPr>
            <w:r w:rsidRPr="005D3D06">
              <w:rPr>
                <w:color w:val="auto"/>
                <w:sz w:val="24"/>
                <w:szCs w:val="24"/>
              </w:rPr>
              <w:t>In Task1 Part B the learner again demonstrates accountability for her professional development by asking if she can have experience in another Team focusing more on Safeguarding work. This resulted in her developing the skill of managing the work involved around Safeguarding and at the same time maintaining a good working relationship with the families. The learner now recognises that evidenced based work is crucial towards making professional judgements even though others may not agree. The learner clearly has more confidence to question individuals on their behaviour and choices they make regardless of what the consequences of their actions will be for their children.</w:t>
            </w:r>
          </w:p>
          <w:p w14:paraId="736995EC" w14:textId="77777777" w:rsidR="005D3D06" w:rsidRPr="005D3D06" w:rsidRDefault="005D3D06" w:rsidP="005D3D06">
            <w:pPr>
              <w:jc w:val="both"/>
              <w:rPr>
                <w:color w:val="auto"/>
                <w:sz w:val="24"/>
                <w:szCs w:val="24"/>
              </w:rPr>
            </w:pPr>
            <w:r w:rsidRPr="005D3D06">
              <w:rPr>
                <w:color w:val="auto"/>
                <w:sz w:val="24"/>
                <w:szCs w:val="24"/>
              </w:rPr>
              <w:t xml:space="preserve">The learner has utilised supervision to reflect on her practice as well as with myself in our mentor sessions where we used a few reflection models to explore other ways for her to look further outside the box. We also looked at theories she could link to her practice which provided her with an anchor on how to conduct a visit to achieve the best outcome that she could achieve. </w:t>
            </w:r>
          </w:p>
          <w:p w14:paraId="34A96CF4" w14:textId="77777777" w:rsidR="005D3D06" w:rsidRPr="005D3D06" w:rsidRDefault="005D3D06" w:rsidP="005D3D06">
            <w:pPr>
              <w:jc w:val="both"/>
              <w:rPr>
                <w:color w:val="auto"/>
                <w:sz w:val="24"/>
                <w:szCs w:val="24"/>
              </w:rPr>
            </w:pPr>
            <w:r w:rsidRPr="005D3D06">
              <w:rPr>
                <w:color w:val="auto"/>
                <w:sz w:val="24"/>
                <w:szCs w:val="24"/>
              </w:rPr>
              <w:t xml:space="preserve">Following a MARAC the learner received very positive feedback from the Chair informing she had provided the relevant information required which was delivered well and confidently. The mother (in Task 2) informed she trusted the learner and that she had prepared well for the visit and gave mother reassurance. </w:t>
            </w:r>
          </w:p>
          <w:p w14:paraId="62C5ADF8" w14:textId="77777777" w:rsidR="005D3D06" w:rsidRPr="005D3D06" w:rsidRDefault="005D3D06" w:rsidP="005D3D06">
            <w:pPr>
              <w:jc w:val="both"/>
              <w:rPr>
                <w:color w:val="auto"/>
                <w:sz w:val="24"/>
                <w:szCs w:val="24"/>
              </w:rPr>
            </w:pPr>
          </w:p>
          <w:p w14:paraId="54B0016C" w14:textId="77777777" w:rsidR="005D3D06" w:rsidRPr="005D3D06" w:rsidRDefault="005D3D06" w:rsidP="005D3D06">
            <w:pPr>
              <w:jc w:val="both"/>
              <w:rPr>
                <w:color w:val="auto"/>
                <w:sz w:val="24"/>
                <w:szCs w:val="24"/>
              </w:rPr>
            </w:pPr>
            <w:r w:rsidRPr="005D3D06">
              <w:rPr>
                <w:color w:val="auto"/>
                <w:sz w:val="24"/>
                <w:szCs w:val="24"/>
              </w:rPr>
              <w:t xml:space="preserve">The learner is currently working in an Adult Mental Health Team and had discussed with myself how she had prepared for this transition from </w:t>
            </w:r>
            <w:proofErr w:type="spellStart"/>
            <w:r w:rsidRPr="005D3D06">
              <w:rPr>
                <w:color w:val="auto"/>
                <w:sz w:val="24"/>
                <w:szCs w:val="24"/>
              </w:rPr>
              <w:t>Childrern’s</w:t>
            </w:r>
            <w:proofErr w:type="spellEnd"/>
            <w:r w:rsidRPr="005D3D06">
              <w:rPr>
                <w:color w:val="auto"/>
                <w:sz w:val="24"/>
                <w:szCs w:val="24"/>
              </w:rPr>
              <w:t xml:space="preserve"> Service’s to her current Team. Furthermore, she has identified her learning needs which are around Hoarding, Safeguarding Adults and the Mental Capacity Act. She has been proactive by booking herself onto relevant training for the latter.  </w:t>
            </w:r>
          </w:p>
          <w:p w14:paraId="7F336F83" w14:textId="77777777" w:rsidR="005D3D06" w:rsidRPr="005D3D06" w:rsidRDefault="005D3D06" w:rsidP="005D3D06">
            <w:pPr>
              <w:jc w:val="both"/>
              <w:rPr>
                <w:color w:val="auto"/>
                <w:sz w:val="24"/>
                <w:szCs w:val="24"/>
              </w:rPr>
            </w:pPr>
            <w:r w:rsidRPr="005D3D06">
              <w:rPr>
                <w:color w:val="auto"/>
                <w:sz w:val="24"/>
                <w:szCs w:val="24"/>
              </w:rPr>
              <w:t xml:space="preserve">The learner has not yet experienced complex situations and this will come with experience in her future practice. The learner needs to believe in herself and continue to build her confidence as she does come across as a very competent social worker. </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7"/>
    </w:tbl>
    <w:p w14:paraId="2E3C61BD" w14:textId="77777777" w:rsidR="00092970" w:rsidRDefault="00092970"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434D7A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04D8C">
        <w:rPr>
          <w:b/>
          <w:sz w:val="24"/>
          <w:szCs w:val="24"/>
        </w:rPr>
        <w:t>Iola Rowlands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CAF858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04D8C">
        <w:rPr>
          <w:b/>
          <w:sz w:val="24"/>
          <w:szCs w:val="24"/>
        </w:rPr>
        <w:t xml:space="preserve"> 2321222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37D8F22" w14:textId="4B6FA3D0" w:rsidR="004923DA" w:rsidRPr="008B28E7" w:rsidRDefault="00E04D8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24 the square, Blaenau Ffestiniog, Gwynedd, Ll41 3UL</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B615AB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04D8C">
        <w:rPr>
          <w:b/>
          <w:sz w:val="24"/>
          <w:szCs w:val="24"/>
        </w:rPr>
        <w:t xml:space="preserve"> 07791573741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BD413F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04D8C">
        <w:rPr>
          <w:b/>
          <w:sz w:val="24"/>
          <w:szCs w:val="24"/>
        </w:rPr>
        <w:t xml:space="preserve"> </w:t>
      </w:r>
      <w:hyperlink r:id="rId34" w:history="1">
        <w:r w:rsidR="00E04D8C" w:rsidRPr="0001626F">
          <w:rPr>
            <w:rStyle w:val="Hyperlink"/>
            <w:b/>
            <w:sz w:val="24"/>
            <w:szCs w:val="24"/>
          </w:rPr>
          <w:t>iolaellis@yahoo.co.uk</w:t>
        </w:r>
      </w:hyperlink>
      <w:r w:rsidR="00E04D8C">
        <w:rPr>
          <w:b/>
          <w:sz w:val="24"/>
          <w:szCs w:val="24"/>
        </w:rPr>
        <w:t xml:space="preserve"> / </w:t>
      </w:r>
      <w:hyperlink r:id="rId35" w:history="1">
        <w:r w:rsidR="00E04D8C" w:rsidRPr="0001626F">
          <w:rPr>
            <w:rStyle w:val="Hyperlink"/>
            <w:b/>
            <w:sz w:val="24"/>
            <w:szCs w:val="24"/>
          </w:rPr>
          <w:t>iolamairowlands@gwynedd.llyw.cymru</w:t>
        </w:r>
      </w:hyperlink>
      <w:r w:rsidR="00E04D8C">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FB62FB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5279B">
        <w:rPr>
          <w:b/>
          <w:sz w:val="24"/>
          <w:szCs w:val="24"/>
        </w:rPr>
        <w:t>14/9/</w:t>
      </w:r>
      <w:r w:rsidR="00020281">
        <w:rPr>
          <w:b/>
          <w:sz w:val="24"/>
          <w:szCs w:val="24"/>
        </w:rPr>
        <w:t>20</w:t>
      </w:r>
      <w:r w:rsidR="0035279B">
        <w:rPr>
          <w:b/>
          <w:sz w:val="24"/>
          <w:szCs w:val="24"/>
        </w:rPr>
        <w:t>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28285E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37566" w:rsidRPr="00537566">
        <w:t xml:space="preserve"> </w:t>
      </w:r>
      <w:r w:rsidR="00537566" w:rsidRPr="00537566">
        <w:rPr>
          <w:b/>
          <w:sz w:val="24"/>
          <w:szCs w:val="24"/>
        </w:rPr>
        <w:t>13/12/2022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CB3615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7618C">
        <w:rPr>
          <w:b/>
          <w:sz w:val="24"/>
          <w:szCs w:val="24"/>
        </w:rPr>
        <w:t xml:space="preserve"> Gwynedd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237BF5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43053">
        <w:rPr>
          <w:b/>
          <w:sz w:val="24"/>
          <w:szCs w:val="24"/>
        </w:rPr>
        <w:t xml:space="preserve"> South Gwynedd Mental Health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BD8E81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43053">
        <w:rPr>
          <w:b/>
          <w:sz w:val="24"/>
          <w:szCs w:val="24"/>
        </w:rPr>
        <w:t xml:space="preserve"> Uned 2, Parc </w:t>
      </w:r>
      <w:proofErr w:type="spellStart"/>
      <w:r w:rsidR="00B43053">
        <w:rPr>
          <w:b/>
          <w:sz w:val="24"/>
          <w:szCs w:val="24"/>
        </w:rPr>
        <w:t>Busnes</w:t>
      </w:r>
      <w:proofErr w:type="spellEnd"/>
      <w:r w:rsidR="00B43053">
        <w:rPr>
          <w:b/>
          <w:sz w:val="24"/>
          <w:szCs w:val="24"/>
        </w:rPr>
        <w:t xml:space="preserve"> Eryri, </w:t>
      </w:r>
      <w:proofErr w:type="spellStart"/>
      <w:r w:rsidR="00B43053">
        <w:rPr>
          <w:b/>
          <w:sz w:val="24"/>
          <w:szCs w:val="24"/>
        </w:rPr>
        <w:t>Penrhyndeudraeth</w:t>
      </w:r>
      <w:proofErr w:type="spellEnd"/>
      <w:r w:rsidR="00B43053">
        <w:rPr>
          <w:b/>
          <w:sz w:val="24"/>
          <w:szCs w:val="24"/>
        </w:rPr>
        <w:t>, Gwynedd, LL48 6LD.</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0B4632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43053">
        <w:rPr>
          <w:b/>
          <w:sz w:val="24"/>
          <w:szCs w:val="24"/>
        </w:rPr>
        <w:t>01766772599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0FB3321"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roofErr w:type="spellStart"/>
      <w:r w:rsidR="00B43053">
        <w:rPr>
          <w:b/>
          <w:sz w:val="24"/>
          <w:szCs w:val="24"/>
        </w:rPr>
        <w:t>Iolamairowlands@gwynedd.llyw.cymru</w:t>
      </w:r>
      <w:proofErr w:type="spellEnd"/>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3552B305" w14:textId="2D4A2A1A" w:rsidR="004923DA" w:rsidRDefault="000E0D51" w:rsidP="0027618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27618C">
        <w:rPr>
          <w:b/>
          <w:sz w:val="24"/>
          <w:szCs w:val="24"/>
        </w:rPr>
        <w:t>√</w:t>
      </w: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AE60EC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20281" w:rsidRPr="00020281">
        <w:t xml:space="preserve"> </w:t>
      </w:r>
      <w:r w:rsidR="00020281" w:rsidRPr="00020281">
        <w:rPr>
          <w:b/>
          <w:sz w:val="24"/>
          <w:szCs w:val="24"/>
        </w:rPr>
        <w:t>Wendy Hughes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4F17ED0" w14:textId="3326CD05" w:rsidR="00020281" w:rsidRPr="00020281" w:rsidRDefault="004923DA" w:rsidP="0002028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020281" w:rsidRPr="00020281">
        <w:t xml:space="preserve"> </w:t>
      </w:r>
      <w:r w:rsidR="00020281" w:rsidRPr="00020281">
        <w:rPr>
          <w:b/>
          <w:sz w:val="24"/>
          <w:szCs w:val="24"/>
        </w:rPr>
        <w:t>Garth, Lon Pant,</w:t>
      </w:r>
    </w:p>
    <w:p w14:paraId="7F9AC0FC" w14:textId="77777777" w:rsidR="00020281" w:rsidRPr="00020281" w:rsidRDefault="00020281" w:rsidP="00020281">
      <w:pPr>
        <w:pBdr>
          <w:top w:val="single" w:sz="6" w:space="1" w:color="auto"/>
          <w:left w:val="single" w:sz="6" w:space="1" w:color="auto"/>
          <w:bottom w:val="single" w:sz="6" w:space="1" w:color="auto"/>
          <w:right w:val="single" w:sz="6" w:space="1" w:color="auto"/>
        </w:pBdr>
        <w:jc w:val="both"/>
        <w:rPr>
          <w:b/>
          <w:sz w:val="24"/>
          <w:szCs w:val="24"/>
        </w:rPr>
      </w:pPr>
      <w:r w:rsidRPr="00020281">
        <w:rPr>
          <w:b/>
          <w:sz w:val="24"/>
          <w:szCs w:val="24"/>
        </w:rPr>
        <w:t>Llanfairpwll, Ynys Mon,</w:t>
      </w:r>
    </w:p>
    <w:p w14:paraId="4E0A65B7" w14:textId="6EEA7210" w:rsidR="004923DA" w:rsidRPr="008B28E7" w:rsidRDefault="00020281" w:rsidP="00020281">
      <w:pPr>
        <w:pBdr>
          <w:top w:val="single" w:sz="6" w:space="1" w:color="auto"/>
          <w:left w:val="single" w:sz="6" w:space="1" w:color="auto"/>
          <w:bottom w:val="single" w:sz="6" w:space="1" w:color="auto"/>
          <w:right w:val="single" w:sz="6" w:space="1" w:color="auto"/>
        </w:pBdr>
        <w:jc w:val="both"/>
        <w:rPr>
          <w:b/>
          <w:sz w:val="24"/>
          <w:szCs w:val="24"/>
        </w:rPr>
      </w:pPr>
      <w:r w:rsidRPr="00020281">
        <w:rPr>
          <w:b/>
          <w:sz w:val="24"/>
          <w:szCs w:val="24"/>
        </w:rPr>
        <w:t>LL61 5YP</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C3C06D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020281" w:rsidRPr="00020281">
        <w:t xml:space="preserve"> </w:t>
      </w:r>
      <w:r w:rsidR="00020281" w:rsidRPr="00020281">
        <w:rPr>
          <w:b/>
          <w:sz w:val="24"/>
          <w:szCs w:val="24"/>
        </w:rPr>
        <w:t>07919194621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4E4D44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020281" w:rsidRPr="00020281">
        <w:t xml:space="preserve"> </w:t>
      </w:r>
      <w:r w:rsidR="00020281" w:rsidRPr="00020281">
        <w:rPr>
          <w:b/>
          <w:sz w:val="24"/>
          <w:szCs w:val="24"/>
        </w:rPr>
        <w:t>wendyhughesisw@hotmail.com</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A205A8F" w:rsidR="004923DA" w:rsidRDefault="004923DA" w:rsidP="00FF7EBB">
            <w:pPr>
              <w:jc w:val="both"/>
              <w:rPr>
                <w:b/>
                <w:sz w:val="24"/>
                <w:szCs w:val="24"/>
              </w:rPr>
            </w:pPr>
            <w:r w:rsidRPr="008B28E7">
              <w:rPr>
                <w:b/>
                <w:sz w:val="24"/>
                <w:szCs w:val="24"/>
              </w:rPr>
              <w:t>Name:</w:t>
            </w:r>
            <w:r w:rsidR="00F05F7D">
              <w:rPr>
                <w:b/>
                <w:sz w:val="24"/>
                <w:szCs w:val="24"/>
              </w:rPr>
              <w:t xml:space="preserve">  Gwenno Thomas</w:t>
            </w:r>
          </w:p>
          <w:p w14:paraId="4EF4A770" w14:textId="77777777" w:rsidR="004923DA" w:rsidRPr="008B28E7" w:rsidRDefault="004923DA" w:rsidP="00FF7EBB">
            <w:pPr>
              <w:jc w:val="both"/>
              <w:rPr>
                <w:b/>
                <w:sz w:val="24"/>
                <w:szCs w:val="24"/>
              </w:rPr>
            </w:pPr>
          </w:p>
          <w:p w14:paraId="1AC8522D" w14:textId="4F30B65F" w:rsidR="004923DA" w:rsidRDefault="004923DA" w:rsidP="00FF7EBB">
            <w:pPr>
              <w:jc w:val="both"/>
              <w:rPr>
                <w:b/>
                <w:sz w:val="24"/>
                <w:szCs w:val="24"/>
              </w:rPr>
            </w:pPr>
            <w:r w:rsidRPr="008B28E7">
              <w:rPr>
                <w:b/>
                <w:sz w:val="24"/>
                <w:szCs w:val="24"/>
              </w:rPr>
              <w:t xml:space="preserve">Work Address: </w:t>
            </w:r>
            <w:r w:rsidR="00F05F7D">
              <w:rPr>
                <w:b/>
                <w:sz w:val="24"/>
                <w:szCs w:val="24"/>
              </w:rPr>
              <w:t xml:space="preserve">Referral &amp; Intake Team, Children’s Services, </w:t>
            </w:r>
            <w:proofErr w:type="spellStart"/>
            <w:r w:rsidR="00F05F7D">
              <w:rPr>
                <w:b/>
                <w:sz w:val="24"/>
                <w:szCs w:val="24"/>
              </w:rPr>
              <w:t>Cyngor</w:t>
            </w:r>
            <w:proofErr w:type="spellEnd"/>
            <w:r w:rsidR="00F05F7D">
              <w:rPr>
                <w:b/>
                <w:sz w:val="24"/>
                <w:szCs w:val="24"/>
              </w:rPr>
              <w:t xml:space="preserve"> Gwynedd.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1CB5AF10" w:rsidR="004923DA" w:rsidRPr="008B28E7" w:rsidRDefault="004923DA" w:rsidP="00FF7EBB">
            <w:pPr>
              <w:jc w:val="both"/>
              <w:rPr>
                <w:b/>
                <w:sz w:val="24"/>
                <w:szCs w:val="24"/>
              </w:rPr>
            </w:pPr>
            <w:r w:rsidRPr="008B28E7">
              <w:rPr>
                <w:b/>
                <w:sz w:val="24"/>
                <w:szCs w:val="24"/>
              </w:rPr>
              <w:t>Professional Qualification and date of qualification:</w:t>
            </w:r>
            <w:r w:rsidR="00F05F7D">
              <w:rPr>
                <w:b/>
                <w:sz w:val="24"/>
                <w:szCs w:val="24"/>
              </w:rPr>
              <w:t xml:space="preserve"> BA Hons in Social Work</w:t>
            </w:r>
            <w:r w:rsidR="00914905">
              <w:rPr>
                <w:b/>
                <w:sz w:val="24"/>
                <w:szCs w:val="24"/>
              </w:rPr>
              <w:t>, 2013</w:t>
            </w:r>
          </w:p>
          <w:p w14:paraId="5F68A3CF" w14:textId="77777777" w:rsidR="004923DA" w:rsidRDefault="004923DA" w:rsidP="00FF7EBB">
            <w:pPr>
              <w:jc w:val="both"/>
              <w:rPr>
                <w:b/>
                <w:sz w:val="24"/>
                <w:szCs w:val="24"/>
              </w:rPr>
            </w:pPr>
          </w:p>
          <w:p w14:paraId="4C6113F1" w14:textId="63A58224" w:rsidR="004923DA" w:rsidRDefault="009D59C2" w:rsidP="00FF7EBB">
            <w:pPr>
              <w:jc w:val="both"/>
              <w:rPr>
                <w:b/>
                <w:sz w:val="24"/>
                <w:szCs w:val="24"/>
              </w:rPr>
            </w:pPr>
            <w:r>
              <w:rPr>
                <w:b/>
                <w:sz w:val="24"/>
                <w:szCs w:val="24"/>
              </w:rPr>
              <w:t>T</w:t>
            </w:r>
            <w:r w:rsidR="004923DA" w:rsidRPr="008B28E7">
              <w:rPr>
                <w:b/>
                <w:sz w:val="24"/>
                <w:szCs w:val="24"/>
              </w:rPr>
              <w:t>elephone number:</w:t>
            </w:r>
            <w:r w:rsidR="00914905">
              <w:rPr>
                <w:b/>
                <w:sz w:val="24"/>
                <w:szCs w:val="24"/>
              </w:rPr>
              <w:t xml:space="preserve"> 01758 </w:t>
            </w:r>
            <w:proofErr w:type="gramStart"/>
            <w:r w:rsidR="00914905">
              <w:rPr>
                <w:b/>
                <w:sz w:val="24"/>
                <w:szCs w:val="24"/>
              </w:rPr>
              <w:t>704455</w:t>
            </w:r>
            <w:proofErr w:type="gramEnd"/>
          </w:p>
          <w:p w14:paraId="0BB87919" w14:textId="548A11EF" w:rsidR="009D59C2" w:rsidRDefault="009D59C2" w:rsidP="00FF7EBB">
            <w:pPr>
              <w:jc w:val="both"/>
              <w:rPr>
                <w:b/>
                <w:sz w:val="24"/>
                <w:szCs w:val="24"/>
              </w:rPr>
            </w:pPr>
          </w:p>
          <w:p w14:paraId="4FDEE73F" w14:textId="6711BC20" w:rsidR="009D59C2" w:rsidRPr="008B28E7" w:rsidRDefault="009D59C2" w:rsidP="00FF7EBB">
            <w:pPr>
              <w:jc w:val="both"/>
              <w:rPr>
                <w:b/>
                <w:sz w:val="24"/>
                <w:szCs w:val="24"/>
              </w:rPr>
            </w:pPr>
            <w:r>
              <w:rPr>
                <w:b/>
                <w:sz w:val="24"/>
                <w:szCs w:val="24"/>
              </w:rPr>
              <w:t>Email address:</w:t>
            </w:r>
            <w:r w:rsidR="00914905">
              <w:rPr>
                <w:b/>
                <w:sz w:val="24"/>
                <w:szCs w:val="24"/>
              </w:rPr>
              <w:t xml:space="preserve"> </w:t>
            </w:r>
            <w:proofErr w:type="spellStart"/>
            <w:r w:rsidR="00914905">
              <w:rPr>
                <w:b/>
                <w:sz w:val="24"/>
                <w:szCs w:val="24"/>
              </w:rPr>
              <w:t>gwennothomas@gwynedd.llyw.cymru</w:t>
            </w:r>
            <w:proofErr w:type="spellEnd"/>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1ABAFA0" w14:textId="3CC48A60" w:rsidR="00F45880" w:rsidRPr="00F45880" w:rsidRDefault="00B577D3" w:rsidP="00F45880">
      <w:pPr>
        <w:pBdr>
          <w:top w:val="single" w:sz="6" w:space="1" w:color="auto"/>
          <w:left w:val="single" w:sz="6" w:space="1" w:color="auto"/>
          <w:bottom w:val="single" w:sz="6" w:space="1" w:color="auto"/>
          <w:right w:val="single" w:sz="6" w:space="1" w:color="auto"/>
        </w:pBdr>
        <w:jc w:val="both"/>
        <w:rPr>
          <w:lang w:val="cy-GB"/>
        </w:rPr>
      </w:pPr>
      <w:r>
        <w:rPr>
          <w:sz w:val="24"/>
          <w:szCs w:val="24"/>
        </w:rPr>
        <w:t xml:space="preserve">Signed: </w:t>
      </w:r>
      <w:r w:rsidR="009D59C2">
        <w:rPr>
          <w:sz w:val="24"/>
          <w:szCs w:val="24"/>
        </w:rPr>
        <w:t xml:space="preserve">  </w:t>
      </w:r>
      <w:r>
        <w:rPr>
          <w:sz w:val="24"/>
          <w:szCs w:val="24"/>
        </w:rPr>
        <w:t xml:space="preserve"> _ _ _ _</w:t>
      </w:r>
      <w:r w:rsidR="00F45880" w:rsidRPr="00F45880">
        <w:rPr>
          <w:noProof/>
          <w:lang w:val="cy-GB"/>
        </w:rPr>
        <w:drawing>
          <wp:inline distT="0" distB="0" distL="0" distR="0" wp14:anchorId="48EE1BC2" wp14:editId="29956F76">
            <wp:extent cx="1549400" cy="402590"/>
            <wp:effectExtent l="0" t="0" r="0" b="0"/>
            <wp:docPr id="3087693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549400" cy="402590"/>
                    </a:xfrm>
                    <a:prstGeom prst="rect">
                      <a:avLst/>
                    </a:prstGeom>
                    <a:noFill/>
                    <a:ln>
                      <a:noFill/>
                    </a:ln>
                  </pic:spPr>
                </pic:pic>
              </a:graphicData>
            </a:graphic>
          </wp:inline>
        </w:drawing>
      </w:r>
    </w:p>
    <w:p w14:paraId="7A6B46C8" w14:textId="627D7845"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9C7356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27618C">
        <w:rPr>
          <w:sz w:val="24"/>
          <w:szCs w:val="24"/>
        </w:rPr>
        <w:t>3/</w:t>
      </w:r>
      <w:r w:rsidR="00297C9F">
        <w:rPr>
          <w:sz w:val="24"/>
          <w:szCs w:val="24"/>
        </w:rPr>
        <w:t>10</w:t>
      </w:r>
      <w:r w:rsidR="0027618C">
        <w:rPr>
          <w:sz w:val="24"/>
          <w:szCs w:val="24"/>
        </w:rPr>
        <w:t>/2024</w:t>
      </w:r>
      <w:r>
        <w:rPr>
          <w:sz w:val="24"/>
          <w:szCs w:val="24"/>
        </w:rPr>
        <w:t xml:space="preserve">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54D60D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w:t>
      </w:r>
      <w:r w:rsidR="00914905">
        <w:rPr>
          <w:rFonts w:ascii="Book Antiqua" w:hAnsi="Book Antiqua" w:cs="Book Antiqua"/>
          <w:noProof/>
        </w:rPr>
        <w:drawing>
          <wp:inline distT="0" distB="0" distL="0" distR="0" wp14:anchorId="3489C8C4" wp14:editId="55C3B2D2">
            <wp:extent cx="967740" cy="376153"/>
            <wp:effectExtent l="0" t="0" r="381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992721" cy="385863"/>
                    </a:xfrm>
                    <a:prstGeom prst="rect">
                      <a:avLst/>
                    </a:prstGeom>
                    <a:noFill/>
                  </pic:spPr>
                </pic:pic>
              </a:graphicData>
            </a:graphic>
          </wp:inline>
        </w:drawing>
      </w:r>
      <w:r w:rsidR="00B577D3">
        <w:rPr>
          <w:sz w:val="24"/>
          <w:szCs w:val="24"/>
        </w:rPr>
        <w:t xml:space="preserve">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8FEB4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914905">
        <w:rPr>
          <w:sz w:val="24"/>
          <w:szCs w:val="24"/>
        </w:rPr>
        <w:t>30.9.2024</w:t>
      </w:r>
      <w:r>
        <w:rPr>
          <w:sz w:val="24"/>
          <w:szCs w:val="24"/>
        </w:rPr>
        <w:t xml:space="preserve">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0FFD21B" w:rsidR="00335C41" w:rsidRPr="00D3203C" w:rsidRDefault="00335C41" w:rsidP="00335C41">
            <w:pPr>
              <w:ind w:right="180"/>
              <w:jc w:val="both"/>
              <w:rPr>
                <w:sz w:val="24"/>
                <w:szCs w:val="24"/>
              </w:rPr>
            </w:pPr>
            <w:r w:rsidRPr="00D3203C">
              <w:rPr>
                <w:sz w:val="24"/>
                <w:szCs w:val="24"/>
              </w:rPr>
              <w:t>Signed____</w:t>
            </w:r>
            <w:r w:rsidR="00297C9F">
              <w:rPr>
                <w:noProof/>
                <w:sz w:val="24"/>
                <w:szCs w:val="24"/>
              </w:rPr>
              <w:drawing>
                <wp:inline distT="0" distB="0" distL="0" distR="0" wp14:anchorId="40FB09CD" wp14:editId="0525AA38">
                  <wp:extent cx="231775" cy="219710"/>
                  <wp:effectExtent l="0" t="0" r="0" b="8890"/>
                  <wp:docPr id="4712088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31775" cy="219710"/>
                          </a:xfrm>
                          <a:prstGeom prst="rect">
                            <a:avLst/>
                          </a:prstGeom>
                          <a:noFill/>
                        </pic:spPr>
                      </pic:pic>
                    </a:graphicData>
                  </a:graphic>
                </wp:inline>
              </w:drawing>
            </w:r>
            <w:r w:rsidR="00297C9F">
              <w:rPr>
                <w:noProof/>
                <w:sz w:val="24"/>
                <w:szCs w:val="24"/>
              </w:rPr>
              <w:drawing>
                <wp:inline distT="0" distB="0" distL="0" distR="0" wp14:anchorId="049273AA" wp14:editId="0D526F68">
                  <wp:extent cx="737870" cy="209550"/>
                  <wp:effectExtent l="0" t="0" r="5080" b="0"/>
                  <wp:docPr id="1716296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737870" cy="209550"/>
                          </a:xfrm>
                          <a:prstGeom prst="rect">
                            <a:avLst/>
                          </a:prstGeom>
                          <a:noFill/>
                        </pic:spPr>
                      </pic:pic>
                    </a:graphicData>
                  </a:graphic>
                </wp:inline>
              </w:drawing>
            </w:r>
            <w:r w:rsidRPr="00D3203C">
              <w:rPr>
                <w:sz w:val="24"/>
                <w:szCs w:val="24"/>
              </w:rPr>
              <w:t>____________________ (Mentor)</w:t>
            </w:r>
          </w:p>
          <w:p w14:paraId="5D3F0767" w14:textId="77777777" w:rsidR="00335C41" w:rsidRPr="00D3203C" w:rsidRDefault="00335C41" w:rsidP="00335C41">
            <w:pPr>
              <w:ind w:right="180"/>
              <w:jc w:val="both"/>
              <w:rPr>
                <w:sz w:val="24"/>
                <w:szCs w:val="24"/>
              </w:rPr>
            </w:pPr>
          </w:p>
          <w:p w14:paraId="24E1B8A5" w14:textId="0990ABC3" w:rsidR="00335C41" w:rsidRPr="00D3203C" w:rsidRDefault="00335C41" w:rsidP="00335C41">
            <w:pPr>
              <w:ind w:right="180"/>
              <w:jc w:val="both"/>
              <w:rPr>
                <w:sz w:val="24"/>
                <w:szCs w:val="24"/>
              </w:rPr>
            </w:pPr>
            <w:r w:rsidRPr="00D3203C">
              <w:rPr>
                <w:sz w:val="24"/>
                <w:szCs w:val="24"/>
              </w:rPr>
              <w:t>Date _____</w:t>
            </w:r>
            <w:r w:rsidR="00297C9F">
              <w:rPr>
                <w:sz w:val="24"/>
                <w:szCs w:val="24"/>
              </w:rPr>
              <w:t>3/10/2024</w:t>
            </w:r>
            <w:r w:rsidRPr="00D3203C">
              <w:rPr>
                <w:sz w:val="24"/>
                <w:szCs w:val="24"/>
              </w:rPr>
              <w:t>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3EA2C3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w:t>
      </w:r>
      <w:r w:rsidR="005A2C14">
        <w:rPr>
          <w:caps/>
          <w:sz w:val="24"/>
          <w:szCs w:val="24"/>
        </w:rPr>
        <w:t>Elliw Haf Hughes</w:t>
      </w:r>
      <w:r w:rsidR="00B577D3">
        <w:rPr>
          <w:caps/>
          <w:sz w:val="24"/>
          <w:szCs w:val="24"/>
        </w:rPr>
        <w:t xml:space="preserve"> __ _ _ _ _ _ _ _</w:t>
      </w:r>
    </w:p>
    <w:p w14:paraId="7C11F360" w14:textId="5C8BE50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_ _ </w:t>
      </w:r>
      <w:r w:rsidR="005A2C14">
        <w:rPr>
          <w:sz w:val="24"/>
          <w:szCs w:val="24"/>
        </w:rPr>
        <w:t>EHH</w:t>
      </w:r>
      <w:r w:rsidR="00B577D3" w:rsidRPr="00B577D3">
        <w:rPr>
          <w:sz w:val="24"/>
          <w:szCs w:val="24"/>
        </w:rPr>
        <w:t>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0D6B40C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_ _ _ </w:t>
      </w:r>
      <w:r w:rsidR="005A2C14">
        <w:rPr>
          <w:sz w:val="24"/>
          <w:szCs w:val="24"/>
        </w:rPr>
        <w:t>04/10/2024</w:t>
      </w:r>
      <w:r w:rsidR="00B577D3" w:rsidRPr="00B577D3">
        <w:rPr>
          <w:sz w:val="24"/>
          <w:szCs w:val="24"/>
        </w:rPr>
        <w:t>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21D316A2" w:rsidR="00986C0B" w:rsidRPr="00DA5682" w:rsidRDefault="00AC0BC8">
            <w:pPr>
              <w:rPr>
                <w:sz w:val="24"/>
                <w:szCs w:val="24"/>
              </w:rPr>
            </w:pPr>
            <w:r>
              <w:rPr>
                <w:sz w:val="24"/>
                <w:szCs w:val="24"/>
              </w:rPr>
              <w:t>Iola Rowlands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79107F14" w:rsidR="00986C0B" w:rsidRPr="00DA5682" w:rsidRDefault="00AC0BC8">
            <w:pPr>
              <w:rPr>
                <w:sz w:val="24"/>
                <w:szCs w:val="24"/>
              </w:rPr>
            </w:pPr>
            <w:r>
              <w:rPr>
                <w:sz w:val="24"/>
                <w:szCs w:val="24"/>
              </w:rPr>
              <w:t>Gwynedd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4286973" w:rsidR="00986C0B" w:rsidRPr="00DA5682" w:rsidRDefault="00143826">
            <w:pPr>
              <w:rPr>
                <w:sz w:val="24"/>
                <w:szCs w:val="24"/>
              </w:rPr>
            </w:pPr>
            <w:r>
              <w:rPr>
                <w:sz w:val="24"/>
                <w:szCs w:val="24"/>
              </w:rPr>
              <w:t>Wendy Hughes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65B5C0C8" w:rsidR="00986C0B" w:rsidRPr="00DA5682" w:rsidRDefault="00D32555">
            <w:pPr>
              <w:rPr>
                <w:sz w:val="24"/>
                <w:szCs w:val="24"/>
              </w:rPr>
            </w:pPr>
            <w:r>
              <w:rPr>
                <w:sz w:val="24"/>
                <w:szCs w:val="24"/>
              </w:rPr>
              <w:t>Elliw Hughes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46BE3EF3" w14:textId="46C2A548" w:rsidR="00D32555" w:rsidRPr="00D32555" w:rsidRDefault="00D32555" w:rsidP="00D32555">
      <w:pPr>
        <w:rPr>
          <w:lang w:val="cy-GB"/>
        </w:rPr>
      </w:pPr>
      <w:r>
        <w:rPr>
          <w:sz w:val="24"/>
          <w:szCs w:val="24"/>
        </w:rPr>
        <w:t xml:space="preserve"> </w:t>
      </w:r>
      <w:proofErr w:type="gramStart"/>
      <w:r w:rsidR="00986C0B" w:rsidRPr="00DA5682">
        <w:rPr>
          <w:sz w:val="24"/>
          <w:szCs w:val="24"/>
        </w:rPr>
        <w:t>Signed:…</w:t>
      </w:r>
      <w:proofErr w:type="gramEnd"/>
      <w:r w:rsidR="00986C0B" w:rsidRPr="00DA5682">
        <w:rPr>
          <w:sz w:val="24"/>
          <w:szCs w:val="24"/>
        </w:rPr>
        <w:t>…</w:t>
      </w:r>
      <w:r w:rsidRPr="00D32555">
        <w:rPr>
          <w:rFonts w:ascii="Times New Roman" w:hAnsi="Times New Roman" w:cs="Times New Roman"/>
          <w:color w:val="auto"/>
          <w:sz w:val="24"/>
          <w:szCs w:val="24"/>
          <w:lang w:val="cy-GB" w:eastAsia="cy-GB"/>
        </w:rPr>
        <w:t xml:space="preserve"> </w:t>
      </w:r>
      <w:r w:rsidRPr="00D32555">
        <w:rPr>
          <w:noProof/>
          <w:lang w:val="cy-GB"/>
        </w:rPr>
        <w:drawing>
          <wp:inline distT="0" distB="0" distL="0" distR="0" wp14:anchorId="0833CFF9" wp14:editId="344B8E2E">
            <wp:extent cx="914400" cy="313690"/>
            <wp:effectExtent l="0" t="0" r="0" b="0"/>
            <wp:docPr id="700126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914400" cy="313690"/>
                    </a:xfrm>
                    <a:prstGeom prst="rect">
                      <a:avLst/>
                    </a:prstGeom>
                    <a:noFill/>
                    <a:ln>
                      <a:noFill/>
                    </a:ln>
                  </pic:spPr>
                </pic:pic>
              </a:graphicData>
            </a:graphic>
          </wp:inline>
        </w:drawing>
      </w:r>
    </w:p>
    <w:p w14:paraId="35B48005" w14:textId="2FE030F3" w:rsidR="00986C0B" w:rsidRPr="00DA5682" w:rsidRDefault="00986C0B" w:rsidP="00986C0B">
      <w:pPr>
        <w:rPr>
          <w:sz w:val="24"/>
          <w:szCs w:val="24"/>
        </w:rPr>
      </w:pPr>
      <w:r w:rsidRPr="00DA5682">
        <w:rPr>
          <w:sz w:val="24"/>
          <w:szCs w:val="24"/>
        </w:rPr>
        <w:t xml:space="preserve">…….. Print </w:t>
      </w:r>
      <w:proofErr w:type="gramStart"/>
      <w:r w:rsidRPr="00DA5682">
        <w:rPr>
          <w:sz w:val="24"/>
          <w:szCs w:val="24"/>
        </w:rPr>
        <w:t>Name:…</w:t>
      </w:r>
      <w:proofErr w:type="gramEnd"/>
      <w:r w:rsidRPr="00DA5682">
        <w:rPr>
          <w:sz w:val="24"/>
          <w:szCs w:val="24"/>
        </w:rPr>
        <w:t>…</w:t>
      </w:r>
      <w:r w:rsidR="00AC0BC8">
        <w:rPr>
          <w:sz w:val="24"/>
          <w:szCs w:val="24"/>
        </w:rPr>
        <w:t>Iola Rowlands</w:t>
      </w:r>
      <w:r w:rsidRPr="00DA5682">
        <w:rPr>
          <w:sz w:val="24"/>
          <w:szCs w:val="24"/>
        </w:rPr>
        <w:t>…</w:t>
      </w:r>
      <w:r w:rsidR="00AC0BC8">
        <w:rPr>
          <w:sz w:val="24"/>
          <w:szCs w:val="24"/>
        </w:rPr>
        <w:t xml:space="preserve"> </w:t>
      </w:r>
      <w:r w:rsidRPr="00DA5682">
        <w:rPr>
          <w:sz w:val="24"/>
          <w:szCs w:val="24"/>
        </w:rPr>
        <w:t xml:space="preserve"> Date:</w:t>
      </w:r>
      <w:r w:rsidR="00AC0BC8">
        <w:rPr>
          <w:sz w:val="24"/>
          <w:szCs w:val="24"/>
        </w:rPr>
        <w:t xml:space="preserve"> 3/</w:t>
      </w:r>
      <w:r w:rsidR="00D32555">
        <w:rPr>
          <w:sz w:val="24"/>
          <w:szCs w:val="24"/>
        </w:rPr>
        <w:t>10</w:t>
      </w:r>
      <w:r w:rsidR="00AC0BC8">
        <w:rPr>
          <w:sz w:val="24"/>
          <w:szCs w:val="24"/>
        </w:rPr>
        <w:t>/2024</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095485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5A2C14">
        <w:rPr>
          <w:sz w:val="24"/>
          <w:szCs w:val="24"/>
        </w:rPr>
        <w:t>EHH</w:t>
      </w:r>
      <w:r w:rsidRPr="00DA5682">
        <w:rPr>
          <w:sz w:val="24"/>
          <w:szCs w:val="24"/>
        </w:rPr>
        <w:t>……….. Print Name:……</w:t>
      </w:r>
      <w:r w:rsidR="005A2C14">
        <w:rPr>
          <w:sz w:val="24"/>
          <w:szCs w:val="24"/>
        </w:rPr>
        <w:t>Elliw Haf Hughes</w:t>
      </w:r>
      <w:r w:rsidRPr="00DA5682">
        <w:rPr>
          <w:sz w:val="24"/>
          <w:szCs w:val="24"/>
        </w:rPr>
        <w:t>….Date:…</w:t>
      </w:r>
      <w:r w:rsidR="005A2C14">
        <w:rPr>
          <w:sz w:val="24"/>
          <w:szCs w:val="24"/>
        </w:rPr>
        <w:t>04/10/2024</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2095F8B1" w:rsidR="00986C0B" w:rsidRPr="00DA5682" w:rsidRDefault="00986C0B" w:rsidP="00986C0B">
      <w:pPr>
        <w:rPr>
          <w:sz w:val="24"/>
          <w:szCs w:val="24"/>
        </w:rPr>
      </w:pPr>
      <w:proofErr w:type="gramStart"/>
      <w:r w:rsidRPr="00DA5682">
        <w:rPr>
          <w:sz w:val="24"/>
          <w:szCs w:val="24"/>
        </w:rPr>
        <w:t>Signed:…</w:t>
      </w:r>
      <w:proofErr w:type="gramEnd"/>
      <w:r w:rsidR="00D32555">
        <w:rPr>
          <w:noProof/>
          <w:sz w:val="24"/>
          <w:szCs w:val="24"/>
        </w:rPr>
        <w:drawing>
          <wp:inline distT="0" distB="0" distL="0" distR="0" wp14:anchorId="1BC1D024" wp14:editId="7DD1BF26">
            <wp:extent cx="237490" cy="292100"/>
            <wp:effectExtent l="0" t="0" r="0" b="0"/>
            <wp:docPr id="21005501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37490" cy="292100"/>
                    </a:xfrm>
                    <a:prstGeom prst="rect">
                      <a:avLst/>
                    </a:prstGeom>
                    <a:noFill/>
                  </pic:spPr>
                </pic:pic>
              </a:graphicData>
            </a:graphic>
          </wp:inline>
        </w:drawing>
      </w:r>
      <w:r w:rsidR="00D32555">
        <w:rPr>
          <w:noProof/>
          <w:sz w:val="24"/>
          <w:szCs w:val="24"/>
        </w:rPr>
        <w:drawing>
          <wp:inline distT="0" distB="0" distL="0" distR="0" wp14:anchorId="287F7300" wp14:editId="50C00D77">
            <wp:extent cx="780415" cy="233045"/>
            <wp:effectExtent l="0" t="0" r="635" b="0"/>
            <wp:docPr id="10172887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780415" cy="233045"/>
                    </a:xfrm>
                    <a:prstGeom prst="rect">
                      <a:avLst/>
                    </a:prstGeom>
                    <a:noFill/>
                  </pic:spPr>
                </pic:pic>
              </a:graphicData>
            </a:graphic>
          </wp:inline>
        </w:drawing>
      </w:r>
      <w:r w:rsidRPr="00DA5682">
        <w:rPr>
          <w:sz w:val="24"/>
          <w:szCs w:val="24"/>
        </w:rPr>
        <w:t xml:space="preserve"> Print Name:………</w:t>
      </w:r>
      <w:r w:rsidR="00D32555">
        <w:rPr>
          <w:sz w:val="24"/>
          <w:szCs w:val="24"/>
        </w:rPr>
        <w:t>Wendy Hughes</w:t>
      </w:r>
      <w:r w:rsidRPr="00DA5682">
        <w:rPr>
          <w:sz w:val="24"/>
          <w:szCs w:val="24"/>
        </w:rPr>
        <w:t>…….Date:…</w:t>
      </w:r>
      <w:r w:rsidR="00D32555">
        <w:rPr>
          <w:sz w:val="24"/>
          <w:szCs w:val="24"/>
        </w:rPr>
        <w:t>3/10/2024</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3"/>
      <w:footerReference w:type="default" r:id="rId4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2D1BB7" w14:textId="77777777" w:rsidR="003851AC" w:rsidRDefault="003851AC">
      <w:r>
        <w:separator/>
      </w:r>
    </w:p>
  </w:endnote>
  <w:endnote w:type="continuationSeparator" w:id="0">
    <w:p w14:paraId="1572283C" w14:textId="77777777" w:rsidR="003851AC" w:rsidRDefault="003851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91DAB" w14:textId="77777777" w:rsidR="003851AC" w:rsidRDefault="003851AC">
      <w:r>
        <w:separator/>
      </w:r>
    </w:p>
  </w:footnote>
  <w:footnote w:type="continuationSeparator" w:id="0">
    <w:p w14:paraId="1143152F" w14:textId="77777777" w:rsidR="003851AC" w:rsidRDefault="003851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281"/>
    <w:rsid w:val="00020EEC"/>
    <w:rsid w:val="0002440E"/>
    <w:rsid w:val="0002759A"/>
    <w:rsid w:val="00027B1F"/>
    <w:rsid w:val="0003088B"/>
    <w:rsid w:val="000325D9"/>
    <w:rsid w:val="000372B2"/>
    <w:rsid w:val="0004079F"/>
    <w:rsid w:val="00043543"/>
    <w:rsid w:val="00045B87"/>
    <w:rsid w:val="00045C07"/>
    <w:rsid w:val="00045C40"/>
    <w:rsid w:val="00046861"/>
    <w:rsid w:val="00053AD5"/>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659C"/>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3826"/>
    <w:rsid w:val="001447F6"/>
    <w:rsid w:val="00147DE3"/>
    <w:rsid w:val="00150794"/>
    <w:rsid w:val="00151DA6"/>
    <w:rsid w:val="001600C3"/>
    <w:rsid w:val="001608C4"/>
    <w:rsid w:val="00164832"/>
    <w:rsid w:val="00171418"/>
    <w:rsid w:val="001772BF"/>
    <w:rsid w:val="001772DE"/>
    <w:rsid w:val="0019496C"/>
    <w:rsid w:val="001961CF"/>
    <w:rsid w:val="001A59BB"/>
    <w:rsid w:val="001A607E"/>
    <w:rsid w:val="001A6A51"/>
    <w:rsid w:val="001A79C4"/>
    <w:rsid w:val="001B0F61"/>
    <w:rsid w:val="001B331A"/>
    <w:rsid w:val="001C0237"/>
    <w:rsid w:val="001C0E74"/>
    <w:rsid w:val="001C4DB8"/>
    <w:rsid w:val="001C50B8"/>
    <w:rsid w:val="001C7A55"/>
    <w:rsid w:val="001D09DE"/>
    <w:rsid w:val="001D229F"/>
    <w:rsid w:val="001E2EB6"/>
    <w:rsid w:val="001E553C"/>
    <w:rsid w:val="001F4552"/>
    <w:rsid w:val="002019EB"/>
    <w:rsid w:val="00204B58"/>
    <w:rsid w:val="00205051"/>
    <w:rsid w:val="002052AD"/>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32F5"/>
    <w:rsid w:val="002657E9"/>
    <w:rsid w:val="0026665E"/>
    <w:rsid w:val="0027147E"/>
    <w:rsid w:val="0027618C"/>
    <w:rsid w:val="002761F4"/>
    <w:rsid w:val="002775E1"/>
    <w:rsid w:val="00277979"/>
    <w:rsid w:val="00286637"/>
    <w:rsid w:val="00291ADD"/>
    <w:rsid w:val="002920DF"/>
    <w:rsid w:val="00292F3D"/>
    <w:rsid w:val="00295CA1"/>
    <w:rsid w:val="00297C9F"/>
    <w:rsid w:val="002A0E51"/>
    <w:rsid w:val="002A1A44"/>
    <w:rsid w:val="002A291A"/>
    <w:rsid w:val="002A2C54"/>
    <w:rsid w:val="002A4E2E"/>
    <w:rsid w:val="002A5604"/>
    <w:rsid w:val="002A5EC8"/>
    <w:rsid w:val="002A7EA1"/>
    <w:rsid w:val="002B1701"/>
    <w:rsid w:val="002B23C3"/>
    <w:rsid w:val="002B3A7F"/>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8FA"/>
    <w:rsid w:val="002E6D17"/>
    <w:rsid w:val="002E7017"/>
    <w:rsid w:val="002E7F2C"/>
    <w:rsid w:val="002F1FC7"/>
    <w:rsid w:val="002F2185"/>
    <w:rsid w:val="002F4F6E"/>
    <w:rsid w:val="003015C3"/>
    <w:rsid w:val="003106DB"/>
    <w:rsid w:val="00312E7C"/>
    <w:rsid w:val="0031350A"/>
    <w:rsid w:val="00316815"/>
    <w:rsid w:val="003168CA"/>
    <w:rsid w:val="00321255"/>
    <w:rsid w:val="0032230D"/>
    <w:rsid w:val="00322A0B"/>
    <w:rsid w:val="00330881"/>
    <w:rsid w:val="00331CD2"/>
    <w:rsid w:val="00332426"/>
    <w:rsid w:val="0033366C"/>
    <w:rsid w:val="00335C41"/>
    <w:rsid w:val="00335FC5"/>
    <w:rsid w:val="00336E47"/>
    <w:rsid w:val="0033771E"/>
    <w:rsid w:val="00337FEF"/>
    <w:rsid w:val="0035279B"/>
    <w:rsid w:val="00354B6D"/>
    <w:rsid w:val="00355210"/>
    <w:rsid w:val="00355CFD"/>
    <w:rsid w:val="00365DF9"/>
    <w:rsid w:val="0037066E"/>
    <w:rsid w:val="00372DB4"/>
    <w:rsid w:val="00373A36"/>
    <w:rsid w:val="0037419E"/>
    <w:rsid w:val="00375AF5"/>
    <w:rsid w:val="003761BD"/>
    <w:rsid w:val="00377448"/>
    <w:rsid w:val="00377884"/>
    <w:rsid w:val="003826BD"/>
    <w:rsid w:val="003851AC"/>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6E5B"/>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867"/>
    <w:rsid w:val="004C2D3A"/>
    <w:rsid w:val="004C3DE7"/>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7566"/>
    <w:rsid w:val="00540EEC"/>
    <w:rsid w:val="005414F4"/>
    <w:rsid w:val="00546187"/>
    <w:rsid w:val="00547B11"/>
    <w:rsid w:val="005505A8"/>
    <w:rsid w:val="00557D77"/>
    <w:rsid w:val="00562EAA"/>
    <w:rsid w:val="00563B58"/>
    <w:rsid w:val="005640C4"/>
    <w:rsid w:val="0056684C"/>
    <w:rsid w:val="00574A0C"/>
    <w:rsid w:val="0057780F"/>
    <w:rsid w:val="00581E0A"/>
    <w:rsid w:val="005841E5"/>
    <w:rsid w:val="00585BC0"/>
    <w:rsid w:val="00586D89"/>
    <w:rsid w:val="005877C8"/>
    <w:rsid w:val="00587923"/>
    <w:rsid w:val="00594F9F"/>
    <w:rsid w:val="005A1B4C"/>
    <w:rsid w:val="005A2C14"/>
    <w:rsid w:val="005A545C"/>
    <w:rsid w:val="005B271A"/>
    <w:rsid w:val="005B3A2D"/>
    <w:rsid w:val="005C1567"/>
    <w:rsid w:val="005C28D3"/>
    <w:rsid w:val="005C6CE5"/>
    <w:rsid w:val="005D3D06"/>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50D6"/>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175E"/>
    <w:rsid w:val="006A32E9"/>
    <w:rsid w:val="006B4496"/>
    <w:rsid w:val="006B5E67"/>
    <w:rsid w:val="006B6612"/>
    <w:rsid w:val="006C2EB5"/>
    <w:rsid w:val="006D18A3"/>
    <w:rsid w:val="006D39F6"/>
    <w:rsid w:val="006D5970"/>
    <w:rsid w:val="006E0A5C"/>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5E40"/>
    <w:rsid w:val="007A1F6A"/>
    <w:rsid w:val="007A393F"/>
    <w:rsid w:val="007A628F"/>
    <w:rsid w:val="007B0DE3"/>
    <w:rsid w:val="007B1BFD"/>
    <w:rsid w:val="007B7191"/>
    <w:rsid w:val="007C1D94"/>
    <w:rsid w:val="007C556F"/>
    <w:rsid w:val="007C5ABE"/>
    <w:rsid w:val="007C6A87"/>
    <w:rsid w:val="007D0A07"/>
    <w:rsid w:val="007D0F11"/>
    <w:rsid w:val="007D133D"/>
    <w:rsid w:val="007D3EB4"/>
    <w:rsid w:val="007D3F16"/>
    <w:rsid w:val="007E1C68"/>
    <w:rsid w:val="007F10BD"/>
    <w:rsid w:val="007F312E"/>
    <w:rsid w:val="007F3F7E"/>
    <w:rsid w:val="007F4BA4"/>
    <w:rsid w:val="00813CEC"/>
    <w:rsid w:val="00813F85"/>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0D5"/>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183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4905"/>
    <w:rsid w:val="00916FB2"/>
    <w:rsid w:val="00920E5B"/>
    <w:rsid w:val="00926436"/>
    <w:rsid w:val="00926A8D"/>
    <w:rsid w:val="00926C53"/>
    <w:rsid w:val="0093018C"/>
    <w:rsid w:val="0094495F"/>
    <w:rsid w:val="009544C0"/>
    <w:rsid w:val="00954FA4"/>
    <w:rsid w:val="00956AE9"/>
    <w:rsid w:val="00964CC6"/>
    <w:rsid w:val="00967BFA"/>
    <w:rsid w:val="00976A97"/>
    <w:rsid w:val="0098262C"/>
    <w:rsid w:val="0098427C"/>
    <w:rsid w:val="00986B43"/>
    <w:rsid w:val="00986C0B"/>
    <w:rsid w:val="00986D46"/>
    <w:rsid w:val="00991FDA"/>
    <w:rsid w:val="00992ACA"/>
    <w:rsid w:val="009A5F3B"/>
    <w:rsid w:val="009A5F79"/>
    <w:rsid w:val="009A6F87"/>
    <w:rsid w:val="009B0B61"/>
    <w:rsid w:val="009B28C0"/>
    <w:rsid w:val="009B3178"/>
    <w:rsid w:val="009B3E24"/>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7CE8"/>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2E8A"/>
    <w:rsid w:val="00A37416"/>
    <w:rsid w:val="00A40ED6"/>
    <w:rsid w:val="00A47621"/>
    <w:rsid w:val="00A479CD"/>
    <w:rsid w:val="00A50CFC"/>
    <w:rsid w:val="00A54D67"/>
    <w:rsid w:val="00A55A3F"/>
    <w:rsid w:val="00A5656A"/>
    <w:rsid w:val="00A5691B"/>
    <w:rsid w:val="00A60103"/>
    <w:rsid w:val="00A61ED1"/>
    <w:rsid w:val="00A652F6"/>
    <w:rsid w:val="00A65861"/>
    <w:rsid w:val="00A732EA"/>
    <w:rsid w:val="00A7489E"/>
    <w:rsid w:val="00A8015F"/>
    <w:rsid w:val="00A85039"/>
    <w:rsid w:val="00A906AA"/>
    <w:rsid w:val="00A94C5E"/>
    <w:rsid w:val="00AA252C"/>
    <w:rsid w:val="00AA666E"/>
    <w:rsid w:val="00AA7960"/>
    <w:rsid w:val="00AB5518"/>
    <w:rsid w:val="00AC0BC8"/>
    <w:rsid w:val="00AC3A0E"/>
    <w:rsid w:val="00AC4A04"/>
    <w:rsid w:val="00AC5679"/>
    <w:rsid w:val="00AD3322"/>
    <w:rsid w:val="00AD336F"/>
    <w:rsid w:val="00AE134C"/>
    <w:rsid w:val="00AE1868"/>
    <w:rsid w:val="00AE2564"/>
    <w:rsid w:val="00AE301F"/>
    <w:rsid w:val="00AE3302"/>
    <w:rsid w:val="00AE5BA6"/>
    <w:rsid w:val="00AE5FF1"/>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3763F"/>
    <w:rsid w:val="00B40F6B"/>
    <w:rsid w:val="00B42E76"/>
    <w:rsid w:val="00B43053"/>
    <w:rsid w:val="00B43194"/>
    <w:rsid w:val="00B436BF"/>
    <w:rsid w:val="00B47734"/>
    <w:rsid w:val="00B50FBA"/>
    <w:rsid w:val="00B558EB"/>
    <w:rsid w:val="00B577D3"/>
    <w:rsid w:val="00B60466"/>
    <w:rsid w:val="00B6548F"/>
    <w:rsid w:val="00B71A32"/>
    <w:rsid w:val="00B7502A"/>
    <w:rsid w:val="00B77305"/>
    <w:rsid w:val="00B774BD"/>
    <w:rsid w:val="00B813BD"/>
    <w:rsid w:val="00B82CC2"/>
    <w:rsid w:val="00B84A89"/>
    <w:rsid w:val="00B9256C"/>
    <w:rsid w:val="00B92BEF"/>
    <w:rsid w:val="00B94443"/>
    <w:rsid w:val="00B9689A"/>
    <w:rsid w:val="00B97056"/>
    <w:rsid w:val="00BA531E"/>
    <w:rsid w:val="00BA728B"/>
    <w:rsid w:val="00BB06CB"/>
    <w:rsid w:val="00BB0F9F"/>
    <w:rsid w:val="00BB261F"/>
    <w:rsid w:val="00BB2887"/>
    <w:rsid w:val="00BB3B56"/>
    <w:rsid w:val="00BB5EAA"/>
    <w:rsid w:val="00BB5F11"/>
    <w:rsid w:val="00BB6638"/>
    <w:rsid w:val="00BB7FD2"/>
    <w:rsid w:val="00BC04FA"/>
    <w:rsid w:val="00BC1C22"/>
    <w:rsid w:val="00BC460B"/>
    <w:rsid w:val="00BC4ED3"/>
    <w:rsid w:val="00BC5725"/>
    <w:rsid w:val="00BD01BE"/>
    <w:rsid w:val="00BD30B1"/>
    <w:rsid w:val="00BE0F7B"/>
    <w:rsid w:val="00BE10C2"/>
    <w:rsid w:val="00BF0D6C"/>
    <w:rsid w:val="00C01D14"/>
    <w:rsid w:val="00C01D97"/>
    <w:rsid w:val="00C025B4"/>
    <w:rsid w:val="00C029EC"/>
    <w:rsid w:val="00C161FD"/>
    <w:rsid w:val="00C17C9F"/>
    <w:rsid w:val="00C23F17"/>
    <w:rsid w:val="00C246F2"/>
    <w:rsid w:val="00C26815"/>
    <w:rsid w:val="00C26D0D"/>
    <w:rsid w:val="00C27C95"/>
    <w:rsid w:val="00C300D2"/>
    <w:rsid w:val="00C3270F"/>
    <w:rsid w:val="00C3278B"/>
    <w:rsid w:val="00C33375"/>
    <w:rsid w:val="00C34C23"/>
    <w:rsid w:val="00C368FA"/>
    <w:rsid w:val="00C42005"/>
    <w:rsid w:val="00C4664D"/>
    <w:rsid w:val="00C472AA"/>
    <w:rsid w:val="00C47DC2"/>
    <w:rsid w:val="00C50A05"/>
    <w:rsid w:val="00C54AED"/>
    <w:rsid w:val="00C555FC"/>
    <w:rsid w:val="00C55E9B"/>
    <w:rsid w:val="00C56D09"/>
    <w:rsid w:val="00C57D24"/>
    <w:rsid w:val="00C604D6"/>
    <w:rsid w:val="00C63CAB"/>
    <w:rsid w:val="00C63D00"/>
    <w:rsid w:val="00C6441B"/>
    <w:rsid w:val="00C64D21"/>
    <w:rsid w:val="00C65921"/>
    <w:rsid w:val="00C7108B"/>
    <w:rsid w:val="00C75883"/>
    <w:rsid w:val="00C77FA5"/>
    <w:rsid w:val="00C8089F"/>
    <w:rsid w:val="00C835FE"/>
    <w:rsid w:val="00C836CC"/>
    <w:rsid w:val="00C852D6"/>
    <w:rsid w:val="00C87A74"/>
    <w:rsid w:val="00C924C9"/>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303B"/>
    <w:rsid w:val="00CD45E3"/>
    <w:rsid w:val="00CD4771"/>
    <w:rsid w:val="00CD5089"/>
    <w:rsid w:val="00CD5D3F"/>
    <w:rsid w:val="00CD7E1F"/>
    <w:rsid w:val="00CE4BC4"/>
    <w:rsid w:val="00CE71D7"/>
    <w:rsid w:val="00CE7DA2"/>
    <w:rsid w:val="00CF2F8A"/>
    <w:rsid w:val="00CF3DB3"/>
    <w:rsid w:val="00D0274B"/>
    <w:rsid w:val="00D0503D"/>
    <w:rsid w:val="00D052BC"/>
    <w:rsid w:val="00D07026"/>
    <w:rsid w:val="00D146AE"/>
    <w:rsid w:val="00D22C8F"/>
    <w:rsid w:val="00D30389"/>
    <w:rsid w:val="00D3203C"/>
    <w:rsid w:val="00D32555"/>
    <w:rsid w:val="00D33491"/>
    <w:rsid w:val="00D3442D"/>
    <w:rsid w:val="00D36F00"/>
    <w:rsid w:val="00D41E8A"/>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08B"/>
    <w:rsid w:val="00DA5682"/>
    <w:rsid w:val="00DA5860"/>
    <w:rsid w:val="00DA5C0C"/>
    <w:rsid w:val="00DB2767"/>
    <w:rsid w:val="00DC1B10"/>
    <w:rsid w:val="00DC2924"/>
    <w:rsid w:val="00DC4729"/>
    <w:rsid w:val="00DD31C5"/>
    <w:rsid w:val="00DD36F1"/>
    <w:rsid w:val="00DD5020"/>
    <w:rsid w:val="00DD63BE"/>
    <w:rsid w:val="00DE4296"/>
    <w:rsid w:val="00DF2469"/>
    <w:rsid w:val="00DF7899"/>
    <w:rsid w:val="00E04D8C"/>
    <w:rsid w:val="00E0524C"/>
    <w:rsid w:val="00E15751"/>
    <w:rsid w:val="00E15A5C"/>
    <w:rsid w:val="00E17160"/>
    <w:rsid w:val="00E17D41"/>
    <w:rsid w:val="00E231D1"/>
    <w:rsid w:val="00E25080"/>
    <w:rsid w:val="00E3288D"/>
    <w:rsid w:val="00E35112"/>
    <w:rsid w:val="00E35BEC"/>
    <w:rsid w:val="00E41A6A"/>
    <w:rsid w:val="00E50821"/>
    <w:rsid w:val="00E51F91"/>
    <w:rsid w:val="00E5498A"/>
    <w:rsid w:val="00E559CE"/>
    <w:rsid w:val="00E60F42"/>
    <w:rsid w:val="00E6746C"/>
    <w:rsid w:val="00E7086E"/>
    <w:rsid w:val="00E70F7A"/>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5341"/>
    <w:rsid w:val="00EF68BB"/>
    <w:rsid w:val="00F01F92"/>
    <w:rsid w:val="00F027C8"/>
    <w:rsid w:val="00F030D4"/>
    <w:rsid w:val="00F04053"/>
    <w:rsid w:val="00F05F7D"/>
    <w:rsid w:val="00F06573"/>
    <w:rsid w:val="00F10A08"/>
    <w:rsid w:val="00F15354"/>
    <w:rsid w:val="00F22AC5"/>
    <w:rsid w:val="00F254D1"/>
    <w:rsid w:val="00F26EB0"/>
    <w:rsid w:val="00F32B82"/>
    <w:rsid w:val="00F34C86"/>
    <w:rsid w:val="00F4043E"/>
    <w:rsid w:val="00F41795"/>
    <w:rsid w:val="00F41BBC"/>
    <w:rsid w:val="00F444F0"/>
    <w:rsid w:val="00F446FF"/>
    <w:rsid w:val="00F45521"/>
    <w:rsid w:val="00F45880"/>
    <w:rsid w:val="00F50847"/>
    <w:rsid w:val="00F53F27"/>
    <w:rsid w:val="00F546D1"/>
    <w:rsid w:val="00F55593"/>
    <w:rsid w:val="00F60281"/>
    <w:rsid w:val="00F635F0"/>
    <w:rsid w:val="00F66272"/>
    <w:rsid w:val="00F709C0"/>
    <w:rsid w:val="00F81478"/>
    <w:rsid w:val="00F81FEC"/>
    <w:rsid w:val="00F87F35"/>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39C"/>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E04D8C"/>
    <w:rPr>
      <w:color w:val="605E5C"/>
      <w:shd w:val="clear" w:color="auto" w:fill="E1DFDD"/>
    </w:rPr>
  </w:style>
  <w:style w:type="paragraph" w:styleId="NormalWeb">
    <w:name w:val="Normal (Web)"/>
    <w:basedOn w:val="Normal"/>
    <w:uiPriority w:val="99"/>
    <w:semiHidden/>
    <w:unhideWhenUsed/>
    <w:rsid w:val="00F4588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16447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0495528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 TargetMode="External"/><Relationship Id="rId18" Type="http://schemas.openxmlformats.org/officeDocument/2006/relationships/hyperlink" Target="https://www.legislation.gov.uk/ukpga/1998/42" TargetMode="External"/><Relationship Id="rId26" Type="http://schemas.openxmlformats.org/officeDocument/2006/relationships/hyperlink" Target="https://play.google.com/store/apps/details?id=com.socialcarewales.safeguarding" TargetMode="External"/><Relationship Id="rId39" Type="http://schemas.openxmlformats.org/officeDocument/2006/relationships/image" Target="media/image5.png"/><Relationship Id="rId21" Type="http://schemas.openxmlformats.org/officeDocument/2006/relationships/hyperlink" Target="https://www.legislation.gov.uk/ukpga/2005/9/contents" TargetMode="External"/><Relationship Id="rId34" Type="http://schemas.openxmlformats.org/officeDocument/2006/relationships/hyperlink" Target="mailto:iolaellis@yahoo.co.uk" TargetMode="External"/><Relationship Id="rId42" Type="http://schemas.openxmlformats.org/officeDocument/2006/relationships/image" Target="media/image8.pn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gov.uk" TargetMode="External"/><Relationship Id="rId29" Type="http://schemas.openxmlformats.org/officeDocument/2006/relationships/hyperlink" Target="https://www.legislation.gov.uk/anaw/2014/4contents/enacte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wcpp.org.uk" TargetMode="External"/><Relationship Id="rId24" Type="http://schemas.openxmlformats.org/officeDocument/2006/relationships/hyperlink" Target="https://socialcare.wales/service-improvement/social-services-and-wellbeing-wales-act" TargetMode="External"/><Relationship Id="rId32" Type="http://schemas.openxmlformats.org/officeDocument/2006/relationships/hyperlink" Target="https://safeguarding.wales" TargetMode="External"/><Relationship Id="rId37" Type="http://schemas.openxmlformats.org/officeDocument/2006/relationships/image" Target="media/image3.png"/><Relationship Id="rId40" Type="http://schemas.openxmlformats.org/officeDocument/2006/relationships/image" Target="media/image6.jpeg"/><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verywellmind.com" TargetMode="External"/><Relationship Id="rId23" Type="http://schemas.openxmlformats.org/officeDocument/2006/relationships/hyperlink" Target="https://www.rcpsych.ac.uk/docs/default-source/imporving-care/better-mh-policy/college-reports/college-report-cr232.pdf?sfvrsn=476f0fbc_2" TargetMode="External"/><Relationship Id="rId28" Type="http://schemas.openxmlformats.org/officeDocument/2006/relationships/hyperlink" Target="https://www.gov.wales/sites/default/files/publications/2019-05/part-6-code-of-practice-assessing-the-needs-of-individuals.pdf" TargetMode="External"/><Relationship Id="rId36" Type="http://schemas.openxmlformats.org/officeDocument/2006/relationships/image" Target="media/image2.jpeg"/><Relationship Id="rId10" Type="http://schemas.openxmlformats.org/officeDocument/2006/relationships/image" Target="media/image1.png"/><Relationship Id="rId19" Type="http://schemas.openxmlformats.org/officeDocument/2006/relationships/hyperlink" Target="https://www.researchgate.net" TargetMode="External"/><Relationship Id="rId31" Type="http://schemas.openxmlformats.org/officeDocument/2006/relationships/hyperlink" Target="https://socialcare.wales" TargetMode="External"/><Relationship Id="rId44"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9/41/contents" TargetMode="External"/><Relationship Id="rId22" Type="http://schemas.openxmlformats.org/officeDocument/2006/relationships/hyperlink" Target="https://www.legislation.gov.uk/ukpga/2007/12/contents" TargetMode="External"/><Relationship Id="rId27" Type="http://schemas.openxmlformats.org/officeDocument/2006/relationships/hyperlink" Target="https://www.communitycare.co.uk" TargetMode="External"/><Relationship Id="rId30" Type="http://schemas.openxmlformats.org/officeDocument/2006/relationships/hyperlink" Target="https://socialcare.wales" TargetMode="External"/><Relationship Id="rId35" Type="http://schemas.openxmlformats.org/officeDocument/2006/relationships/hyperlink" Target="mailto:iolamairowlands@gwynedd.llyw.cymru" TargetMode="External"/><Relationship Id="rId43"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basw.co.uk/professional-development/professional-capabilities-framework-pcf/the-pcf/social-worker/values-and-ethics" TargetMode="External"/><Relationship Id="rId17" Type="http://schemas.openxmlformats.org/officeDocument/2006/relationships/hyperlink" Target="https://www.gov.uk" TargetMode="External"/><Relationship Id="rId25" Type="http://schemas.openxmlformats.org/officeDocument/2006/relationships/hyperlink" Target="https://socialcare.wales" TargetMode="External"/><Relationship Id="rId33" Type="http://schemas.openxmlformats.org/officeDocument/2006/relationships/hyperlink" Target="https://safeguarding.wales" TargetMode="External"/><Relationship Id="rId38" Type="http://schemas.openxmlformats.org/officeDocument/2006/relationships/image" Target="media/image4.png"/><Relationship Id="rId46" Type="http://schemas.openxmlformats.org/officeDocument/2006/relationships/theme" Target="theme/theme1.xml"/><Relationship Id="rId20" Type="http://schemas.openxmlformats.org/officeDocument/2006/relationships/hyperlink" Target="https://www.tandfonline.com/doi/full/10.1080/09649069.2015.998005" TargetMode="External"/><Relationship Id="rId4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TotalTime>
  <Pages>18</Pages>
  <Words>5110</Words>
  <Characters>29131</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Iola Mai Rowlands (OEDOLION)</cp:lastModifiedBy>
  <cp:revision>24</cp:revision>
  <cp:lastPrinted>2020-02-11T19:20:00Z</cp:lastPrinted>
  <dcterms:created xsi:type="dcterms:W3CDTF">2024-09-30T09:17:00Z</dcterms:created>
  <dcterms:modified xsi:type="dcterms:W3CDTF">2024-10-04T14:19:00Z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