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55AE5" w14:textId="77777777" w:rsidR="00F511D2" w:rsidRDefault="00F511D2" w:rsidP="00F511D2">
      <w:pPr>
        <w:jc w:val="center"/>
        <w:rPr>
          <w:rFonts w:ascii="Arial" w:hAnsi="Arial" w:cs="Arial"/>
        </w:rPr>
      </w:pPr>
      <w:r>
        <w:rPr>
          <w:noProof/>
          <w:lang w:val="en-US"/>
        </w:rPr>
        <w:drawing>
          <wp:inline distT="0" distB="0" distL="0" distR="0" wp14:anchorId="0E6B032E" wp14:editId="3A65B46F">
            <wp:extent cx="1772920" cy="705485"/>
            <wp:effectExtent l="0" t="0" r="0" b="0"/>
            <wp:docPr id="1" name="image1.png"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background with white text&#10;&#10;Description automatically generated"/>
                    <pic:cNvPicPr/>
                  </pic:nvPicPr>
                  <pic:blipFill>
                    <a:blip r:embed="rId5" cstate="print"/>
                    <a:stretch>
                      <a:fillRect/>
                    </a:stretch>
                  </pic:blipFill>
                  <pic:spPr>
                    <a:xfrm>
                      <a:off x="0" y="0"/>
                      <a:ext cx="1772920" cy="705485"/>
                    </a:xfrm>
                    <a:prstGeom prst="rect">
                      <a:avLst/>
                    </a:prstGeom>
                  </pic:spPr>
                </pic:pic>
              </a:graphicData>
            </a:graphic>
          </wp:inline>
        </w:drawing>
      </w:r>
    </w:p>
    <w:p w14:paraId="3986DD3A" w14:textId="77777777" w:rsidR="00F511D2" w:rsidRDefault="00F511D2" w:rsidP="00F511D2">
      <w:pPr>
        <w:spacing w:after="240"/>
        <w:jc w:val="center"/>
        <w:rPr>
          <w:rFonts w:ascii="Arial" w:hAnsi="Arial" w:cs="Arial"/>
          <w:sz w:val="52"/>
          <w:szCs w:val="52"/>
        </w:rPr>
      </w:pPr>
      <w:r>
        <w:rPr>
          <w:rFonts w:ascii="Arial" w:hAnsi="Arial" w:cs="Arial"/>
          <w:sz w:val="52"/>
          <w:szCs w:val="52"/>
        </w:rPr>
        <w:t>BA International Hotel Management</w:t>
      </w:r>
    </w:p>
    <w:p w14:paraId="05E1DD34" w14:textId="77777777" w:rsidR="00F511D2" w:rsidRDefault="00F511D2" w:rsidP="00F511D2">
      <w:pPr>
        <w:spacing w:after="240"/>
        <w:jc w:val="center"/>
        <w:rPr>
          <w:rFonts w:ascii="Arial" w:hAnsi="Arial" w:cs="Arial"/>
          <w:b/>
          <w:bCs/>
          <w:sz w:val="32"/>
        </w:rPr>
      </w:pPr>
    </w:p>
    <w:p w14:paraId="44EFD348" w14:textId="77777777" w:rsidR="00F511D2" w:rsidRPr="00636D9A" w:rsidRDefault="00F511D2" w:rsidP="00F511D2">
      <w:pPr>
        <w:spacing w:after="240"/>
        <w:jc w:val="center"/>
        <w:rPr>
          <w:rFonts w:ascii="Arial" w:hAnsi="Arial" w:cs="Arial"/>
          <w:b/>
          <w:bCs/>
          <w:sz w:val="32"/>
        </w:rPr>
      </w:pPr>
      <w:r w:rsidRPr="00636D9A">
        <w:rPr>
          <w:rFonts w:ascii="Arial" w:hAnsi="Arial" w:cs="Arial"/>
          <w:b/>
          <w:bCs/>
          <w:sz w:val="32"/>
        </w:rPr>
        <w:t>Sustainable Hospitality &amp; Tourism Management</w:t>
      </w:r>
    </w:p>
    <w:p w14:paraId="3F893E42" w14:textId="77777777" w:rsidR="00F511D2" w:rsidRDefault="00F511D2" w:rsidP="00F511D2">
      <w:pPr>
        <w:spacing w:after="240"/>
        <w:jc w:val="center"/>
        <w:rPr>
          <w:rFonts w:ascii="Arial" w:hAnsi="Arial" w:cs="Arial"/>
          <w:b/>
          <w:bCs/>
          <w:sz w:val="32"/>
        </w:rPr>
      </w:pPr>
      <w:r w:rsidRPr="00636D9A">
        <w:rPr>
          <w:rFonts w:ascii="Arial" w:hAnsi="Arial" w:cs="Arial"/>
          <w:b/>
          <w:bCs/>
          <w:sz w:val="32"/>
        </w:rPr>
        <w:t>Module Code: BMIH5006</w:t>
      </w:r>
    </w:p>
    <w:p w14:paraId="0F26404C" w14:textId="77777777" w:rsidR="00F511D2" w:rsidRPr="00636D9A" w:rsidRDefault="00F511D2" w:rsidP="00F511D2">
      <w:pPr>
        <w:spacing w:after="240"/>
        <w:jc w:val="center"/>
        <w:rPr>
          <w:rFonts w:ascii="Arial" w:hAnsi="Arial" w:cs="Arial"/>
          <w:b/>
          <w:bCs/>
          <w:sz w:val="32"/>
        </w:rPr>
      </w:pPr>
    </w:p>
    <w:p w14:paraId="497D60AD" w14:textId="77777777" w:rsidR="00F511D2" w:rsidRDefault="00F511D2" w:rsidP="00F511D2">
      <w:pPr>
        <w:jc w:val="center"/>
        <w:rPr>
          <w:rFonts w:ascii="Arial" w:hAnsi="Arial" w:cs="Arial"/>
          <w:sz w:val="28"/>
        </w:rPr>
      </w:pPr>
      <w:r>
        <w:rPr>
          <w:rFonts w:ascii="Arial" w:hAnsi="Arial" w:cs="Arial"/>
          <w:b/>
          <w:bCs/>
          <w:sz w:val="28"/>
        </w:rPr>
        <w:t>Student Name</w:t>
      </w:r>
      <w:r>
        <w:rPr>
          <w:rFonts w:ascii="Arial" w:hAnsi="Arial" w:cs="Arial"/>
          <w:sz w:val="28"/>
        </w:rPr>
        <w:t xml:space="preserve">: </w:t>
      </w:r>
      <w:r w:rsidRPr="00636D9A">
        <w:rPr>
          <w:rFonts w:ascii="Arial" w:hAnsi="Arial" w:cs="Arial"/>
          <w:b/>
          <w:bCs/>
          <w:sz w:val="28"/>
          <w:szCs w:val="28"/>
        </w:rPr>
        <w:t>Mohammed Somru Miah</w:t>
      </w:r>
    </w:p>
    <w:p w14:paraId="69F2A81C" w14:textId="77777777" w:rsidR="00F511D2" w:rsidRPr="00636D9A" w:rsidRDefault="00F511D2" w:rsidP="00F511D2">
      <w:pPr>
        <w:jc w:val="center"/>
        <w:rPr>
          <w:rFonts w:ascii="Arial" w:hAnsi="Arial" w:cs="Arial"/>
          <w:b/>
          <w:bCs/>
          <w:sz w:val="28"/>
        </w:rPr>
      </w:pPr>
      <w:r>
        <w:rPr>
          <w:rFonts w:ascii="Arial" w:hAnsi="Arial" w:cs="Arial"/>
          <w:b/>
          <w:bCs/>
          <w:sz w:val="28"/>
        </w:rPr>
        <w:t>Student ID</w:t>
      </w:r>
      <w:r>
        <w:rPr>
          <w:rFonts w:ascii="Arial" w:hAnsi="Arial" w:cs="Arial"/>
          <w:sz w:val="28"/>
        </w:rPr>
        <w:t xml:space="preserve">: </w:t>
      </w:r>
      <w:r w:rsidRPr="00636D9A">
        <w:rPr>
          <w:rFonts w:ascii="Arial" w:hAnsi="Arial" w:cs="Arial"/>
          <w:b/>
          <w:bCs/>
          <w:sz w:val="28"/>
        </w:rPr>
        <w:t>2129682</w:t>
      </w:r>
    </w:p>
    <w:p w14:paraId="1D281D28" w14:textId="77777777" w:rsidR="00F511D2" w:rsidRPr="00636D9A" w:rsidRDefault="00F511D2" w:rsidP="00F511D2">
      <w:pPr>
        <w:spacing w:after="240"/>
        <w:jc w:val="center"/>
        <w:rPr>
          <w:rFonts w:ascii="Arial" w:hAnsi="Arial" w:cs="Arial"/>
          <w:b/>
          <w:bCs/>
          <w:sz w:val="28"/>
          <w:szCs w:val="28"/>
        </w:rPr>
      </w:pPr>
      <w:r w:rsidRPr="00636D9A">
        <w:rPr>
          <w:rFonts w:ascii="Arial" w:hAnsi="Arial" w:cs="Arial"/>
          <w:b/>
          <w:bCs/>
          <w:sz w:val="28"/>
          <w:szCs w:val="28"/>
        </w:rPr>
        <w:t>Lecturer Name: Lisa-Marie Bassler</w:t>
      </w:r>
    </w:p>
    <w:p w14:paraId="26F338FC" w14:textId="77777777" w:rsidR="00F511D2" w:rsidRDefault="00F511D2" w:rsidP="00F511D2">
      <w:pPr>
        <w:spacing w:after="240"/>
        <w:jc w:val="center"/>
        <w:rPr>
          <w:rFonts w:ascii="Arial" w:hAnsi="Arial" w:cs="Arial"/>
          <w:b/>
          <w:bCs/>
          <w:sz w:val="28"/>
          <w:szCs w:val="28"/>
        </w:rPr>
      </w:pPr>
      <w:r w:rsidRPr="00636D9A">
        <w:rPr>
          <w:rFonts w:ascii="Arial" w:hAnsi="Arial" w:cs="Arial"/>
          <w:b/>
          <w:bCs/>
          <w:sz w:val="28"/>
          <w:szCs w:val="28"/>
        </w:rPr>
        <w:t>Date:</w:t>
      </w:r>
      <w:r>
        <w:rPr>
          <w:rFonts w:ascii="Arial" w:hAnsi="Arial" w:cs="Arial"/>
          <w:b/>
          <w:bCs/>
          <w:sz w:val="28"/>
          <w:szCs w:val="28"/>
        </w:rPr>
        <w:t>14/06/24</w:t>
      </w:r>
    </w:p>
    <w:p w14:paraId="5BDDF0E4" w14:textId="764345D3" w:rsidR="00F511D2" w:rsidRPr="00636D9A" w:rsidRDefault="00F511D2" w:rsidP="00F511D2">
      <w:pPr>
        <w:spacing w:after="240"/>
        <w:jc w:val="center"/>
        <w:rPr>
          <w:rFonts w:ascii="Arial" w:hAnsi="Arial" w:cs="Arial"/>
          <w:b/>
          <w:bCs/>
          <w:sz w:val="28"/>
          <w:szCs w:val="28"/>
        </w:rPr>
      </w:pPr>
      <w:r>
        <w:rPr>
          <w:rFonts w:ascii="Arial" w:hAnsi="Arial" w:cs="Arial"/>
          <w:b/>
          <w:bCs/>
          <w:sz w:val="28"/>
          <w:szCs w:val="28"/>
        </w:rPr>
        <w:t>Word count: 1</w:t>
      </w:r>
      <w:r w:rsidR="001C365A">
        <w:rPr>
          <w:rFonts w:ascii="Arial" w:hAnsi="Arial" w:cs="Arial"/>
          <w:b/>
          <w:bCs/>
          <w:sz w:val="28"/>
          <w:szCs w:val="28"/>
        </w:rPr>
        <w:t>99</w:t>
      </w:r>
      <w:r>
        <w:rPr>
          <w:rFonts w:ascii="Arial" w:hAnsi="Arial" w:cs="Arial"/>
          <w:b/>
          <w:bCs/>
          <w:sz w:val="28"/>
          <w:szCs w:val="28"/>
        </w:rPr>
        <w:t>3</w:t>
      </w:r>
    </w:p>
    <w:p w14:paraId="5E86E8FE" w14:textId="77777777" w:rsidR="00F511D2" w:rsidRDefault="00F511D2" w:rsidP="00F511D2">
      <w:pPr>
        <w:jc w:val="center"/>
        <w:rPr>
          <w:rFonts w:ascii="Arial" w:hAnsi="Arial" w:cs="Arial"/>
        </w:rPr>
      </w:pPr>
    </w:p>
    <w:p w14:paraId="4B005027" w14:textId="7F70B74F" w:rsidR="00F511D2" w:rsidRPr="0035201C" w:rsidRDefault="00F511D2" w:rsidP="00F511D2">
      <w:pPr>
        <w:jc w:val="center"/>
        <w:rPr>
          <w:rFonts w:ascii="Arial" w:hAnsi="Arial" w:cs="Arial"/>
        </w:rPr>
      </w:pPr>
      <w:r w:rsidRPr="0081279C">
        <w:rPr>
          <w:rFonts w:ascii="Arial" w:hAnsi="Arial" w:cs="Arial"/>
        </w:rPr>
        <w:br w:type="page"/>
      </w:r>
      <w:r w:rsidRPr="0081279C">
        <w:rPr>
          <w:rFonts w:ascii="Arial" w:hAnsi="Arial" w:cs="Arial"/>
          <w:sz w:val="28"/>
        </w:rPr>
        <w:lastRenderedPageBreak/>
        <w:t>Hilton Hotels: A Beacon of Corporate Social Responsibility in the Hospitality Industry</w:t>
      </w:r>
    </w:p>
    <w:p w14:paraId="660FC35B" w14:textId="77777777" w:rsidR="00F511D2" w:rsidRPr="0081279C" w:rsidRDefault="00F511D2" w:rsidP="00F511D2">
      <w:pPr>
        <w:rPr>
          <w:rFonts w:ascii="Arial" w:hAnsi="Arial" w:cs="Arial"/>
        </w:rPr>
      </w:pPr>
      <w:r w:rsidRPr="0081279C">
        <w:rPr>
          <w:rFonts w:ascii="Arial" w:hAnsi="Arial" w:cs="Arial"/>
        </w:rPr>
        <w:t>The hospitality sector is one of the world’s key economic areas of great importance, but the environmental and social impacts of this sector can no longer be overlooked (Cooper, 2021). In light of sustainability becoming a grim reality, hotels are implementing more and more CSR policies, which aim to mitigate the negative impact while at the same time providing certain benefits to society (Jauhari, 2021). Hilton Hotels, a large and renowned hotel chain in the world, has exemplified the company’s serious emphasis on sustainability and CSR (Hilton, 2023). This essay is meant to shine a spotlight on the idea of CSR, its applicability to the hospitality field, Hilton's stance on CSR, the implementation of its corporate social responsibility initiatives, the challenges, and the advantages associated with incorporating CSR policies in business. </w:t>
      </w:r>
    </w:p>
    <w:p w14:paraId="05C65613" w14:textId="77777777" w:rsidR="00F511D2" w:rsidRPr="0081279C" w:rsidRDefault="00F511D2" w:rsidP="00F511D2">
      <w:pPr>
        <w:rPr>
          <w:rFonts w:ascii="Arial" w:hAnsi="Arial" w:cs="Arial"/>
        </w:rPr>
      </w:pPr>
      <w:r w:rsidRPr="0081279C">
        <w:rPr>
          <w:rFonts w:ascii="Arial" w:hAnsi="Arial" w:cs="Arial"/>
        </w:rPr>
        <w:t>Corporate social responsibility (CSR), as a responsible business model, encompasses social and environmental dimensions in the operations and stakeholder interactions of the companies (Management Association, 2018). The main aspects of CSR are ethics, transparency, and consideration of the interests of shareholders, respect for the rule of law, compliance with international norms of behaviour, and respect for human rights (Haski-Leventhal, 2018). The role and significance of CSR have been increasing in recent history, with businesses understanding that negative actions can affect society and the environment, so they tend to work for positive sustainable goals (Inkson and Minnaert, 2018).</w:t>
      </w:r>
    </w:p>
    <w:p w14:paraId="24E0CC7A" w14:textId="77777777" w:rsidR="00F511D2" w:rsidRPr="0081279C" w:rsidRDefault="00F511D2" w:rsidP="00F511D2">
      <w:pPr>
        <w:rPr>
          <w:rFonts w:ascii="Arial" w:hAnsi="Arial" w:cs="Arial"/>
        </w:rPr>
      </w:pPr>
      <w:r w:rsidRPr="0081279C">
        <w:rPr>
          <w:rFonts w:ascii="Arial" w:hAnsi="Arial" w:cs="Arial"/>
        </w:rPr>
        <w:t xml:space="preserve">In the sphere of the hospitality industry, given its large ecological footprint and that of tourism destination communities, social responsibility issues gain importance in this sector. The hotels present a high level of energy consumption, water, and resource utilisation, throw away trash, and leak greenhouse gases into the atmosphere (Sloan, Legrand and Chen, 2017). The area of social responsibility is also significant for the industry that is dependent on local markets and communities for the recruitment of labour and resource needs (Bohdanowicz and Zientara, 2019). In addressing CSR initiatives, hotels can begin to diminish their negative effects on the environment, support host </w:t>
      </w:r>
      <w:r w:rsidRPr="0081279C">
        <w:rPr>
          <w:rFonts w:ascii="Arial" w:hAnsi="Arial" w:cs="Arial"/>
        </w:rPr>
        <w:lastRenderedPageBreak/>
        <w:t>communities, and positively highlight themselves as responsible corporate global citizens (Cooper, 2021).</w:t>
      </w:r>
    </w:p>
    <w:p w14:paraId="5F11394A" w14:textId="17B92BD5" w:rsidR="00F511D2" w:rsidRPr="008C4187" w:rsidRDefault="00F511D2" w:rsidP="00F511D2">
      <w:pPr>
        <w:rPr>
          <w:rFonts w:ascii="Arial" w:hAnsi="Arial" w:cs="Arial"/>
          <w:color w:val="000000" w:themeColor="text1"/>
        </w:rPr>
      </w:pPr>
      <w:r w:rsidRPr="0081279C">
        <w:rPr>
          <w:rFonts w:ascii="Arial" w:hAnsi="Arial" w:cs="Arial"/>
        </w:rPr>
        <w:t> CSR will ensure that hotels adopt eco-friendly technologies, reduce waste, conserve resources, engage in responsible sourcing, and promote green practices in the hospitality industry. This would cut down on the environmental degradation brought by the sector (Korstanje, George, and Nedelea, 2020). Apart from that, CSR can also foster social sustainability by focusing on endorsing employee wellness, retaining fair wages and working conditions, and building up local community development (Wickham, Donnelly, and French, 2021). Through CSR, hotels can align with the principles of sustainability in their operations, thereby attaining long-term viability and a positive impact on both society and the environment and securing a safe environment for the generation yet to come (Costa and Costa, 2022</w:t>
      </w:r>
      <w:r w:rsidRPr="008C4187">
        <w:rPr>
          <w:rFonts w:ascii="Arial" w:hAnsi="Arial" w:cs="Arial"/>
          <w:color w:val="000000" w:themeColor="text1"/>
        </w:rPr>
        <w:t xml:space="preserve">). Generally, it can be observed that CSR strategies developed for Hilton correspond to the principles of the circular </w:t>
      </w:r>
      <w:r w:rsidR="001C365A" w:rsidRPr="008C4187">
        <w:rPr>
          <w:rFonts w:ascii="Arial" w:hAnsi="Arial" w:cs="Arial"/>
          <w:color w:val="000000" w:themeColor="text1"/>
        </w:rPr>
        <w:t>economy</w:t>
      </w:r>
      <w:r w:rsidRPr="008C4187">
        <w:rPr>
          <w:rFonts w:ascii="Arial" w:hAnsi="Arial" w:cs="Arial"/>
          <w:color w:val="000000" w:themeColor="text1"/>
        </w:rPr>
        <w:t xml:space="preserve"> since it focuses on reducing the volume of waste (Korstanje, George, and Nedelea, 2020). Moreover, Ethisphere Institute focused on the evaluation of Hilton’s CSR by using Carroll’s CSR Pyramid that includes economic, legal, ethical, and philanthropic standards (Haski-Leventhal, 2018). In the given annotated bibliography, various measures adopted by the company to minimize the environmental impact, to support the local communities and to encourage the ethical practices come across to maximize the assortments supporting all the levels of the pyramid.</w:t>
      </w:r>
    </w:p>
    <w:p w14:paraId="32CFA4F9" w14:textId="77777777" w:rsidR="00F511D2" w:rsidRPr="0081279C" w:rsidRDefault="00F511D2" w:rsidP="00F511D2">
      <w:pPr>
        <w:rPr>
          <w:rFonts w:ascii="Arial" w:hAnsi="Arial" w:cs="Arial"/>
        </w:rPr>
      </w:pPr>
      <w:r w:rsidRPr="0081279C">
        <w:rPr>
          <w:rFonts w:ascii="Arial" w:hAnsi="Arial" w:cs="Arial"/>
        </w:rPr>
        <w:t>Hilton Hotels, a reputable name in the global hotel industry, is owned by a company that has consistently shown both CSR and sustainability at its core. The company's CSR strategy is built on three key pillars: embracing the environmental impact of operations, the communities in the surrounding area, and ethical work-related issues (Hilton, 2023).</w:t>
      </w:r>
      <w:r>
        <w:rPr>
          <w:rFonts w:ascii="Arial" w:hAnsi="Arial" w:cs="Arial"/>
        </w:rPr>
        <w:t xml:space="preserve"> </w:t>
      </w:r>
      <w:r w:rsidRPr="008C4187">
        <w:rPr>
          <w:rFonts w:ascii="Arial" w:hAnsi="Arial" w:cs="Arial"/>
          <w:color w:val="000000" w:themeColor="text1"/>
        </w:rPr>
        <w:t xml:space="preserve">For example, Hilton's CSR strategy, known as "Travel with Purpose," is built on three key pillars: consideration of the environment concerning operations, the community of the area of operation, and ethical issues relating to work (Hilton, 2023). </w:t>
      </w:r>
      <w:r w:rsidRPr="0081279C">
        <w:rPr>
          <w:rFonts w:ascii="Arial" w:hAnsi="Arial" w:cs="Arial"/>
        </w:rPr>
        <w:t xml:space="preserve">Hilton laid out admirable targets to achieve a 61% reduction in its carbon footprint by 2030 and to reach net-zero emissions by 2050 (2021). To accomplish this, the company has implemented energy efficiency technologies, such as LED lighting and intelligent heating systems, </w:t>
      </w:r>
      <w:r w:rsidRPr="0081279C">
        <w:rPr>
          <w:rFonts w:ascii="Arial" w:hAnsi="Arial" w:cs="Arial"/>
        </w:rPr>
        <w:lastRenderedPageBreak/>
        <w:t>which led to a 40% decrease in energy consumption from 2008 to 2021, according to Hilton’s survey in 2021. Furthermore, Hilton Corporation also implemented water-saving programmes, such as low-flow shower heads and dual-flush toilets, and since 2008, water consumption has been reduced by 22% (Hilton, 2023).</w:t>
      </w:r>
      <w:r>
        <w:rPr>
          <w:rFonts w:ascii="Arial" w:hAnsi="Arial" w:cs="Arial"/>
        </w:rPr>
        <w:t xml:space="preserve"> </w:t>
      </w:r>
      <w:r w:rsidRPr="008C4187">
        <w:rPr>
          <w:rFonts w:ascii="Arial" w:hAnsi="Arial" w:cs="Arial"/>
          <w:color w:val="000000" w:themeColor="text1"/>
        </w:rPr>
        <w:t>The strategies of Hilton Company in CSR include the application of circular thinking principles, that is, resource management and waste elimination, and sourcing responsibility. For example, a water conservation programme and energy-efficient measures show that the company has managed to reduce the use of water and energy since 2008 (Hilton, 2023).</w:t>
      </w:r>
    </w:p>
    <w:p w14:paraId="62F8BD2C" w14:textId="77777777" w:rsidR="00F511D2" w:rsidRPr="0081279C" w:rsidRDefault="00F511D2" w:rsidP="00F511D2">
      <w:pPr>
        <w:rPr>
          <w:rFonts w:ascii="Arial" w:hAnsi="Arial" w:cs="Arial"/>
        </w:rPr>
      </w:pPr>
      <w:r w:rsidRPr="0081279C">
        <w:rPr>
          <w:rFonts w:ascii="Arial" w:hAnsi="Arial" w:cs="Arial"/>
        </w:rPr>
        <w:t>In addition to addressing environmental issues, Hilton is concerned with its people and the communities in which it does business. The company has many techniques to increase the welfare of employees, such as training and development programmes, fair wage policies, and support for the work environment (Raub and Blunschi 2014). As Hilton started in 2020, a million dollars were allocated to employee training and development (Hilton, 2023). The hotel chain aims not only to profit but also to take part in socially conscious missions. It supports charitable organisations and collaborates with social groups to solve local issues (Font, Gary, and Jones, 2016). On the other hand, Hilton has established a partnership with WWF since 2015, enabling the green environment and conservation practices (Hilton, 2023).</w:t>
      </w:r>
    </w:p>
    <w:p w14:paraId="7B7E1D38" w14:textId="77777777" w:rsidR="00F511D2" w:rsidRPr="0081279C" w:rsidRDefault="00F511D2" w:rsidP="00F511D2">
      <w:pPr>
        <w:rPr>
          <w:rFonts w:ascii="Arial" w:hAnsi="Arial" w:cs="Arial"/>
        </w:rPr>
      </w:pPr>
      <w:r w:rsidRPr="0081279C">
        <w:rPr>
          <w:rFonts w:ascii="Arial" w:hAnsi="Arial" w:cs="Arial"/>
        </w:rPr>
        <w:t>Among several significant corporate social responsibility activities undertaken by Hilton is its "Open Doors" programme, which aims at providing relevant jobs to skilled people such as refugees, veterans, and those with disabilities (Hilton, 2023). The working partnership with NGOs and local associations that was started in 2019 saw the development of the programme that has so far trained and employed over 25,000 individuals. In addition to the impact that it could create on the local communities, the programme will also support the company's ethical business practices (Managers, 2011). Besides that, Hilton has impressively set the example for resourcing responsibly by using green products and involving local suppliers (Xu and Gursoy, 2015). In 2020, 99% of all the seafood Hilton purchased across the world was sustainable (Hilton, 2023).</w:t>
      </w:r>
    </w:p>
    <w:p w14:paraId="3033DE30" w14:textId="77777777" w:rsidR="00F511D2" w:rsidRPr="0081279C" w:rsidRDefault="00F511D2" w:rsidP="00F511D2">
      <w:pPr>
        <w:rPr>
          <w:rFonts w:ascii="Arial" w:hAnsi="Arial" w:cs="Arial"/>
        </w:rPr>
      </w:pPr>
      <w:r w:rsidRPr="0081279C">
        <w:rPr>
          <w:rFonts w:ascii="Arial" w:hAnsi="Arial" w:cs="Arial"/>
        </w:rPr>
        <w:t xml:space="preserve">Hilton's CSR initiatives, on the other hand, affect the organisation's environmental sustainability activities in a meaningful way. Implementing efficient technologies in energy </w:t>
      </w:r>
      <w:r w:rsidRPr="0081279C">
        <w:rPr>
          <w:rFonts w:ascii="Arial" w:hAnsi="Arial" w:cs="Arial"/>
        </w:rPr>
        <w:lastRenderedPageBreak/>
        <w:t>and adopting water-saving techniques have resulted in a 40% and 22% reduction in energy use and water consumption, respectively, since 2010 (Hilton, 2023). Not only have these initiatives decreased the environmental impact of the Hilton brand, but they have also resulted in cost savings, showing the economic benefits of green working processes (Singal, 2014). Besides, the company's responsible sourcing philosophy has again been reflected in its sustainable production lines, which have resulted in 99% of the overseas seafood being eco-friendly sourced in 2020 (Hilton, 2023).</w:t>
      </w:r>
    </w:p>
    <w:p w14:paraId="50DFA00B" w14:textId="77777777" w:rsidR="00F511D2" w:rsidRPr="0081279C" w:rsidRDefault="00F511D2" w:rsidP="00F511D2">
      <w:pPr>
        <w:rPr>
          <w:rFonts w:ascii="Arial" w:hAnsi="Arial" w:cs="Arial"/>
        </w:rPr>
      </w:pPr>
      <w:r w:rsidRPr="0081279C">
        <w:rPr>
          <w:rFonts w:ascii="Arial" w:hAnsi="Arial" w:cs="Arial"/>
        </w:rPr>
        <w:t>The impacts of Hilton's CSR initiatives in the social sector are vividly evident in the organisation's commitment to employee wellness and community engagement. Through the training and development of employees, a fair wage rate, and an enjoyable working environment, Hilton gave a clear signal of its attention to a socially responsible approach (Tsai, Tsang, and Cheng, 2012). Hilton commits to turning the tourism chain into a social and economic benefit by partnering with organisations like WWF as they work towards conservation and sustainable tourism (Hilton, 2023). On the other side, Hilton's "Open Doors" program since 2019 has proven to deliver career opportunities not only to individuals but also to equip local communities with the skills that they require on the job market (Hilton, 2023).</w:t>
      </w:r>
    </w:p>
    <w:p w14:paraId="2E0BA036" w14:textId="77777777" w:rsidR="00F511D2" w:rsidRPr="0081279C" w:rsidRDefault="00F511D2" w:rsidP="00F511D2">
      <w:pPr>
        <w:rPr>
          <w:rFonts w:ascii="Arial" w:hAnsi="Arial" w:cs="Arial"/>
        </w:rPr>
      </w:pPr>
      <w:r w:rsidRPr="0081279C">
        <w:rPr>
          <w:rFonts w:ascii="Arial" w:hAnsi="Arial" w:cs="Arial"/>
        </w:rPr>
        <w:t xml:space="preserve">The economic influence of Hilton's CSR activities is twofold. In the first place, the savings from environmental sustainability activities, which use less energy and water, have indeed improved the company's economic performance (Hilton, 2023). And the second is that Hilton's engagement in CSR deepened brand loyalty and reputation. According to Kang </w:t>
      </w:r>
      <w:r w:rsidRPr="0081279C">
        <w:rPr>
          <w:rFonts w:ascii="Arial" w:hAnsi="Arial" w:cs="Arial"/>
          <w:i/>
        </w:rPr>
        <w:t>et al</w:t>
      </w:r>
      <w:r w:rsidRPr="0081279C">
        <w:rPr>
          <w:rFonts w:ascii="Arial" w:hAnsi="Arial" w:cs="Arial"/>
        </w:rPr>
        <w:t>. (2020), research showed that a company's guest’s evaluation of social media enhanced their loyalty, positive feelings towards the brand, and dedication. Sustainability and social responsibility demonstrated by Hilton today make it an industry leader by bringing the customer into an environmental and social context.</w:t>
      </w:r>
    </w:p>
    <w:p w14:paraId="0F0E05C5" w14:textId="77777777" w:rsidR="00F511D2" w:rsidRPr="0081279C" w:rsidRDefault="00F511D2" w:rsidP="00F511D2">
      <w:pPr>
        <w:rPr>
          <w:rFonts w:ascii="Arial" w:hAnsi="Arial" w:cs="Arial"/>
        </w:rPr>
      </w:pPr>
      <w:r w:rsidRPr="0081279C">
        <w:rPr>
          <w:rFonts w:ascii="Arial" w:hAnsi="Arial" w:cs="Arial"/>
        </w:rPr>
        <w:t xml:space="preserve">Implementing a framework for implementing CSR at the Hilton group of hotels faces a lot of challenges. The high financial cost of purchasing environmentally friendly technologies, employing the many people needed to run effective training programmes, and organising public awareness campaigns appear to be the major obstacles (Chan, 2011). While these costs can offer longer-term advantages like cutbacks and corporate image improvement, </w:t>
      </w:r>
      <w:r w:rsidRPr="0081279C">
        <w:rPr>
          <w:rFonts w:ascii="Arial" w:hAnsi="Arial" w:cs="Arial"/>
        </w:rPr>
        <w:lastRenderedPageBreak/>
        <w:t>they are big bucks upfront. Yet another obstacle is staff acceptance and usefulness in CSR. The degree and meaningfulness of implementing sustainability against all the employees from different levels is possible just in such cases where we have the willingness and the engagement of all the employees for the complete realization of the plans developed (Zientara and Zamojska, 2018). Hilton, therefore, must ensure the communication of the CSR concept to the staff as well as provide necessary training and the essential tools for the sustenance of a culture of sustainability and social responsibility in the organisation.</w:t>
      </w:r>
    </w:p>
    <w:p w14:paraId="28001B5A" w14:textId="77777777" w:rsidR="00F511D2" w:rsidRPr="0081279C" w:rsidRDefault="00F511D2" w:rsidP="00F511D2">
      <w:pPr>
        <w:rPr>
          <w:rFonts w:ascii="Arial" w:hAnsi="Arial" w:cs="Arial"/>
        </w:rPr>
      </w:pPr>
      <w:r w:rsidRPr="0081279C">
        <w:rPr>
          <w:rFonts w:ascii="Arial" w:hAnsi="Arial" w:cs="Arial"/>
        </w:rPr>
        <w:t xml:space="preserve">Monitoring and measuring the impact of CSR initiatives is another issue that Hilton grapples with. Measuring the environmental, social, and economic outcomes of corporate social responsibility (CSR) programmes is a matter of fact for the reason that it is necessary to involve the tracing of various metrics as well as the consideration of not only the short-run but also the long-run impacts (Pérez and Rodríguez del Bosque, 2015). Hilton should have in place reliable tools for such assessment and reporting to determine the outcomes of the organisation's CSR policies and to pinpoint the areas that require more attention. On top of that, the company should carry out clear and accurate reporting of its CSR to maintain its great business image and trust among stakeholders (Kang </w:t>
      </w:r>
      <w:r w:rsidRPr="0081279C">
        <w:rPr>
          <w:rFonts w:ascii="Arial" w:hAnsi="Arial" w:cs="Arial"/>
          <w:i/>
        </w:rPr>
        <w:t>et al</w:t>
      </w:r>
      <w:r w:rsidRPr="0081279C">
        <w:rPr>
          <w:rFonts w:ascii="Arial" w:hAnsi="Arial" w:cs="Arial"/>
        </w:rPr>
        <w:t>., 2020).</w:t>
      </w:r>
    </w:p>
    <w:p w14:paraId="27261BCC" w14:textId="77777777" w:rsidR="00F511D2" w:rsidRPr="0081279C" w:rsidRDefault="00F511D2" w:rsidP="00F511D2">
      <w:pPr>
        <w:rPr>
          <w:rFonts w:ascii="Arial" w:hAnsi="Arial" w:cs="Arial"/>
        </w:rPr>
      </w:pPr>
      <w:r w:rsidRPr="0081279C">
        <w:rPr>
          <w:rFonts w:ascii="Arial" w:hAnsi="Arial" w:cs="Arial"/>
        </w:rPr>
        <w:t xml:space="preserve">Nevertheless, CSR policy implementation in Hilton Hotels is not a challenge, as there are ample opportunities that can be grasped in this aspect. Another opportunity is a chance given to creative novelty and advantages. Following the path of sustainability and social responsibility, Hilton can be defined as a distinguished company that satisfies those customers who are in search of a highly ethical and environmentally friendly management strategy (Leonidou </w:t>
      </w:r>
      <w:r w:rsidRPr="0081279C">
        <w:rPr>
          <w:rFonts w:ascii="Arial" w:hAnsi="Arial" w:cs="Arial"/>
          <w:i/>
        </w:rPr>
        <w:t>et al</w:t>
      </w:r>
      <w:r w:rsidRPr="0081279C">
        <w:rPr>
          <w:rFonts w:ascii="Arial" w:hAnsi="Arial" w:cs="Arial"/>
        </w:rPr>
        <w:t>., 2013). The organisation therefore needs to further its CSR ambitions by either completely changing its business models and partnerships that align with its goals or by joint venturing with anywhere, like neighbourhood suppliers, and developing products and services that are environmentally friendly. On the other hand, CSR is viewed as a key factor through which the organisation can build a culture of innovation. Employees are encouraged to think of and develop creative solutions to sustainability problems.</w:t>
      </w:r>
    </w:p>
    <w:p w14:paraId="7C051B40" w14:textId="4CA66038" w:rsidR="00F511D2" w:rsidRDefault="00F511D2" w:rsidP="00F511D2">
      <w:pPr>
        <w:rPr>
          <w:rFonts w:ascii="Arial" w:hAnsi="Arial" w:cs="Arial"/>
        </w:rPr>
      </w:pPr>
      <w:r w:rsidRPr="0081279C">
        <w:rPr>
          <w:rFonts w:ascii="Arial" w:hAnsi="Arial" w:cs="Arial"/>
        </w:rPr>
        <w:lastRenderedPageBreak/>
        <w:t>Finally, corporate social responsibility (CSR) serves as a significant factor that contributes to sustainable development within the hospitality industry. Hilton Hotels, exemplified by the various initiatives meant to minimise environmental impacts while at the same time promoting communities around where the hotels are also</w:t>
      </w:r>
      <w:r w:rsidR="001C365A">
        <w:rPr>
          <w:rFonts w:ascii="Arial" w:hAnsi="Arial" w:cs="Arial"/>
        </w:rPr>
        <w:t xml:space="preserve"> have their</w:t>
      </w:r>
      <w:r w:rsidRPr="0081279C">
        <w:rPr>
          <w:rFonts w:ascii="Arial" w:hAnsi="Arial" w:cs="Arial"/>
        </w:rPr>
        <w:t xml:space="preserve"> ethics, has commendably set a trend for other hospitality industries. CSR has provided an optimised solution, resulting in substantial environmental, social, and economic benefits, including reduced consumption of energy and water and higher well-being among employees. Customer loyalty also increased (Modica</w:t>
      </w:r>
      <w:r w:rsidRPr="0081279C">
        <w:rPr>
          <w:rFonts w:ascii="Arial" w:hAnsi="Arial" w:cs="Arial"/>
          <w:i/>
        </w:rPr>
        <w:t xml:space="preserve"> et al</w:t>
      </w:r>
      <w:r w:rsidRPr="0081279C">
        <w:rPr>
          <w:rFonts w:ascii="Arial" w:hAnsi="Arial" w:cs="Arial"/>
        </w:rPr>
        <w:t>., 2018). Apart from challenges that may arise in adopting the CSR strategy, such as financial costs, employee motivation, and impact assessment, there are also benefits. Despite these difficulties, an implicit part of Hilton's tactic of embracing CSR in its operations demonstrates the possibility of innovation, competitive advantage, and positive development within the industry. With more sustainability concerns being raised day by day, hospitality businesses need to tread the same path as Hilton does by integrating CSR into the core of their operations and championing environmentally responsible practices to ensure we have a greener and cleaner world tomorrow.</w:t>
      </w:r>
    </w:p>
    <w:p w14:paraId="6AF364A7" w14:textId="77777777" w:rsidR="00F511D2" w:rsidRDefault="00F511D2" w:rsidP="00F511D2">
      <w:pPr>
        <w:rPr>
          <w:rFonts w:ascii="Arial" w:hAnsi="Arial" w:cs="Arial"/>
        </w:rPr>
      </w:pPr>
    </w:p>
    <w:p w14:paraId="166944FE" w14:textId="77777777" w:rsidR="00F511D2" w:rsidRDefault="00F511D2" w:rsidP="00F511D2">
      <w:pPr>
        <w:rPr>
          <w:rFonts w:ascii="Arial" w:hAnsi="Arial" w:cs="Arial"/>
        </w:rPr>
      </w:pPr>
    </w:p>
    <w:p w14:paraId="5F889485" w14:textId="77777777" w:rsidR="00F511D2" w:rsidRDefault="00F511D2" w:rsidP="00F511D2">
      <w:pPr>
        <w:rPr>
          <w:rFonts w:ascii="Arial" w:hAnsi="Arial" w:cs="Arial"/>
        </w:rPr>
      </w:pPr>
    </w:p>
    <w:p w14:paraId="15B6A0C3" w14:textId="77777777" w:rsidR="00F511D2" w:rsidRDefault="00F511D2" w:rsidP="00F511D2">
      <w:pPr>
        <w:rPr>
          <w:rFonts w:ascii="Arial" w:hAnsi="Arial" w:cs="Arial"/>
        </w:rPr>
      </w:pPr>
    </w:p>
    <w:p w14:paraId="1A4228A4" w14:textId="77777777" w:rsidR="00F511D2" w:rsidRDefault="00F511D2" w:rsidP="00F511D2">
      <w:pPr>
        <w:rPr>
          <w:rFonts w:ascii="Arial" w:hAnsi="Arial" w:cs="Arial"/>
        </w:rPr>
      </w:pPr>
    </w:p>
    <w:p w14:paraId="771DE036" w14:textId="77777777" w:rsidR="00F511D2" w:rsidRDefault="00F511D2" w:rsidP="00F511D2">
      <w:pPr>
        <w:rPr>
          <w:rFonts w:ascii="Arial" w:hAnsi="Arial" w:cs="Arial"/>
        </w:rPr>
      </w:pPr>
    </w:p>
    <w:p w14:paraId="502F6024" w14:textId="77777777" w:rsidR="00F511D2" w:rsidRDefault="00F511D2" w:rsidP="00F511D2">
      <w:pPr>
        <w:rPr>
          <w:rFonts w:ascii="Arial" w:hAnsi="Arial" w:cs="Arial"/>
        </w:rPr>
      </w:pPr>
    </w:p>
    <w:p w14:paraId="44882DE7" w14:textId="77777777" w:rsidR="00F511D2" w:rsidRDefault="00F511D2" w:rsidP="00F511D2">
      <w:pPr>
        <w:rPr>
          <w:rFonts w:ascii="Arial" w:hAnsi="Arial" w:cs="Arial"/>
        </w:rPr>
      </w:pPr>
    </w:p>
    <w:p w14:paraId="3755D52E" w14:textId="77777777" w:rsidR="00F511D2" w:rsidRDefault="00F511D2" w:rsidP="00F511D2">
      <w:pPr>
        <w:rPr>
          <w:rFonts w:ascii="Arial" w:hAnsi="Arial" w:cs="Arial"/>
        </w:rPr>
      </w:pPr>
    </w:p>
    <w:p w14:paraId="72E00C84" w14:textId="77777777" w:rsidR="00F511D2" w:rsidRPr="0081279C" w:rsidRDefault="00F511D2" w:rsidP="00F511D2">
      <w:pPr>
        <w:rPr>
          <w:rFonts w:ascii="Arial" w:hAnsi="Arial" w:cs="Arial"/>
        </w:rPr>
      </w:pPr>
    </w:p>
    <w:p w14:paraId="184D16BF" w14:textId="77777777" w:rsidR="00F511D2" w:rsidRPr="0081279C" w:rsidRDefault="00F511D2" w:rsidP="00F511D2">
      <w:pPr>
        <w:rPr>
          <w:rFonts w:ascii="Arial" w:hAnsi="Arial" w:cs="Arial"/>
          <w:sz w:val="28"/>
        </w:rPr>
      </w:pPr>
      <w:bookmarkStart w:id="0" w:name="_Toc161954201"/>
      <w:r w:rsidRPr="0081279C">
        <w:rPr>
          <w:rFonts w:ascii="Arial" w:hAnsi="Arial" w:cs="Arial"/>
          <w:sz w:val="28"/>
        </w:rPr>
        <w:lastRenderedPageBreak/>
        <w:t>References</w:t>
      </w:r>
      <w:bookmarkEnd w:id="0"/>
    </w:p>
    <w:p w14:paraId="606E5B5A" w14:textId="77777777" w:rsidR="00F511D2" w:rsidRPr="0081279C" w:rsidRDefault="00F511D2" w:rsidP="00F511D2">
      <w:pPr>
        <w:rPr>
          <w:rFonts w:ascii="Arial" w:hAnsi="Arial" w:cs="Arial"/>
        </w:rPr>
      </w:pPr>
    </w:p>
    <w:p w14:paraId="04B36DDB"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Bohdanowicz, P. and Zientara, P. (2019). Hotel companies' contribution to improving the quality of life of local communities and the well-being of their employees. </w:t>
      </w:r>
      <w:r w:rsidRPr="00F549C9">
        <w:rPr>
          <w:rFonts w:ascii="Arial" w:hAnsi="Arial" w:cs="Arial"/>
          <w:i/>
          <w:iCs/>
        </w:rPr>
        <w:t>Tourism and Hospitality Research</w:t>
      </w:r>
      <w:r w:rsidRPr="00F549C9">
        <w:rPr>
          <w:rFonts w:ascii="Arial" w:hAnsi="Arial" w:cs="Arial"/>
        </w:rPr>
        <w:t>, 9(2), pp.147-158.</w:t>
      </w:r>
    </w:p>
    <w:p w14:paraId="728A1C15"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Chan, E.S. (2011). Implementing environmental management systems in small-and medium-sized hotels: Obstacles. </w:t>
      </w:r>
      <w:r w:rsidRPr="00F549C9">
        <w:rPr>
          <w:rFonts w:ascii="Arial" w:hAnsi="Arial" w:cs="Arial"/>
          <w:i/>
          <w:iCs/>
        </w:rPr>
        <w:t>Journal of Hospitality &amp; Tourism Research</w:t>
      </w:r>
      <w:r w:rsidRPr="00F549C9">
        <w:rPr>
          <w:rFonts w:ascii="Arial" w:hAnsi="Arial" w:cs="Arial"/>
        </w:rPr>
        <w:t>, 35(1), pp.3-23.</w:t>
      </w:r>
    </w:p>
    <w:p w14:paraId="3764544E"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Cooper, C. (2021). </w:t>
      </w:r>
      <w:r w:rsidRPr="00F549C9">
        <w:rPr>
          <w:rFonts w:ascii="Arial" w:hAnsi="Arial" w:cs="Arial"/>
          <w:i/>
          <w:iCs/>
        </w:rPr>
        <w:t>Essentials of tourism</w:t>
      </w:r>
      <w:r w:rsidRPr="00F549C9">
        <w:rPr>
          <w:rFonts w:ascii="Arial" w:hAnsi="Arial" w:cs="Arial"/>
        </w:rPr>
        <w:t>. Third edition. London: SAGE.</w:t>
      </w:r>
    </w:p>
    <w:p w14:paraId="1F0305C9"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Costa, C. and Costa, C. (Eds.). (2022). </w:t>
      </w:r>
      <w:r w:rsidRPr="00F549C9">
        <w:rPr>
          <w:rFonts w:ascii="Arial" w:hAnsi="Arial" w:cs="Arial"/>
          <w:i/>
          <w:iCs/>
        </w:rPr>
        <w:t>Sustainability and competitiveness in the hospitality industry</w:t>
      </w:r>
      <w:r w:rsidRPr="00F549C9">
        <w:rPr>
          <w:rFonts w:ascii="Arial" w:hAnsi="Arial" w:cs="Arial"/>
        </w:rPr>
        <w:t>. Business Science Reference.</w:t>
      </w:r>
    </w:p>
    <w:p w14:paraId="5201B481"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Font, X., Garay, L. and Jones, S. (2016). Sustainability motivations and practices in small tourism enterprises in European protected areas. </w:t>
      </w:r>
      <w:r w:rsidRPr="00F549C9">
        <w:rPr>
          <w:rFonts w:ascii="Arial" w:hAnsi="Arial" w:cs="Arial"/>
          <w:i/>
          <w:iCs/>
        </w:rPr>
        <w:t>Journal of Cleaner Production</w:t>
      </w:r>
      <w:r w:rsidRPr="00F549C9">
        <w:rPr>
          <w:rFonts w:ascii="Arial" w:hAnsi="Arial" w:cs="Arial"/>
        </w:rPr>
        <w:t>, 137, pp.1439-1448.</w:t>
      </w:r>
    </w:p>
    <w:p w14:paraId="26769374"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Haski-Leventhal, D. (2018). </w:t>
      </w:r>
      <w:r w:rsidRPr="00F549C9">
        <w:rPr>
          <w:rFonts w:ascii="Arial" w:hAnsi="Arial" w:cs="Arial"/>
          <w:i/>
          <w:iCs/>
        </w:rPr>
        <w:t>Strategic corporate social responsibility: tools &amp; theories for responsible management</w:t>
      </w:r>
      <w:r w:rsidRPr="00F549C9">
        <w:rPr>
          <w:rFonts w:ascii="Arial" w:hAnsi="Arial" w:cs="Arial"/>
        </w:rPr>
        <w:t>. London: SAGE.</w:t>
      </w:r>
    </w:p>
    <w:p w14:paraId="2E0393C5"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Hilton (2023). </w:t>
      </w:r>
      <w:r w:rsidRPr="00F549C9">
        <w:rPr>
          <w:rFonts w:ascii="Arial" w:hAnsi="Arial" w:cs="Arial"/>
          <w:i/>
          <w:iCs/>
        </w:rPr>
        <w:t>Travel with Purpose: 2022 Environmental, Social, and Governance Report</w:t>
      </w:r>
      <w:r w:rsidRPr="00F549C9">
        <w:rPr>
          <w:rFonts w:ascii="Arial" w:hAnsi="Arial" w:cs="Arial"/>
        </w:rPr>
        <w:t xml:space="preserve">. [online] Available at: </w:t>
      </w:r>
      <w:hyperlink r:id="rId6" w:history="1">
        <w:r w:rsidRPr="00F549C9">
          <w:rPr>
            <w:rStyle w:val="Hyperlink"/>
            <w:rFonts w:ascii="Arial" w:hAnsi="Arial" w:cs="Arial"/>
            <w:color w:val="auto"/>
          </w:rPr>
          <w:t>https://cr.hilton.com/wp-content/uploads/2023/04/Hilton-2020-ESG-Report.pdf</w:t>
        </w:r>
      </w:hyperlink>
      <w:r w:rsidRPr="00F549C9">
        <w:rPr>
          <w:rFonts w:ascii="Arial" w:hAnsi="Arial" w:cs="Arial"/>
        </w:rPr>
        <w:t>.</w:t>
      </w:r>
    </w:p>
    <w:p w14:paraId="5A48C31B"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Inkson, C. and Minnaert, L. (2018). </w:t>
      </w:r>
      <w:r w:rsidRPr="00F549C9">
        <w:rPr>
          <w:rFonts w:ascii="Arial" w:hAnsi="Arial" w:cs="Arial"/>
          <w:i/>
          <w:iCs/>
        </w:rPr>
        <w:t>Tourism management: an introduction</w:t>
      </w:r>
      <w:r w:rsidRPr="00F549C9">
        <w:rPr>
          <w:rFonts w:ascii="Arial" w:hAnsi="Arial" w:cs="Arial"/>
        </w:rPr>
        <w:t>. 2nd ed. London: SAGE.</w:t>
      </w:r>
    </w:p>
    <w:p w14:paraId="3471DB25"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Jauhari, V. (2021). </w:t>
      </w:r>
      <w:r w:rsidRPr="00F549C9">
        <w:rPr>
          <w:rFonts w:ascii="Arial" w:hAnsi="Arial" w:cs="Arial"/>
          <w:i/>
          <w:iCs/>
        </w:rPr>
        <w:t>Managing Sustainability in the Hospitality and Tourism Industry: Paradigms and Directions for the Future</w:t>
      </w:r>
      <w:r w:rsidRPr="00F549C9">
        <w:rPr>
          <w:rFonts w:ascii="Arial" w:hAnsi="Arial" w:cs="Arial"/>
        </w:rPr>
        <w:t>. 9th edn. Oakville: Apple Academic Press.</w:t>
      </w:r>
    </w:p>
    <w:p w14:paraId="0EF0E958"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Kang, K.H., Lee, S. and Huh, C. (2010). Impacts of Positive and negative corporate social responsibility activities on company performance in the hospitality industry. </w:t>
      </w:r>
      <w:r w:rsidRPr="00F549C9">
        <w:rPr>
          <w:rFonts w:ascii="Arial" w:hAnsi="Arial" w:cs="Arial"/>
          <w:i/>
          <w:iCs/>
        </w:rPr>
        <w:t>International journal of hospitality management</w:t>
      </w:r>
      <w:r w:rsidRPr="00F549C9">
        <w:rPr>
          <w:rFonts w:ascii="Arial" w:hAnsi="Arial" w:cs="Arial"/>
        </w:rPr>
        <w:t>, 29(1), pp.72-82.</w:t>
      </w:r>
    </w:p>
    <w:p w14:paraId="4B3492B6"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Korstanje, M., George, B., and Nedelea, A. (2020). </w:t>
      </w:r>
      <w:r w:rsidRPr="00F549C9">
        <w:rPr>
          <w:rFonts w:ascii="Arial" w:hAnsi="Arial" w:cs="Arial"/>
          <w:i/>
          <w:iCs/>
        </w:rPr>
        <w:t>Strategies for promoting sustainable hospitality and tourism services</w:t>
      </w:r>
      <w:r w:rsidRPr="00F549C9">
        <w:rPr>
          <w:rFonts w:ascii="Arial" w:hAnsi="Arial" w:cs="Arial"/>
        </w:rPr>
        <w:t>. IGI Global.</w:t>
      </w:r>
    </w:p>
    <w:p w14:paraId="3AED1D5E"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lastRenderedPageBreak/>
        <w:t xml:space="preserve">Leonidou, L.C., Leonidou, C.N., Fotiadis, T.A. and Zeriti, A. (2013). Resources and capabilities as drivers of hotel environmental marketing strategy: Implications for competitive advantage and performance. </w:t>
      </w:r>
      <w:r w:rsidRPr="00F549C9">
        <w:rPr>
          <w:rFonts w:ascii="Arial" w:hAnsi="Arial" w:cs="Arial"/>
          <w:i/>
          <w:iCs/>
        </w:rPr>
        <w:t>Tourism Management</w:t>
      </w:r>
      <w:r w:rsidRPr="00F549C9">
        <w:rPr>
          <w:rFonts w:ascii="Arial" w:hAnsi="Arial" w:cs="Arial"/>
        </w:rPr>
        <w:t>, 35, pp.94-110.</w:t>
      </w:r>
    </w:p>
    <w:p w14:paraId="358C8367"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Management Association (2018). </w:t>
      </w:r>
      <w:r w:rsidRPr="00F549C9">
        <w:rPr>
          <w:rFonts w:ascii="Arial" w:hAnsi="Arial" w:cs="Arial"/>
          <w:i/>
          <w:iCs/>
        </w:rPr>
        <w:t>Sustainable Tourism</w:t>
      </w:r>
      <w:r w:rsidRPr="00F549C9">
        <w:rPr>
          <w:rFonts w:ascii="Arial" w:hAnsi="Arial" w:cs="Arial"/>
        </w:rPr>
        <w:t>. IGI Global.</w:t>
      </w:r>
    </w:p>
    <w:p w14:paraId="6A99E19A"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Modica, P.D., Altinay, L., Farmaki, A., Gursoy, D. and Zenga, M. (2018). Consumer perceptions towards sustainable supply chain practices in the hospitality industry. </w:t>
      </w:r>
      <w:r w:rsidRPr="00F549C9">
        <w:rPr>
          <w:rFonts w:ascii="Arial" w:hAnsi="Arial" w:cs="Arial"/>
          <w:i/>
          <w:iCs/>
        </w:rPr>
        <w:t>Current Issues in Tourism</w:t>
      </w:r>
      <w:r w:rsidRPr="00F549C9">
        <w:rPr>
          <w:rFonts w:ascii="Arial" w:hAnsi="Arial" w:cs="Arial"/>
        </w:rPr>
        <w:t>, 23(3), pp.358-375.</w:t>
      </w:r>
    </w:p>
    <w:p w14:paraId="2C70D352"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Pérez, A. and Rodríguez del Bosque, I. (2015). Corporate social responsibility and customer loyalty: exploring the role of identification, satisfaction and type of company. </w:t>
      </w:r>
      <w:r w:rsidRPr="00F549C9">
        <w:rPr>
          <w:rFonts w:ascii="Arial" w:hAnsi="Arial" w:cs="Arial"/>
          <w:i/>
          <w:iCs/>
        </w:rPr>
        <w:t>Journal of Services Marketing</w:t>
      </w:r>
      <w:r w:rsidRPr="00F549C9">
        <w:rPr>
          <w:rFonts w:ascii="Arial" w:hAnsi="Arial" w:cs="Arial"/>
        </w:rPr>
        <w:t>, 29(1), pp.15-25.</w:t>
      </w:r>
    </w:p>
    <w:p w14:paraId="7F67CCB9"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Raub, S. and Blunschi, S. (2014). The power of meaningful work: How awareness of CSR initiatives fosters task significance and positive work outcomes in service employees. </w:t>
      </w:r>
      <w:r w:rsidRPr="00F549C9">
        <w:rPr>
          <w:rFonts w:ascii="Arial" w:hAnsi="Arial" w:cs="Arial"/>
          <w:i/>
          <w:iCs/>
        </w:rPr>
        <w:t>Cornell Hospitality Quarterly</w:t>
      </w:r>
      <w:r w:rsidRPr="00F549C9">
        <w:rPr>
          <w:rFonts w:ascii="Arial" w:hAnsi="Arial" w:cs="Arial"/>
        </w:rPr>
        <w:t>, 55(1), pp.10-18.</w:t>
      </w:r>
    </w:p>
    <w:p w14:paraId="4C25D08A"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Singal, M. (2014). The link between firm financial performance and investment in sustainability initiatives. </w:t>
      </w:r>
      <w:r w:rsidRPr="00F549C9">
        <w:rPr>
          <w:rFonts w:ascii="Arial" w:hAnsi="Arial" w:cs="Arial"/>
          <w:i/>
          <w:iCs/>
        </w:rPr>
        <w:t>Cornell Hospitality Quarterly</w:t>
      </w:r>
      <w:r w:rsidRPr="00F549C9">
        <w:rPr>
          <w:rFonts w:ascii="Arial" w:hAnsi="Arial" w:cs="Arial"/>
        </w:rPr>
        <w:t>, 55(1), pp.19-30.</w:t>
      </w:r>
    </w:p>
    <w:p w14:paraId="61BE1739"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Sloan, P., Legrand, W. and Chen, J.S. (2017). </w:t>
      </w:r>
      <w:r w:rsidRPr="00F549C9">
        <w:rPr>
          <w:rFonts w:ascii="Arial" w:hAnsi="Arial" w:cs="Arial"/>
          <w:i/>
          <w:iCs/>
        </w:rPr>
        <w:t>Sustainability in the hospitality industry: principles of sustainable operations</w:t>
      </w:r>
      <w:r w:rsidRPr="00F549C9">
        <w:rPr>
          <w:rFonts w:ascii="Arial" w:hAnsi="Arial" w:cs="Arial"/>
        </w:rPr>
        <w:t>. 3rd edn. London: Butterworth-Heinemann.</w:t>
      </w:r>
    </w:p>
    <w:p w14:paraId="548DBE6C"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Tsai, H., Tsang, N.K. and Cheng, S.K. (2012). Hotel employees' perceptions on corporate social responsibility: The case of Hong Kong. </w:t>
      </w:r>
      <w:r w:rsidRPr="00F549C9">
        <w:rPr>
          <w:rFonts w:ascii="Arial" w:hAnsi="Arial" w:cs="Arial"/>
          <w:i/>
          <w:iCs/>
        </w:rPr>
        <w:t>International Journal of Hospitality Management</w:t>
      </w:r>
      <w:r w:rsidRPr="00F549C9">
        <w:rPr>
          <w:rFonts w:ascii="Arial" w:hAnsi="Arial" w:cs="Arial"/>
        </w:rPr>
        <w:t>, 31(4), pp.1143-1154.</w:t>
      </w:r>
    </w:p>
    <w:p w14:paraId="5CCF1178"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Wickham, M., Donnelly, T., and French, L. (2021). Strategic Sustainability Management in the Event Sector. </w:t>
      </w:r>
      <w:r w:rsidRPr="00F549C9">
        <w:rPr>
          <w:rFonts w:ascii="Arial" w:hAnsi="Arial" w:cs="Arial"/>
          <w:i/>
          <w:iCs/>
        </w:rPr>
        <w:t>Event Management</w:t>
      </w:r>
      <w:r w:rsidRPr="00F549C9">
        <w:rPr>
          <w:rFonts w:ascii="Arial" w:hAnsi="Arial" w:cs="Arial"/>
        </w:rPr>
        <w:t>, 25(3), pp.279-296.</w:t>
      </w:r>
    </w:p>
    <w:p w14:paraId="0EDE1970"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Xu, X. and Gursoy, D. (2015). Influence of sustainable hospitality supply chain management on customers' attitudes and behaviors. </w:t>
      </w:r>
      <w:r w:rsidRPr="00F549C9">
        <w:rPr>
          <w:rFonts w:ascii="Arial" w:hAnsi="Arial" w:cs="Arial"/>
          <w:i/>
          <w:iCs/>
        </w:rPr>
        <w:t>International Journal of Hospitality Management</w:t>
      </w:r>
      <w:r w:rsidRPr="00F549C9">
        <w:rPr>
          <w:rFonts w:ascii="Arial" w:hAnsi="Arial" w:cs="Arial"/>
        </w:rPr>
        <w:t>, 49, pp.105-116.</w:t>
      </w:r>
    </w:p>
    <w:p w14:paraId="7982A64A" w14:textId="77777777" w:rsidR="00F511D2" w:rsidRPr="00F549C9" w:rsidRDefault="00F511D2" w:rsidP="00F511D2">
      <w:pPr>
        <w:pStyle w:val="ListParagraph"/>
        <w:numPr>
          <w:ilvl w:val="0"/>
          <w:numId w:val="1"/>
        </w:numPr>
        <w:rPr>
          <w:rFonts w:ascii="Arial" w:hAnsi="Arial" w:cs="Arial"/>
        </w:rPr>
      </w:pPr>
      <w:r w:rsidRPr="00F549C9">
        <w:rPr>
          <w:rFonts w:ascii="Arial" w:hAnsi="Arial" w:cs="Arial"/>
        </w:rPr>
        <w:t xml:space="preserve">Zientara, P. and Zamojska, A. (2018). Green organizational climates and employee pro-environmental behaviour in the hotel industry. </w:t>
      </w:r>
      <w:r w:rsidRPr="00F549C9">
        <w:rPr>
          <w:rFonts w:ascii="Arial" w:hAnsi="Arial" w:cs="Arial"/>
          <w:i/>
          <w:iCs/>
        </w:rPr>
        <w:t>Journal of Sustainable Tourism</w:t>
      </w:r>
      <w:r w:rsidRPr="00F549C9">
        <w:rPr>
          <w:rFonts w:ascii="Arial" w:hAnsi="Arial" w:cs="Arial"/>
        </w:rPr>
        <w:t>, 26(7), pp.1142-1159.</w:t>
      </w:r>
    </w:p>
    <w:p w14:paraId="45907A59" w14:textId="77777777" w:rsidR="00FF6A5B" w:rsidRDefault="00FF6A5B"/>
    <w:sectPr w:rsidR="00FF6A5B" w:rsidSect="00F511D2">
      <w:footerReference w:type="defaul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503756"/>
      <w:docPartObj>
        <w:docPartGallery w:val="Page Numbers (Bottom of Page)"/>
        <w:docPartUnique/>
      </w:docPartObj>
    </w:sdtPr>
    <w:sdtEndPr>
      <w:rPr>
        <w:noProof/>
      </w:rPr>
    </w:sdtEndPr>
    <w:sdtContent>
      <w:p w14:paraId="76D13A99" w14:textId="77777777" w:rsidR="00000000" w:rsidRDefault="00000000">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53C1F60B" w14:textId="77777777" w:rsidR="00000000"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AF5F1F"/>
    <w:multiLevelType w:val="hybridMultilevel"/>
    <w:tmpl w:val="C1D22B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800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1D2"/>
    <w:rsid w:val="000B3D7A"/>
    <w:rsid w:val="001C365A"/>
    <w:rsid w:val="00273895"/>
    <w:rsid w:val="002B4678"/>
    <w:rsid w:val="00450B6F"/>
    <w:rsid w:val="00E86C61"/>
    <w:rsid w:val="00F511D2"/>
    <w:rsid w:val="00FF6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766E53"/>
  <w15:chartTrackingRefBased/>
  <w15:docId w15:val="{A1D5C0C1-58DD-DE40-B071-A91551ADC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1D2"/>
    <w:pPr>
      <w:spacing w:after="20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F511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1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1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1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1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1D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1D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1D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1D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1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1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1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1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1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1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1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1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1D2"/>
    <w:rPr>
      <w:rFonts w:eastAsiaTheme="majorEastAsia" w:cstheme="majorBidi"/>
      <w:color w:val="272727" w:themeColor="text1" w:themeTint="D8"/>
    </w:rPr>
  </w:style>
  <w:style w:type="paragraph" w:styleId="Title">
    <w:name w:val="Title"/>
    <w:basedOn w:val="Normal"/>
    <w:next w:val="Normal"/>
    <w:link w:val="TitleChar"/>
    <w:uiPriority w:val="10"/>
    <w:qFormat/>
    <w:rsid w:val="00F511D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1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1D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1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1D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11D2"/>
    <w:rPr>
      <w:i/>
      <w:iCs/>
      <w:color w:val="404040" w:themeColor="text1" w:themeTint="BF"/>
    </w:rPr>
  </w:style>
  <w:style w:type="paragraph" w:styleId="ListParagraph">
    <w:name w:val="List Paragraph"/>
    <w:basedOn w:val="Normal"/>
    <w:uiPriority w:val="34"/>
    <w:qFormat/>
    <w:rsid w:val="00F511D2"/>
    <w:pPr>
      <w:ind w:left="720"/>
      <w:contextualSpacing/>
    </w:pPr>
  </w:style>
  <w:style w:type="character" w:styleId="IntenseEmphasis">
    <w:name w:val="Intense Emphasis"/>
    <w:basedOn w:val="DefaultParagraphFont"/>
    <w:uiPriority w:val="21"/>
    <w:qFormat/>
    <w:rsid w:val="00F511D2"/>
    <w:rPr>
      <w:i/>
      <w:iCs/>
      <w:color w:val="0F4761" w:themeColor="accent1" w:themeShade="BF"/>
    </w:rPr>
  </w:style>
  <w:style w:type="paragraph" w:styleId="IntenseQuote">
    <w:name w:val="Intense Quote"/>
    <w:basedOn w:val="Normal"/>
    <w:next w:val="Normal"/>
    <w:link w:val="IntenseQuoteChar"/>
    <w:uiPriority w:val="30"/>
    <w:qFormat/>
    <w:rsid w:val="00F511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1D2"/>
    <w:rPr>
      <w:i/>
      <w:iCs/>
      <w:color w:val="0F4761" w:themeColor="accent1" w:themeShade="BF"/>
    </w:rPr>
  </w:style>
  <w:style w:type="character" w:styleId="IntenseReference">
    <w:name w:val="Intense Reference"/>
    <w:basedOn w:val="DefaultParagraphFont"/>
    <w:uiPriority w:val="32"/>
    <w:qFormat/>
    <w:rsid w:val="00F511D2"/>
    <w:rPr>
      <w:b/>
      <w:bCs/>
      <w:smallCaps/>
      <w:color w:val="0F4761" w:themeColor="accent1" w:themeShade="BF"/>
      <w:spacing w:val="5"/>
    </w:rPr>
  </w:style>
  <w:style w:type="character" w:styleId="Hyperlink">
    <w:name w:val="Hyperlink"/>
    <w:basedOn w:val="DefaultParagraphFont"/>
    <w:uiPriority w:val="99"/>
    <w:unhideWhenUsed/>
    <w:rsid w:val="00F511D2"/>
    <w:rPr>
      <w:color w:val="467886" w:themeColor="hyperlink"/>
      <w:u w:val="single"/>
    </w:rPr>
  </w:style>
  <w:style w:type="paragraph" w:styleId="Footer">
    <w:name w:val="footer"/>
    <w:basedOn w:val="Normal"/>
    <w:link w:val="FooterChar"/>
    <w:uiPriority w:val="99"/>
    <w:unhideWhenUsed/>
    <w:rsid w:val="00F511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1D2"/>
    <w:rPr>
      <w:rFonts w:ascii="Times New Roman" w:hAnsi="Times New Roman"/>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hilton.com/wp-content/uploads/2023/04/Hilton-2020-ESG-Report.pdf"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Somru Miah (2129682)</dc:creator>
  <cp:keywords/>
  <dc:description/>
  <cp:lastModifiedBy>Mohammed Somru Miah (2129682)</cp:lastModifiedBy>
  <cp:revision>2</cp:revision>
  <cp:lastPrinted>2024-06-06T21:25:00Z</cp:lastPrinted>
  <dcterms:created xsi:type="dcterms:W3CDTF">2024-06-06T21:15:00Z</dcterms:created>
  <dcterms:modified xsi:type="dcterms:W3CDTF">2024-06-07T11:36:00Z</dcterms:modified>
</cp:coreProperties>
</file>